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E31" w:rsidRDefault="003B5E31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873E40" w:rsidRDefault="00873E4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44546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271207   271207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3B5E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3B5E31" w:rsidRDefault="003B5E31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3B5E31" w:rsidRDefault="003B5E3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3B5E31" w:rsidRDefault="003B5E31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3B5E31" w:rsidRDefault="003B5E31"/>
    <w:tbl>
      <w:tblPr>
        <w:tblW w:w="9639" w:type="dxa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3B5E31" w:rsidTr="008D6D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3B5E31" w:rsidRDefault="003B5E31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901656" r:id="rId8"/>
              </w:object>
            </w:r>
          </w:p>
          <w:p w:rsidR="003B5E31" w:rsidRDefault="003B5E31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F552CC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3B5E31" w:rsidRDefault="003B5E31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3B5E31" w:rsidRDefault="003B5E31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3B5E31" w:rsidRDefault="003B5E31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3B5E31" w:rsidRDefault="003B5E31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3B5E31" w:rsidRDefault="003B5E31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3B5E31" w:rsidRDefault="003B5E31">
            <w:pPr>
              <w:spacing w:line="240" w:lineRule="auto"/>
              <w:rPr>
                <w:sz w:val="22"/>
              </w:rPr>
            </w:pPr>
          </w:p>
          <w:p w:rsidR="003B5E31" w:rsidRDefault="003B5E31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символ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8D6D62">
              <w:rPr>
                <w:sz w:val="22"/>
                <w:lang w:val="en-US"/>
              </w:rPr>
              <w:fldChar w:fldCharType="separate"/>
            </w:r>
            <w:r w:rsidR="008D6D62">
              <w:rPr>
                <w:sz w:val="22"/>
                <w:lang w:val="en-US"/>
              </w:rPr>
              <w:t>CCPR/C/SR.2485</w:t>
            </w:r>
            <w:r>
              <w:rPr>
                <w:sz w:val="22"/>
                <w:lang w:val="en-US"/>
              </w:rPr>
              <w:fldChar w:fldCharType="end"/>
            </w:r>
          </w:p>
          <w:p w:rsidR="003B5E31" w:rsidRDefault="003B5E31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8D6D62">
              <w:rPr>
                <w:sz w:val="22"/>
                <w:lang w:val="en-US"/>
              </w:rPr>
              <w:fldChar w:fldCharType="separate"/>
            </w:r>
            <w:r w:rsidR="008D6D62">
              <w:rPr>
                <w:sz w:val="22"/>
                <w:lang w:val="en-US"/>
              </w:rPr>
              <w:t>27 December 2007</w:t>
            </w:r>
            <w:r>
              <w:rPr>
                <w:sz w:val="22"/>
                <w:lang w:val="en-US"/>
              </w:rPr>
              <w:fldChar w:fldCharType="end"/>
            </w:r>
          </w:p>
          <w:p w:rsidR="003B5E31" w:rsidRDefault="003B5E31">
            <w:pPr>
              <w:spacing w:line="240" w:lineRule="auto"/>
              <w:rPr>
                <w:sz w:val="22"/>
              </w:rPr>
            </w:pPr>
          </w:p>
          <w:p w:rsidR="003B5E31" w:rsidRDefault="003B5E31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3B5E31" w:rsidRDefault="003B5E31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3B5E31" w:rsidRDefault="003B5E31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B14E85" w:rsidRDefault="00B14E85" w:rsidP="00B14E85">
      <w:pPr>
        <w:jc w:val="center"/>
      </w:pPr>
    </w:p>
    <w:p w:rsidR="00B14E85" w:rsidRDefault="008D6D62" w:rsidP="00B14E85">
      <w:pPr>
        <w:jc w:val="center"/>
      </w:pPr>
      <w:r w:rsidRPr="00CD1DE2">
        <w:t>КОМИТЕТ ПО ПРАВАМ ЧЕЛОВЕКА</w:t>
      </w:r>
    </w:p>
    <w:p w:rsidR="00B14E85" w:rsidRDefault="00B14E85" w:rsidP="00B14E85">
      <w:pPr>
        <w:jc w:val="center"/>
      </w:pPr>
    </w:p>
    <w:p w:rsidR="00B14E85" w:rsidRDefault="008D6D62" w:rsidP="00B14E85">
      <w:pPr>
        <w:jc w:val="center"/>
      </w:pPr>
      <w:r w:rsidRPr="00CD1DE2">
        <w:t>Девяност</w:t>
      </w:r>
      <w:r>
        <w:t>о первая</w:t>
      </w:r>
      <w:r w:rsidRPr="00CD1DE2">
        <w:t xml:space="preserve"> сессия</w:t>
      </w:r>
    </w:p>
    <w:p w:rsidR="00B14E85" w:rsidRDefault="00B14E85" w:rsidP="00B14E85">
      <w:pPr>
        <w:jc w:val="center"/>
      </w:pPr>
    </w:p>
    <w:p w:rsidR="00B14E85" w:rsidRDefault="008D6D62" w:rsidP="00B14E85">
      <w:pPr>
        <w:jc w:val="center"/>
      </w:pPr>
      <w:r w:rsidRPr="00CD1DE2">
        <w:t xml:space="preserve">КРАТКИЙ ОТЧЕТ </w:t>
      </w:r>
      <w:r>
        <w:t xml:space="preserve">(ЧАСТИЧНЫЙ)* </w:t>
      </w:r>
      <w:r w:rsidRPr="00CD1DE2">
        <w:t>О 24</w:t>
      </w:r>
      <w:r>
        <w:t>85</w:t>
      </w:r>
      <w:r w:rsidRPr="00CD1DE2">
        <w:t xml:space="preserve">-м ЗАСЕДАНИИ, </w:t>
      </w:r>
    </w:p>
    <w:p w:rsidR="00B14E85" w:rsidRDefault="00B14E85" w:rsidP="00B14E85">
      <w:pPr>
        <w:jc w:val="center"/>
      </w:pPr>
    </w:p>
    <w:p w:rsidR="00B14E85" w:rsidRDefault="008D6D62" w:rsidP="00B14E85">
      <w:pPr>
        <w:jc w:val="center"/>
      </w:pPr>
      <w:r w:rsidRPr="00CD1DE2">
        <w:t>состоявшемся во Дворце Вильсона в Женеве</w:t>
      </w:r>
    </w:p>
    <w:p w:rsidR="00B14E85" w:rsidRDefault="008D6D62" w:rsidP="00B14E85">
      <w:pPr>
        <w:jc w:val="center"/>
      </w:pPr>
      <w:r w:rsidRPr="00CD1DE2">
        <w:t>в</w:t>
      </w:r>
      <w:r>
        <w:t>о</w:t>
      </w:r>
      <w:r w:rsidRPr="00CD1DE2">
        <w:t xml:space="preserve"> </w:t>
      </w:r>
      <w:r>
        <w:t>вторник</w:t>
      </w:r>
      <w:r w:rsidRPr="00CD1DE2">
        <w:t xml:space="preserve">, </w:t>
      </w:r>
      <w:r>
        <w:t>16</w:t>
      </w:r>
      <w:r w:rsidRPr="00CD1DE2">
        <w:t xml:space="preserve"> </w:t>
      </w:r>
      <w:r>
        <w:t xml:space="preserve">октября </w:t>
      </w:r>
      <w:r w:rsidRPr="00CD1DE2">
        <w:t>2007</w:t>
      </w:r>
      <w:r>
        <w:t> </w:t>
      </w:r>
      <w:r w:rsidRPr="00CD1DE2">
        <w:t>года, в 1</w:t>
      </w:r>
      <w:r>
        <w:t>5</w:t>
      </w:r>
      <w:r w:rsidRPr="00CD1DE2">
        <w:t xml:space="preserve"> час. 00 мин.</w:t>
      </w:r>
    </w:p>
    <w:p w:rsidR="00B14E85" w:rsidRDefault="00B14E85" w:rsidP="00B14E85">
      <w:pPr>
        <w:jc w:val="center"/>
      </w:pPr>
    </w:p>
    <w:p w:rsidR="00B14E85" w:rsidRDefault="008D6D62" w:rsidP="00B14E85">
      <w:pPr>
        <w:jc w:val="center"/>
      </w:pPr>
      <w:r w:rsidRPr="00CD1DE2">
        <w:rPr>
          <w:u w:val="single"/>
        </w:rPr>
        <w:t>Председатель</w:t>
      </w:r>
      <w:r w:rsidRPr="00CD1DE2">
        <w:t>:  Г-н РИВАС ПОСАДА</w:t>
      </w:r>
    </w:p>
    <w:p w:rsidR="00B14E85" w:rsidRDefault="00B14E85" w:rsidP="00B14E85">
      <w:pPr>
        <w:jc w:val="center"/>
      </w:pPr>
    </w:p>
    <w:p w:rsidR="00B14E85" w:rsidRDefault="008D6D62" w:rsidP="00B14E85">
      <w:pPr>
        <w:jc w:val="center"/>
      </w:pPr>
      <w:r w:rsidRPr="00CD1DE2">
        <w:t>СОДЕРЖАНИЕ</w:t>
      </w:r>
    </w:p>
    <w:p w:rsidR="00B14E85" w:rsidRDefault="00B14E85" w:rsidP="00B14E85">
      <w:pPr>
        <w:jc w:val="center"/>
      </w:pPr>
    </w:p>
    <w:p w:rsidR="00B14E85" w:rsidRDefault="008D6D62" w:rsidP="00B14E85">
      <w:pPr>
        <w:rPr>
          <w:u w:val="single"/>
        </w:rPr>
      </w:pPr>
      <w:r w:rsidRPr="00CD1DE2">
        <w:t xml:space="preserve">РАССМОТРЕНИЕ ДОКЛАДОВ, ПРЕДСТАВЛЯЕМЫХ </w:t>
      </w:r>
      <w:r>
        <w:t xml:space="preserve">ГОСУДАРСТВАМИ-УЧАСТНИКАМИ </w:t>
      </w:r>
      <w:r w:rsidRPr="00CD1DE2">
        <w:t xml:space="preserve">В СООТВЕТСТВИИ СО СТАТЬЕЙ 40 </w:t>
      </w:r>
      <w:r>
        <w:t xml:space="preserve">ПАКТА </w:t>
      </w:r>
      <w:r w:rsidRPr="00CD1DE2">
        <w:t>(</w:t>
      </w:r>
      <w:r w:rsidRPr="00CD1DE2">
        <w:rPr>
          <w:u w:val="single"/>
        </w:rPr>
        <w:t>продолжение</w:t>
      </w:r>
      <w:r w:rsidRPr="00CD1DE2">
        <w:t>)</w:t>
      </w:r>
    </w:p>
    <w:p w:rsidR="00B14E85" w:rsidRDefault="00B14E85" w:rsidP="00B14E85">
      <w:pPr>
        <w:rPr>
          <w:u w:val="single"/>
        </w:rPr>
      </w:pPr>
    </w:p>
    <w:p w:rsidR="00B14E85" w:rsidRDefault="008D6D62" w:rsidP="00B14E85">
      <w:r w:rsidRPr="00CD1DE2">
        <w:tab/>
      </w:r>
      <w:r>
        <w:rPr>
          <w:u w:val="single"/>
        </w:rPr>
        <w:t xml:space="preserve">Третий </w:t>
      </w:r>
      <w:r w:rsidRPr="00CD1DE2">
        <w:rPr>
          <w:u w:val="single"/>
        </w:rPr>
        <w:t xml:space="preserve">периодический доклад </w:t>
      </w:r>
      <w:r>
        <w:rPr>
          <w:u w:val="single"/>
        </w:rPr>
        <w:t>Грузии</w:t>
      </w:r>
      <w:r>
        <w:t xml:space="preserve"> (</w:t>
      </w:r>
      <w:r w:rsidRPr="008F03E1">
        <w:rPr>
          <w:u w:val="single"/>
        </w:rPr>
        <w:t>продолжение</w:t>
      </w:r>
      <w:r>
        <w:t>)</w:t>
      </w:r>
    </w:p>
    <w:p w:rsidR="00B14E85" w:rsidRDefault="00B14E85" w:rsidP="00B14E85"/>
    <w:p w:rsidR="00B14E85" w:rsidRDefault="00B14E85" w:rsidP="00B14E85"/>
    <w:p w:rsidR="00B14E85" w:rsidRDefault="00B14E85" w:rsidP="00B14E85">
      <w:pPr>
        <w:spacing w:line="240" w:lineRule="auto"/>
      </w:pPr>
    </w:p>
    <w:p w:rsidR="00B14E85" w:rsidRDefault="008D6D62" w:rsidP="00B14E85">
      <w:pPr>
        <w:spacing w:line="240" w:lineRule="auto"/>
      </w:pPr>
      <w:r w:rsidRPr="00A9246C">
        <w:t>__________</w:t>
      </w:r>
    </w:p>
    <w:p w:rsidR="00B14E85" w:rsidRDefault="008D6D62" w:rsidP="00B14E85">
      <w:pPr>
        <w:spacing w:line="240" w:lineRule="auto"/>
      </w:pPr>
      <w:r w:rsidRPr="00715566">
        <w:t>*</w:t>
      </w:r>
      <w:r w:rsidR="00B14E85">
        <w:tab/>
      </w:r>
      <w:r>
        <w:t>Краткий отчет об остальной части заседания не составлялся.</w:t>
      </w:r>
    </w:p>
    <w:p w:rsidR="00B14E85" w:rsidRDefault="008D6D62" w:rsidP="00B14E85">
      <w:pPr>
        <w:tabs>
          <w:tab w:val="left" w:pos="0"/>
          <w:tab w:val="left" w:pos="6520"/>
        </w:tabs>
        <w:spacing w:line="240" w:lineRule="auto"/>
      </w:pPr>
      <w:r w:rsidRPr="00CD1DE2">
        <w:t>_____________________________________________________________________________</w:t>
      </w:r>
    </w:p>
    <w:p w:rsidR="00B14E85" w:rsidRDefault="008D6D62" w:rsidP="00B14E85">
      <w:pPr>
        <w:tabs>
          <w:tab w:val="left" w:pos="0"/>
        </w:tabs>
        <w:spacing w:line="240" w:lineRule="auto"/>
      </w:pPr>
      <w:r>
        <w:tab/>
        <w:t>В</w:t>
      </w:r>
      <w:r w:rsidRPr="00CD1DE2">
        <w:t xml:space="preserve"> настоящий отчет могут вноситься поправки.</w:t>
      </w:r>
    </w:p>
    <w:p w:rsidR="00B14E85" w:rsidRDefault="00B14E85" w:rsidP="00B14E85">
      <w:pPr>
        <w:tabs>
          <w:tab w:val="left" w:pos="0"/>
        </w:tabs>
        <w:spacing w:line="240" w:lineRule="auto"/>
      </w:pPr>
    </w:p>
    <w:p w:rsidR="00B14E85" w:rsidRDefault="008D6D62" w:rsidP="00B14E85">
      <w:pPr>
        <w:tabs>
          <w:tab w:val="left" w:pos="0"/>
        </w:tabs>
        <w:spacing w:line="240" w:lineRule="auto"/>
      </w:pPr>
      <w:r>
        <w:tab/>
        <w:t>П</w:t>
      </w:r>
      <w:r w:rsidRPr="00CD1DE2">
        <w:t xml:space="preserve">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 w:rsidRPr="00CD1DE2">
        <w:rPr>
          <w:u w:val="single"/>
        </w:rPr>
        <w:t>в течение одной недели с момента выпуска настоящего документа</w:t>
      </w:r>
      <w:r w:rsidRPr="00CD1DE2">
        <w:t xml:space="preserve"> в Секцию редактирования, комната Е.4108, Дворец Наций, Женева.</w:t>
      </w:r>
    </w:p>
    <w:p w:rsidR="00B14E85" w:rsidRDefault="00B14E85" w:rsidP="00B14E85">
      <w:pPr>
        <w:tabs>
          <w:tab w:val="left" w:pos="0"/>
        </w:tabs>
        <w:spacing w:line="240" w:lineRule="auto"/>
      </w:pPr>
    </w:p>
    <w:p w:rsidR="00B14E85" w:rsidRDefault="008D6D62" w:rsidP="00B14E85">
      <w:pPr>
        <w:tabs>
          <w:tab w:val="left" w:pos="0"/>
        </w:tabs>
        <w:spacing w:line="240" w:lineRule="auto"/>
      </w:pPr>
      <w:r>
        <w:tab/>
      </w:r>
      <w:r w:rsidRPr="00CD1DE2">
        <w:t>Любые поправки к отчетам об открытых заседаниях Комитета будут сведены в единое исправление, которое будет издано вскоре после окончания сессии.</w:t>
      </w:r>
    </w:p>
    <w:p w:rsidR="00B14E85" w:rsidRDefault="008D6D62" w:rsidP="00B14E85">
      <w:pPr>
        <w:jc w:val="center"/>
        <w:outlineLvl w:val="0"/>
      </w:pPr>
      <w:r w:rsidRPr="00A9246C">
        <w:tab/>
      </w:r>
      <w:r w:rsidRPr="00A9246C">
        <w:br w:type="page"/>
      </w:r>
      <w:r w:rsidRPr="00A9246C">
        <w:tab/>
      </w:r>
      <w:r w:rsidRPr="005F6AC2">
        <w:rPr>
          <w:u w:val="single"/>
        </w:rPr>
        <w:t>Заседание открывается в 1</w:t>
      </w:r>
      <w:r>
        <w:rPr>
          <w:u w:val="single"/>
        </w:rPr>
        <w:t>5</w:t>
      </w:r>
      <w:r>
        <w:rPr>
          <w:u w:val="single"/>
          <w:lang w:val="en-US"/>
        </w:rPr>
        <w:t> </w:t>
      </w:r>
      <w:r w:rsidRPr="005F6AC2">
        <w:rPr>
          <w:u w:val="single"/>
        </w:rPr>
        <w:t xml:space="preserve">час. </w:t>
      </w:r>
      <w:r>
        <w:rPr>
          <w:u w:val="single"/>
        </w:rPr>
        <w:t>05</w:t>
      </w:r>
      <w:r>
        <w:rPr>
          <w:u w:val="single"/>
          <w:lang w:val="en-US"/>
        </w:rPr>
        <w:t> </w:t>
      </w:r>
      <w:r w:rsidRPr="005F6AC2">
        <w:rPr>
          <w:u w:val="single"/>
        </w:rPr>
        <w:t>мин</w:t>
      </w:r>
      <w:r w:rsidRPr="005F6AC2">
        <w:t>.</w:t>
      </w:r>
    </w:p>
    <w:p w:rsidR="00B14E85" w:rsidRDefault="00B14E85" w:rsidP="00B14E85">
      <w:pPr>
        <w:jc w:val="center"/>
        <w:outlineLvl w:val="0"/>
      </w:pPr>
    </w:p>
    <w:p w:rsidR="00B14E85" w:rsidRDefault="008D6D62" w:rsidP="00B14E85">
      <w:pPr>
        <w:rPr>
          <w:u w:val="single"/>
        </w:rPr>
      </w:pPr>
      <w:r w:rsidRPr="00CD1DE2">
        <w:t xml:space="preserve">РАССМОТРЕНИЕ ДОКЛАДОВ, ПРЕДСТАВЛЯЕМЫХ </w:t>
      </w:r>
      <w:r>
        <w:t>ГОСУДАРСТВАМИ-УЧАСТНИКАМИ</w:t>
      </w:r>
      <w:r w:rsidRPr="00CD1DE2">
        <w:t xml:space="preserve"> В СООТВЕТСТВИИ СО СТАТЬЕЙ 40 </w:t>
      </w:r>
      <w:r>
        <w:t xml:space="preserve">ПАКТА (пункт 6 повестки дня) </w:t>
      </w:r>
      <w:r w:rsidRPr="00CD1DE2">
        <w:t>(</w:t>
      </w:r>
      <w:r w:rsidRPr="00CD1DE2">
        <w:rPr>
          <w:u w:val="single"/>
        </w:rPr>
        <w:t>продолжение</w:t>
      </w:r>
      <w:r w:rsidRPr="00CD1DE2">
        <w:t>)</w:t>
      </w:r>
    </w:p>
    <w:p w:rsidR="00B14E85" w:rsidRDefault="00B14E85" w:rsidP="00B14E85">
      <w:pPr>
        <w:rPr>
          <w:u w:val="single"/>
        </w:rPr>
      </w:pPr>
    </w:p>
    <w:p w:rsidR="00B14E85" w:rsidRDefault="008D6D62" w:rsidP="00B11306">
      <w:pPr>
        <w:ind w:left="567" w:hanging="567"/>
      </w:pPr>
      <w:r w:rsidRPr="00CD1DE2">
        <w:tab/>
      </w:r>
      <w:r>
        <w:rPr>
          <w:u w:val="single"/>
        </w:rPr>
        <w:t>Третий</w:t>
      </w:r>
      <w:r w:rsidRPr="007967FC">
        <w:rPr>
          <w:u w:val="single"/>
        </w:rPr>
        <w:t xml:space="preserve"> </w:t>
      </w:r>
      <w:r w:rsidRPr="00CD1DE2">
        <w:rPr>
          <w:u w:val="single"/>
        </w:rPr>
        <w:t>периодический</w:t>
      </w:r>
      <w:r w:rsidRPr="007967FC">
        <w:rPr>
          <w:u w:val="single"/>
        </w:rPr>
        <w:t xml:space="preserve"> </w:t>
      </w:r>
      <w:r w:rsidRPr="00CD1DE2">
        <w:rPr>
          <w:u w:val="single"/>
        </w:rPr>
        <w:t>доклад</w:t>
      </w:r>
      <w:r w:rsidRPr="007967FC">
        <w:rPr>
          <w:u w:val="single"/>
        </w:rPr>
        <w:t xml:space="preserve"> </w:t>
      </w:r>
      <w:r>
        <w:rPr>
          <w:u w:val="single"/>
        </w:rPr>
        <w:t>Грузии</w:t>
      </w:r>
      <w:r w:rsidRPr="007967FC">
        <w:t xml:space="preserve"> (</w:t>
      </w:r>
      <w:r w:rsidRPr="008F03E1">
        <w:rPr>
          <w:u w:val="single"/>
        </w:rPr>
        <w:t>продолжение</w:t>
      </w:r>
      <w:r w:rsidRPr="007967FC">
        <w:t xml:space="preserve">) </w:t>
      </w:r>
      <w:r w:rsidRPr="007967FC">
        <w:rPr>
          <w:snapToGrid w:val="0"/>
        </w:rPr>
        <w:t>(</w:t>
      </w:r>
      <w:r w:rsidRPr="00975935">
        <w:rPr>
          <w:snapToGrid w:val="0"/>
        </w:rPr>
        <w:t>CCPR</w:t>
      </w:r>
      <w:r w:rsidRPr="007967FC">
        <w:rPr>
          <w:snapToGrid w:val="0"/>
        </w:rPr>
        <w:t>/</w:t>
      </w:r>
      <w:r w:rsidRPr="00975935">
        <w:rPr>
          <w:snapToGrid w:val="0"/>
        </w:rPr>
        <w:t>C</w:t>
      </w:r>
      <w:r w:rsidRPr="007967FC">
        <w:rPr>
          <w:snapToGrid w:val="0"/>
        </w:rPr>
        <w:t>/</w:t>
      </w:r>
      <w:r w:rsidRPr="00975935">
        <w:rPr>
          <w:snapToGrid w:val="0"/>
        </w:rPr>
        <w:t>GEO</w:t>
      </w:r>
      <w:r w:rsidRPr="007967FC">
        <w:rPr>
          <w:snapToGrid w:val="0"/>
        </w:rPr>
        <w:t xml:space="preserve">/3; </w:t>
      </w:r>
      <w:r w:rsidRPr="00975935">
        <w:rPr>
          <w:snapToGrid w:val="0"/>
        </w:rPr>
        <w:t>CCPR</w:t>
      </w:r>
      <w:r w:rsidRPr="007967FC">
        <w:rPr>
          <w:snapToGrid w:val="0"/>
        </w:rPr>
        <w:t>/</w:t>
      </w:r>
      <w:r w:rsidRPr="00975935">
        <w:rPr>
          <w:snapToGrid w:val="0"/>
        </w:rPr>
        <w:t>C</w:t>
      </w:r>
      <w:r w:rsidRPr="007967FC">
        <w:rPr>
          <w:snapToGrid w:val="0"/>
        </w:rPr>
        <w:t>/</w:t>
      </w:r>
      <w:r w:rsidRPr="00975935">
        <w:rPr>
          <w:snapToGrid w:val="0"/>
        </w:rPr>
        <w:t>GEO</w:t>
      </w:r>
      <w:r w:rsidRPr="007967FC">
        <w:rPr>
          <w:snapToGrid w:val="0"/>
        </w:rPr>
        <w:t>/</w:t>
      </w:r>
      <w:r w:rsidRPr="00975935">
        <w:rPr>
          <w:snapToGrid w:val="0"/>
        </w:rPr>
        <w:t>Q</w:t>
      </w:r>
      <w:r w:rsidRPr="007967FC">
        <w:rPr>
          <w:snapToGrid w:val="0"/>
        </w:rPr>
        <w:t xml:space="preserve">/3; </w:t>
      </w:r>
      <w:r w:rsidRPr="00975935">
        <w:rPr>
          <w:snapToGrid w:val="0"/>
        </w:rPr>
        <w:t>HRI</w:t>
      </w:r>
      <w:r w:rsidRPr="007967FC">
        <w:rPr>
          <w:snapToGrid w:val="0"/>
        </w:rPr>
        <w:t>/</w:t>
      </w:r>
      <w:r w:rsidRPr="00975935">
        <w:rPr>
          <w:snapToGrid w:val="0"/>
        </w:rPr>
        <w:t>CORE</w:t>
      </w:r>
      <w:r w:rsidRPr="007967FC">
        <w:rPr>
          <w:snapToGrid w:val="0"/>
        </w:rPr>
        <w:t>/1/</w:t>
      </w:r>
      <w:r w:rsidRPr="00975935">
        <w:rPr>
          <w:snapToGrid w:val="0"/>
        </w:rPr>
        <w:t>Add</w:t>
      </w:r>
      <w:r w:rsidRPr="007967FC">
        <w:rPr>
          <w:snapToGrid w:val="0"/>
        </w:rPr>
        <w:t>.90/</w:t>
      </w:r>
      <w:r w:rsidRPr="00975935">
        <w:rPr>
          <w:snapToGrid w:val="0"/>
        </w:rPr>
        <w:t>Rev</w:t>
      </w:r>
      <w:r w:rsidRPr="007967FC">
        <w:rPr>
          <w:snapToGrid w:val="0"/>
        </w:rPr>
        <w:t xml:space="preserve">.1; </w:t>
      </w:r>
      <w:r>
        <w:rPr>
          <w:snapToGrid w:val="0"/>
        </w:rPr>
        <w:t>письменные ответы Грузии в виде документа без символа, распространенного только на английском языке</w:t>
      </w:r>
      <w:r w:rsidRPr="007967FC">
        <w:rPr>
          <w:snapToGrid w:val="0"/>
        </w:rPr>
        <w:t>)</w:t>
      </w:r>
    </w:p>
    <w:p w:rsidR="00B14E85" w:rsidRDefault="00B14E85" w:rsidP="00B14E85"/>
    <w:p w:rsidR="00B14E85" w:rsidRDefault="008D6D62" w:rsidP="00B14E85">
      <w:r w:rsidRPr="00744A71">
        <w:t>1.</w:t>
      </w:r>
      <w:r w:rsidRPr="00744A71">
        <w:tab/>
      </w:r>
      <w:r w:rsidRPr="00744A71">
        <w:rPr>
          <w:u w:val="single"/>
        </w:rPr>
        <w:t xml:space="preserve">По приглашению Председателя члены делегации </w:t>
      </w:r>
      <w:r>
        <w:rPr>
          <w:u w:val="single"/>
        </w:rPr>
        <w:t>Грузии</w:t>
      </w:r>
      <w:r w:rsidRPr="00F611FF">
        <w:rPr>
          <w:u w:val="single"/>
        </w:rPr>
        <w:t xml:space="preserve"> </w:t>
      </w:r>
      <w:r w:rsidRPr="00744A71">
        <w:rPr>
          <w:u w:val="single"/>
        </w:rPr>
        <w:t xml:space="preserve">вновь занимают </w:t>
      </w:r>
      <w:r>
        <w:rPr>
          <w:u w:val="single"/>
        </w:rPr>
        <w:t>свои м</w:t>
      </w:r>
      <w:r w:rsidRPr="00744A71">
        <w:rPr>
          <w:u w:val="single"/>
        </w:rPr>
        <w:t>еста за столом Комитета</w:t>
      </w:r>
      <w:r w:rsidRPr="00744A71">
        <w:t>.</w:t>
      </w:r>
    </w:p>
    <w:p w:rsidR="00B14E85" w:rsidRDefault="00B14E85" w:rsidP="00B14E85"/>
    <w:p w:rsidR="00B14E85" w:rsidRDefault="008D6D62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  <w:r w:rsidRPr="00C12BE0">
        <w:rPr>
          <w:snapToGrid w:val="0"/>
          <w:lang w:val="ru-RU"/>
        </w:rPr>
        <w:t>2</w:t>
      </w:r>
      <w:r>
        <w:rPr>
          <w:snapToGrid w:val="0"/>
          <w:lang w:val="ru-RU"/>
        </w:rPr>
        <w:t>.</w:t>
      </w:r>
      <w:r>
        <w:rPr>
          <w:snapToGrid w:val="0"/>
          <w:lang w:val="ru-RU"/>
        </w:rPr>
        <w:tab/>
      </w:r>
      <w:r>
        <w:rPr>
          <w:snapToGrid w:val="0"/>
          <w:u w:val="single"/>
          <w:lang w:val="ru-RU"/>
        </w:rPr>
        <w:t>ПРЕДСЕДАТЕЛЬ</w:t>
      </w:r>
      <w:r>
        <w:rPr>
          <w:snapToGrid w:val="0"/>
          <w:lang w:val="ru-RU"/>
        </w:rPr>
        <w:t xml:space="preserve"> предлагает членам делегации Грузии ответить на вопросы, поставленные на предыдущем заседании </w:t>
      </w:r>
      <w:r w:rsidRPr="007967FC">
        <w:rPr>
          <w:snapToGrid w:val="0"/>
          <w:lang w:val="ru-RU"/>
        </w:rPr>
        <w:t>(</w:t>
      </w:r>
      <w:r w:rsidRPr="00975935">
        <w:rPr>
          <w:snapToGrid w:val="0"/>
          <w:lang w:val="en-GB"/>
        </w:rPr>
        <w:t>CCPR</w:t>
      </w:r>
      <w:r w:rsidRPr="007967FC">
        <w:rPr>
          <w:snapToGrid w:val="0"/>
          <w:lang w:val="ru-RU"/>
        </w:rPr>
        <w:t>/</w:t>
      </w:r>
      <w:r w:rsidRPr="00975935">
        <w:rPr>
          <w:snapToGrid w:val="0"/>
          <w:lang w:val="en-GB"/>
        </w:rPr>
        <w:t>C</w:t>
      </w:r>
      <w:r w:rsidRPr="007967FC">
        <w:rPr>
          <w:snapToGrid w:val="0"/>
          <w:lang w:val="ru-RU"/>
        </w:rPr>
        <w:t>/</w:t>
      </w:r>
      <w:r w:rsidRPr="00975935">
        <w:rPr>
          <w:snapToGrid w:val="0"/>
          <w:lang w:val="en-GB"/>
        </w:rPr>
        <w:t>SR</w:t>
      </w:r>
      <w:r w:rsidRPr="007967FC">
        <w:rPr>
          <w:snapToGrid w:val="0"/>
          <w:lang w:val="ru-RU"/>
        </w:rPr>
        <w:t>.2484)</w:t>
      </w:r>
      <w:r>
        <w:rPr>
          <w:snapToGrid w:val="0"/>
          <w:lang w:val="ru-RU"/>
        </w:rPr>
        <w:t xml:space="preserve">.  </w:t>
      </w:r>
    </w:p>
    <w:p w:rsidR="00B14E85" w:rsidRDefault="00B14E85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</w:p>
    <w:p w:rsidR="00B14E85" w:rsidRDefault="008D6D62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  <w:r>
        <w:rPr>
          <w:snapToGrid w:val="0"/>
          <w:lang w:val="ru-RU"/>
        </w:rPr>
        <w:t>3.</w:t>
      </w:r>
      <w:r>
        <w:rPr>
          <w:snapToGrid w:val="0"/>
          <w:lang w:val="ru-RU"/>
        </w:rPr>
        <w:tab/>
      </w:r>
      <w:r>
        <w:rPr>
          <w:snapToGrid w:val="0"/>
          <w:u w:val="single"/>
          <w:lang w:val="ru-RU"/>
        </w:rPr>
        <w:t>Г-н КОПАЛЕИШВИЛИ</w:t>
      </w:r>
      <w:r>
        <w:rPr>
          <w:snapToGrid w:val="0"/>
          <w:lang w:val="ru-RU"/>
        </w:rPr>
        <w:t xml:space="preserve"> (Грузия) говорит, что национальная стратегия в отношении внутренне перемещенных лиц (ВПЛ) обеспечивает прочную основу для защиты их прав как по закону, так и на практике.  Источниками для этого документа послужили конституция, соответствующие внутренние законодательные акты и Руководящие принципы Организации Объединенных Наций, касающиеся перемещения лиц внутри страны.  В рамках этой стратегии были определены десять дополнительных принципов, ориентированных на особые нужды внутренне перемещенных граждан Грузин и призванных улучшить условия жизни в условиях перемещения.</w:t>
      </w:r>
    </w:p>
    <w:p w:rsidR="00B14E85" w:rsidRDefault="00B14E85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</w:p>
    <w:p w:rsidR="00B14E85" w:rsidRDefault="008D6D62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  <w:r>
        <w:rPr>
          <w:snapToGrid w:val="0"/>
          <w:lang w:val="ru-RU"/>
        </w:rPr>
        <w:t>4.</w:t>
      </w:r>
      <w:r>
        <w:rPr>
          <w:snapToGrid w:val="0"/>
          <w:lang w:val="ru-RU"/>
        </w:rPr>
        <w:tab/>
        <w:t>В Грузии функционируют примерно 1600, по большей части государственных, центров ВПЛ, некоторые из которых являются первоклассными объектами недвижимости и в силу этого представляют интерес для частных инвесторов.  В контексте приватизации ВПЛ обычно назначается компенсация, благодаря которой они получают возможность приобрести альтернативное жилье.  Так, например, таким лицам, проживавшим в гостинице «Иберия» в Тбилиси, была предложена компенсация в размере 7000 долл. США.  На тот момент эта сумма был достаточной для приобретения дома, и подавляющее большинство ВПЛ воспользовались этой возможностью.  В Аджарии более 2000 ВПЛ приобрели дома;  только 62 человека отказались от получения компенсации и по проведении приватизации были перемещены в другие центры.  В ходе приватизации в Кутаиси новым собственникам было предложено выплатить каждой семье ВПЛ компенсацию в минимальном размере 3500 долл. США, что соответствовало средней стоимости жилья на тот момент.  Однако со временем цены на жилье выросли, и эта сумма перестала быть достаточной.</w:t>
      </w:r>
    </w:p>
    <w:p w:rsidR="00B14E85" w:rsidRDefault="008D6D62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  <w:r>
        <w:rPr>
          <w:snapToGrid w:val="0"/>
          <w:lang w:val="ru-RU"/>
        </w:rPr>
        <w:t>5.</w:t>
      </w:r>
      <w:r>
        <w:rPr>
          <w:snapToGrid w:val="0"/>
          <w:lang w:val="ru-RU"/>
        </w:rPr>
        <w:tab/>
        <w:t>Законодательство Грузии гарантирует ВПЛ право на бесплатное размещение в центрах, причем те, кто не желают принимать компенсации, не могут быть оттуда выселены.  Вместе с тем было высказано немало критических замечаний относительно порядка, в котором проводилась приватизация, и в настоящее время проводится анализ ее хода с целью устранения недостатков.  В этой связи разрабатывается типовой порядок приватизации и переселения, призванный обеспечить защиту прав ВПЛ в случае их коллизии с интересами частных инвесторов.</w:t>
      </w:r>
    </w:p>
    <w:p w:rsidR="00B14E85" w:rsidRDefault="00B14E85" w:rsidP="00B11306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/>
        <w:ind w:left="-1"/>
        <w:rPr>
          <w:snapToGrid w:val="0"/>
          <w:lang w:val="ru-RU"/>
        </w:rPr>
      </w:pPr>
    </w:p>
    <w:p w:rsidR="00B14E85" w:rsidRDefault="008D6D62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  <w:r>
        <w:rPr>
          <w:snapToGrid w:val="0"/>
          <w:lang w:val="ru-RU"/>
        </w:rPr>
        <w:t>6.</w:t>
      </w:r>
      <w:r>
        <w:rPr>
          <w:snapToGrid w:val="0"/>
          <w:lang w:val="ru-RU"/>
        </w:rPr>
        <w:tab/>
      </w:r>
      <w:r>
        <w:rPr>
          <w:snapToGrid w:val="0"/>
          <w:u w:val="single"/>
          <w:lang w:val="ru-RU"/>
        </w:rPr>
        <w:t>Г-жа ГОЛЕТИАНИ</w:t>
      </w:r>
      <w:r>
        <w:rPr>
          <w:snapToGrid w:val="0"/>
          <w:lang w:val="ru-RU"/>
        </w:rPr>
        <w:t xml:space="preserve"> (Грузия) отмечает, что официальным государственным языком во всей стране является грузинский, который используется для всех официальных сообщений.  Государственные должностные лица обязаны владеть грузинским языком.  Меньшинства могут беспрепятственно пользоваться своим языком в частной сфере и, в определенной степени, при контактах с местными властями.  Для недопущения дискриминации в необходимых случаях используются переводчики.  В ряде средних учебных заведений ведется преподавание на языках меньшинств.</w:t>
      </w:r>
    </w:p>
    <w:p w:rsidR="00B14E85" w:rsidRDefault="00B14E85" w:rsidP="00B11306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/>
        <w:ind w:left="-1"/>
        <w:rPr>
          <w:snapToGrid w:val="0"/>
          <w:lang w:val="ru-RU"/>
        </w:rPr>
      </w:pPr>
    </w:p>
    <w:p w:rsidR="00B14E85" w:rsidRDefault="008D6D62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  <w:r>
        <w:rPr>
          <w:snapToGrid w:val="0"/>
          <w:lang w:val="ru-RU"/>
        </w:rPr>
        <w:t>76.</w:t>
      </w:r>
      <w:r>
        <w:rPr>
          <w:snapToGrid w:val="0"/>
          <w:lang w:val="ru-RU"/>
        </w:rPr>
        <w:tab/>
        <w:t>Все сотрудники правоохранительных органов, включая представителей меньшинств, которые затем получают назначение на места, проходят подготовку в полицейской академии.  На вступительных экзаменах кандидаты, не владеющие грузинским языком, имеют право на помощь переводчика.  В последнее время в академию были приняты несколько курсантов, принадлежащих к армяноговорящему меньшинству;  программа их подготовки включает занятия грузинским языком.  По завершении подготовки они будут направлены в качестве сотрудников патрульной службы в район, где значительную долю населения составляют этнические армяне.</w:t>
      </w:r>
    </w:p>
    <w:p w:rsidR="00B14E85" w:rsidRDefault="00B14E85" w:rsidP="00B11306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/>
        <w:ind w:left="-1"/>
        <w:rPr>
          <w:snapToGrid w:val="0"/>
          <w:lang w:val="ru-RU"/>
        </w:rPr>
      </w:pPr>
    </w:p>
    <w:p w:rsidR="00B14E85" w:rsidRDefault="008D6D62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  <w:r>
        <w:rPr>
          <w:snapToGrid w:val="0"/>
          <w:lang w:val="ru-RU"/>
        </w:rPr>
        <w:t>8.</w:t>
      </w:r>
      <w:r>
        <w:rPr>
          <w:snapToGrid w:val="0"/>
          <w:lang w:val="ru-RU"/>
        </w:rPr>
        <w:tab/>
        <w:t>Ожидается, что привлечение представителей меньшинств для работы в государственном секторе создаст благоприятные условия для их участия в общественной жизни.  По данным недавнего обследования, лишь небольшая доля представителей меньшинств считает незнание грузинского языка препятствием для участия в общественной жизни.  Правительство ведет работу по повсеместному внедрению грузинского языка в качестве государственного, но наряду с этим проводит твердую линию на создание благоприятных условий для дальнейшего использования языков меньшинств в частной сфере.</w:t>
      </w:r>
    </w:p>
    <w:p w:rsidR="00B14E85" w:rsidRDefault="00B14E85" w:rsidP="00B11306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/>
        <w:ind w:left="-1"/>
        <w:rPr>
          <w:snapToGrid w:val="0"/>
          <w:lang w:val="ru-RU"/>
        </w:rPr>
      </w:pPr>
    </w:p>
    <w:p w:rsidR="00B14E85" w:rsidRDefault="008D6D62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  <w:r>
        <w:rPr>
          <w:snapToGrid w:val="0"/>
          <w:lang w:val="ru-RU"/>
        </w:rPr>
        <w:t>9.</w:t>
      </w:r>
      <w:r>
        <w:rPr>
          <w:snapToGrid w:val="0"/>
          <w:lang w:val="ru-RU"/>
        </w:rPr>
        <w:tab/>
      </w:r>
      <w:r>
        <w:rPr>
          <w:snapToGrid w:val="0"/>
          <w:u w:val="single"/>
          <w:lang w:val="ru-RU"/>
        </w:rPr>
        <w:t>Г-н МИКАНАДЗЕ</w:t>
      </w:r>
      <w:r>
        <w:rPr>
          <w:snapToGrid w:val="0"/>
          <w:lang w:val="ru-RU"/>
        </w:rPr>
        <w:t xml:space="preserve"> (Грузия) говорит, что выделены дополнительные ресурсы на более надежную охрану мест содержания под стражей.  В результате этой работы после 2005 года не было случаев побега из тюрем.  Кроме того, создан центр специальной подготовки для работников тюрем и пробационной службы;  в нем проводится обучение навыкам поведения в критических ситуациях и ознакомление с правами человека заключенных.</w:t>
      </w:r>
    </w:p>
    <w:p w:rsidR="00B14E85" w:rsidRDefault="008D6D62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  <w:r>
        <w:rPr>
          <w:snapToGrid w:val="0"/>
          <w:lang w:val="ru-RU"/>
        </w:rPr>
        <w:t>10.</w:t>
      </w:r>
      <w:r>
        <w:rPr>
          <w:snapToGrid w:val="0"/>
          <w:lang w:val="ru-RU"/>
        </w:rPr>
        <w:tab/>
        <w:t>Ввиду большой перенаселенности условия содержания в тюрьме № 5 г.Тбилиси являются неудовлетворительными.  К сожалению, до перевода заключенных на новый объект, который находится в стадии строительства и по плану должен быть сдан в эксплуатацию в конце 2007 года, заключенным не может быть гарантировано право на прогулки.  Правительство приложит максимум усилий к тому, чтобы ускорить перевод заключенных и устранить существующие недостатки.</w:t>
      </w:r>
    </w:p>
    <w:p w:rsidR="00B14E85" w:rsidRDefault="00B14E85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</w:p>
    <w:p w:rsidR="00B14E85" w:rsidRDefault="008D6D62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  <w:r>
        <w:rPr>
          <w:snapToGrid w:val="0"/>
          <w:lang w:val="ru-RU"/>
        </w:rPr>
        <w:t>11.</w:t>
      </w:r>
      <w:r>
        <w:rPr>
          <w:snapToGrid w:val="0"/>
          <w:lang w:val="ru-RU"/>
        </w:rPr>
        <w:tab/>
      </w:r>
      <w:r>
        <w:rPr>
          <w:snapToGrid w:val="0"/>
          <w:u w:val="single"/>
          <w:lang w:val="ru-RU"/>
        </w:rPr>
        <w:t>Г-н АДЕИШВИЛИ</w:t>
      </w:r>
      <w:r>
        <w:rPr>
          <w:snapToGrid w:val="0"/>
          <w:lang w:val="ru-RU"/>
        </w:rPr>
        <w:t xml:space="preserve"> (Грузия), отвечая на вопросы, касающиеся системы правосудия, говорит, что в состав Высшего совета юстиции Грузии входят восемь судей, избираемых на ежегодно созываемой Судейской</w:t>
      </w:r>
      <w:r w:rsidRPr="004762A3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конференции;  четыре члена избираются парламентом</w:t>
      </w:r>
      <w:r>
        <w:rPr>
          <w:lang w:val="ru-RU"/>
        </w:rPr>
        <w:t xml:space="preserve"> </w:t>
      </w:r>
      <w:r>
        <w:rPr>
          <w:snapToGrid w:val="0"/>
          <w:lang w:val="ru-RU"/>
        </w:rPr>
        <w:t>страны, а два назначаются президентом.  Из восьми членов Высшего совета Судейская конференция избирает трех судей в состав Дисциплинарной коллегии, а также назначает секретаря Высшего совета со сроком полномочий в три года.</w:t>
      </w:r>
    </w:p>
    <w:p w:rsidR="00B14E85" w:rsidRDefault="00B14E85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</w:p>
    <w:p w:rsidR="00B14E85" w:rsidRDefault="008D6D62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  <w:r>
        <w:rPr>
          <w:snapToGrid w:val="0"/>
          <w:lang w:val="ru-RU"/>
        </w:rPr>
        <w:t>12.</w:t>
      </w:r>
      <w:r>
        <w:rPr>
          <w:snapToGrid w:val="0"/>
          <w:lang w:val="ru-RU"/>
        </w:rPr>
        <w:tab/>
        <w:t>Дисциплинарная коллегия, возглавляемая членом Высшего совета, состоит из трех судей и трех членов несудейской профессии и.  Любой гражданин, включая самих судей, может обратиться в Высший совет с жалобой на действия того или иного члена судейского корпуса.  На разбор жалоб отводится максимум два месяца с момента их подачи.  Если жалоба принимается к рассмотрению, соответствующему судье предлагается объяснить свои действия.  Если удовлетворительного ответа не представлено, секретарь Высшего совета рекомендует передать дело в Дисциплинарную коллегию.  Если Высший совет признает вменяемое нарушение малозначимым, он может просто поставить на вид вовлеченному судье и воздержаться от дальнейшего разбирательства.  В противном случае дело передается в Дисциплинарную коллегию, где проводится устное слушание.  Решения, выносимые Дисциплинарной коллегией, могут быть обжалованы в Верховном суде, постановление которого является окончательным.</w:t>
      </w:r>
    </w:p>
    <w:p w:rsidR="00B14E85" w:rsidRDefault="00B14E85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</w:p>
    <w:p w:rsidR="00B14E85" w:rsidRDefault="008D6D62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  <w:r>
        <w:rPr>
          <w:snapToGrid w:val="0"/>
          <w:lang w:val="ru-RU"/>
        </w:rPr>
        <w:t>13.</w:t>
      </w:r>
      <w:r>
        <w:rPr>
          <w:snapToGrid w:val="0"/>
          <w:lang w:val="ru-RU"/>
        </w:rPr>
        <w:tab/>
        <w:t>Парламентом принят ряд законов, обеспечивающих независимость и беспристрастность судов.  Наряду с этим Высший совет юстиции отвечает за обеспечение подотчетности в судебной системе.  Подробные статистические данные о дисциплинарных разбирательствах, возбужденных против судебных работников в последние годы, на настоящий момент отсутствуют, но вскоре будут представлены.  Судьи подбираются по результатам двух экзаменов и собеседования в Высшем совете юстиции.  Имена кандидатов на замещение вакансий размещаются на веб-сайте Верховного суда, с тем чтобы широкая общественность имела возможность представить судебным органам потенциально важную информацию на этот счет.</w:t>
      </w:r>
    </w:p>
    <w:p w:rsidR="00B14E85" w:rsidRDefault="00B11306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  <w:r>
        <w:rPr>
          <w:snapToGrid w:val="0"/>
          <w:lang w:val="ru-RU"/>
        </w:rPr>
        <w:br w:type="page"/>
      </w:r>
      <w:r w:rsidR="008D6D62">
        <w:rPr>
          <w:snapToGrid w:val="0"/>
          <w:lang w:val="ru-RU"/>
        </w:rPr>
        <w:t>14.</w:t>
      </w:r>
      <w:r w:rsidR="008D6D62">
        <w:rPr>
          <w:snapToGrid w:val="0"/>
          <w:lang w:val="ru-RU"/>
        </w:rPr>
        <w:tab/>
        <w:t xml:space="preserve">При оценке уровня окладов судей важно иметь в виду, что стоимость базовой потребительской корзины в настоящее время составляет 150 лари.  Судьям первой инстанции назначается месячный оклад в размере 1550 лари, судьям второй инстанции – 1750 лари, судьям Верховного суда – 3000 лари, а председательствующим судьям Верховного суда и Конституционного суда – более 4000 лари.  Ожидается, что эти высокие оклады помогут обеспечить независимость судей. </w:t>
      </w:r>
    </w:p>
    <w:p w:rsidR="00B14E85" w:rsidRDefault="00B14E85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</w:p>
    <w:p w:rsidR="00B14E85" w:rsidRDefault="008D6D62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  <w:r>
        <w:rPr>
          <w:snapToGrid w:val="0"/>
          <w:lang w:val="ru-RU"/>
        </w:rPr>
        <w:t>15.</w:t>
      </w:r>
      <w:r>
        <w:rPr>
          <w:snapToGrid w:val="0"/>
          <w:lang w:val="ru-RU"/>
        </w:rPr>
        <w:tab/>
      </w:r>
      <w:r>
        <w:rPr>
          <w:snapToGrid w:val="0"/>
          <w:u w:val="single"/>
          <w:lang w:val="ru-RU"/>
        </w:rPr>
        <w:t>Г-жа ТОМАШВИЛИ</w:t>
      </w:r>
      <w:r>
        <w:rPr>
          <w:snapToGrid w:val="0"/>
          <w:lang w:val="ru-RU"/>
        </w:rPr>
        <w:t xml:space="preserve"> (Грузия) говорит, что согласно положениям уголовно-процессуального кодекса совершение сделки о признании обвиняемым своей вины в обмен на прекращение судебного разбирательства может завершиться, помимо выплаты штрафа, назначением самых разных наказаний в виде, например, лишения свободы, ограничения свободы и общественных работ.  По одному делу в результате заключения такой сделки обвиняемый был приговорен к 21 году тюремного заключения.  Такие сделки практикуются в основном по делам об организованной преступности – как правило, в связи с менее тяжкими преступлениями.  Благодаря таким сделкам удалось завершить судебный процесс над несколькими высокопоставленными должностными лицами, которые были признаны виновными в коррупции.  Уголовно-процессуальный кодекс предусматривает определенные гарантии по делам, где применятся сделки о признании вины.  В кодексе прописаны условия о том, что на суде должны присутствовать все стороны, участвующие в процессе, сделка должна быть одобрена старшим прокурором и обязательно участие адвоката обвиняемого.  Сделки о признании вины рассматриваются и признаются действительными в ходе публичных процессов, а суд обязан изучить все свидетельства и изложить основания для постановления о разрешении дела в порядке сделки.  Обвиняемый и судья имеют право аннулировать согласие на сделку о признании вины в ходе судебного процесса.</w:t>
      </w:r>
    </w:p>
    <w:p w:rsidR="00B14E85" w:rsidRDefault="00B14E85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</w:p>
    <w:p w:rsidR="00B14E85" w:rsidRDefault="008D6D62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  <w:r>
        <w:rPr>
          <w:snapToGrid w:val="0"/>
          <w:lang w:val="ru-RU"/>
        </w:rPr>
        <w:t>16.</w:t>
      </w:r>
      <w:r>
        <w:rPr>
          <w:snapToGrid w:val="0"/>
          <w:lang w:val="ru-RU"/>
        </w:rPr>
        <w:tab/>
        <w:t xml:space="preserve">Основательной реформе подверглась система образования – на уровне и средних, и высших учебных заведений.  Предприняты меры по повышению стандартов образования в университетах, многим из которых было отказано в аккредитации.  Среди мер, реализованных в связи с подготовкой к присоединению к Болонскому процессу в 2009 году, были повышение качества учебных программ, совершенствование процедур управления университетами и административного руководства программами обучения на степень магистра.  С несколькими западноевропейскими университетами заключены соглашения о международном сотрудничестве, а приглашенные преподаватели во время своей работы в грузинских университетах помогали поднять уровень педагогической работы.  </w:t>
      </w:r>
    </w:p>
    <w:p w:rsidR="00B14E85" w:rsidRDefault="00B11306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  <w:r>
        <w:rPr>
          <w:snapToGrid w:val="0"/>
          <w:lang w:val="ru-RU"/>
        </w:rPr>
        <w:br w:type="page"/>
      </w:r>
      <w:r w:rsidR="008D6D62">
        <w:rPr>
          <w:snapToGrid w:val="0"/>
          <w:lang w:val="ru-RU"/>
        </w:rPr>
        <w:t>17.</w:t>
      </w:r>
      <w:r w:rsidR="008D6D62">
        <w:rPr>
          <w:snapToGrid w:val="0"/>
          <w:lang w:val="ru-RU"/>
        </w:rPr>
        <w:tab/>
        <w:t xml:space="preserve">Министерство юстиции проводит подготовку кадров без отрыва от производства с целью обеспечить надлежащую квалификацию членов судейского корпуса и ознакомления их со свежей информацией об изменениях в законодательстве.  Кроме того, ведется работа по расширению их технических навыков в таких областях, как методика следствия и изучение доказательств.  Министерство внутренних дел и Генеральная прокуратура сотрудничали с Федеральным бюро расследования Соединенных Штатов Америки в осуществлении учебных программ.  Была введена система годичной стажировки, в рамках которой молодые специалисты – выпускники правовых вузов работают под наставничеством действующих прокуроров, получая треть обычной зарплаты прокурора.  Подбор выпускников осуществляется по критерию специализации, знания законодательства и правозащитных норм;  если после года стажировки они демонстрируют надлежащие производственные успехи, их принимают на работу. </w:t>
      </w:r>
    </w:p>
    <w:p w:rsidR="00B14E85" w:rsidRDefault="00B14E85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</w:p>
    <w:p w:rsidR="00B14E85" w:rsidRDefault="008D6D62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  <w:r>
        <w:rPr>
          <w:snapToGrid w:val="0"/>
          <w:lang w:val="ru-RU"/>
        </w:rPr>
        <w:t>18.</w:t>
      </w:r>
      <w:r>
        <w:rPr>
          <w:snapToGrid w:val="0"/>
          <w:lang w:val="ru-RU"/>
        </w:rPr>
        <w:tab/>
      </w:r>
      <w:r>
        <w:rPr>
          <w:snapToGrid w:val="0"/>
          <w:u w:val="single"/>
          <w:lang w:val="ru-RU"/>
        </w:rPr>
        <w:t>Г-н ГИОРГАДЗЕ</w:t>
      </w:r>
      <w:r>
        <w:rPr>
          <w:snapToGrid w:val="0"/>
          <w:lang w:val="ru-RU"/>
        </w:rPr>
        <w:t xml:space="preserve"> (Грузия) говорит, что религиозные объединения имеют право претендовать на статус юридического лица, что является одним из фундаментальных требований, вытекающих из международно-признанного права на свободу вероисповедания.  Вместе с тем государства не обязаны предоставлять религиозным объединениям особый статус религиозного учреждения, если уже предоставленный им статус является достаточным для удовлетворения всех потребностей религиозных объединений.  До 2005 года религиозные организации и объединения в Грузии были обязаны пройти регистрацию в качестве юридических лиц, регулируемых государственным правом.  Функционально они подчинялись государственным органам, что серьезно нарушало их религиозную автономию.  Кроме того, законодательство запрещало деятельность незарегистрированных религиозных групп.</w:t>
      </w:r>
    </w:p>
    <w:p w:rsidR="00B14E85" w:rsidRDefault="00B14E85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</w:p>
    <w:p w:rsidR="00B14E85" w:rsidRDefault="008D6D62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  <w:r w:rsidRPr="00571B10">
        <w:rPr>
          <w:snapToGrid w:val="0"/>
          <w:lang w:val="ru-RU"/>
        </w:rPr>
        <w:t>19.</w:t>
      </w:r>
      <w:r w:rsidRPr="00571B10">
        <w:rPr>
          <w:snapToGrid w:val="0"/>
          <w:lang w:val="ru-RU"/>
        </w:rPr>
        <w:tab/>
      </w:r>
      <w:r>
        <w:rPr>
          <w:snapToGrid w:val="0"/>
          <w:lang w:val="ru-RU"/>
        </w:rPr>
        <w:t>В 2005 году были приняты несколько поправок, согласно которым религиозным организациям было разрешено регистрироваться в качестве некоммерческих юридических лиц, деятельность которых регулируется гражданским правом.  Согласно положениям гражданского кодекса, такими юридическими лицами могут быть фонды или профсоюзы.  В свете обеспокоенности, выраженной некоторыми религиозными объединениями по поводу разнородности таких организаций и несоответствия критериев для регистрации их религиозным убеждениям, требование о регистрации в качестве фонда или профсоюза было отменено.  Соответственно, нынешними правилами обеспечено полное соблюдение принципов религиозной автономии и невмешательства в религиозные дела.  Процедура регистрации упрощена, а отказ в регистрации может быть обжалован в суде.  После регистрации религиозные объединения могут осуществлять любую деятельность по своему усмотрению в той мере, в какой она не запрещена законом.  Уголовный кодекс содержит статью, запрещающую вмешательство в религиозную деятельность.  Ряд религиозных организаций, например, Конгресс грузинских мусульман, зарегистрированы в качестве некоммерческих юридических лиц.  Таким образом,  законодательство Грузии полностью соответствует международным нормам, и малые религиозные группы действуют на равных началах с грузинской православной церковью.  Члены малых религиозных групп вправе беспрепятственно исповедовать свою религию.</w:t>
      </w:r>
    </w:p>
    <w:p w:rsidR="00B14E85" w:rsidRDefault="00B14E85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</w:p>
    <w:p w:rsidR="00B14E85" w:rsidRDefault="008D6D62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  <w:r w:rsidRPr="00F62E90">
        <w:rPr>
          <w:snapToGrid w:val="0"/>
          <w:lang w:val="ru-RU"/>
        </w:rPr>
        <w:t>20.</w:t>
      </w:r>
      <w:r w:rsidRPr="00F62E90">
        <w:rPr>
          <w:snapToGrid w:val="0"/>
          <w:lang w:val="ru-RU"/>
        </w:rPr>
        <w:tab/>
      </w:r>
      <w:r>
        <w:rPr>
          <w:snapToGrid w:val="0"/>
          <w:u w:val="single"/>
          <w:lang w:val="ru-RU"/>
        </w:rPr>
        <w:t>Г-жа ТОМАШВИЛИ</w:t>
      </w:r>
      <w:r>
        <w:rPr>
          <w:snapToGrid w:val="0"/>
          <w:lang w:val="ru-RU"/>
        </w:rPr>
        <w:t xml:space="preserve"> (Грузия) сообщает, что имел место по меньшей мере один случай, когда два человека были признаны виновными в нарушении права на свободу выражения мнений по соответствующей статье уголовного кодекса.  На протяжении предшествующих двух лет велось публичное обсуждение проекта этического кодекса для телерадиовещательных компаний, и журналисты и представители органов телерадиовещания имели возможность в этот период высказать свои замечания.  В ноябре 2007 года проект будет представлен в Совет Европы на предмет его проработки международными экспертами;  он послужит внутренним механизмом, позволяющим органам вещания регулировать вопросы, касающиеся журналистской профессии.  Основные принципы, заложенные в проекте, почерпнуты из аналогичного документа Соединенного Королевства.</w:t>
      </w:r>
    </w:p>
    <w:p w:rsidR="00B14E85" w:rsidRDefault="00B14E85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</w:p>
    <w:p w:rsidR="00B14E85" w:rsidRDefault="008D6D62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  <w:r>
        <w:rPr>
          <w:snapToGrid w:val="0"/>
          <w:lang w:val="ru-RU"/>
        </w:rPr>
        <w:t>21.</w:t>
      </w:r>
      <w:r>
        <w:rPr>
          <w:snapToGrid w:val="0"/>
          <w:lang w:val="ru-RU"/>
        </w:rPr>
        <w:tab/>
      </w:r>
      <w:r>
        <w:rPr>
          <w:snapToGrid w:val="0"/>
          <w:u w:val="single"/>
          <w:lang w:val="ru-RU"/>
        </w:rPr>
        <w:t>ПРЕДСЕДАТЕЛЬ</w:t>
      </w:r>
      <w:r>
        <w:rPr>
          <w:snapToGrid w:val="0"/>
          <w:lang w:val="ru-RU"/>
        </w:rPr>
        <w:t xml:space="preserve"> высоко оценивает откровенные ответы делегации и достигнутый прогресс в реализации многих прав человека. Однако Комитет по-прежнему испытывает озабоченность относительно способности государства-участника гарантировать права, провозглашенные в Пакте.  В своей политике государству-участнику следует прилагать усилия к выполнению положений Пакта, касающихся защиты каждого человека;  эта задача должна превалировать над всеми другими соображениями.  Проблемной областью остается обращение с заключенными;  это объясняется продолжающимся чрезмерным использованием силы персоналом тюрем и сохраняющимися условиями содержания в тюрьмах.  Комитет по-прежнему испытывает озабоченность по поводу сигналов о нарушении права на свободу выражения и свободу вероисповедания.  Не решена также и задача с правами меньшинств, особенно ввиду того, что меньшинства недопредставлены в общественно-государственной жизни, и ввиду наличия проблем с языками меньшинств.</w:t>
      </w:r>
    </w:p>
    <w:p w:rsidR="00B14E85" w:rsidRDefault="00B14E85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</w:p>
    <w:p w:rsidR="00B14E85" w:rsidRDefault="008D6D62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  <w:r>
        <w:rPr>
          <w:snapToGrid w:val="0"/>
          <w:lang w:val="ru-RU"/>
        </w:rPr>
        <w:t>22.</w:t>
      </w:r>
      <w:r>
        <w:rPr>
          <w:snapToGrid w:val="0"/>
          <w:lang w:val="ru-RU"/>
        </w:rPr>
        <w:tab/>
      </w:r>
      <w:r>
        <w:rPr>
          <w:snapToGrid w:val="0"/>
          <w:u w:val="single"/>
          <w:lang w:val="ru-RU"/>
        </w:rPr>
        <w:t>Г-н МИКАНАДЗЕ</w:t>
      </w:r>
      <w:r>
        <w:rPr>
          <w:snapToGrid w:val="0"/>
          <w:lang w:val="ru-RU"/>
        </w:rPr>
        <w:t xml:space="preserve"> (Грузия) благодарит Комитет за плодотворный диалог.  Он вновь подтверждает приверженность своего правительства дальнейшему сотрудничеству с Комитетом в интересах улучшения положения с правами человека в Грузии в соответствии с ее международными обязательствами.</w:t>
      </w:r>
    </w:p>
    <w:p w:rsidR="00B14E85" w:rsidRDefault="00B14E85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</w:p>
    <w:p w:rsidR="00B14E85" w:rsidRDefault="008D6D62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  <w:r>
        <w:rPr>
          <w:snapToGrid w:val="0"/>
          <w:lang w:val="ru-RU"/>
        </w:rPr>
        <w:t>23.</w:t>
      </w:r>
      <w:r>
        <w:rPr>
          <w:snapToGrid w:val="0"/>
          <w:lang w:val="ru-RU"/>
        </w:rPr>
        <w:tab/>
      </w:r>
      <w:r>
        <w:rPr>
          <w:snapToGrid w:val="0"/>
          <w:u w:val="single"/>
          <w:lang w:val="ru-RU"/>
        </w:rPr>
        <w:t>Делегация Грузии покидает зал заседаний</w:t>
      </w:r>
      <w:r>
        <w:rPr>
          <w:snapToGrid w:val="0"/>
          <w:lang w:val="ru-RU"/>
        </w:rPr>
        <w:t>.</w:t>
      </w:r>
    </w:p>
    <w:p w:rsidR="00B14E85" w:rsidRDefault="00B14E85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snapToGrid w:val="0"/>
          <w:lang w:val="ru-RU"/>
        </w:rPr>
      </w:pPr>
    </w:p>
    <w:p w:rsidR="00B14E85" w:rsidRDefault="008D6D62" w:rsidP="00B14E85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jc w:val="center"/>
        <w:rPr>
          <w:u w:val="single"/>
          <w:lang w:val="ru-RU"/>
        </w:rPr>
      </w:pPr>
      <w:r w:rsidRPr="008D6D62">
        <w:rPr>
          <w:snapToGrid w:val="0"/>
          <w:u w:val="single"/>
          <w:lang w:val="ru-RU"/>
        </w:rPr>
        <w:t>Обсуждение, отраженное в настоящем кратком отчете, завершается в 16 час. 15 мин</w:t>
      </w:r>
      <w:r w:rsidRPr="00B11306">
        <w:rPr>
          <w:snapToGrid w:val="0"/>
          <w:lang w:val="ru-RU"/>
        </w:rPr>
        <w:t>.</w:t>
      </w:r>
    </w:p>
    <w:p w:rsidR="008D6D62" w:rsidRPr="008D6D62" w:rsidRDefault="008D6D62" w:rsidP="00B14E85"/>
    <w:sectPr w:rsidR="008D6D62" w:rsidRPr="008D6D62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77AC" w:rsidRDefault="004877AC">
      <w:r>
        <w:separator/>
      </w:r>
    </w:p>
  </w:endnote>
  <w:endnote w:type="continuationSeparator" w:id="0">
    <w:p w:rsidR="004877AC" w:rsidRDefault="00487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77AC" w:rsidRDefault="004877AC">
      <w:r>
        <w:separator/>
      </w:r>
    </w:p>
  </w:footnote>
  <w:footnote w:type="continuationSeparator" w:id="0">
    <w:p w:rsidR="004877AC" w:rsidRDefault="004877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40" w:rsidRPr="008D6D62" w:rsidRDefault="00873E40">
    <w:pPr>
      <w:pStyle w:val="Header"/>
      <w:rPr>
        <w:lang w:val="en-US"/>
      </w:rPr>
    </w:pPr>
    <w:r w:rsidRPr="008D6D62">
      <w:rPr>
        <w:lang w:val="en-US"/>
      </w:rPr>
      <w:t>CCPR/C/SR.2485</w:t>
    </w:r>
  </w:p>
  <w:p w:rsidR="00873E40" w:rsidRDefault="00873E4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552CC">
      <w:rPr>
        <w:rStyle w:val="PageNumber"/>
        <w:noProof/>
      </w:rPr>
      <w:t>6</w:t>
    </w:r>
    <w:r>
      <w:rPr>
        <w:rStyle w:val="PageNumber"/>
      </w:rPr>
      <w:fldChar w:fldCharType="end"/>
    </w:r>
  </w:p>
  <w:p w:rsidR="00873E40" w:rsidRDefault="00873E40">
    <w:pPr>
      <w:pStyle w:val="Header"/>
      <w:rPr>
        <w:rStyle w:val="PageNumber"/>
        <w:lang w:val="en-US"/>
      </w:rPr>
    </w:pPr>
  </w:p>
  <w:p w:rsidR="00873E40" w:rsidRDefault="00873E4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40" w:rsidRPr="008D6D62" w:rsidRDefault="00873E40" w:rsidP="008D6D62">
    <w:pPr>
      <w:pStyle w:val="Header"/>
      <w:tabs>
        <w:tab w:val="left" w:pos="7513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Pr="008D6D62">
      <w:rPr>
        <w:lang w:val="en-US"/>
      </w:rPr>
      <w:t>CCPR/C/SR.2485</w:t>
    </w:r>
  </w:p>
  <w:p w:rsidR="00873E40" w:rsidRDefault="00873E40" w:rsidP="008D6D62">
    <w:pPr>
      <w:pStyle w:val="Header"/>
      <w:tabs>
        <w:tab w:val="left" w:pos="7513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552CC">
      <w:rPr>
        <w:rStyle w:val="PageNumber"/>
        <w:noProof/>
      </w:rPr>
      <w:t>7</w:t>
    </w:r>
    <w:r>
      <w:rPr>
        <w:rStyle w:val="PageNumber"/>
      </w:rPr>
      <w:fldChar w:fldCharType="end"/>
    </w:r>
  </w:p>
  <w:p w:rsidR="00873E40" w:rsidRDefault="00873E40">
    <w:pPr>
      <w:pStyle w:val="Header"/>
      <w:tabs>
        <w:tab w:val="left" w:pos="6237"/>
      </w:tabs>
      <w:rPr>
        <w:rStyle w:val="PageNumber"/>
        <w:lang w:val="en-US"/>
      </w:rPr>
    </w:pPr>
  </w:p>
  <w:p w:rsidR="00873E40" w:rsidRDefault="00873E4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3CB061AB"/>
    <w:multiLevelType w:val="singleLevel"/>
    <w:tmpl w:val="340C2920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ascii="Times New Roman" w:hAnsi="Times New Roman" w:hint="default"/>
        <w:b w:val="0"/>
        <w:i w:val="0"/>
        <w:sz w:val="24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6D62"/>
    <w:rsid w:val="003B5E31"/>
    <w:rsid w:val="004877AC"/>
    <w:rsid w:val="00606C04"/>
    <w:rsid w:val="00873E40"/>
    <w:rsid w:val="008D6D62"/>
    <w:rsid w:val="00B11306"/>
    <w:rsid w:val="00B14E85"/>
    <w:rsid w:val="00C85CE8"/>
    <w:rsid w:val="00CC6344"/>
    <w:rsid w:val="00E20DE9"/>
    <w:rsid w:val="00E55082"/>
    <w:rsid w:val="00F552CC"/>
    <w:rsid w:val="00FF2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paragraph" w:customStyle="1" w:styleId="ParaNo">
    <w:name w:val="ParaNo."/>
    <w:basedOn w:val="Normal"/>
    <w:rsid w:val="008D6D62"/>
    <w:pPr>
      <w:numPr>
        <w:numId w:val="3"/>
      </w:numPr>
      <w:tabs>
        <w:tab w:val="clear" w:pos="567"/>
        <w:tab w:val="clear" w:pos="1134"/>
        <w:tab w:val="clear" w:pos="1701"/>
        <w:tab w:val="clear" w:pos="2268"/>
        <w:tab w:val="clear" w:pos="6237"/>
        <w:tab w:val="left" w:pos="737"/>
      </w:tabs>
      <w:spacing w:after="240" w:line="240" w:lineRule="auto"/>
    </w:pPr>
    <w:rPr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2</TotalTime>
  <Pages>1</Pages>
  <Words>2510</Words>
  <Characters>14309</Characters>
  <Application>Microsoft Office Word</Application>
  <DocSecurity>4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Братчиков</vt:lpstr>
    </vt:vector>
  </TitlesOfParts>
  <Company> </Company>
  <LinksUpToDate>false</LinksUpToDate>
  <CharactersWithSpaces>16786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Братчиков</dc:title>
  <dc:subject>0744546</dc:subject>
  <dc:creator>Anna Blagodatskikh</dc:creator>
  <cp:keywords/>
  <dc:description/>
  <cp:lastModifiedBy>Anna Blagodatskikh</cp:lastModifiedBy>
  <cp:revision>3</cp:revision>
  <cp:lastPrinted>2007-12-27T10:19:00Z</cp:lastPrinted>
  <dcterms:created xsi:type="dcterms:W3CDTF">2007-12-27T10:19:00Z</dcterms:created>
  <dcterms:modified xsi:type="dcterms:W3CDTF">2007-12-27T10:20:00Z</dcterms:modified>
</cp:coreProperties>
</file>