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3.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4.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5.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6.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7.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8.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9.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10.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footer11.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HRI</w:t>
            </w:r>
          </w:p>
        </w:tc>
      </w:tr>
      <w:bookmarkStart w:id="0" w:name="_MON_992683145"/>
      <w:bookmarkStart w:id="1" w:name="_MON_1114343495"/>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9110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w:t>
            </w:r>
            <w:r>
              <w:rPr>
                <w:rFonts w:ascii="Univers" w:hAnsi="Univers"/>
                <w:b/>
                <w:sz w:val="36"/>
              </w:rPr>
              <w:br/>
              <w:t>Human Rights</w:t>
            </w:r>
            <w:r>
              <w:rPr>
                <w:rFonts w:ascii="Univers" w:hAnsi="Univers"/>
                <w:b/>
                <w:sz w:val="36"/>
              </w:rPr>
              <w:br/>
              <w:t>Instruments</w:t>
            </w:r>
          </w:p>
          <w:p w:rsidR="00000000" w:rsidRDefault="00000000">
            <w:pPr>
              <w:rPr>
                <w:rFonts w:ascii="Univers (W1)" w:hAnsi="Univers (W1)"/>
                <w:sz w:val="36"/>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HRI/GEN/1/Rev.7</w:t>
              </w:r>
            </w:fldSimple>
            <w:r>
              <w:br/>
            </w:r>
            <w:fldSimple w:instr=" FILLIN &quot;Date&quot; \* MERGEFORMAT ">
              <w:r>
                <w:t>12 May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840"/>
        <w:ind w:left="1920"/>
        <w:jc w:val="left"/>
      </w:pPr>
      <w:r>
        <w:t>COMPILATION OF GENERAL COMMENTS AND</w:t>
      </w:r>
      <w:r>
        <w:br/>
        <w:t>GENERAL RECOMMENDATIONS ADOPTED BY</w:t>
      </w:r>
      <w:r>
        <w:br/>
        <w:t xml:space="preserve">               HUMAN RIGHTS TREATY BODIES</w:t>
      </w:r>
    </w:p>
    <w:p w:rsidR="00000000" w:rsidRDefault="00000000">
      <w:pPr>
        <w:pStyle w:val="Heading2"/>
      </w:pPr>
      <w:r>
        <w:t>Note by the Secretariat</w:t>
      </w:r>
    </w:p>
    <w:p w:rsidR="00000000" w:rsidRDefault="00000000">
      <w:r>
        <w:tab/>
        <w:t>This document contains a compilation of the general comments or general recommendations adopted, respectively, by the Committee on Economic, Social and Cultural Rights, the Human Rights Committee, the Committee on the Elimination of Racial Discrimination, the Committee on the Elimination of Discrimination against Women, the Committee against Torture and the Committee on the Rights of the Child.  The Committee on Migrant Workers has not yet adopted any general comments.</w:t>
      </w:r>
    </w:p>
    <w:p w:rsidR="00000000" w:rsidRDefault="00000000">
      <w:pPr>
        <w:spacing w:before="5760"/>
        <w:rPr>
          <w:lang w:val="fr-CH"/>
        </w:rPr>
      </w:pPr>
      <w:r>
        <w:rPr>
          <w:lang w:val="fr-CH"/>
        </w:rPr>
        <w:t>GE.04-41302  (E)    070604</w:t>
      </w:r>
    </w:p>
    <w:p w:rsidR="00000000" w:rsidRDefault="00000000">
      <w:pPr>
        <w:jc w:val="center"/>
      </w:pPr>
      <w:r>
        <w:rPr>
          <w:b/>
        </w:rPr>
        <w:t>CONTENTS</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r>
        <w:t xml:space="preserve">  I.</w:t>
      </w:r>
      <w:r>
        <w:tab/>
        <w:t>GENERAL COMMENTS ADOPTED BY THE COMMITTEE ON</w:t>
      </w:r>
      <w:r>
        <w:br/>
      </w:r>
      <w:r>
        <w:tab/>
        <w:t>ECONOMIC, SOCIAL AND CULTURAL RIGHTS</w:t>
      </w:r>
      <w:r>
        <w:tab/>
      </w:r>
      <w:r>
        <w:tab/>
        <w:t>9</w:t>
      </w:r>
    </w:p>
    <w:p w:rsidR="00000000" w:rsidRDefault="00000000">
      <w:pPr>
        <w:tabs>
          <w:tab w:val="left" w:pos="720"/>
          <w:tab w:val="left" w:pos="1440"/>
          <w:tab w:val="left" w:leader="dot" w:pos="8220"/>
          <w:tab w:val="right" w:pos="9043"/>
        </w:tabs>
      </w:pPr>
      <w:r>
        <w:tab/>
        <w:t xml:space="preserve">General comment No. 1:  Reporting by States parties </w:t>
      </w:r>
      <w:r>
        <w:tab/>
      </w:r>
      <w:r>
        <w:tab/>
        <w:t>9</w:t>
      </w:r>
    </w:p>
    <w:p w:rsidR="00000000" w:rsidRDefault="00000000">
      <w:pPr>
        <w:tabs>
          <w:tab w:val="left" w:pos="720"/>
          <w:tab w:val="left" w:pos="1440"/>
          <w:tab w:val="left" w:leader="dot" w:pos="8220"/>
          <w:tab w:val="right" w:pos="9043"/>
        </w:tabs>
      </w:pPr>
      <w:r>
        <w:tab/>
        <w:t>General comment No. 2:  International technical assistance measures</w:t>
      </w:r>
      <w:r>
        <w:br/>
      </w:r>
      <w:r>
        <w:tab/>
        <w:t xml:space="preserve">(art. 22 of the Covenant) </w:t>
      </w:r>
      <w:r>
        <w:tab/>
      </w:r>
      <w:r>
        <w:tab/>
        <w:t>12</w:t>
      </w:r>
    </w:p>
    <w:p w:rsidR="00000000" w:rsidRDefault="00000000">
      <w:pPr>
        <w:tabs>
          <w:tab w:val="left" w:pos="720"/>
          <w:tab w:val="left" w:pos="1440"/>
          <w:tab w:val="left" w:leader="dot" w:pos="8220"/>
          <w:tab w:val="right" w:pos="9043"/>
        </w:tabs>
      </w:pPr>
      <w:r>
        <w:tab/>
        <w:t xml:space="preserve">General comment No. 3:  The nature of States parties’ obligations </w:t>
      </w:r>
      <w:r>
        <w:br/>
      </w:r>
      <w:r>
        <w:tab/>
        <w:t xml:space="preserve">(art. 2, para. 1, of the Covenant) </w:t>
      </w:r>
      <w:r>
        <w:tab/>
      </w:r>
      <w:r>
        <w:tab/>
        <w:t>15</w:t>
      </w:r>
    </w:p>
    <w:p w:rsidR="00000000" w:rsidRDefault="00000000">
      <w:pPr>
        <w:tabs>
          <w:tab w:val="left" w:pos="720"/>
          <w:tab w:val="left" w:pos="1440"/>
          <w:tab w:val="left" w:leader="dot" w:pos="8220"/>
          <w:tab w:val="right" w:pos="9043"/>
        </w:tabs>
      </w:pPr>
      <w:r>
        <w:tab/>
        <w:t xml:space="preserve">General comment No. 4:  The right to adequate housing </w:t>
      </w:r>
      <w:r>
        <w:br/>
      </w:r>
      <w:r>
        <w:tab/>
        <w:t xml:space="preserve">(article 11 (1) of the Covenant) </w:t>
      </w:r>
      <w:r>
        <w:tab/>
      </w:r>
      <w:r>
        <w:tab/>
        <w:t>19</w:t>
      </w:r>
    </w:p>
    <w:p w:rsidR="00000000" w:rsidRDefault="00000000">
      <w:pPr>
        <w:tabs>
          <w:tab w:val="left" w:pos="720"/>
          <w:tab w:val="left" w:pos="1440"/>
          <w:tab w:val="left" w:leader="dot" w:pos="8220"/>
          <w:tab w:val="right" w:pos="9043"/>
        </w:tabs>
      </w:pPr>
      <w:r>
        <w:tab/>
        <w:t xml:space="preserve">General comment No. 5:  Persons with disabilities </w:t>
      </w:r>
      <w:r>
        <w:tab/>
      </w:r>
      <w:r>
        <w:tab/>
        <w:t>25</w:t>
      </w:r>
    </w:p>
    <w:p w:rsidR="00000000" w:rsidRDefault="00000000">
      <w:pPr>
        <w:tabs>
          <w:tab w:val="left" w:pos="720"/>
          <w:tab w:val="left" w:pos="1440"/>
          <w:tab w:val="left" w:leader="dot" w:pos="8220"/>
          <w:tab w:val="right" w:pos="9043"/>
        </w:tabs>
      </w:pPr>
      <w:r>
        <w:tab/>
        <w:t>General comment No. 6:  The economic, social and cultural rights of</w:t>
      </w:r>
      <w:r>
        <w:br/>
      </w:r>
      <w:r>
        <w:tab/>
        <w:t xml:space="preserve">older persons </w:t>
      </w:r>
      <w:r>
        <w:tab/>
      </w:r>
      <w:r>
        <w:tab/>
        <w:t>35</w:t>
      </w:r>
    </w:p>
    <w:p w:rsidR="00000000" w:rsidRDefault="00000000">
      <w:pPr>
        <w:tabs>
          <w:tab w:val="left" w:pos="720"/>
          <w:tab w:val="left" w:pos="1440"/>
          <w:tab w:val="left" w:leader="dot" w:pos="8220"/>
          <w:tab w:val="right" w:pos="9043"/>
        </w:tabs>
      </w:pPr>
      <w:r>
        <w:tab/>
        <w:t xml:space="preserve">General comment No. 7:  The right to adequate housing  </w:t>
      </w:r>
      <w:r>
        <w:br/>
      </w:r>
      <w:r>
        <w:tab/>
        <w:t xml:space="preserve">(art. 11 (1) of the Covenant):  forced evictions </w:t>
      </w:r>
      <w:r>
        <w:tab/>
      </w:r>
      <w:r>
        <w:tab/>
        <w:t>46</w:t>
      </w:r>
    </w:p>
    <w:p w:rsidR="00000000" w:rsidRDefault="00000000">
      <w:pPr>
        <w:tabs>
          <w:tab w:val="left" w:pos="720"/>
          <w:tab w:val="left" w:pos="1440"/>
          <w:tab w:val="left" w:leader="dot" w:pos="8220"/>
          <w:tab w:val="right" w:pos="9043"/>
        </w:tabs>
      </w:pPr>
      <w:r>
        <w:tab/>
        <w:t xml:space="preserve">General comment No. 8:  The relationship between economic sanctions </w:t>
      </w:r>
      <w:r>
        <w:br/>
      </w:r>
      <w:r>
        <w:tab/>
        <w:t xml:space="preserve">and respect for economic, social and cultural rights </w:t>
      </w:r>
      <w:r>
        <w:tab/>
      </w:r>
      <w:r>
        <w:tab/>
        <w:t>51</w:t>
      </w:r>
    </w:p>
    <w:p w:rsidR="00000000" w:rsidRDefault="00000000">
      <w:pPr>
        <w:tabs>
          <w:tab w:val="left" w:pos="720"/>
          <w:tab w:val="left" w:pos="1440"/>
          <w:tab w:val="left" w:leader="dot" w:pos="8220"/>
          <w:tab w:val="right" w:pos="9043"/>
        </w:tabs>
      </w:pPr>
      <w:r>
        <w:tab/>
        <w:t xml:space="preserve">General comment No. 9:  The domestic application of the Covenant </w:t>
      </w:r>
      <w:r>
        <w:tab/>
      </w:r>
      <w:r>
        <w:tab/>
        <w:t>55</w:t>
      </w:r>
    </w:p>
    <w:p w:rsidR="00000000" w:rsidRDefault="00000000">
      <w:pPr>
        <w:tabs>
          <w:tab w:val="left" w:pos="720"/>
          <w:tab w:val="left" w:pos="1440"/>
          <w:tab w:val="left" w:leader="dot" w:pos="8220"/>
          <w:tab w:val="right" w:pos="9043"/>
        </w:tabs>
      </w:pPr>
      <w:r>
        <w:tab/>
        <w:t>General comment No. 10:  The role of national human rights institutions</w:t>
      </w:r>
      <w:r>
        <w:br/>
      </w:r>
      <w:r>
        <w:tab/>
        <w:t xml:space="preserve">in the protection of economic, social and cultural rights </w:t>
      </w:r>
      <w:r>
        <w:tab/>
      </w:r>
      <w:r>
        <w:tab/>
        <w:t>59</w:t>
      </w:r>
    </w:p>
    <w:p w:rsidR="00000000" w:rsidRDefault="00000000">
      <w:pPr>
        <w:tabs>
          <w:tab w:val="left" w:pos="720"/>
          <w:tab w:val="left" w:pos="1440"/>
          <w:tab w:val="left" w:leader="dot" w:pos="8220"/>
          <w:tab w:val="right" w:pos="9043"/>
        </w:tabs>
      </w:pPr>
      <w:r>
        <w:tab/>
        <w:t xml:space="preserve">General comment No. 11:  Plans of action for primary education (art. 14) </w:t>
      </w:r>
      <w:r>
        <w:tab/>
      </w:r>
      <w:r>
        <w:tab/>
        <w:t>60</w:t>
      </w:r>
    </w:p>
    <w:p w:rsidR="00000000" w:rsidRDefault="00000000">
      <w:pPr>
        <w:tabs>
          <w:tab w:val="left" w:pos="720"/>
          <w:tab w:val="left" w:pos="1440"/>
          <w:tab w:val="left" w:leader="dot" w:pos="8220"/>
          <w:tab w:val="right" w:pos="9043"/>
        </w:tabs>
      </w:pPr>
      <w:r>
        <w:tab/>
        <w:t xml:space="preserve">General comment No. 12:  The right to adequate food (art. 11) </w:t>
      </w:r>
      <w:r>
        <w:tab/>
      </w:r>
      <w:r>
        <w:tab/>
        <w:t>63</w:t>
      </w:r>
    </w:p>
    <w:p w:rsidR="00000000" w:rsidRDefault="00000000">
      <w:pPr>
        <w:tabs>
          <w:tab w:val="left" w:pos="720"/>
          <w:tab w:val="left" w:pos="1440"/>
          <w:tab w:val="left" w:leader="dot" w:pos="8220"/>
          <w:tab w:val="right" w:pos="9043"/>
        </w:tabs>
      </w:pPr>
      <w:r>
        <w:tab/>
        <w:t xml:space="preserve">General comment No. 13:  The right to education (art. 13) </w:t>
      </w:r>
      <w:r>
        <w:tab/>
      </w:r>
      <w:r>
        <w:tab/>
        <w:t>71</w:t>
      </w:r>
    </w:p>
    <w:p w:rsidR="00000000" w:rsidRDefault="00000000">
      <w:pPr>
        <w:tabs>
          <w:tab w:val="left" w:pos="720"/>
          <w:tab w:val="left" w:pos="1440"/>
          <w:tab w:val="left" w:leader="dot" w:pos="8220"/>
          <w:tab w:val="right" w:pos="9043"/>
        </w:tabs>
      </w:pPr>
      <w:r>
        <w:tab/>
        <w:t>General comment No. 14:  The right to the highest attainable standard</w:t>
      </w:r>
      <w:r>
        <w:br/>
      </w:r>
      <w:r>
        <w:tab/>
        <w:t xml:space="preserve">of health (art. 12) </w:t>
      </w:r>
      <w:r>
        <w:tab/>
      </w:r>
      <w:r>
        <w:tab/>
        <w:t>86</w:t>
      </w:r>
    </w:p>
    <w:p w:rsidR="00000000" w:rsidRDefault="00000000">
      <w:pPr>
        <w:tabs>
          <w:tab w:val="left" w:pos="720"/>
          <w:tab w:val="left" w:pos="1440"/>
          <w:tab w:val="left" w:leader="dot" w:pos="8220"/>
          <w:tab w:val="right" w:pos="9043"/>
        </w:tabs>
      </w:pPr>
      <w:r>
        <w:tab/>
        <w:t>General comment No. 15:  The right to water (arts. 11 and 12</w:t>
      </w:r>
      <w:r>
        <w:br/>
      </w:r>
      <w:r>
        <w:tab/>
        <w:t xml:space="preserve">of the Covenant) </w:t>
      </w:r>
      <w:r>
        <w:tab/>
      </w:r>
      <w:r>
        <w:tab/>
        <w:t>106</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r>
        <w:t xml:space="preserve"> II.</w:t>
      </w:r>
      <w:r>
        <w:tab/>
        <w:t xml:space="preserve">GENERAL COMMENTS ADOPTED BY THE HUMAN </w:t>
      </w:r>
      <w:r>
        <w:br/>
      </w:r>
      <w:r>
        <w:tab/>
        <w:t xml:space="preserve">RIGHTS COMMITTEE </w:t>
      </w:r>
      <w:r>
        <w:tab/>
      </w:r>
      <w:r>
        <w:tab/>
        <w:t>124</w:t>
      </w:r>
    </w:p>
    <w:p w:rsidR="00000000" w:rsidRDefault="00000000">
      <w:pPr>
        <w:tabs>
          <w:tab w:val="left" w:pos="720"/>
          <w:tab w:val="left" w:pos="1440"/>
          <w:tab w:val="left" w:leader="dot" w:pos="8220"/>
          <w:tab w:val="right" w:pos="9043"/>
        </w:tabs>
      </w:pPr>
      <w:r>
        <w:tab/>
        <w:t xml:space="preserve">General comment No. 1:  Reporting obligation </w:t>
      </w:r>
      <w:r>
        <w:tab/>
      </w:r>
      <w:r>
        <w:tab/>
        <w:t>125</w:t>
      </w:r>
    </w:p>
    <w:p w:rsidR="00000000" w:rsidRDefault="00000000">
      <w:pPr>
        <w:tabs>
          <w:tab w:val="left" w:pos="720"/>
          <w:tab w:val="left" w:pos="1440"/>
          <w:tab w:val="left" w:leader="dot" w:pos="8220"/>
          <w:tab w:val="right" w:pos="9043"/>
        </w:tabs>
      </w:pPr>
      <w:r>
        <w:tab/>
        <w:t xml:space="preserve">General comment No. 2:  Reporting guidelines </w:t>
      </w:r>
      <w:r>
        <w:tab/>
      </w:r>
      <w:r>
        <w:tab/>
        <w:t>125</w:t>
      </w:r>
    </w:p>
    <w:p w:rsidR="00000000" w:rsidRDefault="00000000">
      <w:pPr>
        <w:tabs>
          <w:tab w:val="left" w:pos="720"/>
          <w:tab w:val="left" w:pos="1440"/>
          <w:tab w:val="left" w:leader="dot" w:pos="8220"/>
          <w:tab w:val="right" w:pos="9043"/>
        </w:tabs>
      </w:pPr>
      <w:r>
        <w:tab/>
        <w:t xml:space="preserve">General comment No. 3:  Article 2 (Implementation at the national level) </w:t>
      </w:r>
      <w:r>
        <w:tab/>
      </w:r>
      <w:r>
        <w:tab/>
        <w:t>126</w:t>
      </w:r>
    </w:p>
    <w:p w:rsidR="00000000" w:rsidRDefault="00000000">
      <w:pPr>
        <w:tabs>
          <w:tab w:val="left" w:pos="720"/>
          <w:tab w:val="left" w:pos="1440"/>
          <w:tab w:val="left" w:leader="dot" w:pos="8220"/>
          <w:tab w:val="right" w:pos="9043"/>
        </w:tabs>
      </w:pPr>
      <w:r>
        <w:tab/>
        <w:t>General comment No. 4:  Article 3 (Equal right of men and women</w:t>
      </w:r>
      <w:r>
        <w:br/>
      </w:r>
      <w:r>
        <w:tab/>
        <w:t xml:space="preserve">to the enjoyment of all civil and political rights) </w:t>
      </w:r>
      <w:r>
        <w:tab/>
      </w:r>
      <w:r>
        <w:tab/>
        <w:t>127</w:t>
      </w:r>
    </w:p>
    <w:p w:rsidR="00000000" w:rsidRDefault="00000000">
      <w:pPr>
        <w:tabs>
          <w:tab w:val="left" w:pos="720"/>
          <w:tab w:val="left" w:pos="1440"/>
          <w:tab w:val="left" w:leader="dot" w:pos="8220"/>
          <w:tab w:val="right" w:pos="9043"/>
        </w:tabs>
      </w:pPr>
      <w:r>
        <w:tab/>
        <w:t xml:space="preserve">General comment No. 5:  Article 4 (Derogations) </w:t>
      </w:r>
      <w:r>
        <w:tab/>
      </w:r>
      <w:r>
        <w:tab/>
        <w:t>127</w:t>
      </w:r>
    </w:p>
    <w:p w:rsidR="00000000" w:rsidRDefault="00000000">
      <w:pPr>
        <w:tabs>
          <w:tab w:val="left" w:pos="720"/>
          <w:tab w:val="left" w:pos="1440"/>
          <w:tab w:val="left" w:leader="dot" w:pos="8220"/>
          <w:tab w:val="right" w:pos="9043"/>
        </w:tabs>
      </w:pPr>
      <w:r>
        <w:tab/>
        <w:t xml:space="preserve">General comment No. 6:  Article 6 (Right to life) </w:t>
      </w:r>
      <w:r>
        <w:tab/>
      </w:r>
      <w:r>
        <w:tab/>
        <w:t>128</w:t>
      </w:r>
    </w:p>
    <w:p w:rsidR="00000000" w:rsidRDefault="00000000">
      <w:pPr>
        <w:tabs>
          <w:tab w:val="left" w:pos="720"/>
          <w:tab w:val="left" w:pos="1440"/>
          <w:tab w:val="left" w:leader="dot" w:pos="8220"/>
          <w:tab w:val="right" w:pos="9043"/>
        </w:tabs>
      </w:pPr>
      <w:r>
        <w:tab/>
        <w:t>General comment No. 7:  Article 7 (Prohibition of torture or cruel,</w:t>
      </w:r>
      <w:r>
        <w:br/>
      </w:r>
      <w:r>
        <w:tab/>
        <w:t xml:space="preserve">inhuman or degrading treatment or punishment) </w:t>
      </w:r>
      <w:r>
        <w:tab/>
      </w:r>
      <w:r>
        <w:tab/>
        <w:t>129</w:t>
      </w:r>
    </w:p>
    <w:p w:rsidR="00000000" w:rsidRDefault="00000000">
      <w:pPr>
        <w:tabs>
          <w:tab w:val="left" w:pos="720"/>
          <w:tab w:val="left" w:pos="1440"/>
          <w:tab w:val="left" w:leader="dot" w:pos="8220"/>
          <w:tab w:val="right" w:pos="9043"/>
        </w:tabs>
      </w:pPr>
      <w:r>
        <w:tab/>
        <w:t>General comment No. 8:  Article 9 (Right to liberty and security</w:t>
      </w:r>
      <w:r>
        <w:br/>
      </w:r>
      <w:r>
        <w:tab/>
        <w:t xml:space="preserve">of persons) </w:t>
      </w:r>
      <w:r>
        <w:tab/>
      </w:r>
      <w:r>
        <w:tab/>
        <w:t>130</w:t>
      </w:r>
    </w:p>
    <w:p w:rsidR="00000000" w:rsidRDefault="00000000">
      <w:pPr>
        <w:tabs>
          <w:tab w:val="left" w:pos="720"/>
          <w:tab w:val="left" w:pos="1440"/>
          <w:tab w:val="left" w:leader="dot" w:pos="8220"/>
          <w:tab w:val="right" w:pos="9043"/>
        </w:tabs>
      </w:pPr>
      <w:r>
        <w:tab/>
        <w:t>General comment No. 9:  Article 10 (Humane treatment of persons</w:t>
      </w:r>
      <w:r>
        <w:br/>
      </w:r>
      <w:r>
        <w:tab/>
        <w:t xml:space="preserve">deprived of their liberty) </w:t>
      </w:r>
      <w:r>
        <w:tab/>
      </w:r>
      <w:r>
        <w:tab/>
        <w:t>131</w:t>
      </w:r>
    </w:p>
    <w:p w:rsidR="00000000" w:rsidRDefault="00000000">
      <w:pPr>
        <w:tabs>
          <w:tab w:val="left" w:pos="720"/>
          <w:tab w:val="left" w:pos="1440"/>
          <w:tab w:val="left" w:leader="dot" w:pos="8220"/>
          <w:tab w:val="right" w:pos="9043"/>
        </w:tabs>
      </w:pPr>
      <w:r>
        <w:tab/>
        <w:t xml:space="preserve">General comment No. 10:  Article 19 (Freedom of opinion) </w:t>
      </w:r>
      <w:r>
        <w:tab/>
      </w:r>
      <w:r>
        <w:tab/>
        <w:t>133</w:t>
      </w:r>
    </w:p>
    <w:p w:rsidR="00000000" w:rsidRDefault="00000000">
      <w:pPr>
        <w:tabs>
          <w:tab w:val="left" w:pos="720"/>
          <w:tab w:val="left" w:pos="1440"/>
          <w:tab w:val="left" w:leader="dot" w:pos="8220"/>
          <w:tab w:val="right" w:pos="9043"/>
        </w:tabs>
      </w:pPr>
      <w:r>
        <w:tab/>
        <w:t xml:space="preserve">General comment No. 11:  Article 20 </w:t>
      </w:r>
      <w:r>
        <w:tab/>
      </w:r>
      <w:r>
        <w:tab/>
        <w:t>133</w:t>
      </w:r>
    </w:p>
    <w:p w:rsidR="00000000" w:rsidRDefault="00000000">
      <w:pPr>
        <w:tabs>
          <w:tab w:val="left" w:pos="720"/>
          <w:tab w:val="left" w:pos="1440"/>
          <w:tab w:val="left" w:leader="dot" w:pos="8220"/>
          <w:tab w:val="right" w:pos="9043"/>
        </w:tabs>
      </w:pPr>
      <w:r>
        <w:tab/>
        <w:t xml:space="preserve">General comment No. 12:  Article 1 (Right to self-determination) </w:t>
      </w:r>
      <w:r>
        <w:tab/>
      </w:r>
      <w:r>
        <w:tab/>
        <w:t>134</w:t>
      </w:r>
    </w:p>
    <w:p w:rsidR="00000000" w:rsidRDefault="00000000">
      <w:pPr>
        <w:tabs>
          <w:tab w:val="left" w:pos="720"/>
          <w:tab w:val="left" w:pos="1440"/>
          <w:tab w:val="left" w:leader="dot" w:pos="8220"/>
          <w:tab w:val="right" w:pos="9043"/>
        </w:tabs>
      </w:pPr>
      <w:r>
        <w:tab/>
        <w:t xml:space="preserve">General comment No. 13:  Article 14 (Administration of justice) </w:t>
      </w:r>
      <w:r>
        <w:tab/>
      </w:r>
      <w:r>
        <w:tab/>
        <w:t>135</w:t>
      </w:r>
    </w:p>
    <w:p w:rsidR="00000000" w:rsidRDefault="00000000">
      <w:pPr>
        <w:tabs>
          <w:tab w:val="left" w:pos="720"/>
          <w:tab w:val="left" w:pos="1440"/>
          <w:tab w:val="left" w:leader="dot" w:pos="8220"/>
          <w:tab w:val="right" w:pos="9043"/>
        </w:tabs>
      </w:pPr>
      <w:r>
        <w:tab/>
        <w:t>General comment No. 14:  Article 6 (Right to life)</w:t>
      </w:r>
      <w:r>
        <w:tab/>
      </w:r>
      <w:r>
        <w:tab/>
        <w:t>139</w:t>
      </w:r>
    </w:p>
    <w:p w:rsidR="00000000" w:rsidRDefault="00000000">
      <w:pPr>
        <w:tabs>
          <w:tab w:val="left" w:pos="720"/>
          <w:tab w:val="left" w:pos="1440"/>
          <w:tab w:val="left" w:leader="dot" w:pos="8220"/>
          <w:tab w:val="right" w:pos="9043"/>
        </w:tabs>
      </w:pPr>
      <w:r>
        <w:tab/>
        <w:t xml:space="preserve">General comment No. 15:  The position of aliens under the Covenant </w:t>
      </w:r>
      <w:r>
        <w:tab/>
      </w:r>
      <w:r>
        <w:tab/>
        <w:t>140</w:t>
      </w:r>
    </w:p>
    <w:p w:rsidR="00000000" w:rsidRDefault="00000000">
      <w:pPr>
        <w:tabs>
          <w:tab w:val="left" w:pos="720"/>
          <w:tab w:val="left" w:pos="1440"/>
          <w:tab w:val="left" w:leader="dot" w:pos="8220"/>
          <w:tab w:val="right" w:pos="9043"/>
        </w:tabs>
      </w:pPr>
      <w:r>
        <w:tab/>
        <w:t xml:space="preserve">General comment No. 16:  Article 17 (Right to privacy) </w:t>
      </w:r>
      <w:r>
        <w:tab/>
      </w:r>
      <w:r>
        <w:tab/>
        <w:t>142</w:t>
      </w:r>
    </w:p>
    <w:p w:rsidR="00000000" w:rsidRDefault="00000000">
      <w:pPr>
        <w:tabs>
          <w:tab w:val="left" w:pos="720"/>
          <w:tab w:val="left" w:pos="1440"/>
          <w:tab w:val="left" w:leader="dot" w:pos="8220"/>
          <w:tab w:val="right" w:pos="9043"/>
        </w:tabs>
      </w:pPr>
      <w:r>
        <w:tab/>
        <w:t xml:space="preserve">General comment No. 17:  Article 24 (Rights of the child) </w:t>
      </w:r>
      <w:r>
        <w:tab/>
      </w:r>
      <w:r>
        <w:tab/>
        <w:t>144</w:t>
      </w:r>
    </w:p>
    <w:p w:rsidR="00000000" w:rsidRDefault="00000000">
      <w:pPr>
        <w:tabs>
          <w:tab w:val="left" w:pos="720"/>
          <w:tab w:val="left" w:pos="1440"/>
          <w:tab w:val="left" w:leader="dot" w:pos="8220"/>
          <w:tab w:val="right" w:pos="9043"/>
        </w:tabs>
      </w:pPr>
      <w:r>
        <w:tab/>
        <w:t xml:space="preserve">General comment No. 18:  Non-discrimination </w:t>
      </w:r>
      <w:r>
        <w:tab/>
      </w:r>
      <w:r>
        <w:tab/>
        <w:t>146</w:t>
      </w:r>
    </w:p>
    <w:p w:rsidR="00000000" w:rsidRDefault="00000000">
      <w:pPr>
        <w:tabs>
          <w:tab w:val="left" w:pos="720"/>
          <w:tab w:val="left" w:pos="1440"/>
          <w:tab w:val="left" w:leader="dot" w:pos="8220"/>
          <w:tab w:val="right" w:pos="9043"/>
        </w:tabs>
      </w:pPr>
      <w:r>
        <w:tab/>
        <w:t xml:space="preserve">General comment No. 19:  Article 23 (The family) </w:t>
      </w:r>
      <w:r>
        <w:tab/>
      </w:r>
      <w:r>
        <w:tab/>
        <w:t>149</w:t>
      </w:r>
    </w:p>
    <w:p w:rsidR="00000000" w:rsidRDefault="00000000">
      <w:pPr>
        <w:jc w:val="center"/>
      </w:pPr>
      <w:r>
        <w:rPr>
          <w:b/>
        </w:rPr>
        <w:br w:type="page"/>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r>
        <w:tab/>
        <w:t>General comment No. 20:  Article 7 (Prohibition of torture, or other</w:t>
      </w:r>
      <w:r>
        <w:br/>
      </w:r>
      <w:r>
        <w:tab/>
        <w:t xml:space="preserve">cruel, inhuman or degrading treatment or punishment) </w:t>
      </w:r>
      <w:r>
        <w:tab/>
      </w:r>
      <w:r>
        <w:tab/>
        <w:t>150</w:t>
      </w:r>
    </w:p>
    <w:p w:rsidR="00000000" w:rsidRDefault="00000000">
      <w:pPr>
        <w:tabs>
          <w:tab w:val="left" w:pos="720"/>
          <w:tab w:val="left" w:pos="1440"/>
          <w:tab w:val="left" w:leader="dot" w:pos="8220"/>
          <w:tab w:val="right" w:pos="9043"/>
        </w:tabs>
      </w:pPr>
      <w:r>
        <w:tab/>
        <w:t>General comment No. 21:  Article 10 (Humane treatment of persons</w:t>
      </w:r>
      <w:r>
        <w:br/>
      </w:r>
      <w:r>
        <w:tab/>
        <w:t xml:space="preserve">deprived of their liberty) </w:t>
      </w:r>
      <w:r>
        <w:tab/>
      </w:r>
      <w:r>
        <w:tab/>
        <w:t>153</w:t>
      </w:r>
    </w:p>
    <w:p w:rsidR="00000000" w:rsidRDefault="00000000">
      <w:pPr>
        <w:tabs>
          <w:tab w:val="left" w:pos="720"/>
          <w:tab w:val="left" w:pos="1440"/>
          <w:tab w:val="left" w:leader="dot" w:pos="8220"/>
          <w:tab w:val="right" w:pos="9043"/>
        </w:tabs>
      </w:pPr>
      <w:r>
        <w:tab/>
        <w:t>General comment No. 22:  Article 18 (Freedom of thought, conscience</w:t>
      </w:r>
      <w:r>
        <w:br/>
      </w:r>
      <w:r>
        <w:tab/>
        <w:t xml:space="preserve">or religion) </w:t>
      </w:r>
      <w:r>
        <w:tab/>
      </w:r>
      <w:r>
        <w:tab/>
        <w:t>155</w:t>
      </w:r>
    </w:p>
    <w:p w:rsidR="00000000" w:rsidRDefault="00000000">
      <w:pPr>
        <w:tabs>
          <w:tab w:val="left" w:pos="720"/>
          <w:tab w:val="left" w:pos="1440"/>
          <w:tab w:val="left" w:leader="dot" w:pos="8220"/>
          <w:tab w:val="right" w:pos="9043"/>
        </w:tabs>
      </w:pPr>
      <w:r>
        <w:tab/>
        <w:t xml:space="preserve">General comment No. 23:  Article 27 (Rights of minorities) </w:t>
      </w:r>
      <w:r>
        <w:tab/>
      </w:r>
      <w:r>
        <w:tab/>
        <w:t>158</w:t>
      </w:r>
    </w:p>
    <w:p w:rsidR="00000000" w:rsidRDefault="00000000">
      <w:pPr>
        <w:tabs>
          <w:tab w:val="left" w:pos="720"/>
          <w:tab w:val="left" w:pos="1440"/>
          <w:tab w:val="left" w:leader="dot" w:pos="8220"/>
          <w:tab w:val="right" w:pos="9043"/>
        </w:tabs>
      </w:pPr>
      <w:r>
        <w:tab/>
        <w:t>General comment No. 24:  Issues relating to reservations made</w:t>
      </w:r>
      <w:r>
        <w:br/>
      </w:r>
      <w:r>
        <w:tab/>
        <w:t>upon ratification or accession to the Covenant or the Optional Protocols</w:t>
      </w:r>
      <w:r>
        <w:br/>
      </w:r>
      <w:r>
        <w:tab/>
        <w:t xml:space="preserve">thereto, or in relation to declarations under article 41 of the Covenant </w:t>
      </w:r>
      <w:r>
        <w:tab/>
      </w:r>
      <w:r>
        <w:tab/>
        <w:t>161</w:t>
      </w:r>
    </w:p>
    <w:p w:rsidR="00000000" w:rsidRDefault="00000000">
      <w:pPr>
        <w:tabs>
          <w:tab w:val="left" w:pos="720"/>
          <w:tab w:val="left" w:pos="1440"/>
          <w:tab w:val="left" w:leader="dot" w:pos="8220"/>
          <w:tab w:val="right" w:pos="9043"/>
        </w:tabs>
      </w:pPr>
      <w:r>
        <w:tab/>
        <w:t>General comment No. 25:  Article 25 (Participation in public affairs</w:t>
      </w:r>
      <w:r>
        <w:br/>
      </w:r>
      <w:r>
        <w:tab/>
        <w:t xml:space="preserve">and the right to vote) </w:t>
      </w:r>
      <w:r>
        <w:tab/>
      </w:r>
      <w:r>
        <w:tab/>
        <w:t>167</w:t>
      </w:r>
    </w:p>
    <w:p w:rsidR="00000000" w:rsidRDefault="00000000">
      <w:pPr>
        <w:tabs>
          <w:tab w:val="left" w:pos="720"/>
          <w:tab w:val="left" w:pos="1440"/>
          <w:tab w:val="left" w:leader="dot" w:pos="8220"/>
          <w:tab w:val="right" w:pos="9043"/>
        </w:tabs>
      </w:pPr>
      <w:r>
        <w:tab/>
        <w:t xml:space="preserve">General comment No. 26:  Continuity of obligations </w:t>
      </w:r>
      <w:r>
        <w:tab/>
      </w:r>
      <w:r>
        <w:tab/>
        <w:t>172</w:t>
      </w:r>
    </w:p>
    <w:p w:rsidR="00000000" w:rsidRDefault="00000000">
      <w:pPr>
        <w:tabs>
          <w:tab w:val="left" w:pos="720"/>
          <w:tab w:val="left" w:pos="1440"/>
          <w:tab w:val="left" w:leader="dot" w:pos="8220"/>
          <w:tab w:val="right" w:pos="9043"/>
        </w:tabs>
      </w:pPr>
      <w:r>
        <w:tab/>
        <w:t xml:space="preserve">General comment No. 27:  Article 12 (Freedom of movement) </w:t>
      </w:r>
      <w:r>
        <w:tab/>
      </w:r>
      <w:r>
        <w:tab/>
        <w:t>173</w:t>
      </w:r>
    </w:p>
    <w:p w:rsidR="00000000" w:rsidRDefault="00000000">
      <w:pPr>
        <w:tabs>
          <w:tab w:val="left" w:pos="720"/>
          <w:tab w:val="left" w:pos="1440"/>
          <w:tab w:val="left" w:leader="dot" w:pos="8220"/>
          <w:tab w:val="right" w:pos="9043"/>
        </w:tabs>
      </w:pPr>
      <w:r>
        <w:tab/>
        <w:t>General comment No. 28:  Article 3 (The equality of rights between</w:t>
      </w:r>
      <w:r>
        <w:br/>
      </w:r>
      <w:r>
        <w:tab/>
        <w:t xml:space="preserve">men and women) </w:t>
      </w:r>
      <w:r>
        <w:tab/>
      </w:r>
      <w:r>
        <w:tab/>
        <w:t>178</w:t>
      </w:r>
    </w:p>
    <w:p w:rsidR="00000000" w:rsidRDefault="00000000">
      <w:pPr>
        <w:tabs>
          <w:tab w:val="left" w:pos="720"/>
          <w:tab w:val="left" w:pos="1440"/>
          <w:tab w:val="left" w:leader="dot" w:pos="8220"/>
          <w:tab w:val="right" w:pos="9043"/>
        </w:tabs>
      </w:pPr>
      <w:r>
        <w:tab/>
        <w:t>General comment No. 29:  Article 4:  Derogations during a state</w:t>
      </w:r>
      <w:r>
        <w:br/>
      </w:r>
      <w:r>
        <w:tab/>
        <w:t xml:space="preserve">of emergency </w:t>
      </w:r>
      <w:r>
        <w:tab/>
      </w:r>
      <w:r>
        <w:tab/>
        <w:t>184</w:t>
      </w:r>
    </w:p>
    <w:p w:rsidR="00000000" w:rsidRDefault="00000000">
      <w:pPr>
        <w:tabs>
          <w:tab w:val="left" w:pos="720"/>
          <w:tab w:val="left" w:pos="1440"/>
          <w:tab w:val="left" w:leader="dot" w:pos="8220"/>
          <w:tab w:val="right" w:pos="9043"/>
        </w:tabs>
      </w:pPr>
      <w:r>
        <w:tab/>
        <w:t>General comment No. 30:  Reporting obligations of States parties</w:t>
      </w:r>
      <w:r>
        <w:br/>
      </w:r>
      <w:r>
        <w:tab/>
        <w:t xml:space="preserve">under article 40 of the Covenant </w:t>
      </w:r>
      <w:r>
        <w:tab/>
      </w:r>
      <w:r>
        <w:tab/>
        <w:t>191</w:t>
      </w:r>
    </w:p>
    <w:p w:rsidR="00000000" w:rsidRDefault="00000000">
      <w:pPr>
        <w:tabs>
          <w:tab w:val="left" w:pos="720"/>
          <w:tab w:val="left" w:pos="1440"/>
          <w:tab w:val="left" w:leader="dot" w:pos="8220"/>
          <w:tab w:val="right" w:pos="9043"/>
        </w:tabs>
      </w:pPr>
      <w:r>
        <w:tab/>
        <w:t xml:space="preserve">General comment No. 31:  The Nature of the General Legal Obligation </w:t>
      </w:r>
      <w:r>
        <w:br/>
      </w:r>
      <w:r>
        <w:tab/>
        <w:t xml:space="preserve">Imposed on States Parties to the Covenant </w:t>
      </w:r>
      <w:r>
        <w:tab/>
      </w:r>
      <w:r>
        <w:tab/>
        <w:t>192</w:t>
      </w:r>
    </w:p>
    <w:p w:rsidR="00000000" w:rsidRDefault="00000000">
      <w:pPr>
        <w:tabs>
          <w:tab w:val="left" w:pos="720"/>
          <w:tab w:val="left" w:pos="1440"/>
          <w:tab w:val="left" w:leader="dot" w:pos="8220"/>
          <w:tab w:val="right" w:pos="9043"/>
        </w:tabs>
      </w:pPr>
      <w:r>
        <w:t xml:space="preserve">III. </w:t>
      </w:r>
      <w:r>
        <w:tab/>
        <w:t>GENERAL RECOMMENDATIONS ADOPTED BY THE COMMITTEE</w:t>
      </w:r>
      <w:r>
        <w:br/>
      </w:r>
      <w:r>
        <w:tab/>
        <w:t xml:space="preserve">ON THE ELIMINATION OF RACIAL DISCRIMINATION </w:t>
      </w:r>
      <w:r>
        <w:tab/>
      </w:r>
      <w:r>
        <w:tab/>
        <w:t>198</w:t>
      </w:r>
    </w:p>
    <w:p w:rsidR="00000000" w:rsidRDefault="00000000">
      <w:pPr>
        <w:tabs>
          <w:tab w:val="left" w:pos="720"/>
          <w:tab w:val="left" w:pos="1440"/>
          <w:tab w:val="left" w:leader="dot" w:pos="8220"/>
          <w:tab w:val="right" w:pos="9043"/>
        </w:tabs>
      </w:pPr>
      <w:r>
        <w:tab/>
        <w:t>General recommendation I concerning States parties’ obligations</w:t>
      </w:r>
      <w:r>
        <w:br/>
      </w:r>
      <w:r>
        <w:tab/>
        <w:t xml:space="preserve">(art. 4 of the Convention) </w:t>
      </w:r>
      <w:r>
        <w:tab/>
      </w:r>
      <w:r>
        <w:tab/>
        <w:t>198</w:t>
      </w:r>
    </w:p>
    <w:p w:rsidR="00000000" w:rsidRDefault="00000000">
      <w:pPr>
        <w:tabs>
          <w:tab w:val="left" w:pos="720"/>
          <w:tab w:val="left" w:pos="1440"/>
          <w:tab w:val="left" w:leader="dot" w:pos="8220"/>
          <w:tab w:val="right" w:pos="9043"/>
        </w:tabs>
      </w:pPr>
      <w:r>
        <w:tab/>
        <w:t xml:space="preserve">General recommendation II concerning States parties’ obligations </w:t>
      </w:r>
      <w:r>
        <w:tab/>
      </w:r>
      <w:r>
        <w:tab/>
        <w:t>198</w:t>
      </w:r>
    </w:p>
    <w:p w:rsidR="00000000" w:rsidRDefault="00000000">
      <w:pPr>
        <w:tabs>
          <w:tab w:val="left" w:pos="720"/>
          <w:tab w:val="left" w:pos="1440"/>
          <w:tab w:val="left" w:leader="dot" w:pos="8220"/>
          <w:tab w:val="right" w:pos="9043"/>
        </w:tabs>
      </w:pPr>
      <w:r>
        <w:tab/>
        <w:t xml:space="preserve">General recommendation III concerning reporting by States parties </w:t>
      </w:r>
      <w:r>
        <w:tab/>
      </w:r>
      <w:r>
        <w:tab/>
        <w:t>199</w:t>
      </w:r>
    </w:p>
    <w:p w:rsidR="00000000" w:rsidRDefault="00000000">
      <w:pPr>
        <w:tabs>
          <w:tab w:val="left" w:pos="720"/>
          <w:tab w:val="left" w:pos="1440"/>
          <w:tab w:val="left" w:leader="dot" w:pos="8220"/>
          <w:tab w:val="right" w:pos="9043"/>
        </w:tabs>
      </w:pPr>
      <w:r>
        <w:tab/>
        <w:t>General recommendation IV concerning reporting by States parties</w:t>
      </w:r>
      <w:r>
        <w:br/>
      </w:r>
      <w:r>
        <w:tab/>
        <w:t xml:space="preserve">(art. 1 of the Convention) </w:t>
      </w:r>
      <w:r>
        <w:tab/>
      </w:r>
      <w:r>
        <w:tab/>
        <w:t>200</w:t>
      </w:r>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r>
        <w:tab/>
        <w:t>General recommendation V concerning reporting by States parties</w:t>
      </w:r>
      <w:r>
        <w:br/>
      </w:r>
      <w:r>
        <w:tab/>
        <w:t xml:space="preserve">(article 7 of the Convention) </w:t>
      </w:r>
      <w:r>
        <w:tab/>
      </w:r>
      <w:r>
        <w:tab/>
        <w:t>200</w:t>
      </w:r>
    </w:p>
    <w:p w:rsidR="00000000" w:rsidRDefault="00000000">
      <w:pPr>
        <w:tabs>
          <w:tab w:val="left" w:pos="720"/>
          <w:tab w:val="left" w:pos="1440"/>
          <w:tab w:val="left" w:leader="dot" w:pos="8220"/>
          <w:tab w:val="right" w:pos="9043"/>
        </w:tabs>
      </w:pPr>
      <w:r>
        <w:tab/>
        <w:t xml:space="preserve">General recommendation VI concerning overdue reports </w:t>
      </w:r>
      <w:r>
        <w:tab/>
      </w:r>
      <w:r>
        <w:tab/>
        <w:t>201</w:t>
      </w:r>
    </w:p>
    <w:p w:rsidR="00000000" w:rsidRDefault="00000000">
      <w:pPr>
        <w:tabs>
          <w:tab w:val="left" w:pos="720"/>
          <w:tab w:val="left" w:pos="1440"/>
          <w:tab w:val="left" w:leader="dot" w:pos="8220"/>
          <w:tab w:val="right" w:pos="9043"/>
        </w:tabs>
      </w:pPr>
      <w:r>
        <w:tab/>
        <w:t xml:space="preserve">General recommendation VII relating to the implementation of article 4 </w:t>
      </w:r>
      <w:r>
        <w:tab/>
      </w:r>
      <w:r>
        <w:tab/>
        <w:t>202</w:t>
      </w:r>
    </w:p>
    <w:p w:rsidR="00000000" w:rsidRDefault="00000000">
      <w:pPr>
        <w:tabs>
          <w:tab w:val="left" w:pos="720"/>
          <w:tab w:val="left" w:pos="1440"/>
          <w:tab w:val="left" w:leader="dot" w:pos="8220"/>
          <w:tab w:val="right" w:pos="9043"/>
        </w:tabs>
      </w:pPr>
      <w:r>
        <w:tab/>
        <w:t>General recommendation VIII concerning the interpretation and</w:t>
      </w:r>
      <w:r>
        <w:br/>
      </w:r>
      <w:r>
        <w:tab/>
        <w:t xml:space="preserve">application of article 1, paragraphs 1 and 4, of the Convention </w:t>
      </w:r>
      <w:r>
        <w:tab/>
      </w:r>
      <w:r>
        <w:tab/>
        <w:t>203</w:t>
      </w:r>
    </w:p>
    <w:p w:rsidR="00000000" w:rsidRDefault="00000000">
      <w:pPr>
        <w:tabs>
          <w:tab w:val="left" w:pos="720"/>
          <w:tab w:val="left" w:pos="1440"/>
          <w:tab w:val="left" w:leader="dot" w:pos="8220"/>
          <w:tab w:val="right" w:pos="9043"/>
        </w:tabs>
      </w:pPr>
      <w:r>
        <w:tab/>
        <w:t xml:space="preserve">General recommendation IX concerning the application of article 8, </w:t>
      </w:r>
      <w:r>
        <w:br/>
      </w:r>
      <w:r>
        <w:tab/>
        <w:t xml:space="preserve">paragraph 1, of the Convention </w:t>
      </w:r>
      <w:r>
        <w:tab/>
      </w:r>
      <w:r>
        <w:tab/>
        <w:t>203</w:t>
      </w:r>
    </w:p>
    <w:p w:rsidR="00000000" w:rsidRDefault="00000000">
      <w:pPr>
        <w:tabs>
          <w:tab w:val="left" w:pos="720"/>
          <w:tab w:val="left" w:pos="1440"/>
          <w:tab w:val="left" w:leader="dot" w:pos="8220"/>
          <w:tab w:val="right" w:pos="9043"/>
        </w:tabs>
      </w:pPr>
      <w:r>
        <w:tab/>
        <w:t xml:space="preserve">General recommendation X concerning technical assistance </w:t>
      </w:r>
      <w:r>
        <w:tab/>
      </w:r>
      <w:r>
        <w:tab/>
        <w:t>204</w:t>
      </w:r>
    </w:p>
    <w:p w:rsidR="00000000" w:rsidRDefault="00000000">
      <w:pPr>
        <w:tabs>
          <w:tab w:val="left" w:pos="720"/>
          <w:tab w:val="left" w:pos="1440"/>
          <w:tab w:val="left" w:leader="dot" w:pos="8220"/>
          <w:tab w:val="right" w:pos="9043"/>
        </w:tabs>
      </w:pPr>
      <w:r>
        <w:tab/>
        <w:t xml:space="preserve">General recommendation XI on non-citizens </w:t>
      </w:r>
      <w:r>
        <w:tab/>
      </w:r>
      <w:r>
        <w:tab/>
        <w:t>205</w:t>
      </w:r>
    </w:p>
    <w:p w:rsidR="00000000" w:rsidRDefault="00000000">
      <w:pPr>
        <w:tabs>
          <w:tab w:val="left" w:pos="720"/>
          <w:tab w:val="left" w:pos="1440"/>
          <w:tab w:val="left" w:leader="dot" w:pos="8220"/>
          <w:tab w:val="right" w:pos="9043"/>
        </w:tabs>
      </w:pPr>
      <w:r>
        <w:tab/>
        <w:t xml:space="preserve">General recommendation XII on successor States </w:t>
      </w:r>
      <w:r>
        <w:tab/>
      </w:r>
      <w:r>
        <w:tab/>
        <w:t>205</w:t>
      </w:r>
    </w:p>
    <w:p w:rsidR="00000000" w:rsidRDefault="00000000">
      <w:pPr>
        <w:tabs>
          <w:tab w:val="left" w:pos="720"/>
          <w:tab w:val="left" w:pos="1440"/>
          <w:tab w:val="left" w:leader="dot" w:pos="8220"/>
          <w:tab w:val="right" w:pos="9043"/>
        </w:tabs>
      </w:pPr>
      <w:r>
        <w:tab/>
        <w:t>General recommendation XIII on the training of law enforcement</w:t>
      </w:r>
      <w:r>
        <w:br/>
      </w:r>
      <w:r>
        <w:tab/>
        <w:t xml:space="preserve">officials in the protection of human rights </w:t>
      </w:r>
      <w:r>
        <w:tab/>
      </w:r>
      <w:r>
        <w:tab/>
        <w:t>206</w:t>
      </w:r>
    </w:p>
    <w:p w:rsidR="00000000" w:rsidRDefault="00000000">
      <w:pPr>
        <w:tabs>
          <w:tab w:val="left" w:pos="720"/>
          <w:tab w:val="left" w:pos="1440"/>
          <w:tab w:val="left" w:leader="dot" w:pos="8220"/>
          <w:tab w:val="right" w:pos="9043"/>
        </w:tabs>
      </w:pPr>
      <w:r>
        <w:tab/>
        <w:t>General recommendation XIV on article 1, paragraph 1,</w:t>
      </w:r>
      <w:r>
        <w:br/>
      </w:r>
      <w:r>
        <w:tab/>
        <w:t xml:space="preserve">of the Convention </w:t>
      </w:r>
      <w:r>
        <w:tab/>
      </w:r>
      <w:r>
        <w:tab/>
        <w:t>206</w:t>
      </w:r>
    </w:p>
    <w:p w:rsidR="00000000" w:rsidRDefault="00000000">
      <w:pPr>
        <w:tabs>
          <w:tab w:val="left" w:pos="720"/>
          <w:tab w:val="left" w:pos="1440"/>
          <w:tab w:val="left" w:leader="dot" w:pos="8220"/>
          <w:tab w:val="right" w:pos="9043"/>
        </w:tabs>
      </w:pPr>
      <w:r>
        <w:tab/>
        <w:t xml:space="preserve">General recommendation XV on article 4 of the Convention </w:t>
      </w:r>
      <w:r>
        <w:tab/>
      </w:r>
      <w:r>
        <w:tab/>
        <w:t>207</w:t>
      </w:r>
    </w:p>
    <w:p w:rsidR="00000000" w:rsidRDefault="00000000">
      <w:pPr>
        <w:tabs>
          <w:tab w:val="left" w:pos="720"/>
          <w:tab w:val="left" w:pos="1440"/>
          <w:tab w:val="left" w:leader="dot" w:pos="8220"/>
          <w:tab w:val="right" w:pos="9043"/>
        </w:tabs>
      </w:pPr>
      <w:r>
        <w:tab/>
        <w:t xml:space="preserve">General recommendation XVI concerning the application </w:t>
      </w:r>
      <w:r>
        <w:br/>
      </w:r>
      <w:r>
        <w:tab/>
        <w:t xml:space="preserve">of article 9 of the Convention </w:t>
      </w:r>
      <w:r>
        <w:tab/>
      </w:r>
      <w:r>
        <w:tab/>
        <w:t>208</w:t>
      </w:r>
    </w:p>
    <w:p w:rsidR="00000000" w:rsidRDefault="00000000">
      <w:pPr>
        <w:tabs>
          <w:tab w:val="left" w:pos="720"/>
          <w:tab w:val="left" w:pos="1440"/>
          <w:tab w:val="left" w:leader="dot" w:pos="8220"/>
          <w:tab w:val="right" w:pos="9043"/>
        </w:tabs>
      </w:pPr>
      <w:r>
        <w:tab/>
        <w:t>General recommendation XVII on the establishment of national</w:t>
      </w:r>
      <w:r>
        <w:br/>
      </w:r>
      <w:r>
        <w:tab/>
        <w:t xml:space="preserve">institutions to facilitate the implementation of the Convention </w:t>
      </w:r>
      <w:r>
        <w:tab/>
      </w:r>
      <w:r>
        <w:tab/>
        <w:t>209</w:t>
      </w:r>
    </w:p>
    <w:p w:rsidR="00000000" w:rsidRDefault="00000000">
      <w:pPr>
        <w:tabs>
          <w:tab w:val="left" w:pos="720"/>
          <w:tab w:val="left" w:pos="1440"/>
          <w:tab w:val="left" w:leader="dot" w:pos="8220"/>
          <w:tab w:val="right" w:pos="9043"/>
        </w:tabs>
      </w:pPr>
      <w:r>
        <w:tab/>
        <w:t>General recommendation XVIII on the establishment of an</w:t>
      </w:r>
      <w:r>
        <w:br/>
      </w:r>
      <w:r>
        <w:tab/>
        <w:t xml:space="preserve">international tribunal to prosecute crimes against humanity </w:t>
      </w:r>
      <w:r>
        <w:tab/>
      </w:r>
      <w:r>
        <w:tab/>
        <w:t>210</w:t>
      </w:r>
    </w:p>
    <w:p w:rsidR="00000000" w:rsidRDefault="00000000">
      <w:pPr>
        <w:tabs>
          <w:tab w:val="left" w:pos="720"/>
          <w:tab w:val="left" w:pos="1440"/>
          <w:tab w:val="left" w:leader="dot" w:pos="8220"/>
          <w:tab w:val="right" w:pos="9043"/>
        </w:tabs>
      </w:pPr>
      <w:r>
        <w:tab/>
        <w:t xml:space="preserve">General recommendation XIX on article 3 of the Convention </w:t>
      </w:r>
      <w:r>
        <w:tab/>
      </w:r>
      <w:r>
        <w:tab/>
        <w:t>211</w:t>
      </w:r>
    </w:p>
    <w:p w:rsidR="00000000" w:rsidRDefault="00000000">
      <w:pPr>
        <w:tabs>
          <w:tab w:val="left" w:pos="720"/>
          <w:tab w:val="left" w:pos="1440"/>
          <w:tab w:val="left" w:leader="dot" w:pos="8220"/>
          <w:tab w:val="right" w:pos="9043"/>
        </w:tabs>
      </w:pPr>
      <w:r>
        <w:tab/>
        <w:t xml:space="preserve">General recommendation XX on article 5 of the Convention </w:t>
      </w:r>
      <w:r>
        <w:tab/>
      </w:r>
      <w:r>
        <w:tab/>
        <w:t>211</w:t>
      </w:r>
    </w:p>
    <w:p w:rsidR="00000000" w:rsidRDefault="00000000">
      <w:pPr>
        <w:tabs>
          <w:tab w:val="left" w:pos="720"/>
          <w:tab w:val="left" w:pos="1440"/>
          <w:tab w:val="left" w:leader="dot" w:pos="8220"/>
          <w:tab w:val="right" w:pos="9043"/>
        </w:tabs>
      </w:pPr>
      <w:r>
        <w:tab/>
        <w:t xml:space="preserve">General recommendation XXI on the right to self-determination </w:t>
      </w:r>
      <w:r>
        <w:tab/>
      </w:r>
      <w:r>
        <w:tab/>
        <w:t>212</w:t>
      </w:r>
    </w:p>
    <w:p w:rsidR="00000000" w:rsidRDefault="00000000">
      <w:pPr>
        <w:tabs>
          <w:tab w:val="left" w:pos="720"/>
          <w:tab w:val="left" w:pos="1440"/>
          <w:tab w:val="left" w:leader="dot" w:pos="8220"/>
          <w:tab w:val="right" w:pos="9043"/>
        </w:tabs>
      </w:pPr>
      <w:r>
        <w:tab/>
        <w:t>General recommendation XXII on article 5 of the Convention</w:t>
      </w:r>
      <w:r>
        <w:br/>
      </w:r>
      <w:r>
        <w:tab/>
        <w:t xml:space="preserve">on refugees and displaced persons </w:t>
      </w:r>
      <w:r>
        <w:tab/>
      </w:r>
      <w:r>
        <w:tab/>
        <w:t>214</w:t>
      </w:r>
    </w:p>
    <w:p w:rsidR="00000000" w:rsidRDefault="00000000">
      <w:pPr>
        <w:tabs>
          <w:tab w:val="left" w:pos="720"/>
          <w:tab w:val="left" w:pos="1440"/>
          <w:tab w:val="left" w:leader="dot" w:pos="8220"/>
          <w:tab w:val="right" w:pos="9043"/>
        </w:tabs>
      </w:pPr>
      <w:r>
        <w:tab/>
        <w:t xml:space="preserve">General recommendation XXIII on the rights of indigenous peoples </w:t>
      </w:r>
      <w:r>
        <w:tab/>
      </w:r>
      <w:r>
        <w:tab/>
        <w:t>215</w:t>
      </w:r>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r>
        <w:tab/>
        <w:t xml:space="preserve">General recommendation XXIV concerning article 1 of the Convention </w:t>
      </w:r>
      <w:r>
        <w:tab/>
      </w:r>
      <w:r>
        <w:tab/>
        <w:t>216</w:t>
      </w:r>
    </w:p>
    <w:p w:rsidR="00000000" w:rsidRDefault="00000000">
      <w:pPr>
        <w:tabs>
          <w:tab w:val="left" w:pos="720"/>
          <w:tab w:val="left" w:pos="1440"/>
          <w:tab w:val="left" w:leader="dot" w:pos="8220"/>
          <w:tab w:val="right" w:pos="9043"/>
        </w:tabs>
      </w:pPr>
      <w:r>
        <w:tab/>
        <w:t>General recommendation XXV on gender-related dimensions of</w:t>
      </w:r>
      <w:r>
        <w:br/>
      </w:r>
      <w:r>
        <w:tab/>
        <w:t xml:space="preserve">racial discrimination </w:t>
      </w:r>
      <w:r>
        <w:tab/>
      </w:r>
      <w:r>
        <w:tab/>
        <w:t>217</w:t>
      </w:r>
    </w:p>
    <w:p w:rsidR="00000000" w:rsidRDefault="00000000">
      <w:pPr>
        <w:tabs>
          <w:tab w:val="left" w:pos="720"/>
          <w:tab w:val="left" w:pos="1440"/>
          <w:tab w:val="left" w:leader="dot" w:pos="8220"/>
          <w:tab w:val="right" w:pos="9043"/>
        </w:tabs>
      </w:pPr>
      <w:r>
        <w:tab/>
        <w:t xml:space="preserve">General recommendation XXVI on article 6 of the Convention </w:t>
      </w:r>
      <w:r>
        <w:tab/>
      </w:r>
      <w:r>
        <w:tab/>
        <w:t>218</w:t>
      </w:r>
    </w:p>
    <w:p w:rsidR="00000000" w:rsidRDefault="00000000">
      <w:pPr>
        <w:tabs>
          <w:tab w:val="left" w:pos="720"/>
          <w:tab w:val="left" w:pos="1440"/>
          <w:tab w:val="left" w:leader="dot" w:pos="8220"/>
          <w:tab w:val="right" w:pos="9043"/>
        </w:tabs>
      </w:pPr>
      <w:r>
        <w:tab/>
        <w:t xml:space="preserve">General recommendation XXVII on discrimination against Roma </w:t>
      </w:r>
      <w:r>
        <w:tab/>
      </w:r>
      <w:r>
        <w:tab/>
        <w:t>219</w:t>
      </w:r>
    </w:p>
    <w:p w:rsidR="00000000" w:rsidRDefault="00000000">
      <w:pPr>
        <w:tabs>
          <w:tab w:val="left" w:pos="720"/>
          <w:tab w:val="left" w:pos="1440"/>
          <w:tab w:val="left" w:leader="dot" w:pos="8220"/>
          <w:tab w:val="right" w:pos="9043"/>
        </w:tabs>
      </w:pPr>
      <w:r>
        <w:tab/>
        <w:t>General recommendation XXVIII on the follow-up to the World</w:t>
      </w:r>
      <w:r>
        <w:br/>
      </w:r>
      <w:r>
        <w:tab/>
        <w:t>Conference against Racism, Racial Discrimination, Xenophobia</w:t>
      </w:r>
      <w:r>
        <w:br/>
      </w:r>
      <w:r>
        <w:tab/>
        <w:t xml:space="preserve">and Related Intolerance </w:t>
      </w:r>
      <w:r>
        <w:tab/>
      </w:r>
      <w:r>
        <w:tab/>
        <w:t>224</w:t>
      </w:r>
    </w:p>
    <w:p w:rsidR="00000000" w:rsidRDefault="00000000">
      <w:pPr>
        <w:tabs>
          <w:tab w:val="left" w:pos="720"/>
          <w:tab w:val="left" w:pos="1440"/>
          <w:tab w:val="left" w:leader="dot" w:pos="8220"/>
          <w:tab w:val="right" w:pos="9043"/>
        </w:tabs>
      </w:pPr>
      <w:r>
        <w:tab/>
        <w:t>General recommendation XXIX on article 1, paragraph 1,</w:t>
      </w:r>
      <w:r>
        <w:br/>
      </w:r>
      <w:r>
        <w:tab/>
        <w:t xml:space="preserve">of the Convention (Descent) </w:t>
      </w:r>
      <w:r>
        <w:tab/>
      </w:r>
      <w:r>
        <w:tab/>
        <w:t>226</w:t>
      </w:r>
    </w:p>
    <w:p w:rsidR="00000000" w:rsidRDefault="00000000">
      <w:pPr>
        <w:tabs>
          <w:tab w:val="left" w:pos="720"/>
          <w:tab w:val="left" w:pos="1440"/>
          <w:tab w:val="left" w:leader="dot" w:pos="8220"/>
          <w:tab w:val="right" w:pos="9043"/>
        </w:tabs>
      </w:pPr>
      <w:r>
        <w:t>IV.</w:t>
      </w:r>
      <w:r>
        <w:tab/>
        <w:t xml:space="preserve">GENERAL RECOMMENDATIONS ADOPTED BY THE </w:t>
      </w:r>
      <w:r>
        <w:br/>
      </w:r>
      <w:r>
        <w:tab/>
        <w:t>COMMITTEE ON THE ELIMINATION OF</w:t>
      </w:r>
      <w:r>
        <w:br/>
      </w:r>
      <w:r>
        <w:tab/>
        <w:t xml:space="preserve">DISCRIMINATION AGAINST WOMEN </w:t>
      </w:r>
      <w:r>
        <w:tab/>
      </w:r>
      <w:r>
        <w:tab/>
        <w:t>233</w:t>
      </w:r>
    </w:p>
    <w:p w:rsidR="00000000" w:rsidRDefault="00000000">
      <w:pPr>
        <w:tabs>
          <w:tab w:val="left" w:pos="720"/>
          <w:tab w:val="left" w:pos="1440"/>
          <w:tab w:val="left" w:leader="dot" w:pos="8220"/>
          <w:tab w:val="right" w:pos="9043"/>
        </w:tabs>
      </w:pPr>
      <w:r>
        <w:tab/>
        <w:t xml:space="preserve">General recommendation No. 1:  Reporting by States parties </w:t>
      </w:r>
      <w:r>
        <w:tab/>
      </w:r>
      <w:r>
        <w:tab/>
        <w:t>233</w:t>
      </w:r>
    </w:p>
    <w:p w:rsidR="00000000" w:rsidRDefault="00000000">
      <w:pPr>
        <w:tabs>
          <w:tab w:val="left" w:pos="720"/>
          <w:tab w:val="left" w:pos="1440"/>
          <w:tab w:val="left" w:leader="dot" w:pos="8220"/>
          <w:tab w:val="right" w:pos="9043"/>
        </w:tabs>
      </w:pPr>
      <w:r>
        <w:tab/>
        <w:t xml:space="preserve">General recommendation No. 2:  Reporting by States parties </w:t>
      </w:r>
      <w:r>
        <w:tab/>
      </w:r>
      <w:r>
        <w:tab/>
        <w:t>233</w:t>
      </w:r>
    </w:p>
    <w:p w:rsidR="00000000" w:rsidRDefault="00000000">
      <w:pPr>
        <w:tabs>
          <w:tab w:val="left" w:pos="720"/>
          <w:tab w:val="left" w:pos="1440"/>
          <w:tab w:val="left" w:leader="dot" w:pos="8220"/>
          <w:tab w:val="right" w:pos="9043"/>
        </w:tabs>
      </w:pPr>
      <w:r>
        <w:tab/>
        <w:t>General recommendation No. 3:  Education and public information</w:t>
      </w:r>
      <w:r>
        <w:br/>
      </w:r>
      <w:r>
        <w:tab/>
        <w:t xml:space="preserve">campaigns </w:t>
      </w:r>
      <w:r>
        <w:tab/>
      </w:r>
      <w:r>
        <w:tab/>
        <w:t>234</w:t>
      </w:r>
    </w:p>
    <w:p w:rsidR="00000000" w:rsidRDefault="00000000">
      <w:pPr>
        <w:tabs>
          <w:tab w:val="left" w:pos="720"/>
          <w:tab w:val="left" w:pos="1440"/>
          <w:tab w:val="left" w:leader="dot" w:pos="8220"/>
          <w:tab w:val="right" w:pos="9043"/>
        </w:tabs>
      </w:pPr>
      <w:r>
        <w:tab/>
        <w:t xml:space="preserve">General recommendation No. 4:  Reservations </w:t>
      </w:r>
      <w:r>
        <w:tab/>
      </w:r>
      <w:r>
        <w:tab/>
        <w:t>234</w:t>
      </w:r>
    </w:p>
    <w:p w:rsidR="00000000" w:rsidRDefault="00000000">
      <w:pPr>
        <w:tabs>
          <w:tab w:val="left" w:pos="720"/>
          <w:tab w:val="left" w:pos="1440"/>
          <w:tab w:val="left" w:leader="dot" w:pos="8220"/>
          <w:tab w:val="right" w:pos="9043"/>
        </w:tabs>
      </w:pPr>
      <w:r>
        <w:tab/>
        <w:t xml:space="preserve">General recommendation No. 5:  Temporary special measures </w:t>
      </w:r>
      <w:r>
        <w:tab/>
      </w:r>
      <w:r>
        <w:tab/>
        <w:t>235</w:t>
      </w:r>
    </w:p>
    <w:p w:rsidR="00000000" w:rsidRDefault="00000000">
      <w:pPr>
        <w:tabs>
          <w:tab w:val="left" w:pos="720"/>
          <w:tab w:val="left" w:pos="1440"/>
          <w:tab w:val="left" w:leader="dot" w:pos="8220"/>
          <w:tab w:val="right" w:pos="9043"/>
        </w:tabs>
      </w:pPr>
      <w:r>
        <w:tab/>
        <w:t>General recommendation No. 6:  Effective national machinery</w:t>
      </w:r>
      <w:r>
        <w:br/>
      </w:r>
      <w:r>
        <w:tab/>
        <w:t xml:space="preserve">and publicity </w:t>
      </w:r>
      <w:r>
        <w:tab/>
      </w:r>
      <w:r>
        <w:tab/>
        <w:t>235</w:t>
      </w:r>
    </w:p>
    <w:p w:rsidR="00000000" w:rsidRDefault="00000000">
      <w:pPr>
        <w:tabs>
          <w:tab w:val="left" w:pos="720"/>
          <w:tab w:val="left" w:pos="1440"/>
          <w:tab w:val="left" w:leader="dot" w:pos="8220"/>
          <w:tab w:val="right" w:pos="9043"/>
        </w:tabs>
      </w:pPr>
      <w:r>
        <w:tab/>
        <w:t xml:space="preserve">General recommendation No. 7:  Resources </w:t>
      </w:r>
      <w:r>
        <w:tab/>
      </w:r>
      <w:r>
        <w:tab/>
        <w:t>236</w:t>
      </w:r>
    </w:p>
    <w:p w:rsidR="00000000" w:rsidRDefault="00000000">
      <w:pPr>
        <w:tabs>
          <w:tab w:val="left" w:pos="720"/>
          <w:tab w:val="left" w:pos="1440"/>
          <w:tab w:val="left" w:leader="dot" w:pos="8220"/>
          <w:tab w:val="right" w:pos="9043"/>
        </w:tabs>
      </w:pPr>
      <w:r>
        <w:tab/>
        <w:t>General recommendation No. 8:  Implementation of article 8</w:t>
      </w:r>
      <w:r>
        <w:br/>
      </w:r>
      <w:r>
        <w:tab/>
        <w:t xml:space="preserve">of the Convention </w:t>
      </w:r>
      <w:r>
        <w:tab/>
      </w:r>
      <w:r>
        <w:tab/>
        <w:t>237</w:t>
      </w:r>
    </w:p>
    <w:p w:rsidR="00000000" w:rsidRDefault="00000000">
      <w:pPr>
        <w:tabs>
          <w:tab w:val="left" w:pos="720"/>
          <w:tab w:val="left" w:pos="1440"/>
          <w:tab w:val="left" w:leader="dot" w:pos="8220"/>
          <w:tab w:val="right" w:pos="9043"/>
        </w:tabs>
      </w:pPr>
      <w:r>
        <w:tab/>
        <w:t>General recommendation No. 9:  Statistical data concerning the</w:t>
      </w:r>
      <w:r>
        <w:br/>
      </w:r>
      <w:r>
        <w:tab/>
        <w:t xml:space="preserve">situation of women </w:t>
      </w:r>
      <w:r>
        <w:tab/>
      </w:r>
      <w:r>
        <w:tab/>
        <w:t>237</w:t>
      </w:r>
    </w:p>
    <w:p w:rsidR="00000000" w:rsidRDefault="00000000">
      <w:pPr>
        <w:tabs>
          <w:tab w:val="left" w:pos="720"/>
          <w:tab w:val="left" w:pos="1440"/>
          <w:tab w:val="left" w:leader="dot" w:pos="8220"/>
          <w:tab w:val="right" w:pos="9043"/>
        </w:tabs>
      </w:pPr>
      <w:r>
        <w:tab/>
        <w:t>General recommendation No. 10:  Tenth anniversary of the adoption</w:t>
      </w:r>
      <w:r>
        <w:br/>
      </w:r>
      <w:r>
        <w:tab/>
        <w:t>of the Convention on the Elimination of All Forms of Discrimination</w:t>
      </w:r>
      <w:r>
        <w:br/>
      </w:r>
      <w:r>
        <w:tab/>
        <w:t xml:space="preserve">against Women </w:t>
      </w:r>
      <w:r>
        <w:tab/>
      </w:r>
      <w:r>
        <w:tab/>
        <w:t>238</w:t>
      </w:r>
    </w:p>
    <w:p w:rsidR="00000000" w:rsidRDefault="00000000">
      <w:pPr>
        <w:jc w:val="center"/>
      </w:pPr>
      <w:r>
        <w:rPr>
          <w:b/>
        </w:rPr>
        <w:br w:type="page"/>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r>
        <w:tab/>
        <w:t>General recommendation No. 11:  Technical advisory services for</w:t>
      </w:r>
      <w:r>
        <w:br/>
      </w:r>
      <w:r>
        <w:tab/>
        <w:t xml:space="preserve">reporting obligations </w:t>
      </w:r>
      <w:r>
        <w:tab/>
      </w:r>
      <w:r>
        <w:tab/>
        <w:t>239</w:t>
      </w:r>
    </w:p>
    <w:p w:rsidR="00000000" w:rsidRDefault="00000000">
      <w:pPr>
        <w:tabs>
          <w:tab w:val="left" w:pos="720"/>
          <w:tab w:val="left" w:pos="1440"/>
          <w:tab w:val="left" w:leader="dot" w:pos="8220"/>
          <w:tab w:val="right" w:pos="9043"/>
        </w:tabs>
      </w:pPr>
      <w:r>
        <w:tab/>
        <w:t xml:space="preserve">General recommendation No. 12:  Violence against women </w:t>
      </w:r>
      <w:r>
        <w:tab/>
      </w:r>
      <w:r>
        <w:tab/>
        <w:t>240</w:t>
      </w:r>
    </w:p>
    <w:p w:rsidR="00000000" w:rsidRDefault="00000000">
      <w:pPr>
        <w:tabs>
          <w:tab w:val="left" w:pos="720"/>
          <w:tab w:val="left" w:pos="1440"/>
          <w:tab w:val="left" w:leader="dot" w:pos="8220"/>
          <w:tab w:val="right" w:pos="9043"/>
        </w:tabs>
      </w:pPr>
      <w:r>
        <w:tab/>
        <w:t>General recommendation No. 13:  Equal remuneration for work</w:t>
      </w:r>
      <w:r>
        <w:br/>
      </w:r>
      <w:r>
        <w:tab/>
        <w:t xml:space="preserve">of equal value </w:t>
      </w:r>
      <w:r>
        <w:tab/>
      </w:r>
      <w:r>
        <w:tab/>
        <w:t>240</w:t>
      </w:r>
    </w:p>
    <w:p w:rsidR="00000000" w:rsidRDefault="00000000">
      <w:pPr>
        <w:tabs>
          <w:tab w:val="left" w:pos="720"/>
          <w:tab w:val="left" w:pos="1440"/>
          <w:tab w:val="left" w:leader="dot" w:pos="8220"/>
          <w:tab w:val="right" w:pos="9043"/>
        </w:tabs>
      </w:pPr>
      <w:r>
        <w:tab/>
        <w:t xml:space="preserve">General recommendation No. 14:  Female circumcision </w:t>
      </w:r>
      <w:r>
        <w:tab/>
      </w:r>
      <w:r>
        <w:tab/>
        <w:t>241</w:t>
      </w:r>
    </w:p>
    <w:p w:rsidR="00000000" w:rsidRDefault="00000000">
      <w:pPr>
        <w:tabs>
          <w:tab w:val="left" w:pos="720"/>
          <w:tab w:val="left" w:pos="1440"/>
          <w:tab w:val="left" w:leader="dot" w:pos="8220"/>
          <w:tab w:val="right" w:pos="9043"/>
        </w:tabs>
      </w:pPr>
      <w:r>
        <w:tab/>
        <w:t>General recommendation No. 15:  Avoidance of discrimination</w:t>
      </w:r>
      <w:r>
        <w:br/>
      </w:r>
      <w:r>
        <w:tab/>
        <w:t>against women in national strategies for the prevention and control</w:t>
      </w:r>
      <w:r>
        <w:br/>
      </w:r>
      <w:r>
        <w:tab/>
        <w:t xml:space="preserve">of acquired immunodeficiency syndrome (AIDS) </w:t>
      </w:r>
      <w:r>
        <w:tab/>
      </w:r>
      <w:r>
        <w:tab/>
        <w:t>243</w:t>
      </w:r>
    </w:p>
    <w:p w:rsidR="00000000" w:rsidRDefault="00000000">
      <w:pPr>
        <w:tabs>
          <w:tab w:val="left" w:pos="720"/>
          <w:tab w:val="left" w:pos="1440"/>
          <w:tab w:val="left" w:leader="dot" w:pos="8220"/>
          <w:tab w:val="right" w:pos="9043"/>
        </w:tabs>
      </w:pPr>
      <w:r>
        <w:tab/>
        <w:t xml:space="preserve">General recommendation No. 16:  Unpaid women workers </w:t>
      </w:r>
      <w:r>
        <w:br/>
      </w:r>
      <w:r>
        <w:tab/>
        <w:t xml:space="preserve">in rural and urban family enterprises </w:t>
      </w:r>
      <w:r>
        <w:tab/>
      </w:r>
      <w:r>
        <w:tab/>
        <w:t>244</w:t>
      </w:r>
    </w:p>
    <w:p w:rsidR="00000000" w:rsidRDefault="00000000">
      <w:pPr>
        <w:tabs>
          <w:tab w:val="left" w:pos="720"/>
          <w:tab w:val="left" w:pos="1440"/>
          <w:tab w:val="left" w:leader="dot" w:pos="8220"/>
          <w:tab w:val="right" w:pos="9043"/>
        </w:tabs>
      </w:pPr>
      <w:r>
        <w:tab/>
        <w:t>General recommendation No. 17:  Measurement and quantification</w:t>
      </w:r>
      <w:r>
        <w:br/>
      </w:r>
      <w:r>
        <w:tab/>
        <w:t>of the unremunerated domestic activities of women and their</w:t>
      </w:r>
      <w:r>
        <w:br/>
      </w:r>
      <w:r>
        <w:tab/>
        <w:t xml:space="preserve">recognition in the gross national product </w:t>
      </w:r>
      <w:r>
        <w:tab/>
      </w:r>
      <w:r>
        <w:tab/>
        <w:t>245</w:t>
      </w:r>
    </w:p>
    <w:p w:rsidR="00000000" w:rsidRDefault="00000000">
      <w:pPr>
        <w:tabs>
          <w:tab w:val="left" w:pos="720"/>
          <w:tab w:val="left" w:pos="1440"/>
          <w:tab w:val="left" w:leader="dot" w:pos="8220"/>
          <w:tab w:val="right" w:pos="9043"/>
        </w:tabs>
      </w:pPr>
      <w:r>
        <w:tab/>
        <w:t xml:space="preserve">General recommendation No. 18:  Disabled women </w:t>
      </w:r>
      <w:r>
        <w:tab/>
      </w:r>
      <w:r>
        <w:tab/>
        <w:t>246</w:t>
      </w:r>
    </w:p>
    <w:p w:rsidR="00000000" w:rsidRDefault="00000000">
      <w:pPr>
        <w:tabs>
          <w:tab w:val="left" w:pos="720"/>
          <w:tab w:val="left" w:pos="1440"/>
          <w:tab w:val="left" w:leader="dot" w:pos="8220"/>
          <w:tab w:val="right" w:pos="9043"/>
        </w:tabs>
      </w:pPr>
      <w:r>
        <w:tab/>
        <w:t xml:space="preserve">General recommendation No. 19:  Violence against women </w:t>
      </w:r>
      <w:r>
        <w:tab/>
      </w:r>
      <w:r>
        <w:tab/>
        <w:t>246</w:t>
      </w:r>
    </w:p>
    <w:p w:rsidR="00000000" w:rsidRDefault="00000000">
      <w:pPr>
        <w:tabs>
          <w:tab w:val="left" w:pos="720"/>
          <w:tab w:val="left" w:pos="1440"/>
          <w:tab w:val="left" w:leader="dot" w:pos="8220"/>
          <w:tab w:val="right" w:pos="9043"/>
        </w:tabs>
      </w:pPr>
      <w:r>
        <w:tab/>
        <w:t xml:space="preserve">General recommendation No. 20:  Reservations to the Convention </w:t>
      </w:r>
      <w:r>
        <w:tab/>
      </w:r>
      <w:r>
        <w:tab/>
        <w:t>252</w:t>
      </w:r>
    </w:p>
    <w:p w:rsidR="00000000" w:rsidRDefault="00000000">
      <w:pPr>
        <w:tabs>
          <w:tab w:val="left" w:pos="720"/>
          <w:tab w:val="left" w:pos="1440"/>
          <w:tab w:val="left" w:leader="dot" w:pos="8220"/>
          <w:tab w:val="right" w:pos="9043"/>
        </w:tabs>
      </w:pPr>
      <w:r>
        <w:tab/>
        <w:t>General recommendation No. 21:  Equality in marriage and</w:t>
      </w:r>
      <w:r>
        <w:br/>
      </w:r>
      <w:r>
        <w:tab/>
        <w:t xml:space="preserve">family relations </w:t>
      </w:r>
      <w:r>
        <w:tab/>
      </w:r>
      <w:r>
        <w:tab/>
        <w:t>253</w:t>
      </w:r>
    </w:p>
    <w:p w:rsidR="00000000" w:rsidRDefault="00000000">
      <w:pPr>
        <w:tabs>
          <w:tab w:val="left" w:pos="720"/>
          <w:tab w:val="left" w:pos="1440"/>
          <w:tab w:val="left" w:leader="dot" w:pos="8220"/>
          <w:tab w:val="right" w:pos="9043"/>
        </w:tabs>
      </w:pPr>
      <w:r>
        <w:tab/>
        <w:t>General recommendation No. 22:  Amending article 20 of</w:t>
      </w:r>
      <w:r>
        <w:br/>
      </w:r>
      <w:r>
        <w:tab/>
        <w:t xml:space="preserve">the Convention </w:t>
      </w:r>
      <w:r>
        <w:tab/>
      </w:r>
      <w:r>
        <w:tab/>
        <w:t>262</w:t>
      </w:r>
    </w:p>
    <w:p w:rsidR="00000000" w:rsidRDefault="00000000">
      <w:pPr>
        <w:tabs>
          <w:tab w:val="left" w:pos="720"/>
          <w:tab w:val="left" w:pos="1440"/>
          <w:tab w:val="left" w:leader="dot" w:pos="8220"/>
          <w:tab w:val="right" w:pos="9043"/>
        </w:tabs>
      </w:pPr>
      <w:r>
        <w:tab/>
        <w:t xml:space="preserve">General recommendation No. 23:  Political and public life </w:t>
      </w:r>
      <w:r>
        <w:tab/>
      </w:r>
      <w:r>
        <w:tab/>
        <w:t>263</w:t>
      </w:r>
    </w:p>
    <w:p w:rsidR="00000000" w:rsidRDefault="00000000">
      <w:pPr>
        <w:tabs>
          <w:tab w:val="left" w:pos="720"/>
          <w:tab w:val="left" w:pos="1440"/>
          <w:tab w:val="left" w:leader="dot" w:pos="8220"/>
          <w:tab w:val="right" w:pos="9043"/>
        </w:tabs>
      </w:pPr>
      <w:r>
        <w:tab/>
        <w:t>General recommendation No. 24:  Article 12 of the Convention</w:t>
      </w:r>
      <w:r>
        <w:br/>
      </w:r>
      <w:r>
        <w:tab/>
        <w:t xml:space="preserve">(women and health) </w:t>
      </w:r>
      <w:r>
        <w:tab/>
      </w:r>
      <w:r>
        <w:tab/>
        <w:t>274</w:t>
      </w:r>
    </w:p>
    <w:p w:rsidR="00000000" w:rsidRDefault="00000000">
      <w:pPr>
        <w:tabs>
          <w:tab w:val="left" w:pos="720"/>
          <w:tab w:val="left" w:pos="1440"/>
          <w:tab w:val="left" w:leader="dot" w:pos="8220"/>
          <w:tab w:val="right" w:pos="9043"/>
        </w:tabs>
      </w:pPr>
      <w:r>
        <w:tab/>
        <w:t>General recommendation No. 25:  Article 4, paragraph 1,</w:t>
      </w:r>
      <w:r>
        <w:br/>
      </w:r>
      <w:r>
        <w:tab/>
        <w:t xml:space="preserve">of the Convention  (temporary special measures) </w:t>
      </w:r>
      <w:r>
        <w:tab/>
      </w:r>
      <w:r>
        <w:tab/>
        <w:t>282</w:t>
      </w:r>
    </w:p>
    <w:p w:rsidR="00000000" w:rsidRDefault="00000000">
      <w:pPr>
        <w:tabs>
          <w:tab w:val="left" w:pos="720"/>
          <w:tab w:val="left" w:pos="1440"/>
          <w:tab w:val="left" w:leader="dot" w:pos="8220"/>
          <w:tab w:val="right" w:pos="9043"/>
        </w:tabs>
      </w:pPr>
      <w:r>
        <w:t xml:space="preserve">  V.</w:t>
      </w:r>
      <w:r>
        <w:tab/>
        <w:t>GENERAL COMMENT ADOPTED BY THE COMMITTEE</w:t>
      </w:r>
      <w:r>
        <w:br/>
      </w:r>
      <w:r>
        <w:tab/>
        <w:t xml:space="preserve">AGAINST TORTURE </w:t>
      </w:r>
      <w:r>
        <w:tab/>
      </w:r>
      <w:r>
        <w:tab/>
        <w:t>291</w:t>
      </w:r>
    </w:p>
    <w:p w:rsidR="00000000" w:rsidRDefault="00000000">
      <w:pPr>
        <w:tabs>
          <w:tab w:val="left" w:pos="720"/>
          <w:tab w:val="left" w:pos="1440"/>
          <w:tab w:val="left" w:leader="dot" w:pos="8220"/>
          <w:tab w:val="right" w:pos="9043"/>
        </w:tabs>
      </w:pPr>
      <w:r>
        <w:tab/>
        <w:t>General comment No. 1:  Implementation of article 3 of the Convention</w:t>
      </w:r>
      <w:r>
        <w:br/>
      </w:r>
      <w:r>
        <w:tab/>
        <w:t xml:space="preserve">in the context of article 22 (Refoulement and communications) </w:t>
      </w:r>
      <w:r>
        <w:tab/>
      </w:r>
      <w:r>
        <w:tab/>
        <w:t>291</w:t>
      </w:r>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r>
        <w:t>VI.</w:t>
      </w:r>
      <w:r>
        <w:tab/>
        <w:t>GENERAL COMMENT ADOPTED BY THE COMMITTEE ON</w:t>
      </w:r>
      <w:r>
        <w:br/>
      </w:r>
      <w:r>
        <w:tab/>
        <w:t xml:space="preserve">THE RIGHTS OF THE CHILD </w:t>
      </w:r>
      <w:r>
        <w:tab/>
      </w:r>
      <w:r>
        <w:tab/>
        <w:t>294</w:t>
      </w:r>
    </w:p>
    <w:p w:rsidR="00000000" w:rsidRDefault="00000000">
      <w:pPr>
        <w:tabs>
          <w:tab w:val="left" w:pos="720"/>
          <w:tab w:val="left" w:pos="1440"/>
          <w:tab w:val="left" w:leader="dot" w:pos="8220"/>
          <w:tab w:val="right" w:pos="9043"/>
        </w:tabs>
      </w:pPr>
      <w:r>
        <w:tab/>
        <w:t xml:space="preserve">General comment No. 1:  The aims of education </w:t>
      </w:r>
      <w:r>
        <w:tab/>
      </w:r>
      <w:r>
        <w:tab/>
        <w:t>294</w:t>
      </w:r>
    </w:p>
    <w:p w:rsidR="00000000" w:rsidRDefault="00000000">
      <w:pPr>
        <w:tabs>
          <w:tab w:val="left" w:pos="720"/>
          <w:tab w:val="left" w:pos="1440"/>
          <w:tab w:val="left" w:leader="dot" w:pos="8220"/>
          <w:tab w:val="right" w:pos="9043"/>
        </w:tabs>
      </w:pPr>
      <w:r>
        <w:tab/>
        <w:t>General comment No. 2:  The role of independent national human</w:t>
      </w:r>
      <w:r>
        <w:br/>
      </w:r>
      <w:r>
        <w:tab/>
        <w:t>rights institutions in the promotion and protection of the rights</w:t>
      </w:r>
      <w:r>
        <w:br/>
      </w:r>
      <w:r>
        <w:tab/>
        <w:t xml:space="preserve">of the child </w:t>
      </w:r>
      <w:r>
        <w:tab/>
      </w:r>
      <w:r>
        <w:tab/>
        <w:t>301</w:t>
      </w:r>
    </w:p>
    <w:p w:rsidR="00000000" w:rsidRDefault="00000000">
      <w:pPr>
        <w:tabs>
          <w:tab w:val="left" w:pos="720"/>
          <w:tab w:val="left" w:pos="1440"/>
          <w:tab w:val="left" w:leader="dot" w:pos="8220"/>
          <w:tab w:val="right" w:pos="9043"/>
        </w:tabs>
      </w:pPr>
      <w:r>
        <w:tab/>
        <w:t xml:space="preserve">General comment No. 3:  HIV/AIDS and the rights of the child </w:t>
      </w:r>
      <w:r>
        <w:tab/>
      </w:r>
      <w:r>
        <w:tab/>
        <w:t>308</w:t>
      </w:r>
    </w:p>
    <w:p w:rsidR="00000000" w:rsidRDefault="00000000">
      <w:pPr>
        <w:tabs>
          <w:tab w:val="left" w:pos="720"/>
          <w:tab w:val="left" w:pos="1440"/>
          <w:tab w:val="left" w:leader="dot" w:pos="8220"/>
          <w:tab w:val="right" w:pos="9043"/>
        </w:tabs>
      </w:pPr>
      <w:r>
        <w:tab/>
        <w:t>General comment No. 4:  Adolescent health and development in the</w:t>
      </w:r>
      <w:r>
        <w:br/>
      </w:r>
      <w:r>
        <w:tab/>
        <w:t xml:space="preserve">context of the Convention on the Rights of the Child </w:t>
      </w:r>
      <w:r>
        <w:tab/>
      </w:r>
      <w:r>
        <w:tab/>
        <w:t>321</w:t>
      </w:r>
    </w:p>
    <w:p w:rsidR="00000000" w:rsidRDefault="00000000">
      <w:pPr>
        <w:tabs>
          <w:tab w:val="left" w:pos="720"/>
          <w:tab w:val="left" w:pos="1440"/>
          <w:tab w:val="left" w:leader="dot" w:pos="8220"/>
          <w:tab w:val="right" w:pos="9043"/>
        </w:tabs>
      </w:pPr>
      <w:r>
        <w:tab/>
        <w:t>General comment No. 5:  General measures of implementation of the</w:t>
      </w:r>
      <w:r>
        <w:br/>
      </w:r>
      <w:r>
        <w:tab/>
        <w:t xml:space="preserve">Convention on the Rights of the Child (arts. 4, 42 and 44, para. 6) </w:t>
      </w:r>
      <w:r>
        <w:tab/>
      </w:r>
      <w:r>
        <w:tab/>
        <w:t>332</w:t>
      </w:r>
    </w:p>
    <w:p w:rsidR="00000000" w:rsidRDefault="00000000">
      <w:pPr>
        <w:pStyle w:val="Heading1"/>
        <w:ind w:left="1588" w:hanging="454"/>
        <w:jc w:val="left"/>
      </w:pPr>
      <w:r>
        <w:br w:type="page"/>
        <w:t>I.</w:t>
      </w:r>
      <w:r>
        <w:tab/>
        <w:t xml:space="preserve">GENERAL COMMENTS adopted by the Committee </w:t>
      </w:r>
      <w:r>
        <w:br/>
        <w:t>on ECONOMIC, SOCIAL AND CULTURAL RIGHTS</w:t>
      </w:r>
    </w:p>
    <w:p w:rsidR="00000000" w:rsidRDefault="00000000">
      <w:pPr>
        <w:pStyle w:val="Heading2"/>
      </w:pPr>
      <w:bookmarkStart w:id="2" w:name="_Toc481083336"/>
      <w:r>
        <w:t>Introduction:  the purpose of general comments</w:t>
      </w:r>
      <w:bookmarkEnd w:id="2"/>
      <w:r>
        <w:rPr>
          <w:rStyle w:val="FootnoteReference"/>
          <w:vertAlign w:val="baseline"/>
        </w:rPr>
        <w:footnoteReference w:customMarkFollows="1" w:id="2"/>
        <w:t>*</w:t>
      </w:r>
    </w:p>
    <w:p w:rsidR="00000000" w:rsidRDefault="00000000">
      <w:r>
        <w:t>1.</w:t>
      </w:r>
      <w:r>
        <w:tab/>
        <w:t>At its second session, in 1988, the Committee decided (E/1988/14, paras. 366 and 367), pursuant to an invitation addressed to it by the Economic and Social Council (resolution 1987/5) and endorsed by the General Assembly (resolution 42/102), to begin, as from its third session, the preparation of general comments based on the various articles and provisions of the International Covenant on Economic, Social and Cultural Rights with a view to assisting the States parties in fulfilling their reporting obligations.</w:t>
      </w:r>
    </w:p>
    <w:p w:rsidR="00000000" w:rsidRDefault="00000000">
      <w:r>
        <w:t>2.</w:t>
      </w:r>
      <w:r>
        <w:tab/>
        <w:t>The Committee, and the sessional working group of governmental experts which existed prior to the creation of the Committee, have examined 138 initial reports and 44 second periodic reports concerning rights covered by articles 6 to 9, 10 to 12 and 13 to 15 of the Covenant as of the end of its third session.  This experience covers a significant number of States parties to the Covenant, currently consisting of 92 States.  They represent all regions of the world, with different socio</w:t>
      </w:r>
      <w:r>
        <w:noBreakHyphen/>
        <w:t>economic, cultural, political and legal systems. Their reports submitted so far illustrate many of the problems which might arise in implementing the Covenant although they have not yet provided any complete picture as to the global situation with regard to the enjoyment of economic, social and cultural rights.  The introduction to annex III (General comments) of the Committee’s 1989 report to the Economic and Social Council (E/1989/22) explains the purpose of the general comments as follows:</w:t>
      </w:r>
    </w:p>
    <w:p w:rsidR="00000000" w:rsidRDefault="00000000">
      <w:r>
        <w:t>3.</w:t>
      </w:r>
      <w:r>
        <w:tab/>
        <w:t>“The Committee endeavours, through its general comments, to make the experience gained so far through the examination of these reports available for the benefit of all States parties in order to assist and promote their further implementation of the Covenant; to draw the attention of the States parties to insufficiencies disclosed by a large number of reports; to suggest improvements in the reporting procedures and to stimulate the activities of the States parties, the international organizations and the specialized agencies concerned in achieving progressively and effectively the full realization of the rights recognized in the Covenant.  Whenever necessary, the Committee may, in the light of the experience of States parties and of the conclusions which it has drawn therefrom, revise and update its general comments.”</w:t>
      </w:r>
    </w:p>
    <w:p w:rsidR="00000000" w:rsidRDefault="00000000">
      <w:pPr>
        <w:pStyle w:val="Heading2"/>
      </w:pPr>
      <w:r>
        <w:t>Third session (1989)</w:t>
      </w:r>
      <w:r>
        <w:rPr>
          <w:b w:val="0"/>
        </w:rPr>
        <w:t>*</w:t>
      </w:r>
    </w:p>
    <w:p w:rsidR="00000000" w:rsidRDefault="00000000">
      <w:pPr>
        <w:pStyle w:val="Heading2"/>
      </w:pPr>
      <w:bookmarkStart w:id="3" w:name="_Toc481083337"/>
      <w:bookmarkStart w:id="4" w:name="_Toc481084119"/>
      <w:bookmarkStart w:id="5" w:name="_Toc70388934"/>
      <w:bookmarkStart w:id="6" w:name="_Toc70390214"/>
      <w:bookmarkStart w:id="7" w:name="_Toc70390586"/>
      <w:bookmarkStart w:id="8" w:name="_Toc70516938"/>
      <w:r>
        <w:t>General comment No. 1:  Reporting by States parties</w:t>
      </w:r>
      <w:bookmarkEnd w:id="3"/>
      <w:bookmarkEnd w:id="4"/>
      <w:bookmarkEnd w:id="5"/>
      <w:bookmarkEnd w:id="6"/>
      <w:bookmarkEnd w:id="7"/>
      <w:bookmarkEnd w:id="8"/>
    </w:p>
    <w:p w:rsidR="00000000" w:rsidRDefault="00000000">
      <w:r>
        <w:t>1.</w:t>
      </w:r>
      <w:r>
        <w:tab/>
        <w:t xml:space="preserve">The reporting obligations which are contained in part IV of the Covenant are designed principally to assist each State party in fulfilling its obligations under the Covenant and, in addition, to provide a basis on which the Council, assisted by the Committee, can discharge its </w:t>
      </w:r>
    </w:p>
    <w:p w:rsidR="00000000" w:rsidRDefault="00000000">
      <w:r>
        <w:br w:type="page"/>
        <w:t>responsibilities for monitoring States parties’ compliance with their obligations and for facilitating the realization of economic, social and cultural rights in accordance with the provisions of the Covenant.  The Committee considers that it would be incorrect to assume that reporting is essentially only a procedural matter designed solely to satisfy each State party’s formal obligation to report to the appropriate international monitoring body.  On the contrary, in accordance with the letter and spirit of the Covenant, the processes of preparation and submission of reports by States can, and indeed should, serve to achieve a variety of objectives.</w:t>
      </w:r>
    </w:p>
    <w:p w:rsidR="00000000" w:rsidRDefault="00000000">
      <w:r>
        <w:t>2.</w:t>
      </w:r>
      <w:r>
        <w:tab/>
        <w:t xml:space="preserve">A </w:t>
      </w:r>
      <w:r>
        <w:rPr>
          <w:i/>
        </w:rPr>
        <w:t>first objective</w:t>
      </w:r>
      <w:r>
        <w:t>, which is of particular relevance to the initial report required to be submitted within two years of the Covenant’s entry into force for the State party concerned, is to ensure that a comprehensive review is undertaken with respect to national legislation, administrative rules and procedures, and practices in an effort to ensure the fullest possible conformity with the Covenant.  Such a review might, for example, be undertaken in conjunction with each of the relevant national ministries or other authorities responsible for policy</w:t>
      </w:r>
      <w:r>
        <w:noBreakHyphen/>
        <w:t>making and implementation in the different fields covered by the Covenant.</w:t>
      </w:r>
    </w:p>
    <w:p w:rsidR="00000000" w:rsidRDefault="00000000">
      <w:r>
        <w:t>3.</w:t>
      </w:r>
      <w:r>
        <w:tab/>
        <w:t xml:space="preserve">A </w:t>
      </w:r>
      <w:r>
        <w:rPr>
          <w:i/>
        </w:rPr>
        <w:t>second objective</w:t>
      </w:r>
      <w:r>
        <w:t xml:space="preserve"> is to ensure that the State party monitors the actual situation with respect to each of the rights on a regular basis and is thus aware of the extent to which the various rights are, or are not, being enjoyed by all individuals within its territory or under its jurisdiction.  From the Committee’s experience to date, it is clear that the fulfilment of this objective cannot be achieved only by the preparation of aggregate national statistics or estimates, but also requires that special attention be given to any worse</w:t>
      </w:r>
      <w:r>
        <w:noBreakHyphen/>
        <w:t>off regions or areas and to any specific groups or subgroups which appear to be particularly vulnerable or disadvantaged.  Thus, the essential first step towards promoting the realization of economic, social and cultural rights is diagnosis and knowledge of the existing situation.  The Committee is aware that this process of monitoring and gathering information is a potentially time</w:t>
      </w:r>
      <w:r>
        <w:noBreakHyphen/>
        <w:t>consuming and costly one and that international assistance and cooperation, as provided for in article 2, paragraph 1 and articles 22 and 23 of the Covenant, may well be required in order to enable some States parties to fulfil the relevant obligations.  If that is the case, and the State party concludes that it does not have the capacity to undertake the monitoring process which is an integral part of any process designed to promote accepted goals of public policy and is indispensable to the effective implementation of the Covenant, it may note this fact in its report to the Committee and indicate the nature and extent of any international assistance that it may need.</w:t>
      </w:r>
    </w:p>
    <w:p w:rsidR="00000000" w:rsidRDefault="00000000">
      <w:r>
        <w:t>4.</w:t>
      </w:r>
      <w:r>
        <w:tab/>
        <w:t xml:space="preserve">While monitoring is designed to give a detailed overview of the existing situation, the principal value of such an overview is to provide the basis for the elaboration of clearly stated and carefully targeted policies, including the establishment of priorities which reflect the provisions of the Covenant.  Therefore, a </w:t>
      </w:r>
      <w:r>
        <w:rPr>
          <w:i/>
        </w:rPr>
        <w:t>third objective</w:t>
      </w:r>
      <w:r>
        <w:t xml:space="preserve"> of the reporting process is to enable the Government to demonstrate that such principled policy</w:t>
      </w:r>
      <w:r>
        <w:noBreakHyphen/>
        <w:t>making has in fact been undertaken.  While the Covenant makes this obligation explicit only in article 14 in cases where “compulsory primary education, free of charge” has not yet been secured for all, a comparable obligation “to work out and adopt a detailed plan of action for the progressive implementation” of each of the rights contained in the Covenant is clearly implied by the obligation in article 2, paragraph 1 “to take steps ...  by all appropriate means ...”.</w:t>
      </w:r>
    </w:p>
    <w:p w:rsidR="00000000" w:rsidRDefault="00000000">
      <w:r>
        <w:br w:type="page"/>
        <w:t>5.</w:t>
      </w:r>
      <w:r>
        <w:tab/>
        <w:t xml:space="preserve">A </w:t>
      </w:r>
      <w:r>
        <w:rPr>
          <w:i/>
        </w:rPr>
        <w:t>fourth objective</w:t>
      </w:r>
      <w:r>
        <w:t xml:space="preserve"> of the reporting process is to facilitate public scrutiny of government policies with respect to economic, social and cultural rights and to encourage the involvement of the various economic, social and cultural sectors of society in the formulation, implementation and review of the relevant policies.  In examining reports submitted to it to date, the Committee has welcomed the fact that a number of States parties, reflecting different political and economic systems, have encouraged inputs by such non</w:t>
      </w:r>
      <w:r>
        <w:noBreakHyphen/>
        <w:t>governmental groups into the preparation of their reports under the Covenant.  Other States have ensured the widespread dissemination of their reports with a view to enabling comments to be made by the public at large.  In these ways, the preparation of the report, and its consideration at the national level can come to be of at least as much value as the constructive dialogue conducted at the international level between the Committee and representatives of the reporting State.</w:t>
      </w:r>
    </w:p>
    <w:p w:rsidR="00000000" w:rsidRDefault="00000000">
      <w:r>
        <w:t>6.</w:t>
      </w:r>
      <w:r>
        <w:tab/>
        <w:t xml:space="preserve">A </w:t>
      </w:r>
      <w:r>
        <w:rPr>
          <w:i/>
        </w:rPr>
        <w:t>fifth objective</w:t>
      </w:r>
      <w:r>
        <w:t xml:space="preserve"> is to provide a basis on which the State party itself, as well as the Committee, can effectively evaluate the extent to which progress has been made towards the realization of the obligations contained in the Covenant.  For this purpose, it may be useful for States to identify specific benchmarks or goals against which their performance in a given area can be assessed.  Thus, for example, it is generally agreed that it is important to set specific goals with respect to the reduction of infant mortality, the extent of vaccination of children, the intake of calories per person, the number of persons per health</w:t>
      </w:r>
      <w:r>
        <w:noBreakHyphen/>
        <w:t>care provider, etc.  In many of these areas, global benchmarks are of limited use, whereas national or other more specific benchmarks can provide an extremely valuable indication of progress.</w:t>
      </w:r>
    </w:p>
    <w:p w:rsidR="00000000" w:rsidRDefault="00000000">
      <w:r>
        <w:t>7.</w:t>
      </w:r>
      <w:r>
        <w:tab/>
        <w:t>In this regard, the Committee wishes to note that the Covenant attaches particular importance to the concept of “progressive realization” of the relevant rights and, for that reason, the Committee urges States parties to include in their periodic reports information which shows the progress over time, with respect to the effective realization of the relevant rights.  By the same token, it is clear that qualitative, as well as quantitative, data are required in order for an adequate assessment of the situation to be made.</w:t>
      </w:r>
    </w:p>
    <w:p w:rsidR="00000000" w:rsidRDefault="00000000">
      <w:r>
        <w:t>8.</w:t>
      </w:r>
      <w:r>
        <w:tab/>
        <w:t xml:space="preserve">A </w:t>
      </w:r>
      <w:r>
        <w:rPr>
          <w:i/>
        </w:rPr>
        <w:t>sixth objective</w:t>
      </w:r>
      <w:r>
        <w:t xml:space="preserve"> is to enable the State party itself to develop a better understanding of the problems and shortcomings encountered in efforts to realize progressively the full range of economic, social and cultural rights.  For this reason, it is essential that States parties report in detail on the “factors and difficulties” inhibiting such realization.  This process of identification and recognition of the relevant difficulties then provides the framework within which more appropriate policies can be devised.</w:t>
      </w:r>
    </w:p>
    <w:p w:rsidR="00000000" w:rsidRDefault="00000000">
      <w:r>
        <w:t>9.</w:t>
      </w:r>
      <w:r>
        <w:tab/>
        <w:t xml:space="preserve">A </w:t>
      </w:r>
      <w:r>
        <w:rPr>
          <w:i/>
        </w:rPr>
        <w:t>seventh objective</w:t>
      </w:r>
      <w:r>
        <w:t xml:space="preserve"> is to enable the Committee, and the States parties as a whole, to facilitate the exchange of information among States and to develop a better understanding of the common problems faced by States and a fuller appreciation of the type of measures which might be taken to promote effective realization of each of the rights contained in the Covenant.  This part of the process also enables the Committee to identify the most appropriate means by which the international community might assist States, in accordance with articles 22 and 23 of the Covenant.  In order to underline the importance which the Committee attaches to this objective, a separate general comment on those articles will be discussed by the Committee at its fourth session.</w:t>
      </w:r>
    </w:p>
    <w:p w:rsidR="00000000" w:rsidRDefault="00000000">
      <w:pPr>
        <w:pStyle w:val="Heading2"/>
      </w:pPr>
      <w:r>
        <w:t>Fourth session (1990)</w:t>
      </w:r>
      <w:r>
        <w:rPr>
          <w:rStyle w:val="FootnoteReference"/>
          <w:vertAlign w:val="baseline"/>
        </w:rPr>
        <w:footnoteReference w:customMarkFollows="1" w:id="3"/>
        <w:t>*</w:t>
      </w:r>
    </w:p>
    <w:p w:rsidR="00000000" w:rsidRDefault="00000000">
      <w:pPr>
        <w:pStyle w:val="Heading2"/>
      </w:pPr>
      <w:bookmarkStart w:id="9" w:name="_Toc481083339"/>
      <w:bookmarkStart w:id="10" w:name="_Toc481084121"/>
      <w:bookmarkStart w:id="11" w:name="_Toc70388936"/>
      <w:bookmarkStart w:id="12" w:name="_Toc70390588"/>
      <w:bookmarkStart w:id="13" w:name="_Toc70516939"/>
      <w:r>
        <w:t>General comment No. 2:  International technical assistance measures</w:t>
      </w:r>
      <w:r>
        <w:br/>
        <w:t>(art. 22 of the Covenant)</w:t>
      </w:r>
      <w:bookmarkEnd w:id="9"/>
      <w:bookmarkEnd w:id="10"/>
      <w:bookmarkEnd w:id="11"/>
      <w:bookmarkEnd w:id="12"/>
      <w:bookmarkEnd w:id="13"/>
    </w:p>
    <w:p w:rsidR="00000000" w:rsidRDefault="00000000">
      <w:r>
        <w:t>1.</w:t>
      </w:r>
      <w:r>
        <w:tab/>
        <w:t>Article 22 of the Covenant establishes a mechanism by which the Economic and Social Council may bring to the attention of relevant United Nations bodies any matters arising out of reports submitted under the Covenant “which may assist such bodies in deciding, each within its field of competence, on the advisability of international measures likely to contribute to the effective progressive implementation of the ...  Covenant”.  While the primary responsibility under article 22 is vested in the Council, it is clearly appropriate for the Committee on Economic, Social and Cultural Rights to play an active role in advising and assisting the Council in this regard.</w:t>
      </w:r>
    </w:p>
    <w:p w:rsidR="00000000" w:rsidRDefault="00000000">
      <w:r>
        <w:t>2.</w:t>
      </w:r>
      <w:r>
        <w:tab/>
        <w:t>Recommendations in accordance with article 22 may be made to any “organs of the United Nations, their subsidiary organs and specialized agencies concerned with furnishing technical assistance”.  The Committee considers that this provision should be interpreted so as to include virtually all United Nations organs and agencies involved in any aspect of international development cooperation.  It would therefore be appropriate for recommendations in accordance with article 22 to be addressed, inter alia, to the Secretary</w:t>
      </w:r>
      <w:r>
        <w:noBreakHyphen/>
        <w:t>General, subsidiary organs of the Council such as the Commission on Human Rights, the Commission on Social Development and the Commission on the Status of Women, other bodies such as UNDP, UNICEF and CDP, agencies such as the World Bank and IMF, and any of the other specialized agencies such as ILO, FAO, UNESCO and WHO.</w:t>
      </w:r>
    </w:p>
    <w:p w:rsidR="00000000" w:rsidRDefault="00000000">
      <w:r>
        <w:t>3.</w:t>
      </w:r>
      <w:r>
        <w:tab/>
        <w:t>Article 22 could lead either to recommendations of a general policy nature or to more narrowly focused recommendations relating to a specific situation.  In the former context, the principal role of the Committee would seem to be to encourage greater attention to efforts to promote economic, social and cultural rights within the framework of international development cooperation activities undertaken by, or with the assistance of, the United Nations and its agencies.  In this regard the Committee notes that the Commission on Human Rights, in its resolution 1989/13 of 2 March 1989, invited it “to give consideration to means by which the various United Nations agencies working in the field of development could best integrate measures designed to promote full respect for economic, social and cultural rights in their activities”.</w:t>
      </w:r>
    </w:p>
    <w:p w:rsidR="00000000" w:rsidRDefault="00000000">
      <w:r>
        <w:t>4.</w:t>
      </w:r>
      <w:r>
        <w:tab/>
        <w:t xml:space="preserve">As a preliminary practical matter, the Committee notes that its own endeavours would be assisted, and the relevant agencies would also be better informed, if they were to take a greater interest in the work of the Committee.  While recognizing that such an interest can be demonstrated in a variety of ways, the Committee observes that attendance by representatives of the appropriate United Nations bodies at its first four sessions has, with the notable exceptions of ILO, UNESCO and WHO, been very low.  Similarly, pertinent materials and written information had been received from only a very limited number of agencies.  The Committee considers that a </w:t>
      </w:r>
      <w:r>
        <w:br w:type="page"/>
        <w:t>deeper understanding of the relevance of economic, social and cultural rights in the context of international development cooperation activities would be considerably facilitated through greater interaction between the Committee and the appropriate agencies.  At the very least, the day of general discussion on a specific issue, which the Committee undertakes at each of its sessions, provides an ideal context in which a potentially productive exchange of views can be undertaken.</w:t>
      </w:r>
    </w:p>
    <w:p w:rsidR="00000000" w:rsidRDefault="00000000">
      <w:r>
        <w:t>5.</w:t>
      </w:r>
      <w:r>
        <w:tab/>
        <w:t>On the broader issues of the promotion of respect for human rights in the context of development activities, the Committee has so far seen only rather limited evidence of specific efforts by United Nations bodies.  It notes with satisfaction in this regard the initiative taken jointly by the Centre for Human Rights and UNDP in writing to United Nations Resident Representatives and other field</w:t>
      </w:r>
      <w:r>
        <w:noBreakHyphen/>
        <w:t>based officials, inviting their “suggestions and advice, in particular with respect to possible forms of cooperation in ongoing projects [identified] as having a human rights dimension or in new ones in response to a specific Government’s request”.  The Committee has also been informed of long</w:t>
      </w:r>
      <w:r>
        <w:noBreakHyphen/>
        <w:t>standing efforts undertaken by ILO to link its own human rights and other international labour standards to its technical cooperation activities.</w:t>
      </w:r>
    </w:p>
    <w:p w:rsidR="00000000" w:rsidRDefault="00000000">
      <w:r>
        <w:t>6.</w:t>
      </w:r>
      <w:r>
        <w:tab/>
        <w:t>With respect to such activities, two general principles are important.  The first is that the two sets of human rights are indivisible and interdependent.  This means that efforts to promote one set of rights should also take full account of the other.  United Nations agencies involved in the promotion of economic, social and cultural rights should do their utmost to ensure that their activities are fully consistent with the enjoyment of civil and political rights.  In negative terms this means that the international agencies should scrupulously avoid involvement in projects which, for example, involve the use of forced labour in contravention of international standards, or promote or reinforce discrimination against individuals or groups contrary to the provisions of the Covenant, or involve large</w:t>
      </w:r>
      <w:r>
        <w:noBreakHyphen/>
        <w:t>scale evictions or displacement of persons without the provision of all appropriate protection and compensation.  In positive terms, it means that, wherever possible, the agencies should act as advocates of projects and approaches which contribute not only to economic growth or other broadly defined objectives, but also to enhanced enjoyment of the full range of human rights.</w:t>
      </w:r>
    </w:p>
    <w:p w:rsidR="00000000" w:rsidRDefault="00000000">
      <w:r>
        <w:t>7.</w:t>
      </w:r>
      <w:r>
        <w:tab/>
        <w:t>The second principle of general relevance is that development cooperation activities do not automatically contribute to the promotion of respect for economic, social and cultural rights.  Many activities undertaken in the name of “development” have subsequently been recognized as ill</w:t>
      </w:r>
      <w:r>
        <w:noBreakHyphen/>
        <w:t>conceived and even counterproductive in human rights terms. In order to reduce the incidence of such problems, the whole range of issues dealt with in the Covenant should, wherever possible and appropriate, be given specific and careful consideration.</w:t>
      </w:r>
    </w:p>
    <w:p w:rsidR="00000000" w:rsidRDefault="00000000">
      <w:r>
        <w:t>8.</w:t>
      </w:r>
      <w:r>
        <w:tab/>
        <w:t>Despite the importance of seeking to integrate human rights concerns into development activities, it is true that proposals for such integration can too easily remain at a level of generality.  Thus, in an effort to encourage the operationalization of the principle contained in article 22 of the Covenant, the Committee wishes to draw attention to the following specific measures which merit consideration by the relevant bodies:</w:t>
      </w:r>
    </w:p>
    <w:p w:rsidR="00000000" w:rsidRDefault="00000000">
      <w:r>
        <w:tab/>
        <w:t>(a)</w:t>
      </w:r>
      <w:r>
        <w:tab/>
        <w:t xml:space="preserve">As a matter of principle, the appropriate United Nations organs and agencies should specifically recognize the intimate relationship which should be established between development activities and efforts to promote respect for human rights in general, and economic, </w:t>
      </w:r>
      <w:r>
        <w:br w:type="page"/>
        <w:t>social and cultural rights in particular.  The Committee notes in this regard the failure of each of the first three United Nations Development Decade Strategies to recognize that relationship and urges that the fourth such strategy, to be adopted in 1990, should rectify that omission;</w:t>
      </w:r>
    </w:p>
    <w:p w:rsidR="00000000" w:rsidRDefault="00000000">
      <w:r>
        <w:tab/>
        <w:t>(b)</w:t>
      </w:r>
      <w:r>
        <w:tab/>
        <w:t>Consideration should be given by United Nations agencies to the proposal, made by the Secretary</w:t>
      </w:r>
      <w:r>
        <w:noBreakHyphen/>
        <w:t>General in a report of 1979</w:t>
      </w:r>
      <w:r>
        <w:rPr>
          <w:rStyle w:val="EndnoteReference"/>
        </w:rPr>
        <w:endnoteReference w:id="2"/>
      </w:r>
      <w:r>
        <w:rPr>
          <w:rStyle w:val="EndnoteReference"/>
        </w:rPr>
        <w:t xml:space="preserve"> </w:t>
      </w:r>
      <w:r>
        <w:t xml:space="preserve"> that a “human rights impact statement” be required to be prepared in connection with all major development cooperation activities;</w:t>
      </w:r>
    </w:p>
    <w:p w:rsidR="00000000" w:rsidRDefault="00000000">
      <w:r>
        <w:tab/>
        <w:t>(c)</w:t>
      </w:r>
      <w:r>
        <w:tab/>
        <w:t>The training or briefing given to project and other personnel employed by United Nations agencies should include a component dealing with human rights standards and principles;</w:t>
      </w:r>
    </w:p>
    <w:p w:rsidR="00000000" w:rsidRDefault="00000000">
      <w:r>
        <w:tab/>
        <w:t>(d)</w:t>
      </w:r>
      <w:r>
        <w:tab/>
        <w:t>Every effort should be made, at each phase of a development project, to ensure that the rights contained in the Covenants are duly taken into account.  This would apply, for example, in the initial assessment of the priority needs of a particular country, in the identification of particular projects, in project design, in the implementation of the project, and in its final evaluation.</w:t>
      </w:r>
    </w:p>
    <w:p w:rsidR="00000000" w:rsidRDefault="00000000">
      <w:pPr>
        <w:pStyle w:val="BodyText"/>
      </w:pPr>
      <w:r>
        <w:t>9.</w:t>
      </w:r>
      <w:r>
        <w:tab/>
        <w:t>A matter which has been of particular concern to the Committee in the examination of the reports of States parties is the adverse impact of the debt burden and of the relevant adjustment measures on the enjoyment of economic, social and cultural rights in many countries.  The Committee recognizes that adjustment programmes will often be unavoidable and that these will frequently involve a major element of austerity.  Under such circumstances, however, endeavours to protect the most basic economic, social and cultural rights become more, rather than less, urgent.  States parties to the Covenant, as well as the relevant United Nations agencies, should thus make a particular effort to ensure that such protection is, to the maximum extent possible, built</w:t>
      </w:r>
      <w:r>
        <w:noBreakHyphen/>
        <w:t>in to programmes and policies designed to promote adjustment.  Such an approach, which is sometimes referred to as “adjustment with a human face” or as promoting “the human dimension of development” requires that the goal of protecting the rights of the poor and vulnerable should become a basic objective of economic adjustment.  Similarly, international measures to deal with the debt crisis should take full account of the need to protect economic, social and cultural rights through, inter alia, international cooperation.  In many situations, this might point to the need for major debt relief initiatives.</w:t>
      </w:r>
    </w:p>
    <w:p w:rsidR="00000000" w:rsidRDefault="00000000">
      <w:pPr>
        <w:spacing w:after="480"/>
      </w:pPr>
      <w:r>
        <w:t>10.</w:t>
      </w:r>
      <w:r>
        <w:tab/>
        <w:t>Finally, the Committee wishes to draw attention to the important opportunity provided to States parties, in accordance with article 22 of the Covenant, to identify in their reports any particular needs they might have for technical assistance or development cooperation.</w:t>
      </w:r>
    </w:p>
    <w:p w:rsidR="00000000" w:rsidRDefault="00000000">
      <w:pPr>
        <w:spacing w:after="0"/>
        <w:jc w:val="center"/>
        <w:rPr>
          <w:b/>
        </w:rPr>
        <w:sectPr w:rsidR="00000000">
          <w:headerReference w:type="even" r:id="rId9"/>
          <w:headerReference w:type="default" r:id="rId10"/>
          <w:endnotePr>
            <w:numFmt w:val="decimal"/>
            <w:numRestart w:val="eachSect"/>
          </w:endnotePr>
          <w:type w:val="continuous"/>
          <w:pgSz w:w="11907" w:h="16840" w:code="9"/>
          <w:pgMar w:top="567" w:right="851" w:bottom="1701" w:left="1701" w:header="851" w:footer="1985" w:gutter="0"/>
          <w:paperSrc w:first="15" w:other="15"/>
          <w:cols w:space="720"/>
          <w:titlePg/>
        </w:sectPr>
      </w:pPr>
      <w:r>
        <w:rPr>
          <w:b/>
        </w:rPr>
        <w:t>Note</w:t>
      </w:r>
    </w:p>
    <w:p w:rsidR="00000000" w:rsidRDefault="00000000">
      <w:pPr>
        <w:spacing w:after="0"/>
        <w:jc w:val="center"/>
        <w:rPr>
          <w:b/>
        </w:rPr>
        <w:sectPr w:rsidR="00000000">
          <w:headerReference w:type="even" r:id="rId11"/>
          <w:headerReference w:type="default" r:id="rId12"/>
          <w:footerReference w:type="default" r:id="rId13"/>
          <w:endnotePr>
            <w:numFmt w:val="decimal"/>
            <w:numRestart w:val="eachSect"/>
          </w:endnotePr>
          <w:type w:val="continuous"/>
          <w:pgSz w:w="11907" w:h="16840" w:code="9"/>
          <w:pgMar w:top="567" w:right="851" w:bottom="1701" w:left="1701" w:header="851" w:footer="1985" w:gutter="0"/>
          <w:paperSrc w:first="15" w:other="15"/>
          <w:cols w:space="720"/>
        </w:sectPr>
      </w:pPr>
    </w:p>
    <w:p w:rsidR="00000000" w:rsidRDefault="00000000">
      <w:pPr>
        <w:spacing w:after="0"/>
        <w:jc w:val="center"/>
      </w:pPr>
      <w:r>
        <w:rPr>
          <w:b/>
        </w:rPr>
        <w:br w:type="page"/>
        <w:t>Fifth session (1990)</w:t>
      </w:r>
      <w:r>
        <w:rPr>
          <w:rStyle w:val="FootnoteReference"/>
          <w:b w:val="0"/>
          <w:vertAlign w:val="baseline"/>
        </w:rPr>
        <w:footnoteReference w:customMarkFollows="1" w:id="4"/>
        <w:t>*</w:t>
      </w:r>
    </w:p>
    <w:p w:rsidR="00000000" w:rsidRDefault="00000000">
      <w:pPr>
        <w:spacing w:after="0"/>
        <w:jc w:val="center"/>
      </w:pPr>
    </w:p>
    <w:p w:rsidR="00000000" w:rsidRDefault="00000000">
      <w:pPr>
        <w:pStyle w:val="Heading2"/>
      </w:pPr>
      <w:bookmarkStart w:id="14" w:name="_Toc481083341"/>
      <w:bookmarkStart w:id="15" w:name="_Toc481084123"/>
      <w:bookmarkStart w:id="16" w:name="_Toc70388938"/>
      <w:bookmarkStart w:id="17" w:name="_Toc70516940"/>
      <w:r>
        <w:t>General comment No. 3:  The nature of States parties’ obligations</w:t>
      </w:r>
      <w:r>
        <w:br/>
        <w:t>(art. 2, para. 1, of the Covenant)</w:t>
      </w:r>
      <w:bookmarkEnd w:id="14"/>
      <w:bookmarkEnd w:id="15"/>
      <w:bookmarkEnd w:id="16"/>
      <w:bookmarkEnd w:id="17"/>
    </w:p>
    <w:p w:rsidR="00000000" w:rsidRDefault="00000000">
      <w:r>
        <w:t>1.</w:t>
      </w:r>
      <w:r>
        <w:tab/>
        <w:t>Article 2 is of particular importance to a full understanding of the Covenant and must be seen as having a dynamic relationship with all of the other provisions of the Covenant.  It describes the nature of the general legal obligations undertaken by States parties to the Covenant.  Those obligations include both what may be termed (following the work of the International Law Commission) obligations of conduct and obligations of result.  While great emphasis has sometimes been placed on the difference between the formulations used in this provision and that contained in the equivalent article 2 of the International Covenant on Civil and Political Rights, it is not always recognized that there are also significant similarities.  In particular, while the Covenant provides for progressive realization and acknowledges the constraints due to the limits of available resources, it also imposes various obligations which are of immediate effect.  Of these, two are of particular importance in understanding the precise nature of States parties obligations.  One of these, which is dealt with in a separate general comment, and which is to be considered by the Committee at its sixth session, is the “undertaking to guarantee” that relevant rights “will be exercised without discrimination ...”.</w:t>
      </w:r>
    </w:p>
    <w:p w:rsidR="00000000" w:rsidRDefault="00000000">
      <w:r>
        <w:t>2.</w:t>
      </w:r>
      <w:r>
        <w:tab/>
        <w:t>The other is the undertaking in article 2 (1) “to take steps”, which in itself, is not qualified or limited by other considerations.  The full meaning of the phrase can also be gauged by noting some of the different language versions.  In English the undertaking is “to take steps”, in French it is “to act” (“s’engage à agir”) and in Spanish it is “to adopt measures” (“a adoptar medidas”).  Thus while the full realization of the relevant rights may be achieved progressively, steps towards that goal must be taken within a reasonably short time after the Covenant’s entry into force for the States concerned.  Such steps should be deliberate, concrete and targeted as clearly as possible towards meeting the obligations recognized in the Covenant.</w:t>
      </w:r>
    </w:p>
    <w:p w:rsidR="00000000" w:rsidRDefault="00000000">
      <w:r>
        <w:t>3.</w:t>
      </w:r>
      <w:r>
        <w:tab/>
        <w:t>The means which should be used in order to satisfy the obligation to take steps are stated in article 2 (1) to be “all appropriate means, including particularly the adoption of legislative measures”.  The Committee recognizes that in many instances legislation is highly desirable and in some cases may even be indispensable.  For example, it may be difficult to combat discrimination effectively in the absence of a sound legislative foundation for the necessary measures.  In fields such as health, the protection of children and mothers, and education, as well as in respect of the matters dealt with in articles 6 to 9, legislation may also be an indispensable element for many purposes.</w:t>
      </w:r>
    </w:p>
    <w:p w:rsidR="00000000" w:rsidRDefault="00000000">
      <w:r>
        <w:t>4.</w:t>
      </w:r>
      <w:r>
        <w:tab/>
        <w:t>The Committee notes that States parties have generally been conscientious in detailing at least some of the legislative measures that they have taken in this regard.  It wishes to emphasize, however, that the adoption of legislative measures, as specifically foreseen by the Covenant, is by no means exhaustive of the obligations of States parties.  Rather, the phrase “by all appropriate means” must be given its full and natural meaning.  While each State party must decide for itself which means are the most appropriate under the circumstances with respect to each of the rights, the “appropriateness” of the means chosen will not always be self</w:t>
      </w:r>
      <w:r>
        <w:noBreakHyphen/>
        <w:t>evident.  It is therefore desirable that States parties’ reports should indicate not only the measures that have been taken but also the basis on which they are considered to be the most “appropriate” under the circumstances.  However, the ultimate determination as to whether all appropriate measures have been taken remains one for the Committee to make.</w:t>
      </w:r>
    </w:p>
    <w:p w:rsidR="00000000" w:rsidRDefault="00000000">
      <w:r>
        <w:t>5.</w:t>
      </w:r>
      <w:r>
        <w:tab/>
        <w:t>Among the measures which might be considered appropriate, in addition to legislation, is the provision of judicial remedies with respect to rights which may, in accordance with the national legal system, be considered justiciable.  The Committee notes, for example, that the enjoyment of the rights recognized, without discrimination, will often be appropriately promoted, in part, through the provision of judicial or other effective remedies.  Indeed, those States parties which are also parties to the International Covenant on Civil and Political Rights are already obligated (by virtue of articles 2 (paras. 1 and 3), 3 and 26) of that Covenant to ensure that any person whose rights or freedoms (including the right to equality and non</w:t>
      </w:r>
      <w:r>
        <w:noBreakHyphen/>
        <w:t>discrimination) recognized in that Covenant are violated, “shall have an effective remedy” (art. 2 (3) (a)).  In addition, there are a number of other provisions in the International Covenant on Economic, Social and Cultural Rights, including articles 3, 7 (a) (i), 8, 10 (3), 13 (2) (a), (3) and (4) and 15 (3) which would seem to be capable of immediate application by judicial and other organs in many national legal systems. Any suggestion that the provisions indicated are inherently non</w:t>
      </w:r>
      <w:r>
        <w:noBreakHyphen/>
        <w:t>self</w:t>
      </w:r>
      <w:r>
        <w:noBreakHyphen/>
        <w:t>executing would seem to be difficult to sustain.</w:t>
      </w:r>
    </w:p>
    <w:p w:rsidR="00000000" w:rsidRDefault="00000000">
      <w:r>
        <w:t>6.</w:t>
      </w:r>
      <w:r>
        <w:tab/>
        <w:t>Where specific policies aimed directly at the realization of the rights recognized in the Covenant have been adopted in legislative form, the Committee would wish to be informed, inter alia, as to whether such laws create any right of action on behalf of individuals or groups who feel that their rights are not being fully realized.  In cases where constitutional recognition has been accorded to specific economic, social and cultural rights, or where the provisions of the Covenant have been incorporated directly into national law, the Committee would wish to receive information as to the extent to which these rights are considered to be justiciable (i.e.  able to be invoked before the courts).  The Committee would also wish to receive specific information as to any instances in which existing constitutional provisions relating to economic, social and cultural rights have been weakened or significantly changed.</w:t>
      </w:r>
    </w:p>
    <w:p w:rsidR="00000000" w:rsidRDefault="00000000">
      <w:r>
        <w:t>7.</w:t>
      </w:r>
      <w:r>
        <w:tab/>
        <w:t>Other measures which may also be considered “appropriate” for the purposes of article 2 (1) include, but are not limited to, administrative, financial, educational and social measures.</w:t>
      </w:r>
    </w:p>
    <w:p w:rsidR="00000000" w:rsidRDefault="00000000">
      <w:r>
        <w:t>8.</w:t>
      </w:r>
      <w:r>
        <w:tab/>
        <w:t>The Committee notes that the undertaking “to take steps ...  by all appropriate means including particularly the adoption of legislative measures” neither requires nor precludes any particular form of government or economic system being used as the vehicle for the steps in question, provided only that it is democratic and that all human rights are thereby respected.  Thus, in terms of political and economic systems the Covenant is neutral and its principles cannot accurately be described as being predicated exclusively upon the need for, or the desirability of a socialist or a capitalist system, or a mixed, centrally planned, or laissez</w:t>
      </w:r>
      <w:r>
        <w:noBreakHyphen/>
        <w:t xml:space="preserve">faire economy, or upon any other particular approach.  In this regard, the Committee reaffirms that the rights recognized in the Covenant are susceptible of realization within the context of a wide </w:t>
      </w:r>
      <w:r>
        <w:br w:type="page"/>
        <w:t>variety of economic and political systems, provided only that the interdependence and indivisibility of the two sets of human rights, as affirmed inter alia in the preamble to the Covenant, is recognized and reflected in the system in question.  The Committee also notes the relevance in this regard of other human rights and in particular the right to development.</w:t>
      </w:r>
    </w:p>
    <w:p w:rsidR="00000000" w:rsidRDefault="00000000">
      <w:r>
        <w:t>9.</w:t>
      </w:r>
      <w:r>
        <w:tab/>
        <w:t>The principal obligation of result reflected in article 2 (1) is to take steps “with a view to achieving progressively the full realization of the rights recognized” in the Covenant.  The term “progressive realization” is often used to describe the intent of this phrase.  The concept of progressive realization constitutes a recognition of the fact that full realization of all economic, social and cultural rights will generally not be able to be achieved in a short period of time.  In this sense the obligation differs significantly from that contained in article 2 of the International Covenant on Civil and Political Rights which embodies an immediate obligation to respect and ensure all of the relevant rights.  Nevertheless, the fact that realization over time, or in other words progressively, is foreseen under the Covenant should not be misinterpreted as depriving the obligation of all meaningful content.  It is on the one hand a necessary flexibility device, reflecting the realities of the real world and the difficulties involved for any country in ensuring full realization of economic, social and cultural rights.  On the other hand, the phrase must be read in the light of the overall objective, indeed the raison d’être, of the Covenant which is to establish clear obligations for States parties in respect of the full realization of the rights in question.  It thus imposes an obligation to move as expeditiously and effectively as possible towards that goal.  Moreover, any deliberately retrogressive measures in that regard would require the most careful consideration and would need to be fully justified by reference to the totality of the rights provided for in the Covenant and in the context of the full use of the maximum available resources.</w:t>
      </w:r>
    </w:p>
    <w:p w:rsidR="00000000" w:rsidRDefault="00000000">
      <w:r>
        <w:t>10.</w:t>
      </w:r>
      <w:r>
        <w:tab/>
        <w:t>On the basis of the extensive experience gained by the Committee, as well as by the body that preceded it, over a period of more than a decade of examining States parties’ reports the Committee is of the view that a minimum core obligation to ensure the satisfaction of, at the very least, minimum essential levels of each of the rights is incumbent upon every State party.  Thus, for example, a State party in which any significant number of individuals is deprived of essential foodstuffs, of essential primary health care, of basic shelter and housing, or of the most basic forms of education is, prima facie, failing to discharge its obligations under the Covenant.  If the Covenant were to be read in such a way as not to establish such a minimum core obligation, it would be largely deprived of its raison d’être.  By the same token, it must be noted that any assessment as to whether a State has discharged its minimum core obligation must also take account of resource constraints applying within the country concerned.  Article 2 (1) obligates each State party to take the necessary steps “to the maximum of its available resources”.  In order for a State party to be able to attribute its failure to meet at least its minimum core obligations to a lack of available resources it must demonstrate that every effort has been made to use all resources that are at its disposition in an effort to satisfy, as a matter of priority, those minimum obligations.</w:t>
      </w:r>
    </w:p>
    <w:p w:rsidR="00000000" w:rsidRDefault="00000000">
      <w:r>
        <w:t>11.</w:t>
      </w:r>
      <w:r>
        <w:tab/>
        <w:t xml:space="preserve">The Committee wishes to emphasize, however, that even where the available resources are demonstrably inadequate, the obligation remains for a State party to strive to ensure the widest possible enjoyment of the relevant rights under the prevailing circumstances.  Moreover, </w:t>
      </w:r>
      <w:r>
        <w:br w:type="page"/>
        <w:t>the obligations to monitor the extent of the realization, or more especially of the non</w:t>
      </w:r>
      <w:r>
        <w:noBreakHyphen/>
        <w:t>realization, of economic, social and cultural rights, and to devise strategies and programmes for their promotion, are not in any way eliminated as a result of resource constraints.  The Committee has already dealt with these issues in its general comment No. 1 (1989).</w:t>
      </w:r>
    </w:p>
    <w:p w:rsidR="00000000" w:rsidRDefault="00000000">
      <w:r>
        <w:t>12.</w:t>
      </w:r>
      <w:r>
        <w:tab/>
        <w:t>Similarly, the Committee underlines the fact that even in times of severe resources constraints whether caused by a process of adjustment, of economic recession, or by other factors the vulnerable members of society can and indeed must be protected by the adoption of relatively low</w:t>
      </w:r>
      <w:r>
        <w:noBreakHyphen/>
        <w:t>cost targeted programmes.  In support of this approach the Committee takes note of the analysis prepared by UNICEF entitled “Adjustment with a human face: protecting the vulnerable and promoting growth,</w:t>
      </w:r>
      <w:r>
        <w:rPr>
          <w:rStyle w:val="EndnoteReference"/>
        </w:rPr>
        <w:endnoteReference w:id="3"/>
      </w:r>
      <w:r>
        <w:t xml:space="preserve"> the analysis by UNDP in its </w:t>
      </w:r>
      <w:r>
        <w:rPr>
          <w:i/>
        </w:rPr>
        <w:t>Human Development Report 1990</w:t>
      </w:r>
      <w:r>
        <w:rPr>
          <w:rStyle w:val="EndnoteReference"/>
        </w:rPr>
        <w:endnoteReference w:id="4"/>
      </w:r>
      <w:r>
        <w:t xml:space="preserve"> and the analysis by the World Bank in the </w:t>
      </w:r>
      <w:r>
        <w:rPr>
          <w:i/>
        </w:rPr>
        <w:t>World Development Report 1990.</w:t>
      </w:r>
      <w:r>
        <w:rPr>
          <w:rStyle w:val="EndnoteReference"/>
        </w:rPr>
        <w:endnoteReference w:id="5"/>
      </w:r>
    </w:p>
    <w:p w:rsidR="00000000" w:rsidRDefault="00000000">
      <w:r>
        <w:t>13.</w:t>
      </w:r>
      <w:r>
        <w:tab/>
        <w:t>A final element of article 2 (1), to which attention must be drawn, is that the undertaking given by all States parties is “to take steps, individually and through international assistance and cooperation, especially economic and technical ...”.  The Committee notes that the phrase “to the maximum of its available resources” was intended by the drafters of the Covenant to refer to both the resources existing within a State and those available from the international community through international cooperation and assistance.  Moreover, the essential role of such cooperation in facilitating the full realization of the relevant rights is further underlined by the specific provisions contained in articles 11, 15, 22 and 23.  With respect to article 22 the Committee has already drawn attention, in general comment No. 2 (1990), to some of the opportunities and responsibilities that exist in relation to international cooperation.  Article 23 also specifically identifies “the furnishing of technical assistance” as well as other activities, as being among the means of “international action for the achievement of the rights recognized ...”.</w:t>
      </w:r>
    </w:p>
    <w:p w:rsidR="00000000" w:rsidRDefault="00000000">
      <w:r>
        <w:t>14.</w:t>
      </w:r>
      <w:r>
        <w:tab/>
        <w:t>The Committee wishes to emphasize that in accordance with Articles 55 and 56 of the Charter of the United Nations, with well</w:t>
      </w:r>
      <w:r>
        <w:noBreakHyphen/>
        <w:t>established principles of international law, and with the provisions of the Covenant itself, international cooperation for development and thus for the realization of economic, social and cultural rights is an obligation of all States.  It is particularly incumbent upon those States which are in a position to assist others in this regard.  The Committee notes in particular the importance of the Declaration on the Right to Development adopted by the General Assembly in its resolution 41/128 of 4 December 1986 and the need for States parties to take full account of all of the principles recognized therein.  It emphasizes that, in the absence of an active programme of international assistance and cooperation on the part of all those States that are in a position to undertake one, the full realization of economic, social and cultural rights will remain an unfulfilled aspiration in many countries.  In this respect, the Committee also recalls the terms of its general comment No. 2 (1990).</w:t>
      </w:r>
    </w:p>
    <w:p w:rsidR="00000000" w:rsidRDefault="00000000">
      <w:pPr>
        <w:spacing w:after="0"/>
        <w:jc w:val="center"/>
        <w:rPr>
          <w:b/>
        </w:rPr>
        <w:sectPr w:rsidR="00000000">
          <w:headerReference w:type="even" r:id="rId14"/>
          <w:headerReference w:type="default" r:id="rId15"/>
          <w:footerReference w:type="even" r:id="rId16"/>
          <w:endnotePr>
            <w:numFmt w:val="decimal"/>
            <w:numRestart w:val="eachSect"/>
          </w:endnotePr>
          <w:type w:val="continuous"/>
          <w:pgSz w:w="11907" w:h="16840" w:code="9"/>
          <w:pgMar w:top="567" w:right="851" w:bottom="1701" w:left="1701" w:header="851" w:footer="1985" w:gutter="0"/>
          <w:paperSrc w:first="15" w:other="15"/>
          <w:cols w:space="720"/>
        </w:sectPr>
      </w:pPr>
      <w:r>
        <w:rPr>
          <w:b/>
        </w:rPr>
        <w:t>Notes</w:t>
      </w:r>
    </w:p>
    <w:p w:rsidR="00000000" w:rsidRDefault="00000000">
      <w:pPr>
        <w:spacing w:after="0"/>
        <w:jc w:val="center"/>
        <w:rPr>
          <w:bCs/>
        </w:rPr>
      </w:pPr>
      <w:r>
        <w:rPr>
          <w:b/>
          <w:bCs/>
        </w:rPr>
        <w:br w:type="page"/>
        <w:t>Sixth session (1991)</w:t>
      </w:r>
      <w:r>
        <w:rPr>
          <w:rStyle w:val="FootnoteReference"/>
          <w:b w:val="0"/>
          <w:bCs/>
          <w:vertAlign w:val="baseline"/>
        </w:rPr>
        <w:footnoteReference w:customMarkFollows="1" w:id="5"/>
        <w:t>*</w:t>
      </w:r>
    </w:p>
    <w:p w:rsidR="00000000" w:rsidRDefault="00000000">
      <w:pPr>
        <w:spacing w:after="0"/>
        <w:jc w:val="center"/>
        <w:rPr>
          <w:b/>
          <w:bCs/>
        </w:rPr>
      </w:pPr>
    </w:p>
    <w:p w:rsidR="00000000" w:rsidRDefault="00000000">
      <w:pPr>
        <w:pStyle w:val="Heading2"/>
      </w:pPr>
      <w:bookmarkStart w:id="18" w:name="_Toc481083343"/>
      <w:bookmarkStart w:id="19" w:name="_Toc481084125"/>
      <w:bookmarkStart w:id="20" w:name="_Toc70388940"/>
      <w:bookmarkStart w:id="21" w:name="_Toc70516941"/>
      <w:r>
        <w:t>General comment No. 4: The right to adequate housing</w:t>
      </w:r>
      <w:r>
        <w:br/>
        <w:t>(art. 11 (1) of the Covenant)</w:t>
      </w:r>
      <w:bookmarkEnd w:id="18"/>
      <w:bookmarkEnd w:id="19"/>
      <w:bookmarkEnd w:id="20"/>
      <w:bookmarkEnd w:id="21"/>
    </w:p>
    <w:p w:rsidR="00000000" w:rsidRDefault="00000000">
      <w:r>
        <w:t>1.</w:t>
      </w:r>
      <w:r>
        <w:tab/>
        <w:t>Pursuant to article 11 (1) of the Covenant, States parties “recognize the right of everyone to an adequate standard of living for himself and his family, including adequate food, clothing and housing, and to the continuous improvement of living conditions”.  The human right to adequate housing, which is thus derived from the right to an adequate standard of living, is of central importance for the enjoyment of all economic, social and cultural rights.</w:t>
      </w:r>
    </w:p>
    <w:p w:rsidR="00000000" w:rsidRDefault="00000000">
      <w:r>
        <w:t>2.</w:t>
      </w:r>
      <w:r>
        <w:tab/>
        <w:t>The Committee has been able to accumulate a large amount of information pertaining to this right.  Since 1979, the Committee and its predecessors have examined 75 reports dealing with the right to adequate housing.  The Committee has also devoted a day of general discussion to the issue at each of its third (see E/1989/22, para. 312) and fourth sessions (E/1990/23, paras. 281</w:t>
      </w:r>
      <w:r>
        <w:noBreakHyphen/>
        <w:t>285).  In addition, the Committee has taken careful note of information generated by the International Year of Shelter for the Homeless (1987) including the Global Strategy for Shelter to the Year 2000 adopted by the General Assembly in its resolution 42/191 of 11 December 1987.</w:t>
      </w:r>
      <w:r>
        <w:rPr>
          <w:rStyle w:val="EndnoteReference"/>
        </w:rPr>
        <w:endnoteReference w:id="6"/>
      </w:r>
      <w:r>
        <w:t xml:space="preserve">  The Committee has also reviewed relevant reports and other documentation of the Commission on Human Rights and the Sub-Commission on Prevention of Discrimination and Protection of Minorities.</w:t>
      </w:r>
      <w:r>
        <w:rPr>
          <w:rStyle w:val="EndnoteReference"/>
        </w:rPr>
        <w:endnoteReference w:id="7"/>
      </w:r>
    </w:p>
    <w:p w:rsidR="00000000" w:rsidRDefault="00000000">
      <w:r>
        <w:t>3.</w:t>
      </w:r>
      <w:r>
        <w:tab/>
        <w:t>Although a wide variety of international instruments address the different dimensions of the right to adequate housing</w:t>
      </w:r>
      <w:r>
        <w:rPr>
          <w:rStyle w:val="EndnoteReference"/>
        </w:rPr>
        <w:endnoteReference w:id="8"/>
      </w:r>
      <w:r>
        <w:t xml:space="preserve"> article 11 (1) of the Covenant is the most comprehensive and perhaps the most important of the relevant provisions.</w:t>
      </w:r>
    </w:p>
    <w:p w:rsidR="00000000" w:rsidRDefault="00000000">
      <w:r>
        <w:t>4.</w:t>
      </w:r>
      <w:r>
        <w:tab/>
        <w:t>Despite the fact that the international community has frequently reaffirmed the importance of full respect for the right to adequate housing, there remains a disturbingly large gap between the standards set in article 11 (1) of the Covenant and the situation prevailing in many parts of the world.  While the problems are often particularly acute in some developing countries which confront major resource and other constraints, the Committee observes that significant problems of homelessness and inadequate housing also exist in some of the most economically developed societies.  The United Nations estimates that there are over 100 million persons homeless worldwide and over 1 billion inadequately housed.</w:t>
      </w:r>
      <w:r>
        <w:rPr>
          <w:rStyle w:val="EndnoteReference"/>
        </w:rPr>
        <w:endnoteReference w:id="9"/>
      </w:r>
      <w:r>
        <w:t xml:space="preserve"> There is no indication that this number is decreasing.  It seems clear that no State party is free of significant problems of one kind or another in relation to the right to housing.</w:t>
      </w:r>
    </w:p>
    <w:p w:rsidR="00000000" w:rsidRDefault="00000000">
      <w:r>
        <w:t>5.</w:t>
      </w:r>
      <w:r>
        <w:tab/>
        <w:t>In some instances, the reports of States parties examined by the Committee have acknowledged and described difficulties in ensuring the right to adequate housing.  For the most part, however, the information provided has been insufficient to enable the Committee to obtain an adequate picture of the situation prevailing in the State concerned.  This general comment thus aims to identify some of the principal issues which the Committee considers to be important in relation to this right.</w:t>
      </w:r>
    </w:p>
    <w:p w:rsidR="00000000" w:rsidRDefault="00000000">
      <w:r>
        <w:t>6.</w:t>
      </w:r>
      <w:r>
        <w:tab/>
        <w:t>The right to adequate housing applies to everyone.  While the reference to “himself and his family” reflects assumptions as to gender roles and economic activity patterns commonly accepted in 1966 when the Covenant was adopted, the phrase cannot be read today as implying any limitations upon the applicability of the right to individuals or to female</w:t>
      </w:r>
      <w:r>
        <w:noBreakHyphen/>
        <w:t>headed households or other such groups.  Thus, the concept of “family” must be understood in a wide sense.  Further, individuals, as well as families, are entitled to adequate housing regardless of age, economic status, group or other affiliation or status and other such factors.  In particular, enjoyment of this right must, in accordance with article 2 (2) of the Covenant, not be subject to any form of discrimination.</w:t>
      </w:r>
    </w:p>
    <w:p w:rsidR="00000000" w:rsidRDefault="00000000">
      <w:r>
        <w:t>7.</w:t>
      </w:r>
      <w:r>
        <w:tab/>
        <w:t>In the Committee’s view, the right to housing should not be interpreted in a narrow or restrictive sense which equates it with, for example, the shelter provided by merely having a roof over one’s head or views shelter exclusively as a commodity.  Rather it should be seen as the right to live somewhere in security, peace and dignity.  This is appropriate for at least two reasons.  In the first place, the right to housing is integrally linked to other human rights and to the fundamental principles upon which the Covenant is premised.  This “the inherent dignity of the human person” from which the rights in the Covenant are said to derive requires that the term “housing” be interpreted so as to take account of a variety of other considerations, most importantly that the right to housing should be ensured to all persons irrespective of income or access to economic resources.  Secondly, the reference in article 11 (1) must be read as referring not just to housing but to adequate housing.  As both the Commission on Human Settlements and the Global Strategy for Shelter to the Year 2000 have stated: “Adequate shelter means ...  adequate privacy, adequate space, adequate security, adequate lighting and ventilation, adequate basic infrastructure and adequate location with regard to work and basic facilities - all at a reasonable cost”.</w:t>
      </w:r>
    </w:p>
    <w:p w:rsidR="00000000" w:rsidRDefault="00000000">
      <w:r>
        <w:t>8.</w:t>
      </w:r>
      <w:r>
        <w:tab/>
        <w:t>Thus the concept of adequacy is particularly significant in relation to the right to housing since it serves to underline a number of factors which must be taken into account in determining whether particular forms of shelter can be considered to constitute “adequate housing” for the purposes of the Covenant.  While adequacy is determined in part by social, economic, cultural, climatic, ecological and other factors, the Committee believes that it is nevertheless possible to identify certain aspects of the right that must be taken into account for this purpose in any particular context.  They include the following:</w:t>
      </w:r>
    </w:p>
    <w:p w:rsidR="00000000" w:rsidRDefault="00000000">
      <w:r>
        <w:tab/>
        <w:t>(a)</w:t>
      </w:r>
      <w:r>
        <w:tab/>
      </w:r>
      <w:r>
        <w:rPr>
          <w:i/>
        </w:rPr>
        <w:t>Legal security of tenure</w:t>
      </w:r>
      <w:r>
        <w:t>.  Tenure takes a variety of forms, including rental (public and private) accommodation, cooperative housing, lease, owner</w:t>
      </w:r>
      <w:r>
        <w:noBreakHyphen/>
        <w:t>occupation, emergency housing and informal settlements, including occupation of land or property.  Notwithstanding the type of tenure, all persons should possess a degree of security of tenure which guarantees legal protection against forced eviction, harassment and other threats.  States parties should consequently take immediate measures aimed at conferring legal security of tenure upon those persons and households currently lacking such protection, in genuine consultation with affected persons and groups;</w:t>
      </w:r>
      <w:r>
        <w:br w:type="page"/>
      </w:r>
      <w:r>
        <w:tab/>
        <w:t>(b)</w:t>
      </w:r>
      <w:r>
        <w:tab/>
      </w:r>
      <w:r>
        <w:rPr>
          <w:i/>
        </w:rPr>
        <w:t>Availability of services, materials, facilities and infrastructure</w:t>
      </w:r>
      <w:r>
        <w:t>.  An adequate house must contain certain facilities essential for health, security, comfort and nutrition.  All beneficiaries of the right to adequate housing should have sustainable access to natural and common resources, safe drinking water, energy for cooking, heating and lighting, sanitation and washing facilities, means of food storage, refuse disposal, site drainage and emergency services;</w:t>
      </w:r>
    </w:p>
    <w:p w:rsidR="00000000" w:rsidRDefault="00000000">
      <w:r>
        <w:tab/>
        <w:t>(c)</w:t>
      </w:r>
      <w:r>
        <w:tab/>
      </w:r>
      <w:r>
        <w:rPr>
          <w:i/>
        </w:rPr>
        <w:t>Affordability</w:t>
      </w:r>
      <w:r>
        <w:t>.  Personal or household financial costs associated with housing should be at such a level that the attainment and satisfaction of other basic needs are not threatened or compromised.  Steps should be taken by States parties to ensure that the percentage of housing</w:t>
      </w:r>
      <w:r>
        <w:noBreakHyphen/>
        <w:t>related costs is, in general, commensurate with income levels.  States parties should establish housing subsidies for those unable to obtain affordable housing, as well as forms and levels of housing finance which adequately reflect housing needs.  In accordance with the principle of affordability, tenants should be protected by appropriate means against unreasonable rent levels or rent increases.  In societies where natural materials constitute the chief sources of building materials for housing, steps should be taken by States parties to ensure the availability of such materials;</w:t>
      </w:r>
    </w:p>
    <w:p w:rsidR="00000000" w:rsidRDefault="00000000">
      <w:r>
        <w:tab/>
        <w:t>(d)</w:t>
      </w:r>
      <w:r>
        <w:tab/>
      </w:r>
      <w:r>
        <w:rPr>
          <w:i/>
        </w:rPr>
        <w:t>Habitability</w:t>
      </w:r>
      <w:r>
        <w:t xml:space="preserve">.  Adequate housing must be habitable, in terms of providing the inhabitants with adequate space and protecting them from cold, damp, heat, rain, wind or other threats to health, structural hazards, and disease vectors.  The physical safety of occupants must be guaranteed as well.  The Committee encourages States parties to comprehensively apply the </w:t>
      </w:r>
      <w:r>
        <w:rPr>
          <w:i/>
        </w:rPr>
        <w:t>Health Principles of Housing</w:t>
      </w:r>
      <w:r>
        <w:rPr>
          <w:rStyle w:val="EndnoteReference"/>
        </w:rPr>
        <w:endnoteReference w:id="10"/>
      </w:r>
      <w:r>
        <w:t xml:space="preserve"> prepared by WHO which view housing as the environmental factor most frequently associated with conditions for disease in epidemiological analyses; i.e. inadequate and deficient housing and living conditions are invariably associated with higher mortality and morbidity rates;</w:t>
      </w:r>
    </w:p>
    <w:p w:rsidR="00000000" w:rsidRDefault="00000000">
      <w:r>
        <w:tab/>
        <w:t>(e)</w:t>
      </w:r>
      <w:r>
        <w:tab/>
      </w:r>
      <w:r>
        <w:rPr>
          <w:i/>
        </w:rPr>
        <w:t>Accessibility</w:t>
      </w:r>
      <w:r>
        <w:t>.  Adequate housing must be accessible to those entitled to it.  Disadvantaged groups must be accorded full and sustainable access to adequate housing resources.  Thus, such disadvantaged groups as the elderly, children, the physically disabled, the terminally ill, HIV</w:t>
      </w:r>
      <w:r>
        <w:noBreakHyphen/>
        <w:t>positive individuals, persons with persistent medical problems, the mentally ill, victims of natural disasters, people living in disaster</w:t>
      </w:r>
      <w:r>
        <w:noBreakHyphen/>
        <w:t>prone areas and other groups should be ensured some degree of priority consideration in the housing sphere.  Both housing law and policy should take fully into account the special housing needs of these groups.  Within many States parties increasing access to land by landless or impoverished segments of the society should constitute a central policy goal.  Discernible governmental obligations need to be developed aiming to substantiate the right of all to a secure place to live in peace and dignity, including access to land as an entitlement;</w:t>
      </w:r>
    </w:p>
    <w:p w:rsidR="00000000" w:rsidRDefault="00000000">
      <w:r>
        <w:tab/>
        <w:t>(f)</w:t>
      </w:r>
      <w:r>
        <w:tab/>
      </w:r>
      <w:r>
        <w:rPr>
          <w:i/>
        </w:rPr>
        <w:t>Location</w:t>
      </w:r>
      <w:r>
        <w:t>.  Adequate housing must be in a location which allows access to employment options, health</w:t>
      </w:r>
      <w:r>
        <w:noBreakHyphen/>
        <w:t>care services, schools, childcare centres and other social facilities.  This is true both in large cities and in rural areas where the temporal and financial costs of getting to and from the place of work can place excessive demands upon the budgets of poor households.  Similarly, housing should not be built on polluted sites nor in immediate proximity to pollution sources that threaten the right to health of the inhabitants;</w:t>
      </w:r>
    </w:p>
    <w:p w:rsidR="00000000" w:rsidRDefault="00000000">
      <w:r>
        <w:tab/>
        <w:t>(g)</w:t>
      </w:r>
      <w:r>
        <w:tab/>
      </w:r>
      <w:r>
        <w:rPr>
          <w:i/>
        </w:rPr>
        <w:t>Cultural adequacy</w:t>
      </w:r>
      <w:r>
        <w:t>.  The way housing is constructed, the building materials used and the policies supporting these must appropriately enable the expression of cultural identity and diversity of housing.  Activities geared towards development or modernization in the housing sphere should ensure that the cultural dimensions of housing are not sacrificed, and that, inter alia, modern technological facilities, as appropriate are also ensured.</w:t>
      </w:r>
    </w:p>
    <w:p w:rsidR="00000000" w:rsidRDefault="00000000">
      <w:r>
        <w:t>9.</w:t>
      </w:r>
      <w:r>
        <w:tab/>
        <w:t>As noted above, the right to adequate housing cannot be viewed in isolation from other human rights contained in the two International Covenants and other applicable international instruments.  Reference has already been made in this regard to the concept of human dignity and the principle of non</w:t>
      </w:r>
      <w:r>
        <w:noBreakHyphen/>
        <w:t xml:space="preserve">discrimination.  In addition, the full enjoyment of other rights </w:t>
      </w:r>
      <w:r>
        <w:noBreakHyphen/>
        <w:t xml:space="preserve"> such as the right to freedom of expression, the right to freedom of association (such as for tenants and other community</w:t>
      </w:r>
      <w:r>
        <w:noBreakHyphen/>
        <w:t>based groups), the right to freedom of residence and the right to participate in public decision</w:t>
      </w:r>
      <w:r>
        <w:noBreakHyphen/>
        <w:t xml:space="preserve">making </w:t>
      </w:r>
      <w:r>
        <w:noBreakHyphen/>
        <w:t xml:space="preserve"> is indispensable if the right to adequate housing is to be realized and maintained by all groups in society.  Similarly, the right not to be subjected to arbitrary or unlawful interference with one’s privacy, family, home or correspondence constitutes a very important dimension in defining the right to adequate housing.</w:t>
      </w:r>
    </w:p>
    <w:p w:rsidR="00000000" w:rsidRDefault="00000000">
      <w:r>
        <w:t>10.</w:t>
      </w:r>
      <w:r>
        <w:tab/>
        <w:t>Regardless of the state of development of any country, there are certain steps which must be taken immediately.  As recognized in the Global Strategy for Shelter and in other international analyses, many of the measures required to promote the right to housing would only require the abstention by the Government from certain practices and a commitment to facilitating “self</w:t>
      </w:r>
      <w:r>
        <w:noBreakHyphen/>
        <w:t>help” by affected groups.  To the extent that any such steps are considered to be beyond the maximum resources available to a State party, it is appropriate that a request be made as soon as possible for international cooperation in accordance with articles 11 (1), 22 and 23 of the Covenant, and that the Committee be informed thereof.</w:t>
      </w:r>
    </w:p>
    <w:p w:rsidR="00000000" w:rsidRDefault="00000000">
      <w:r>
        <w:t>11.</w:t>
      </w:r>
      <w:r>
        <w:tab/>
        <w:t>States parties must give due priority to those social groups living in unfavourable conditions by giving them particular consideration.  Policies and legislation should correspondingly not be designed to benefit already advantaged social groups at the expense of others.  The Committee is aware that external factors can affect the right to a continuous improvement of living conditions, and that in many States parties overall living conditions declined during the 1980s.  However, as noted by the Committee in its general comment No. 2 (1990) (E/1990/23, annex III), despite externally caused problems, the obligations under the Covenant continue to apply and are perhaps even more pertinent during times of economic contraction.  It would thus appear to the Committee that a general decline in living and housing conditions, directly attributable to policy and legislative decisions by States parties, and in the absence of accompanying compensatory measures, would be inconsistent with the obligations under the Covenant.</w:t>
      </w:r>
    </w:p>
    <w:p w:rsidR="00000000" w:rsidRDefault="00000000">
      <w:r>
        <w:t>12.</w:t>
      </w:r>
      <w:r>
        <w:tab/>
        <w:t>While the most appropriate means of achieving the full realization of the right to adequate housing will inevitably vary significantly from one State party to another, the Covenant clearly requires that each State party take whatever steps are necessary for that purpose.  This will almost invariably require the adoption of a national housing strategy which, as stated in paragraph 32 of the Global Strategy for Shelter, “defines the objectives for the development of shelter conditions, identifies the resources available to meet these goals and the most cost</w:t>
      </w:r>
      <w:r>
        <w:noBreakHyphen/>
        <w:t xml:space="preserve">effective way of using them and sets out the responsibilities and time frame for the </w:t>
      </w:r>
      <w:r>
        <w:br w:type="page"/>
        <w:t>implementation of the necessary measures”.  Both for reasons of relevance and effectiveness, as well as in order to ensure respect for other human rights, such a strategy should reflect extensive genuine consultation with, and participation by, all of those affected, including the homeless, the inadequately housed and their representatives.  Furthermore, steps should be taken to ensure coordination between ministries and regional and local authorities in order to reconcile related policies (economics, agriculture, environment, energy, etc.) with the obligations under article 11 of the Covenant.</w:t>
      </w:r>
    </w:p>
    <w:p w:rsidR="00000000" w:rsidRDefault="00000000">
      <w:r>
        <w:t>13.</w:t>
      </w:r>
      <w:r>
        <w:tab/>
        <w:t>Effective monitoring of the situation with respect to housing is another obligation of immediate effect.  For a State party to satisfy its obligations under article 11 (1) it must demonstrate, inter alia, that it has taken whatever steps are necessary, either alone or on the basis of international cooperation, to ascertain the full extent of homelessness and inadequate housing within its jurisdiction.  In this regard, the revised general guidelines regarding the form and contents of reports adopted by the Committee (E/C.12/1991/1) emphasize the need to “provide detailed information about those groups within ...  society that are vulnerable and disadvantaged with regard to housing”.  They include, in particular, homeless persons and families, those inadequately housed and without ready access to basic amenities, those living in “illegal” settlements, those subject to forced evictions and low</w:t>
      </w:r>
      <w:r>
        <w:noBreakHyphen/>
        <w:t>income groups.</w:t>
      </w:r>
    </w:p>
    <w:p w:rsidR="00000000" w:rsidRDefault="00000000">
      <w:r>
        <w:t>14.</w:t>
      </w:r>
      <w:r>
        <w:tab/>
        <w:t>Measures designed to satisfy a State party’s obligations in respect of the right to adequate housing may reflect whatever mix of public and private sector measures considered appropriate.  While in some States public financing of housing might most usefully be spent on direct construction of new housing, in most cases, experience has shown the inability of Governments to fully satisfy housing deficits with publicly built housing.  The promotion by States parties of “enabling strategies”, combined with a full commitment to obligations under the right to adequate housing, should thus be encouraged.  In essence, the obligation is to demonstrate that, in aggregate, the measures being taken are sufficient to realize the right for every individual in the shortest possible time in accordance with the maximum of available resources.</w:t>
      </w:r>
    </w:p>
    <w:p w:rsidR="00000000" w:rsidRDefault="00000000">
      <w:r>
        <w:t>15.</w:t>
      </w:r>
      <w:r>
        <w:tab/>
        <w:t>Many of the measures that will be required will involve resource allocations and policy initiatives of a general kind.  Nevertheless, the role of formal legislative and administrative measures should not be underestimated in this context.  The Global Strategy for Shelter (paras. 6</w:t>
      </w:r>
      <w:r>
        <w:noBreakHyphen/>
        <w:t>67) has drawn attention to the types of measures that might be taken in this regard and to their importance.</w:t>
      </w:r>
    </w:p>
    <w:p w:rsidR="00000000" w:rsidRDefault="00000000">
      <w:r>
        <w:t>16.</w:t>
      </w:r>
      <w:r>
        <w:tab/>
        <w:t>In some States, the right to adequate housing is constitutionally entrenched.  In such cases the Committee is particularly interested in learning of the legal and practical significance of such an approach.  Details of specific cases and of other ways in which entrenchment has proved helpful should thus be provided.</w:t>
      </w:r>
    </w:p>
    <w:p w:rsidR="00000000" w:rsidRDefault="00000000">
      <w:r>
        <w:t>17.</w:t>
      </w:r>
      <w:r>
        <w:tab/>
        <w:t>The Committee views many component elements of the right to adequate housing as being at least consistent with the provision of domestic legal remedies.  Depending on the legal system, such areas might include, but are not limited to: (a) legal appeals aimed at preventing planned evictions or demolitions through the issuance of court</w:t>
      </w:r>
      <w:r>
        <w:noBreakHyphen/>
        <w:t>ordered injunctions; (b) legal procedures seeking compensation following an illegal eviction; (c) complaints against illegal actions carried out or supported by landlords (whether public or private) in relation to rent levels, dwelling maintenance, and racial or other forms of discrimination; (d) allegations of any form of discrimination in the allocation and availability of access to housing; and (e) complaints against landlords concerning unhealthy or inadequate housing conditions.  In some legal systems it would also be appropriate to explore the possibility of facilitating class action suits in situations involving significantly increased levels of homelessness.</w:t>
      </w:r>
    </w:p>
    <w:p w:rsidR="00000000" w:rsidRDefault="00000000">
      <w:r>
        <w:t>18.</w:t>
      </w:r>
      <w:r>
        <w:tab/>
        <w:t>In this regard, the Committee considers that instances of forced eviction are prima facie incompatible with the requirements of the Covenant and can only be justified in the most exceptional circumstances, and in accordance with the relevant principles of international law.</w:t>
      </w:r>
    </w:p>
    <w:p w:rsidR="00000000" w:rsidRDefault="00000000">
      <w:pPr>
        <w:spacing w:after="480"/>
      </w:pPr>
      <w:r>
        <w:t>19.</w:t>
      </w:r>
      <w:r>
        <w:tab/>
        <w:t>Finally, article 11 (1) concludes with the obligation of States parties to recognize “the essential importance of international cooperation based on free consent”.  Traditionally, less than 5 per cent of all international assistance has been directed towards housing or human settlements, and often the manner by which such funding is provided does little to address the housing needs of disadvantaged groups.  States parties, both recipients and providers, should ensure that a substantial proportion of financing is devoted to creating conditions leading to a higher number of persons being adequately housed.  International financial institutions promoting measures of structural adjustment should ensure that such measures do not compromise the enjoyment of the right to adequate housing.  States parties should, when contemplating international financial cooperation, seek to indicate areas relevant to the right to adequate housing where external financing would have the most effect.  Such requests should take full account of the needs and views of the affected groups.</w:t>
      </w:r>
    </w:p>
    <w:p w:rsidR="00000000" w:rsidRDefault="00000000">
      <w:pPr>
        <w:spacing w:after="0"/>
        <w:jc w:val="center"/>
        <w:rPr>
          <w:b/>
        </w:rPr>
        <w:sectPr w:rsidR="00000000">
          <w:headerReference w:type="even" r:id="rId17"/>
          <w:headerReference w:type="default" r:id="rId18"/>
          <w:endnotePr>
            <w:numFmt w:val="decimal"/>
            <w:numRestart w:val="eachSect"/>
          </w:endnotePr>
          <w:type w:val="continuous"/>
          <w:pgSz w:w="11907" w:h="16840" w:code="9"/>
          <w:pgMar w:top="567" w:right="851" w:bottom="1701" w:left="1701" w:header="851" w:footer="1985" w:gutter="0"/>
          <w:paperSrc w:first="84" w:other="84"/>
          <w:cols w:space="720"/>
        </w:sectPr>
      </w:pPr>
      <w:r>
        <w:rPr>
          <w:b/>
        </w:rPr>
        <w:t>Notes</w:t>
      </w:r>
    </w:p>
    <w:p w:rsidR="00000000" w:rsidRDefault="00000000">
      <w:pPr>
        <w:pStyle w:val="Heading2"/>
      </w:pPr>
      <w:r>
        <w:t>Eleventh session (1994)</w:t>
      </w:r>
      <w:r>
        <w:rPr>
          <w:rStyle w:val="FootnoteReference"/>
          <w:vertAlign w:val="baseline"/>
        </w:rPr>
        <w:footnoteReference w:customMarkFollows="1" w:id="6"/>
        <w:sym w:font="Symbol" w:char="F02A"/>
      </w:r>
    </w:p>
    <w:p w:rsidR="00000000" w:rsidRDefault="00000000">
      <w:pPr>
        <w:pStyle w:val="Heading2"/>
      </w:pPr>
      <w:bookmarkStart w:id="22" w:name="_Toc481083345"/>
      <w:bookmarkStart w:id="23" w:name="_Toc481084127"/>
      <w:bookmarkStart w:id="24" w:name="_Toc70388942"/>
      <w:bookmarkStart w:id="25" w:name="_Toc70516942"/>
      <w:r>
        <w:t>General comment No. 5:  Persons with disabilities</w:t>
      </w:r>
      <w:bookmarkEnd w:id="22"/>
      <w:bookmarkEnd w:id="23"/>
      <w:bookmarkEnd w:id="24"/>
      <w:bookmarkEnd w:id="25"/>
    </w:p>
    <w:p w:rsidR="00000000" w:rsidRDefault="00000000">
      <w:r>
        <w:t>1.</w:t>
      </w:r>
      <w:r>
        <w:tab/>
        <w:t>The central importance of the International Covenant on Economic, Social and Cultural Rights in relation to the human rights of persons with disabilities has frequently been underlined by the international community.</w:t>
      </w:r>
      <w:r>
        <w:rPr>
          <w:rStyle w:val="EndnoteReference"/>
        </w:rPr>
        <w:endnoteReference w:id="11"/>
      </w:r>
      <w:r>
        <w:t xml:space="preserve">  Thus a 1992 review by the Secretary</w:t>
      </w:r>
      <w:r>
        <w:noBreakHyphen/>
        <w:t>General of the implementation of the World Programme of Action concerning Disabled Persons and the United Nations Decade of Disabled Persons concluded that “disability is closely linked to economic and social factors” and that “conditions of living in large parts of the world are so desperate that the provision of basic needs for all - food, water, shelter, health protection and education - must form the cornerstone of national programmes”.</w:t>
      </w:r>
      <w:r>
        <w:rPr>
          <w:rStyle w:val="EndnoteReference"/>
        </w:rPr>
        <w:endnoteReference w:id="12"/>
      </w:r>
      <w:r>
        <w:t xml:space="preserve">  Even in countries which have a relatively high standard of living, persons with disabilities are very often denied the opportunity to enjoy the full range of economic, social and cultural rights recognized in the Covenant.</w:t>
      </w:r>
    </w:p>
    <w:p w:rsidR="00000000" w:rsidRDefault="00000000">
      <w:r>
        <w:t>2.</w:t>
      </w:r>
      <w:r>
        <w:tab/>
        <w:t>The Committee on Economic, Social and Cultural Rights, and the working group which preceded it, have been explicitly called upon by both the General Assembly</w:t>
      </w:r>
      <w:r>
        <w:rPr>
          <w:rStyle w:val="EndnoteReference"/>
        </w:rPr>
        <w:endnoteReference w:id="13"/>
      </w:r>
      <w:r>
        <w:t xml:space="preserve">  and the Commission on Human Rights</w:t>
      </w:r>
      <w:r>
        <w:rPr>
          <w:rStyle w:val="EndnoteReference"/>
        </w:rPr>
        <w:endnoteReference w:id="14"/>
      </w:r>
      <w:r>
        <w:t xml:space="preserve"> to monitor the compliance of States parties to the Covenant with their obligation to ensure the full enjoyment of the relevant rights by persons with disabilities.  The Committee’s experience to date, however, indicates that States parties have devoted very little attention to this issue in their reports.  This appears to be consistent with the Secretary</w:t>
      </w:r>
      <w:r>
        <w:noBreakHyphen/>
        <w:t>General’s conclusion that “most Governments still lack decisive concerted measures that would effectively improve the situation” of persons with disabilities.</w:t>
      </w:r>
      <w:r>
        <w:rPr>
          <w:rStyle w:val="EndnoteReference"/>
        </w:rPr>
        <w:endnoteReference w:id="15"/>
      </w:r>
      <w:r>
        <w:t xml:space="preserve">  It is therefore appropriate to review, and emphasize, some of the ways in which issues concerning persons with disabilities arise in connection with the obligations contained in the Covenant.</w:t>
      </w:r>
    </w:p>
    <w:p w:rsidR="00000000" w:rsidRDefault="00000000">
      <w:r>
        <w:t>3.</w:t>
      </w:r>
      <w:r>
        <w:tab/>
        <w:t>There is still no internationally accepted definition of the term “disability”.  For present purposes, however, it is sufficient to rely on the approach adopted in the Standard Rules of 1993, which state:</w:t>
      </w:r>
    </w:p>
    <w:p w:rsidR="00000000" w:rsidRDefault="00000000">
      <w:pPr>
        <w:ind w:left="720"/>
      </w:pPr>
      <w:r>
        <w:tab/>
        <w:t>“The term ‘disability’ summarizes a great number of different functional limitations occurring in any population ...  People may be disabled by physical, intellectual or sensory impairment, medical conditions or mental illness.  Such impairments, conditions or illnesses may be permanent or transitory in nature.”</w:t>
      </w:r>
      <w:r>
        <w:rPr>
          <w:rStyle w:val="EndnoteReference"/>
        </w:rPr>
        <w:endnoteReference w:id="16"/>
      </w:r>
    </w:p>
    <w:p w:rsidR="00000000" w:rsidRDefault="00000000">
      <w:r>
        <w:t>4.</w:t>
      </w:r>
      <w:r>
        <w:tab/>
        <w:t>In accordance with the approach adopted in the Standard Rules, this general comment uses the term “persons with disabilities” rather than the older term “disabled persons”.  It has been suggested that the latter term might be misinterpreted to imply that the ability of the individual to function as a person has been disabled.</w:t>
      </w:r>
    </w:p>
    <w:p w:rsidR="00000000" w:rsidRDefault="00000000">
      <w:r>
        <w:t>5.</w:t>
      </w:r>
      <w:r>
        <w:tab/>
        <w:t>The Covenant does not refer explicitly to persons with disabilities.  Nevertheless, the Universal Declaration of Human Rights recognizes that all human beings are born free and equal in dignity and rights and, since the Covenant’s provisions apply fully to all members of society, persons with disabilities are clearly entitled to the full range of rights recognized in the Covenant.  In addition, insofar as special treatment is necessary, States parties are required to take appropriate measures, to the maximum extent of their available resources, to enable such persons to seek to overcome any disadvantages, in terms of the enjoyment of the rights specified in the Covenant, flowing from their disability.  Moreover, the requirement contained in article 2 (2) of the Covenant that the rights “enunciated ...  will be exercised without discrimination of any kind” based on certain specified grounds “or other status” clearly applies to discrimination on the grounds of disability.</w:t>
      </w:r>
    </w:p>
    <w:p w:rsidR="00000000" w:rsidRDefault="00000000">
      <w:r>
        <w:t>6.</w:t>
      </w:r>
      <w:r>
        <w:tab/>
        <w:t>The absence of an explicit, disability</w:t>
      </w:r>
      <w:r>
        <w:noBreakHyphen/>
        <w:t>related provision in the Covenant can be attributed to the lack of awareness of the importance of addressing this issue explicitly, rather than only by implication, at the time of the drafting of the Covenant over a quarter of a century ago.  More recent international human rights instruments have, however, addressed the issue specifically.  They include the Convention on the Rights of the Child (art. 23); the African Charter on Human and Peoples’ Rights (art. 18 (4)); and the Additional Protocol to the American Convention on Human Rights in the Area of Economic, Social and Cultural Rights (art. 18).  Thus it is now very widely accepted that the human rights of persons with disabilities must be protected and promoted through general, as well as specially designed, laws, policies and programmes.</w:t>
      </w:r>
    </w:p>
    <w:p w:rsidR="00000000" w:rsidRDefault="00000000">
      <w:r>
        <w:t>7.</w:t>
      </w:r>
      <w:r>
        <w:tab/>
        <w:t>In accordance with this approach, the international community has affirmed its commitment to ensuring the full range of human rights for persons with disabilities in the following instruments: (a) the World Programme of Action concerning Disabled Persons, which provides a policy framework aimed at promoting “effective measures for prevention of disability, rehabilitation and the realization of the goals of ‘full participation’ of [persons with disabilities] in social life and development, and of ‘equality’”;</w:t>
      </w:r>
      <w:r>
        <w:rPr>
          <w:rStyle w:val="EndnoteReference"/>
        </w:rPr>
        <w:endnoteReference w:id="17"/>
      </w:r>
      <w:r>
        <w:t xml:space="preserve"> (b) the Guidelines for the Establishment and Development of National Coordinating Committees on Disability or Similar Bodies, adopted in 1990;</w:t>
      </w:r>
      <w:r>
        <w:rPr>
          <w:rStyle w:val="EndnoteReference"/>
        </w:rPr>
        <w:endnoteReference w:id="18"/>
      </w:r>
      <w:r>
        <w:t xml:space="preserve"> (c) the Principles for the Protection of Persons with Mental Illness and for the Improvement of Mental Health Care, adopted in 1991;</w:t>
      </w:r>
      <w:r>
        <w:rPr>
          <w:rStyle w:val="EndnoteReference"/>
        </w:rPr>
        <w:endnoteReference w:id="19"/>
      </w:r>
      <w:r>
        <w:t xml:space="preserve"> (d) the Standard Rules on the Equalization of Opportunities for Persons with Disabilities (hereinafter referred to as the “Standard Rules”), adopted in 1993, the purpose of which is to ensure that all persons with disabilities “may exercise the same rights and obligations as others”.</w:t>
      </w:r>
      <w:r>
        <w:rPr>
          <w:rStyle w:val="EndnoteReference"/>
        </w:rPr>
        <w:endnoteReference w:id="20"/>
      </w:r>
      <w:r>
        <w:t xml:space="preserve"> The Standard Rules are of major importance and constitute a particularly valuable reference guide in identifying more precisely the relevant obligations of States parties under the Covenant.</w:t>
      </w:r>
    </w:p>
    <w:p w:rsidR="00000000" w:rsidRDefault="00000000">
      <w:pPr>
        <w:pStyle w:val="Heading2"/>
      </w:pPr>
      <w:r>
        <w:t>1.  General obligations of States parties</w:t>
      </w:r>
    </w:p>
    <w:p w:rsidR="00000000" w:rsidRDefault="00000000">
      <w:r>
        <w:t>8.</w:t>
      </w:r>
      <w:r>
        <w:tab/>
        <w:t>The United Nations has estimated that there are more than 500 million persons with disabilities in the world today.  Of that number, 80 per cent live in rural areas in developing countries.  Seventy per cent of the total are estimated to have either limited or no access to the services they need.  The challenge of improving the situation of persons with disabilities is thus of direct relevance to every State party to the Covenant.  While the means chosen to promote the full realization of the economic, social and cultural rights of this group will inevitably differ significantly from one country to another, there is no country in which a major policy and programme effort is not required.</w:t>
      </w:r>
      <w:r>
        <w:rPr>
          <w:rStyle w:val="EndnoteReference"/>
        </w:rPr>
        <w:endnoteReference w:id="21"/>
      </w:r>
    </w:p>
    <w:p w:rsidR="00000000" w:rsidRDefault="00000000">
      <w:r>
        <w:t>9.</w:t>
      </w:r>
      <w:r>
        <w:tab/>
        <w:t>The obligation of States parties to the Covenant to promote progressive realization of the relevant rights to the maximum of their available resources clearly requires Governments to do much more than merely abstain from taking measures which might have a negative impact on persons with disabilities.  The obligation in the case of such a vulnerable and disadvantaged group is to take positive action to reduce structural disadvantages and to give appropriate preferential treatment to people with disabilities in order to achieve the objectives of full participation and equality within society for all persons with disabilities.  This almost invariably means that additional resources will need to be made available for this purpose and that a wide range of specially tailored measures will be required.</w:t>
      </w:r>
    </w:p>
    <w:p w:rsidR="00000000" w:rsidRDefault="00000000">
      <w:r>
        <w:t>10.</w:t>
      </w:r>
      <w:r>
        <w:tab/>
        <w:t>According to a report by the Secretary</w:t>
      </w:r>
      <w:r>
        <w:noBreakHyphen/>
        <w:t>General, developments over the past decade in both developed and developing countries have been especially unfavourable from the perspective of persons with disabilities:</w:t>
      </w:r>
    </w:p>
    <w:p w:rsidR="00000000" w:rsidRDefault="00000000">
      <w:pPr>
        <w:ind w:left="709" w:firstLine="11"/>
      </w:pPr>
      <w:r>
        <w:t>“...  current economic and social deterioration, marked by low</w:t>
      </w:r>
      <w:r>
        <w:noBreakHyphen/>
        <w:t>growth rates, high unemployment, reduced public expenditure, current structural adjustment programmes and privatization, have negatively affected programmes and services ...  If the present negative trends continue, there is the risk that [persons with disabilities] may increasingly be relegated to the margins of society, dependent on ad hoc support.”</w:t>
      </w:r>
      <w:r>
        <w:rPr>
          <w:rStyle w:val="EndnoteReference"/>
        </w:rPr>
        <w:endnoteReference w:id="22"/>
      </w:r>
    </w:p>
    <w:p w:rsidR="00000000" w:rsidRDefault="00000000">
      <w:r>
        <w:t>As the Committee has previously observed (general comment No. 3 (Fifth session, 1990), para. 12), the duty of States parties to protect the vulnerable members of their societies assumes greater rather than less importance in times of severe resource constraints.</w:t>
      </w:r>
    </w:p>
    <w:p w:rsidR="00000000" w:rsidRDefault="00000000">
      <w:r>
        <w:t>11.</w:t>
      </w:r>
      <w:r>
        <w:tab/>
        <w:t>Given the increasing commitment of Governments around the world to market</w:t>
      </w:r>
      <w:r>
        <w:noBreakHyphen/>
        <w:t>based policies, it is appropriate in that context to emphasize certain aspects of States parties’ obligations.  One is the need to ensure that not only the public sphere, but also the private sphere, are, within appropriate limits, subject to regulation to ensure the equitable treatment of persons with disabilities.  In a context in which arrangements for the provision of public services are increasingly being privatized and in which the free market is being relied on to an ever greater extent, it is essential that private employers, private suppliers of goods and services, and other non</w:t>
      </w:r>
      <w:r>
        <w:noBreakHyphen/>
        <w:t>public entities be subject to both non</w:t>
      </w:r>
      <w:r>
        <w:noBreakHyphen/>
        <w:t>discrimination and equality norms in relation to persons with disabilities.  In circumstances where such protection does not extend beyond the public domain, the ability of persons with disabilities to participate in the mainstream of community activities and to realize their full potential as active members of society will be severely and often arbitrarily constrained.  This is not to imply that legislative measures will always be the most effective means of seeking to eliminate discrimination within the private sphere.  Thus, for example, the Standard Rules place particular emphasis on the need for States to “take action to raise awareness in society about persons with disabilities, their rights, their needs, their potential and their contribution”.</w:t>
      </w:r>
      <w:r>
        <w:rPr>
          <w:rStyle w:val="EndnoteReference"/>
        </w:rPr>
        <w:endnoteReference w:id="23"/>
      </w:r>
    </w:p>
    <w:p w:rsidR="00000000" w:rsidRDefault="00000000">
      <w:r>
        <w:t>12.</w:t>
      </w:r>
      <w:r>
        <w:tab/>
        <w:t>In the absence of government intervention there will always be instances in which the operation of the free market will produce unsatisfactory results for persons with disabilities, either individually or as a group, and in such circumstances it is incumbent on Governments to step in and take appropriate measures to temper, complement, compensate for, or override the results produced by market forces.  Similarly, while it is appropriate for Governments to rely on private, voluntary groups to assist persons with disabilities in various ways, such arrangements can never absolve Governments from their duty to ensure full compliance with their obligations under the Covenant.  As the World Programme of Action concerning Disabled Persons states, “the ultimate responsibility for remedying the conditions that lead to impairment and for dealing with the consequences of disability rests with Governments”.</w:t>
      </w:r>
      <w:r>
        <w:rPr>
          <w:rStyle w:val="EndnoteReference"/>
        </w:rPr>
        <w:endnoteReference w:id="24"/>
      </w:r>
    </w:p>
    <w:p w:rsidR="00000000" w:rsidRDefault="00000000">
      <w:pPr>
        <w:pStyle w:val="Heading2"/>
      </w:pPr>
      <w:r>
        <w:t>2.  Means of implementation</w:t>
      </w:r>
    </w:p>
    <w:p w:rsidR="00000000" w:rsidRDefault="00000000">
      <w:r>
        <w:t>13.</w:t>
      </w:r>
      <w:r>
        <w:tab/>
        <w:t>The methods to be used by States parties in seeking to implement their obligations under the Covenant towards persons with disabilities are essentially the same as those available in relation to other obligations (see general comment No. 1 (Third session, 1989)).  They include the need to ascertain, through regular monitoring, the nature and scope of the problems existing within the State; the need to adopt appropriately tailored policies and programmes to respond to the requirements thus identified; the need to legislate where necessary and to eliminate any existing discriminatory legislation; and the need to make appropriate budgetary provisions or, where necessary, seek international cooperation and assistance.  In the latter respect, international cooperation in accordance with articles 22 and 23 of the Covenant is likely to be a particularly important element in enabling some developing countries to fulfil their obligations under the Covenant.</w:t>
      </w:r>
    </w:p>
    <w:p w:rsidR="00000000" w:rsidRDefault="00000000">
      <w:r>
        <w:t>14.</w:t>
      </w:r>
      <w:r>
        <w:tab/>
        <w:t>In addition, it has been consistently acknowledged by the international community that policy</w:t>
      </w:r>
      <w:r>
        <w:noBreakHyphen/>
        <w:t>making and programme implementation in this area should be undertaken on the basis of close consultation with, and involvement of, representative groups of the persons concerned.  For this reason, the Standard Rules recommend that everything possible be done to facilitate the establishment of national coordinating committees, or similar bodies, to serve as a national focal point on disability matters.  In doing so, Governments should take account of the 1990 Guidelines for the Establishment and Development of National Coordinating Committees on Disability or Similar Bodies.</w:t>
      </w:r>
      <w:r>
        <w:rPr>
          <w:rStyle w:val="EndnoteReference"/>
        </w:rPr>
        <w:endnoteReference w:id="25"/>
      </w:r>
    </w:p>
    <w:p w:rsidR="00000000" w:rsidRDefault="00000000">
      <w:pPr>
        <w:pStyle w:val="Heading2"/>
      </w:pPr>
      <w:r>
        <w:t>3.  The obligation to eliminate discrimination on the grounds of disability</w:t>
      </w:r>
    </w:p>
    <w:p w:rsidR="00000000" w:rsidRDefault="00000000">
      <w:r>
        <w:t>15.</w:t>
      </w:r>
      <w:r>
        <w:tab/>
        <w:t>Both de jure and de facto discrimination against persons with disabilities have a long history and take various forms. They range from invidious discrimination, such as the denial of educational opportunities, to more “subtle” forms of discrimination such as segregation and isolation achieved through the imposition of physical and social barriers.  For the purposes of the Covenant, “disability</w:t>
      </w:r>
      <w:r>
        <w:noBreakHyphen/>
        <w:t>based discrimination” may be defined as including any distinction, exclusion, restriction or preference, or denial of reasonable accommodation based on disability which has the effect of nullifying or impairing the recognition, enjoyment or exercise of economic, social or cultural rights.  Through neglect, ignorance, prejudice and false assumptions, as well as through exclusion, distinction or separation, persons with disabilities have very often been prevented from exercising their economic, social or cultural rights on an equal basis with persons without disabilities.  The effects of disability</w:t>
      </w:r>
      <w:r>
        <w:noBreakHyphen/>
        <w:t>based discrimination have been particularly severe in the fields of education, employment, housing, transport, cultural life, and access to public places and services.</w:t>
      </w:r>
    </w:p>
    <w:p w:rsidR="00000000" w:rsidRDefault="00000000">
      <w:r>
        <w:br w:type="page"/>
        <w:t>16.</w:t>
      </w:r>
      <w:r>
        <w:tab/>
        <w:t>Despite some progress in terms of legislation over the past decade,</w:t>
      </w:r>
      <w:r>
        <w:rPr>
          <w:rStyle w:val="EndnoteReference"/>
        </w:rPr>
        <w:endnoteReference w:id="26"/>
      </w:r>
      <w:r>
        <w:t xml:space="preserve"> the legal situation of persons with disabilities remains precarious.  In order to remedy past and present discrimination, and to deter future discrimination, comprehensive anti</w:t>
      </w:r>
      <w:r>
        <w:noBreakHyphen/>
        <w:t>discrimination legislation in relation to disability would seem to be indispensable in virtually all States parties.  Such legislation should not only provide persons with disabilities with judicial remedies as far as possible and appropriate, but also provide for social policy programmes which enable persons with disabilities to live an integrated, self</w:t>
      </w:r>
      <w:r>
        <w:noBreakHyphen/>
        <w:t>determined and independent life.</w:t>
      </w:r>
    </w:p>
    <w:p w:rsidR="00000000" w:rsidRDefault="00000000">
      <w:r>
        <w:t>17.</w:t>
      </w:r>
      <w:r>
        <w:tab/>
        <w:t>Anti</w:t>
      </w:r>
      <w:r>
        <w:noBreakHyphen/>
        <w:t>discrimination measures should be based on the principle of equal rights for persons with disabilities and the non</w:t>
      </w:r>
      <w:r>
        <w:noBreakHyphen/>
        <w:t>disabled, which, in the words of the World Programme of Action concerning Disabled Persons, “implies that the needs of each and every individual are of equal importance, that these needs must be made the basis for the planning of societies, and that all resources must be employed in such a way as to ensure, for every individual, equal opportunity for participation.  Disability policies should ensure the access of [persons with disabilities] to all community services”.</w:t>
      </w:r>
      <w:r>
        <w:rPr>
          <w:rStyle w:val="EndnoteReference"/>
        </w:rPr>
        <w:endnoteReference w:id="27"/>
      </w:r>
    </w:p>
    <w:p w:rsidR="00000000" w:rsidRDefault="00000000">
      <w:r>
        <w:t>18.</w:t>
      </w:r>
      <w:r>
        <w:tab/>
        <w:t>Because appropriate measures need to be taken to undo existing discrimination and to establish equitable opportunities for persons with disabilities, such actions should not be considered discriminatory in the sense of article 2 (2) of the International Covenant on Economic, Social and Cultural Rights as long as they are based on the principle of equality and are employed only to the extent necessary to achieve that objective.</w:t>
      </w:r>
    </w:p>
    <w:p w:rsidR="00000000" w:rsidRDefault="00000000">
      <w:pPr>
        <w:pStyle w:val="Heading2"/>
      </w:pPr>
      <w:r>
        <w:t>4.  Specific provisions of the Covenant</w:t>
      </w:r>
    </w:p>
    <w:p w:rsidR="00000000" w:rsidRDefault="00000000">
      <w:pPr>
        <w:pStyle w:val="Heading2"/>
      </w:pPr>
      <w:r>
        <w:t>A.  Article 3:  Equal rights for men and women</w:t>
      </w:r>
    </w:p>
    <w:p w:rsidR="00000000" w:rsidRDefault="00000000">
      <w:r>
        <w:t>19.</w:t>
      </w:r>
      <w:r>
        <w:tab/>
        <w:t>Persons with disabilities are sometimes treated as genderless human beings.  As a result, the double discrimination suffered by women with disabilities is often neglected.</w:t>
      </w:r>
      <w:r>
        <w:rPr>
          <w:rStyle w:val="EndnoteReference"/>
        </w:rPr>
        <w:endnoteReference w:id="28"/>
      </w:r>
      <w:r>
        <w:t xml:space="preserve"> Despite frequent calls by the international community for particular emphasis to be placed upon their situation, very few efforts have been undertaken during the Decade.  The neglect of women with disabilities is mentioned several times in the report of the Secretary</w:t>
      </w:r>
      <w:r>
        <w:noBreakHyphen/>
        <w:t>General on the implementation of the World Programme of Action.</w:t>
      </w:r>
      <w:r>
        <w:rPr>
          <w:rStyle w:val="EndnoteReference"/>
        </w:rPr>
        <w:endnoteReference w:id="29"/>
      </w:r>
      <w:r>
        <w:t xml:space="preserve"> The Committee therefore urges States parties to address the situation of women with disabilities, with high priority being given in future to the implementation of economic, social and cultural rights</w:t>
      </w:r>
      <w:r>
        <w:noBreakHyphen/>
        <w:t>related programmes.</w:t>
      </w:r>
    </w:p>
    <w:p w:rsidR="00000000" w:rsidRDefault="00000000">
      <w:pPr>
        <w:pStyle w:val="Heading2"/>
      </w:pPr>
      <w:r>
        <w:t>B.  Articles 6</w:t>
      </w:r>
      <w:r>
        <w:noBreakHyphen/>
        <w:t>8:  Rights relating to work</w:t>
      </w:r>
    </w:p>
    <w:p w:rsidR="00000000" w:rsidRDefault="00000000">
      <w:r>
        <w:t>20.</w:t>
      </w:r>
      <w:r>
        <w:tab/>
        <w:t>The field of employment is one in which disability</w:t>
      </w:r>
      <w:r>
        <w:noBreakHyphen/>
        <w:t>based discrimination has been prominent and persistent.  In most countries the unemployment rate among persons with disabilities is two to three times higher than the unemployment rate for persons without disabilities.  Where persons with disabilities are employed, they are mostly engaged in low</w:t>
      </w:r>
      <w:r>
        <w:noBreakHyphen/>
        <w:t>paid jobs with little social and legal security and are often segregated from the mainstream of the labour market.  The integration of persons with disabilities into the regular labour market should be actively supported by States.</w:t>
      </w:r>
    </w:p>
    <w:p w:rsidR="00000000" w:rsidRDefault="00000000">
      <w:r>
        <w:t>21.</w:t>
      </w:r>
      <w:r>
        <w:tab/>
        <w:t>The “right of everyone to the opportunity to gain his living by work which he freely chooses or accepts” (art. 6 (1)) is not realized where the only real opportunity open to disabled workers is to work in so</w:t>
      </w:r>
      <w:r>
        <w:noBreakHyphen/>
        <w:t>called “sheltered” facilities under sub-standard conditions.  Arrangements whereby persons with a certain category of disability are effectively confined to certain occupations or to the production of certain goods may violate this right.  Similarly, in the light of principle 13 (3) of the Principles for the Protection of Persons with Mental Illness and for the Improvement of Mental Health Care,</w:t>
      </w:r>
      <w:r>
        <w:rPr>
          <w:rStyle w:val="EndnoteReference"/>
        </w:rPr>
        <w:endnoteReference w:id="30"/>
      </w:r>
      <w:r>
        <w:t xml:space="preserve"> “therapeutical treatment” in institutions which amounts to forced labour is also incompatible with the Covenant.  In this regard, the prohibition on forced labour contained in the International Covenant on Civil and Political Rights is also of potential relevance.</w:t>
      </w:r>
    </w:p>
    <w:p w:rsidR="00000000" w:rsidRDefault="00000000">
      <w:r>
        <w:t>22.</w:t>
      </w:r>
      <w:r>
        <w:tab/>
        <w:t>According to the Standard Rules, persons with disabilities, whether in rural or urban areas, must have equal opportunities for productive and gainful employment in the labour market.</w:t>
      </w:r>
      <w:r>
        <w:rPr>
          <w:rStyle w:val="EndnoteReference"/>
        </w:rPr>
        <w:endnoteReference w:id="31"/>
      </w:r>
      <w:r>
        <w:t xml:space="preserve"> For this to happen it is particularly important that artificial barriers to integration in general, and to employment in particular, be removed.  As the International Labour Organization has noted, it is very often the physical barriers that society has erected in areas such as transport, housing and the workplace which are then cited as the reason why persons with disabilities cannot be employed.</w:t>
      </w:r>
      <w:r>
        <w:rPr>
          <w:rStyle w:val="EndnoteReference"/>
        </w:rPr>
        <w:endnoteReference w:id="32"/>
      </w:r>
      <w:r>
        <w:t xml:space="preserve"> For example, as long as workplaces are designed and built in ways that make them inaccessible to wheelchairs, employers will be able to “justify” their failure to employ wheelchair users.  Governments should also develop policies which promote and regulate flexible and alternative work arrangements that reasonably accommodate the needs of disabled workers.</w:t>
      </w:r>
    </w:p>
    <w:p w:rsidR="00000000" w:rsidRDefault="00000000">
      <w:r>
        <w:t>23.</w:t>
      </w:r>
      <w:r>
        <w:tab/>
        <w:t>Similarly, the failure of Governments to ensure that modes of transportation are accessible to persons with disabilities greatly reduces the chances of such persons finding suitable, integrated jobs, taking advantage of educational and vocational training, or commuting to facilities of all types.  Indeed, the provision of access to appropriate and, where necessary, specially tailored forms of transportation is crucial to the realization by persons with disabilities of virtually all the rights recognized in the Covenant.</w:t>
      </w:r>
    </w:p>
    <w:p w:rsidR="00000000" w:rsidRDefault="00000000">
      <w:r>
        <w:t>24.</w:t>
      </w:r>
      <w:r>
        <w:tab/>
        <w:t>The “technical and vocational guidance and training programmes” required under article 6 (2) of the Covenant should reflect the needs of all persons with disabilities, take place in integrated settings, and be planned and implemented with the full involvement of representatives of persons with disabilities.</w:t>
      </w:r>
    </w:p>
    <w:p w:rsidR="00000000" w:rsidRDefault="00000000">
      <w:r>
        <w:t>25.</w:t>
      </w:r>
      <w:r>
        <w:tab/>
        <w:t>The right to “the enjoyment of just and favourable conditions of work” (art. 7) applies to all disabled workers, whether they work in sheltered facilities or in the open labour market.  Disabled workers may not be discriminated against with respect to wages or other conditions if their work is equal to that of non</w:t>
      </w:r>
      <w:r>
        <w:noBreakHyphen/>
        <w:t>disabled workers.  States parties have a responsibility to ensure that disability is not used as an excuse for creating low standards of labour protection or for paying below minimum wages.</w:t>
      </w:r>
    </w:p>
    <w:p w:rsidR="00000000" w:rsidRDefault="00000000">
      <w:r>
        <w:t>26.</w:t>
      </w:r>
      <w:r>
        <w:tab/>
        <w:t>Trade union</w:t>
      </w:r>
      <w:r>
        <w:noBreakHyphen/>
        <w:t xml:space="preserve">related rights (art. 8) apply equally to workers with disabilities and regardless of whether they work in special work facilities or in the open labour market.  In addition, article 8, read in conjunction with other rights such as the right to freedom of association, serves to emphasize the importance of the right of persons with disabilities to form </w:t>
      </w:r>
      <w:r>
        <w:br w:type="page"/>
        <w:t>their own organizations.  If these organizations are to be effective in “the promotion and protection of [the] economic and social interests” (art. 8 (1) (a)) of such persons, they should be consulted regularly by government bodies and others in relation to all matters affecting them; it may also be necessary that they be supported financially and otherwise so as to ensure their viability.</w:t>
      </w:r>
    </w:p>
    <w:p w:rsidR="00000000" w:rsidRDefault="00000000">
      <w:r>
        <w:t>27.</w:t>
      </w:r>
      <w:r>
        <w:tab/>
        <w:t>The International Labour Organization has developed valuable and comprehensive instruments with respect to the work</w:t>
      </w:r>
      <w:r>
        <w:noBreakHyphen/>
        <w:t>related rights of persons with disabilities, including in particular Convention No. 159 (1983) concerning vocational rehabilitation and employment of persons with disabilities.</w:t>
      </w:r>
      <w:r>
        <w:rPr>
          <w:rStyle w:val="EndnoteReference"/>
        </w:rPr>
        <w:endnoteReference w:id="33"/>
      </w:r>
      <w:r>
        <w:t xml:space="preserve">  The Committee encourages States parties to the Covenant to consider ratifying that Convention.</w:t>
      </w:r>
    </w:p>
    <w:p w:rsidR="00000000" w:rsidRDefault="00000000">
      <w:pPr>
        <w:pStyle w:val="Heading2"/>
      </w:pPr>
      <w:r>
        <w:t>C.  Article 9:  Social security</w:t>
      </w:r>
    </w:p>
    <w:p w:rsidR="00000000" w:rsidRDefault="00000000">
      <w:pPr>
        <w:rPr>
          <w:u w:val="single"/>
        </w:rPr>
      </w:pPr>
      <w:r>
        <w:t>28.</w:t>
      </w:r>
      <w:r>
        <w:tab/>
        <w:t>Social security and income</w:t>
      </w:r>
      <w:r>
        <w:noBreakHyphen/>
        <w:t>maintenance schemes are of particular importance for persons with disabilities.  As stated in the Standard Rules, “States should ensure the provision of adequate income support to persons with disabilities who, owing to disability or disability</w:t>
      </w:r>
      <w:r>
        <w:noBreakHyphen/>
        <w:t>related factors, have temporarily lost or received a reduction in their income or have been denied employment opportunities”.</w:t>
      </w:r>
      <w:r>
        <w:rPr>
          <w:rStyle w:val="EndnoteReference"/>
        </w:rPr>
        <w:endnoteReference w:id="34"/>
      </w:r>
      <w:r>
        <w:t xml:space="preserve"> Such support should reflect the special needs for assistance and other expenses often associated with disability.  In addition, as far as possible, the support provided should also cover individuals (who are overwhelmingly female) who undertake the care of a person with disabilities.  Such persons, including members of the families of persons with disabilities, are often in urgent need of financial support because of their assistance role.</w:t>
      </w:r>
      <w:r>
        <w:rPr>
          <w:rStyle w:val="EndnoteReference"/>
        </w:rPr>
        <w:endnoteReference w:id="35"/>
      </w:r>
    </w:p>
    <w:p w:rsidR="00000000" w:rsidRDefault="00000000">
      <w:r>
        <w:t>29.</w:t>
      </w:r>
      <w:r>
        <w:tab/>
        <w:t>Institutionalization of persons with disabilities, unless rendered necessary for other reasons, cannot be regarded as an adequate substitute for the social security and income</w:t>
      </w:r>
      <w:r>
        <w:noBreakHyphen/>
        <w:t>support rights of such persons.</w:t>
      </w:r>
    </w:p>
    <w:p w:rsidR="00000000" w:rsidRDefault="00000000">
      <w:pPr>
        <w:pStyle w:val="Heading2"/>
      </w:pPr>
      <w:r>
        <w:t>D.  Article 10:  Protection of the family and of mothers and children</w:t>
      </w:r>
    </w:p>
    <w:p w:rsidR="00000000" w:rsidRDefault="00000000">
      <w:r>
        <w:t>30.</w:t>
      </w:r>
      <w:r>
        <w:tab/>
        <w:t>In the case of persons with disabilities, the Covenant’s requirement that “protection and assistance” be rendered to the family means that everything possible should be done to enable such persons, when they so wish, to live with their families.  Article 10 also implies, subject to the general principles of international human rights law, the right of persons with disabilities to marry and have their own family.  These rights are frequently ignored or denied, especially in the case of persons with mental disabilities.</w:t>
      </w:r>
      <w:r>
        <w:rPr>
          <w:rStyle w:val="EndnoteReference"/>
        </w:rPr>
        <w:endnoteReference w:id="36"/>
      </w:r>
      <w:r>
        <w:t xml:space="preserve"> In this and other contexts, the term “family” should be interpreted broadly and in accordance with appropriate local usage.  States parties should ensure that laws and social policies and practices do not impede the realization of these rights.  Persons with disabilities should have access to necessary counselling services in order to fulfil their rights and duties within the family.</w:t>
      </w:r>
      <w:r>
        <w:rPr>
          <w:rStyle w:val="EndnoteReference"/>
        </w:rPr>
        <w:endnoteReference w:id="37"/>
      </w:r>
    </w:p>
    <w:p w:rsidR="00000000" w:rsidRDefault="00000000">
      <w:r>
        <w:t>31.</w:t>
      </w:r>
      <w:r>
        <w:tab/>
        <w:t>Women with disabilities also have the right to protection and support in relation to motherhood and pregnancy.  As the Standard Rules state, “persons with disabilities must not be denied the opportunity to experience their sexuality, have sexual relationships and experience parenthood”.</w:t>
      </w:r>
      <w:r>
        <w:rPr>
          <w:rStyle w:val="EndnoteReference"/>
        </w:rPr>
        <w:endnoteReference w:id="38"/>
      </w:r>
      <w:r>
        <w:t xml:space="preserve"> The needs and desires in question should be recognized and addressed in both the recreational and the procreational contexts.  These rights are commonly denied to both men and women with disabilities worldwide.</w:t>
      </w:r>
      <w:r>
        <w:rPr>
          <w:rStyle w:val="EndnoteReference"/>
        </w:rPr>
        <w:endnoteReference w:id="39"/>
      </w:r>
      <w:r>
        <w:t xml:space="preserve"> Both the sterilization of, and the performance of an abortion on, a woman with disabilities without her prior informed consent are serious violations of article 10 (2).</w:t>
      </w:r>
    </w:p>
    <w:p w:rsidR="00000000" w:rsidRDefault="00000000">
      <w:r>
        <w:t>32.</w:t>
      </w:r>
      <w:r>
        <w:tab/>
        <w:t>Children with disabilities are especially vulnerable to exploitation, abuse and neglect and are, in accordance with article 10 (3) of the Covenant (reinforced by the corresponding provisions of the Convention on the Rights of the Child), entitled to special protection.</w:t>
      </w:r>
    </w:p>
    <w:p w:rsidR="00000000" w:rsidRDefault="00000000">
      <w:pPr>
        <w:pStyle w:val="Heading2"/>
      </w:pPr>
      <w:r>
        <w:t>E.  Article 11:  The right to an adequate standard of living</w:t>
      </w:r>
    </w:p>
    <w:p w:rsidR="00000000" w:rsidRDefault="00000000">
      <w:r>
        <w:t>33.</w:t>
      </w:r>
      <w:r>
        <w:tab/>
        <w:t>In addition to the need to ensure that persons with disabilities have access to adequate food, accessible housing and other basic material needs, it is also necessary to ensure that “support services, including assistive devices” are available “for persons with disabilities, to assist them to increase their level of independence in their daily living and to exercise their rights”.</w:t>
      </w:r>
      <w:r>
        <w:rPr>
          <w:rStyle w:val="EndnoteReference"/>
        </w:rPr>
        <w:endnoteReference w:id="40"/>
      </w:r>
      <w:r>
        <w:t xml:space="preserve"> The right to adequate clothing also assumes a special significance in the context of persons with disabilities who have particular clothing needs, so as to enable them to function fully and effectively in society.  Wherever possible, appropriate personal assistance should also be provided in this connection.  Such assistance should be undertaken in a manner and spirit which fully respect the human rights of the person(s) concerned.  Similarly, as already noted by the Committee in paragraph 8 of general comment No. 4 (Sixth session, 1991), the right to adequate housing includes the right to accessible housing for persons with disabilities.</w:t>
      </w:r>
    </w:p>
    <w:p w:rsidR="00000000" w:rsidRDefault="00000000">
      <w:pPr>
        <w:pStyle w:val="Heading2"/>
      </w:pPr>
      <w:r>
        <w:t>F.  Article 12:  The right to physical and mental health</w:t>
      </w:r>
    </w:p>
    <w:p w:rsidR="00000000" w:rsidRDefault="00000000">
      <w:r>
        <w:t>34.</w:t>
      </w:r>
      <w:r>
        <w:tab/>
        <w:t>According to the Standard Rules, “States should ensure that persons with disabilities, particularly infants and children, are provided with the same level of medical care within the same system as other members of society”.</w:t>
      </w:r>
      <w:r>
        <w:rPr>
          <w:rStyle w:val="EndnoteReference"/>
        </w:rPr>
        <w:endnoteReference w:id="41"/>
      </w:r>
      <w:r>
        <w:t xml:space="preserve"> The right to physical and mental health also implies the right to have access to, and to benefit from, those medical and social services </w:t>
      </w:r>
      <w:r>
        <w:noBreakHyphen/>
        <w:t xml:space="preserve"> including orthopaedic devices </w:t>
      </w:r>
      <w:r>
        <w:noBreakHyphen/>
        <w:t xml:space="preserve"> which enable persons with disabilities to become independent, prevent further disabilities and support their social integration.</w:t>
      </w:r>
      <w:r>
        <w:rPr>
          <w:rStyle w:val="EndnoteReference"/>
        </w:rPr>
        <w:endnoteReference w:id="42"/>
      </w:r>
      <w:r>
        <w:t xml:space="preserve"> Similarly, such persons should be provided with rehabilitation services which would enable them “to reach and sustain their optimum level of independence and functioning”.</w:t>
      </w:r>
      <w:r>
        <w:rPr>
          <w:rStyle w:val="EndnoteReference"/>
        </w:rPr>
        <w:endnoteReference w:id="43"/>
      </w:r>
      <w:r>
        <w:t xml:space="preserve"> All such services should be provided in such a way that the persons concerned are able to maintain full respect for their rights and dignity.</w:t>
      </w:r>
    </w:p>
    <w:p w:rsidR="00000000" w:rsidRDefault="00000000">
      <w:pPr>
        <w:pStyle w:val="Heading2"/>
      </w:pPr>
      <w:r>
        <w:t>G.  Articles 13 and 14:  The right to education</w:t>
      </w:r>
    </w:p>
    <w:p w:rsidR="00000000" w:rsidRDefault="00000000">
      <w:r>
        <w:t>35.</w:t>
      </w:r>
      <w:r>
        <w:tab/>
        <w:t>School programmes in many countries today recognize that persons with disabilities can best be educated within the general education system.</w:t>
      </w:r>
      <w:r>
        <w:rPr>
          <w:rStyle w:val="EndnoteReference"/>
        </w:rPr>
        <w:endnoteReference w:id="44"/>
      </w:r>
      <w:r>
        <w:t xml:space="preserve"> Thus the Standard Rules provide that “States should recognize the principle of equal primary, secondary and tertiary educational opportunities for children, youth and adults with disabilities, in integrated settings”.</w:t>
      </w:r>
      <w:r>
        <w:rPr>
          <w:rStyle w:val="EndnoteReference"/>
        </w:rPr>
        <w:endnoteReference w:id="45"/>
      </w:r>
      <w:r>
        <w:t xml:space="preserve"> In order to implement such an approach, States should ensure that teachers are trained to educate children with disabilities within regular schools and that the necessary equipment and support are available to bring persons with disabilities up to the same level of education as their non</w:t>
      </w:r>
      <w:r>
        <w:noBreakHyphen/>
        <w:t>disabled peers.  In the case of deaf children, for example, sign language should be recognized as a separate language to which the children should have access and whose importance should be acknowledged in their overall social environment.</w:t>
      </w:r>
    </w:p>
    <w:p w:rsidR="00000000" w:rsidRDefault="00000000">
      <w:pPr>
        <w:pStyle w:val="Heading2"/>
        <w:ind w:left="2042" w:hanging="454"/>
        <w:jc w:val="left"/>
      </w:pPr>
      <w:r>
        <w:t>H.</w:t>
      </w:r>
      <w:r>
        <w:tab/>
        <w:t xml:space="preserve">Article 15:  The right to take part in cultural life </w:t>
      </w:r>
      <w:r>
        <w:br/>
        <w:t>and enjoy the benefits of scientific progress</w:t>
      </w:r>
    </w:p>
    <w:p w:rsidR="00000000" w:rsidRDefault="00000000">
      <w:r>
        <w:t>36.</w:t>
      </w:r>
      <w:r>
        <w:tab/>
        <w:t>The Standard Rules provide that “States should ensure that persons with disabilities have the opportunity to utilize their creative, artistic and intellectual potential, not only for their own benefit, but also for the enrichment of their community, be they in urban or rural areas.  ...  States should promote the accessibility to and availability of places for cultural performances and services ...”.</w:t>
      </w:r>
      <w:r>
        <w:rPr>
          <w:rStyle w:val="EndnoteReference"/>
        </w:rPr>
        <w:endnoteReference w:id="46"/>
      </w:r>
      <w:r>
        <w:t xml:space="preserve"> The same applies to places for recreation, sports and tourism.</w:t>
      </w:r>
    </w:p>
    <w:p w:rsidR="00000000" w:rsidRDefault="00000000">
      <w:r>
        <w:t>37.</w:t>
      </w:r>
      <w:r>
        <w:tab/>
        <w:t>The right to full participation in cultural and recreational life for persons with disabilities further requires that communication barriers be eliminated to the greatest extent possible.  Useful measures in this regard might include “the use of talking books, papers written in simple language and with clear format and colours for persons with mental disability, [and] adapted television and theatre for deaf persons”.</w:t>
      </w:r>
      <w:r>
        <w:rPr>
          <w:rStyle w:val="EndnoteReference"/>
        </w:rPr>
        <w:endnoteReference w:id="47"/>
      </w:r>
    </w:p>
    <w:p w:rsidR="00000000" w:rsidRDefault="00000000">
      <w:pPr>
        <w:spacing w:after="480"/>
      </w:pPr>
      <w:r>
        <w:t>38.</w:t>
      </w:r>
      <w:r>
        <w:tab/>
        <w:t>In order to facilitate the equal participation in cultural life of persons with disabilities, Governments should inform and educate the general public about disability.  In particular, measures must be taken to dispel prejudices or superstitious beliefs against persons with disabilities, for example those that view epilepsy as a form of spirit possession or a child with disabilities as a form of punishment visited upon the family.  Similarly, the general public should be educated to accept that persons with disabilities have as much right as any other person to make use of restaurants, hotels, recreation centres and cultural venues.</w:t>
      </w:r>
    </w:p>
    <w:p w:rsidR="00000000" w:rsidRDefault="00000000">
      <w:pPr>
        <w:spacing w:after="0"/>
        <w:jc w:val="center"/>
        <w:rPr>
          <w:b/>
        </w:rPr>
        <w:sectPr w:rsidR="00000000">
          <w:headerReference w:type="even" r:id="rId19"/>
          <w:headerReference w:type="default" r:id="rId20"/>
          <w:endnotePr>
            <w:numFmt w:val="decimal"/>
            <w:numRestart w:val="eachSect"/>
          </w:endnotePr>
          <w:type w:val="continuous"/>
          <w:pgSz w:w="11907" w:h="16840" w:code="9"/>
          <w:pgMar w:top="567" w:right="851" w:bottom="1701" w:left="1701" w:header="851" w:footer="1985" w:gutter="0"/>
          <w:paperSrc w:first="84" w:other="84"/>
          <w:cols w:space="720"/>
        </w:sectPr>
      </w:pPr>
      <w:r>
        <w:rPr>
          <w:b/>
        </w:rPr>
        <w:t>Notes</w:t>
      </w:r>
    </w:p>
    <w:p w:rsidR="00000000" w:rsidRDefault="00000000">
      <w:pPr>
        <w:pStyle w:val="Heading2"/>
      </w:pPr>
      <w:r>
        <w:t>Thirteenth session (1995)</w:t>
      </w:r>
      <w:r>
        <w:rPr>
          <w:rStyle w:val="FootnoteReference"/>
          <w:vertAlign w:val="baseline"/>
        </w:rPr>
        <w:footnoteReference w:customMarkFollows="1" w:id="7"/>
        <w:t>*</w:t>
      </w:r>
    </w:p>
    <w:p w:rsidR="00000000" w:rsidRDefault="00000000">
      <w:pPr>
        <w:pStyle w:val="Heading2"/>
      </w:pPr>
      <w:bookmarkStart w:id="26" w:name="_Toc481083347"/>
      <w:bookmarkStart w:id="27" w:name="_Toc70388944"/>
      <w:bookmarkStart w:id="28" w:name="_Toc70516943"/>
      <w:r>
        <w:t>General comment No. 6:  The economic, social and cultural rights of older persons</w:t>
      </w:r>
      <w:bookmarkStart w:id="29" w:name="_Toc481083348"/>
      <w:bookmarkStart w:id="30" w:name="_Toc70388945"/>
      <w:bookmarkEnd w:id="26"/>
      <w:bookmarkEnd w:id="27"/>
      <w:bookmarkEnd w:id="28"/>
      <w:r>
        <w:t xml:space="preserve"> </w:t>
      </w:r>
      <w:bookmarkEnd w:id="29"/>
      <w:bookmarkEnd w:id="30"/>
    </w:p>
    <w:p w:rsidR="00000000" w:rsidRDefault="00000000">
      <w:pPr>
        <w:pStyle w:val="Heading2"/>
      </w:pPr>
      <w:r>
        <w:t>1.  Introduction</w:t>
      </w:r>
    </w:p>
    <w:p w:rsidR="00000000" w:rsidRDefault="00000000">
      <w:r>
        <w:t>1.</w:t>
      </w:r>
      <w:r>
        <w:tab/>
        <w:t>The world population is ageing at a steady, quite spectacular rate.  The total number of persons aged 60 and above rose from 200 million in 1950 to 400 million in 1982 and is projected to reach 600 million in the year 2001 and 1.2 billion by the year 2025, at which time over 70 per cent of them will be living in what are today’s developing countries.  The number of people aged 80 and above has grown and continues to grow even more dramatically, going from 13 million in 1950 to over 50 million today and projected to increase to 137 million in 2025.  This is the fastest growing population group in the world, projected to increase by a factor of 10 between 1950 and 2025, compared with a factor of 6 for the group aged 60 and above and a factor of little more than 3 for the total population.</w:t>
      </w:r>
      <w:r>
        <w:rPr>
          <w:rStyle w:val="EndnoteReference"/>
        </w:rPr>
        <w:endnoteReference w:id="48"/>
      </w:r>
    </w:p>
    <w:p w:rsidR="00000000" w:rsidRDefault="00000000">
      <w:r>
        <w:br w:type="page"/>
        <w:t>2.</w:t>
      </w:r>
      <w:r>
        <w:tab/>
        <w:t>These figures are illustrations of a quiet revolution, but one which has far</w:t>
      </w:r>
      <w:r>
        <w:noBreakHyphen/>
        <w:t>reaching and unpredictable consequences and which is now affecting the social and economic structures of societies both at the world level and at the country level, and will affect them even more in future.</w:t>
      </w:r>
    </w:p>
    <w:p w:rsidR="00000000" w:rsidRDefault="00000000">
      <w:r>
        <w:t>3.</w:t>
      </w:r>
      <w:r>
        <w:tab/>
        <w:t xml:space="preserve">Most of the States parties to the Covenant, and the industrialized countries in particular, are faced with the task of adapting their social and economic policies to the ageing of their populations, especially as regards social security.  In the developing countries, the absence or deficiencies of social security coverage are being aggravated by the emigration of the younger members of the population and the consequent weakening of the traditional role of the family, the main support of older people.  </w:t>
      </w:r>
    </w:p>
    <w:p w:rsidR="00000000" w:rsidRDefault="00000000">
      <w:pPr>
        <w:pStyle w:val="Heading2"/>
      </w:pPr>
      <w:r>
        <w:t>2.  Internationally endorsed policies in relation to older persons</w:t>
      </w:r>
    </w:p>
    <w:p w:rsidR="00000000" w:rsidRDefault="00000000">
      <w:r>
        <w:t>4.</w:t>
      </w:r>
      <w:r>
        <w:tab/>
        <w:t>In 1982 the World Assembly on Ageing adopted the Vienna International Plan of Action on Ageing.  This important document was endorsed by the General Assembly and is a very useful guide, for it details the measures that should be taken by Member States to safeguard the rights of older persons within the context of the rights proclaimed by the International Covenants on Human Rights.  It contains 62 recommendations, many of which are of direct relevance to the Covenant.</w:t>
      </w:r>
      <w:r>
        <w:rPr>
          <w:rStyle w:val="EndnoteReference"/>
        </w:rPr>
        <w:endnoteReference w:id="49"/>
      </w:r>
    </w:p>
    <w:p w:rsidR="00000000" w:rsidRDefault="00000000">
      <w:r>
        <w:t>5.</w:t>
      </w:r>
      <w:r>
        <w:tab/>
        <w:t>In 1991 the General Assembly adopted the United Nations Principles for Older Persons which, because of their programmatic nature, is also an important document in the present context.</w:t>
      </w:r>
      <w:r>
        <w:rPr>
          <w:rStyle w:val="EndnoteReference"/>
        </w:rPr>
        <w:endnoteReference w:id="50"/>
      </w:r>
      <w:r>
        <w:t xml:space="preserve"> It is divided into five sections which correlate closely to the rights recognized in the Covenant.  “</w:t>
      </w:r>
      <w:r>
        <w:rPr>
          <w:i/>
        </w:rPr>
        <w:t>Independence</w:t>
      </w:r>
      <w:r>
        <w:t>” includes access to adequate food, water, shelter, clothing and health care.  To these basic rights are added the opportunity to remunerated work and access to education and training.  By “</w:t>
      </w:r>
      <w:r>
        <w:rPr>
          <w:i/>
        </w:rPr>
        <w:t>participation</w:t>
      </w:r>
      <w:r>
        <w:t>” is meant that older persons should participate actively in the formulation and implementation of policies that affect their well</w:t>
      </w:r>
      <w:r>
        <w:noBreakHyphen/>
        <w:t>being and share their knowledge and skills with younger generations, and should be able to form movements and associations.  The section headed “</w:t>
      </w:r>
      <w:r>
        <w:rPr>
          <w:i/>
        </w:rPr>
        <w:t>Care</w:t>
      </w:r>
      <w:r>
        <w:t>” proclaims that older persons should benefit from family care, health care and be able to enjoy human rights and fundamental freedoms when residing in a shelter, care or treatment facility.  With regard to “</w:t>
      </w:r>
      <w:r>
        <w:rPr>
          <w:i/>
        </w:rPr>
        <w:t>self</w:t>
      </w:r>
      <w:r>
        <w:rPr>
          <w:i/>
        </w:rPr>
        <w:noBreakHyphen/>
        <w:t>fulfilment</w:t>
      </w:r>
      <w:r>
        <w:t>”, the principles that older persons should pursue opportunities for the full development of their potential through access to the educational, cultural, spiritual and recreational resources of their societies.  Lastly, the section entitled “</w:t>
      </w:r>
      <w:r>
        <w:rPr>
          <w:i/>
        </w:rPr>
        <w:t>dignity</w:t>
      </w:r>
      <w:r>
        <w:t>” states that older persons should be able to live in dignity and security and be free of exploitation and physical or mental abuse, should be treated fairly, regardless of age, gender, racial or ethnic background, disability, financial situation or any other status, and be valued independently of their economic contribution.</w:t>
      </w:r>
    </w:p>
    <w:p w:rsidR="00000000" w:rsidRDefault="00000000">
      <w:r>
        <w:t>6.</w:t>
      </w:r>
      <w:r>
        <w:tab/>
        <w:t>In 1992, the General Assembly adopted eight global targets on ageing for the year 2001 and a brief guide for setting national targets.  In a number of important respects, these global targets serve to reinforce the obligations of States parties to the Covenant.</w:t>
      </w:r>
      <w:r>
        <w:rPr>
          <w:rStyle w:val="EndnoteReference"/>
        </w:rPr>
        <w:endnoteReference w:id="51"/>
      </w:r>
    </w:p>
    <w:p w:rsidR="00000000" w:rsidRDefault="00000000">
      <w:r>
        <w:t>7.</w:t>
      </w:r>
      <w:r>
        <w:tab/>
        <w:t xml:space="preserve">Also in 1992, and in commemoration of the tenth anniversary of the adoption of the Vienna International Plan of Action by the Conference on Ageing, the General Assembly adopted the Proclamation on Ageing in which it urged support of national initiatives on ageing </w:t>
      </w:r>
      <w:r>
        <w:br w:type="page"/>
        <w:t>so that older women are given adequate support for their largely unrecognized contributions to society and older men are encouraged to develop social, cultural and emotional capacities which they may have been prevented from developing during breadwinning years; families are supported in providing care and all family members encouraged to cooperate in care giving; and that international cooperation is expanded in the context of the strategies for reaching the global targets on ageing for the year 2001.  It also proclaimed the year 1999 as the International Year of Older Persons in recognition of humanity’s demographic “coming of age”.</w:t>
      </w:r>
      <w:r>
        <w:rPr>
          <w:rStyle w:val="EndnoteReference"/>
        </w:rPr>
        <w:endnoteReference w:id="52"/>
      </w:r>
    </w:p>
    <w:p w:rsidR="00000000" w:rsidRDefault="00000000">
      <w:r>
        <w:t>8.</w:t>
      </w:r>
      <w:r>
        <w:tab/>
        <w:t>The United Nations specialized agencies, especially the International Labour Organization, have also given attention to the problem of ageing in their respective fields of competence.</w:t>
      </w:r>
    </w:p>
    <w:p w:rsidR="00000000" w:rsidRDefault="00000000">
      <w:pPr>
        <w:pStyle w:val="Heading2"/>
        <w:ind w:left="1872" w:hanging="454"/>
        <w:jc w:val="left"/>
      </w:pPr>
      <w:r>
        <w:t>3.</w:t>
      </w:r>
      <w:r>
        <w:tab/>
        <w:t xml:space="preserve">The rights of older persons in relation to the International </w:t>
      </w:r>
      <w:r>
        <w:br/>
        <w:t>Covenant on Economic, Social and Cultural Rights</w:t>
      </w:r>
    </w:p>
    <w:p w:rsidR="00000000" w:rsidRDefault="00000000">
      <w:r>
        <w:t>9.</w:t>
      </w:r>
      <w:r>
        <w:tab/>
        <w:t xml:space="preserve">The terminology used to describe older persons varies considerably, even in international documents.  It includes: “older persons”, “the aged”, “the elderly”, “the third age”, “the ageing”, and, to denote persons more than 80 years of age, “the fourth age”.  The Committee opted for “older persons” (in French, </w:t>
      </w:r>
      <w:r>
        <w:rPr>
          <w:i/>
        </w:rPr>
        <w:t>personnes âgées</w:t>
      </w:r>
      <w:r>
        <w:t xml:space="preserve">; in Spanish, </w:t>
      </w:r>
      <w:r>
        <w:rPr>
          <w:i/>
        </w:rPr>
        <w:t>personas mayores</w:t>
      </w:r>
      <w:r>
        <w:t>), the term employed in General Assembly resolutions 47/5 and 48/98.  According to the practice in the United Nations statistical services, these terms cover persons aged 60 and above (Eurostat, the statistical service of the European Union, considers “older persons” to mean persons aged 65 or above, since 65 is the most common age of retirement and the trend is towards later retirement still).</w:t>
      </w:r>
    </w:p>
    <w:p w:rsidR="00000000" w:rsidRDefault="00000000">
      <w:r>
        <w:t>10.</w:t>
      </w:r>
      <w:r>
        <w:tab/>
        <w:t>The International Covenant on Economic, Social and Cultural Rights does not contain any explicit reference to the rights of older persons, although article 9 dealing with “the right of everyone to social security, including social insurance”, implicitly recognizes the right to old</w:t>
      </w:r>
      <w:r>
        <w:noBreakHyphen/>
        <w:t>age benefits.  Nevertheless, in view of the fact that the Covenant’s provisions apply fully to all members of society, it is clear that older persons are entitled to enjoy the full range of rights recognized in the Covenant.  This approach is also fully reflected in the Vienna International Plan of Action on Ageing.  Moreover, insofar as respect for the rights of older persons requires special measures to be taken, States parties are required by the Covenant to do so to the maximum of their available resources.</w:t>
      </w:r>
    </w:p>
    <w:p w:rsidR="00000000" w:rsidRDefault="00000000">
      <w:r>
        <w:t>11.</w:t>
      </w:r>
      <w:r>
        <w:tab/>
        <w:t>Another important issue is whether discrimination on the basis of age is prohibited by the Covenant.  Neither the Covenant nor the Universal Declaration of Human Rights refers explicitly to age as one of the prohibited grounds.  Rather than being seen as an intentional exclusion, this omission is probably best explained by the fact that, when these instruments were adopted, the problem of demographic ageing was not as evident or as pressing as it is now.</w:t>
      </w:r>
    </w:p>
    <w:p w:rsidR="00000000" w:rsidRDefault="00000000">
      <w:r>
        <w:t>12.</w:t>
      </w:r>
      <w:r>
        <w:tab/>
        <w:t xml:space="preserve">This is not determinative of the matter, however, since the prohibition of discrimination on the grounds of “other status” could be interpreted as applying to age.  The Committee notes that while it may not yet be possible to conclude that discrimination on the grounds of age is comprehensively prohibited by the Covenant, the range of matters in relation to which such </w:t>
      </w:r>
      <w:r>
        <w:br w:type="page"/>
        <w:t>discrimination can be accepted is very limited.  Moreover, it must be emphasized that the unacceptableness of discrimination against older persons is underlined in many international policy documents and is confirmed in the legislation of the vast majority of States.  In the few areas in which discrimination continues to be tolerated, such as in relation to mandatory retirement ages or access to tertiary education, there is a clear trend towards the elimination of such barriers.  The Committee is of the view that States parties should seek to expedite this trend to the greatest extent possible.</w:t>
      </w:r>
    </w:p>
    <w:p w:rsidR="00000000" w:rsidRDefault="00000000">
      <w:r>
        <w:t>13.</w:t>
      </w:r>
      <w:r>
        <w:tab/>
        <w:t>Accordingly, the Committee on Economic, Social and Cultural Rights is of the view that States parties to the Covenant are obligated to pay particular attention to promoting and protecting the economic, social and cultural rights of older persons.  The Committee’s own role in this regard is rendered all the more important by the fact that, unlike the case of other population groups such as women and children, no comprehensive international convention yet exists in relation to the rights of older persons and no binding supervisory arrangements attach to the various sets of United Nations principles in this area.</w:t>
      </w:r>
    </w:p>
    <w:p w:rsidR="00000000" w:rsidRDefault="00000000">
      <w:r>
        <w:t>14.</w:t>
      </w:r>
      <w:r>
        <w:tab/>
        <w:t>By the end of its thirteenth session, the Committee and, before that, its predecessor, the Sessional Working Group of Governmental Experts, had examined 144 initial reports, 70 second periodic reports and 20 initial and periodic global reports on articles 1 to 15.  This examination made it possible to identify many of the problems that may be encountered in implementing the Covenant in a considerable number of States parties that represent all the regions of the world and have different political, socio</w:t>
      </w:r>
      <w:r>
        <w:noBreakHyphen/>
        <w:t xml:space="preserve">economic and cultural systems. The reports examined to date have not provided any information in a systematic way on the situation of older persons with regard to compliance with the Covenant, apart from information, of varying completeness, on the implementation of article 9 relating to the right to social security.  </w:t>
      </w:r>
    </w:p>
    <w:p w:rsidR="00000000" w:rsidRDefault="00000000">
      <w:r>
        <w:t>15.</w:t>
      </w:r>
      <w:r>
        <w:tab/>
        <w:t>In 1993, the Committee devoted a day of general discussion to this issue in order to plan its future activity in this area.  Moreover, it has, at recent sessions, begun to attach substantially more importance to information on the rights of older persons and its questioning has elicited some very valuable information in some instances.  Nevertheless, the Committee notes that the great majority of States parties reports continue to make little reference to this important issue.  It therefore wishes to indicate that, in future, it will insist that the situation of older persons in relation to each of the rights recognized in the Covenant should be adequately addressed in all reports.  The remainder of this general comment identifies the specific issues which are relevant in this regard.</w:t>
      </w:r>
    </w:p>
    <w:p w:rsidR="00000000" w:rsidRDefault="00000000">
      <w:pPr>
        <w:pStyle w:val="Heading2"/>
      </w:pPr>
      <w:r>
        <w:t>4.  General obligations of States parties</w:t>
      </w:r>
    </w:p>
    <w:p w:rsidR="00000000" w:rsidRDefault="00000000">
      <w:r>
        <w:t>16.</w:t>
      </w:r>
      <w:r>
        <w:tab/>
        <w:t>Older persons as a group are as heterogeneous and varied as the rest of the population and their situation depends on a country’s economic and social situation, on demographic, environmental, cultural and employment factors and, at the individual level, on the family situation, the level of education, the urban or rural environment and the occupation of workers and retirees.</w:t>
      </w:r>
    </w:p>
    <w:p w:rsidR="00000000" w:rsidRDefault="00000000">
      <w:r>
        <w:br w:type="page"/>
        <w:t>17.</w:t>
      </w:r>
      <w:r>
        <w:tab/>
        <w:t>Side by side with older persons who are in good health and whose financial situation is acceptable, there are many who do not have adequate means of support, even in developed countries, and who feature prominently among the most vulnerable, marginal and unprotected groups.  In times of recession and of restructuring of the economy, older persons are particularly at risk.  As the Committee has previously stressed (general comment No. 3 (1990), para. 12), even in times of severe resource constraints, States parties have the duty to protect the vulnerable members of society.</w:t>
      </w:r>
    </w:p>
    <w:p w:rsidR="00000000" w:rsidRDefault="00000000">
      <w:r>
        <w:t>18.</w:t>
      </w:r>
      <w:r>
        <w:tab/>
        <w:t xml:space="preserve">The methods that States parties use to fulfil the obligations they have assumed under the Covenant in respect of older persons will be basically the same as those for the fulfilment of other obligations (see general comment No. 1 (1989)).  They include the need to determine the nature and scope of problems within a State through regular monitoring, the need to adopt properly designed policies and programmes to meet requirements, the need to enact legislation when necessary and to eliminate any discriminatory legislation and the need to ensure the relevant budget support or, as appropriate, to request international cooperation.  In the latter connection, international cooperation in accordance with articles 22 and 23 of the Covenant may be a particularly important way of enabling some developing countries to fulfil their obligations under the Covenant.  </w:t>
      </w:r>
    </w:p>
    <w:p w:rsidR="00000000" w:rsidRDefault="00000000">
      <w:r>
        <w:t>19.</w:t>
      </w:r>
      <w:r>
        <w:tab/>
        <w:t>In this context, attention may be drawn to Global target No. 1, adopted by the General Assembly in 1992, which calls for the establishment of national support infrastructures to promote policies and programmes on ageing in national and international development plans and programmes.  In this regard, the Committee notes that one of the United Nations Principles for Older Persons which Governments were encouraged to incorporate into their national programmes is that older persons should be able to form movements or associations of older persons.</w:t>
      </w:r>
    </w:p>
    <w:p w:rsidR="00000000" w:rsidRDefault="00000000">
      <w:pPr>
        <w:pStyle w:val="Heading2"/>
      </w:pPr>
      <w:r>
        <w:t>5.  Specific provisions of the Covenant</w:t>
      </w:r>
    </w:p>
    <w:p w:rsidR="00000000" w:rsidRDefault="00000000">
      <w:pPr>
        <w:pStyle w:val="Heading2"/>
      </w:pPr>
      <w:r>
        <w:t>Article 3:  Equal rights of men and women</w:t>
      </w:r>
    </w:p>
    <w:p w:rsidR="00000000" w:rsidRDefault="00000000">
      <w:r>
        <w:t>20.</w:t>
      </w:r>
      <w:r>
        <w:tab/>
        <w:t>In accordance with article 3 of the Covenant, by which States parties undertake “to ensure the equal right of men and women to the enjoyment of all economic, social and cultural rights”, the Committee considers that States parties should pay particular attention to older women who, because they have spent all or part of their lives caring for their families without engaging in a remunerated activity entitling them to an old</w:t>
      </w:r>
      <w:r>
        <w:noBreakHyphen/>
        <w:t>age pension, and who are also not entitled to a widow’s pension, are often in critical situations.</w:t>
      </w:r>
    </w:p>
    <w:p w:rsidR="00000000" w:rsidRDefault="00000000">
      <w:r>
        <w:t>21.</w:t>
      </w:r>
      <w:r>
        <w:tab/>
        <w:t>To deal with such situations and comply fully with article 9 of the Covenant and paragraph 2 (h) of the Proclamation on Ageing, States parties should institute non</w:t>
      </w:r>
      <w:r>
        <w:noBreakHyphen/>
        <w:t>contributory old</w:t>
      </w:r>
      <w:r>
        <w:noBreakHyphen/>
        <w:t>age benefits or other assistance for all persons, regardless of their sex, who find themselves without resources on attaining an age specified in national legislation.  Given their greater life expectancy and the fact that it is more often they who have no contributory pensions, women would be the principal beneficiaries.</w:t>
      </w:r>
    </w:p>
    <w:p w:rsidR="00000000" w:rsidRDefault="00000000">
      <w:pPr>
        <w:pStyle w:val="Heading2"/>
      </w:pPr>
      <w:r>
        <w:t>Articles 6 to 8:  Rights relating to work</w:t>
      </w:r>
    </w:p>
    <w:p w:rsidR="00000000" w:rsidRDefault="00000000">
      <w:r>
        <w:t>22.</w:t>
      </w:r>
      <w:r>
        <w:tab/>
        <w:t>Article 6 of the Covenant requires States parties to take appropriate steps to safeguard the right of everyone to the opportunity to gain a living by work which is freely chosen or accepted.  In this regard, the Committee, bearing in mind that older workers who have not reached retirement age often encounter problems in finding and keeping jobs, stresses the need for measures to prevent discrimination on grounds of age in employment and occupation.</w:t>
      </w:r>
      <w:r>
        <w:rPr>
          <w:rStyle w:val="EndnoteReference"/>
        </w:rPr>
        <w:endnoteReference w:id="53"/>
      </w:r>
    </w:p>
    <w:p w:rsidR="00000000" w:rsidRDefault="00000000">
      <w:r>
        <w:t>23.</w:t>
      </w:r>
      <w:r>
        <w:tab/>
        <w:t>The right “to the enjoyment of just and favourable conditions of work” (Covenant, art. 7) is of special importance for ensuring that older workers enjoy safe working conditions until their retirement.  In particular, it is desirable, to employ older workers in circumstances in which the best use can be made of their experience and know</w:t>
      </w:r>
      <w:r>
        <w:noBreakHyphen/>
        <w:t>how.</w:t>
      </w:r>
      <w:r>
        <w:rPr>
          <w:rStyle w:val="EndnoteReference"/>
        </w:rPr>
        <w:endnoteReference w:id="54"/>
      </w:r>
    </w:p>
    <w:p w:rsidR="00000000" w:rsidRDefault="00000000">
      <w:r>
        <w:t>24.</w:t>
      </w:r>
      <w:r>
        <w:tab/>
        <w:t>In the years preceding retirement, retirement preparation programmes should be implemented, with the participation of representative organizations of employers and workers and other bodies concerned, to prepare older workers to cope with their new situation.  Such programmes should, in particular, provide older workers with information about: their rights and obligations as pensioners; the opportunities and conditions for continuing an occupational activity or undertaking voluntary work; means of combating detrimental effects of ageing; facilities for adult education and cultural activities, and the use of leisure time.</w:t>
      </w:r>
      <w:r>
        <w:rPr>
          <w:rStyle w:val="EndnoteReference"/>
        </w:rPr>
        <w:endnoteReference w:id="55"/>
      </w:r>
    </w:p>
    <w:p w:rsidR="00000000" w:rsidRDefault="00000000">
      <w:r>
        <w:t>25.</w:t>
      </w:r>
      <w:r>
        <w:tab/>
        <w:t>The rights protected by article 8 of the Covenant, namely, trade union rights, including after retirement age, must be applied to older workers.</w:t>
      </w:r>
    </w:p>
    <w:p w:rsidR="00000000" w:rsidRDefault="00000000">
      <w:pPr>
        <w:pStyle w:val="Heading2"/>
      </w:pPr>
      <w:r>
        <w:t>Article 9:  Right to social security</w:t>
      </w:r>
    </w:p>
    <w:p w:rsidR="00000000" w:rsidRDefault="00000000">
      <w:r>
        <w:t>26.</w:t>
      </w:r>
      <w:r>
        <w:tab/>
        <w:t>Article 9 of the Covenant provides generally that States parties “recognize the right of everyone to social security”, without specifying the type or level of protection to be guaranteed.  However, the term “social security” implicitly covers all the risks involved in the loss of means of subsistence for reasons beyond a person’s control.</w:t>
      </w:r>
    </w:p>
    <w:p w:rsidR="00000000" w:rsidRDefault="00000000">
      <w:r>
        <w:t>27.</w:t>
      </w:r>
      <w:r>
        <w:tab/>
        <w:t xml:space="preserve">In accordance with article 9 of the Covenant and the provisions concerning implementation of the ILO social security conventions </w:t>
      </w:r>
      <w:r>
        <w:noBreakHyphen/>
        <w:t xml:space="preserve"> Convention No. 102 concerning Social Security (Minimum Standards) (1952) and Convention No. 128 concerning Invalidity, Old</w:t>
      </w:r>
      <w:r>
        <w:noBreakHyphen/>
        <w:t xml:space="preserve">Age and Survivors’ Benefits (1967) </w:t>
      </w:r>
      <w:r>
        <w:noBreakHyphen/>
        <w:t xml:space="preserve"> States parties must take appropriate measures to establish general regimes of compulsory old</w:t>
      </w:r>
      <w:r>
        <w:noBreakHyphen/>
        <w:t>age insurance, starting at a particular age, to be prescribed by national law.</w:t>
      </w:r>
    </w:p>
    <w:p w:rsidR="00000000" w:rsidRDefault="00000000">
      <w:r>
        <w:t>28.</w:t>
      </w:r>
      <w:r>
        <w:tab/>
        <w:t>In keeping with the recommendations contained in the two ILO Conventions mentioned above and Recommendation No. 162, the Committee invites States parties to establish retirement age so that it is flexible, depending on the occupations performed and the working ability of elderly persons, with due regard to demographic, economic and social factors.</w:t>
      </w:r>
    </w:p>
    <w:p w:rsidR="00000000" w:rsidRDefault="00000000">
      <w:r>
        <w:t>29.</w:t>
      </w:r>
      <w:r>
        <w:tab/>
        <w:t>In order to give effect to the provisions of article 9 of the Covenant, States parties must guarantee the provision of survivors’ and orphans’ benefits on the death of the breadwinner who was covered by social security or receiving a pension.</w:t>
      </w:r>
    </w:p>
    <w:p w:rsidR="00000000" w:rsidRDefault="00000000">
      <w:r>
        <w:t>30.</w:t>
      </w:r>
      <w:r>
        <w:tab/>
        <w:t>Furthermore, as already observed in paragraphs 20 and 21, in order fully to implement the provisions of article 9 of the Covenant, States parties should, within the limits of available resources, provide non</w:t>
      </w:r>
      <w:r>
        <w:noBreakHyphen/>
        <w:t>contributory old</w:t>
      </w:r>
      <w:r>
        <w:noBreakHyphen/>
        <w:t>age benefits and other assistance for all older persons, who, when reaching the age prescribed in national legislation, have not completed a qualifying period of contribution and are not entitled to an old</w:t>
      </w:r>
      <w:r>
        <w:noBreakHyphen/>
        <w:t>age pension or other social security benefit or assistance and have no other source of income.</w:t>
      </w:r>
    </w:p>
    <w:p w:rsidR="00000000" w:rsidRDefault="00000000">
      <w:pPr>
        <w:pStyle w:val="Heading2"/>
      </w:pPr>
      <w:r>
        <w:t>Article 10:  Protection of the family</w:t>
      </w:r>
    </w:p>
    <w:p w:rsidR="00000000" w:rsidRDefault="00000000">
      <w:r>
        <w:t>31.</w:t>
      </w:r>
      <w:r>
        <w:tab/>
        <w:t>On the basis of article 10, paragraph 1, of the Covenant and recommendations 25 and 29 of the Vienna International Plan of Action on Ageing, States parties should make all the necessary efforts to support, protect and strengthen the family and help it, in accordance with each society’s system of cultural values, to respond to the needs of its dependent ageing members.  Recommendation 29 encourages Governments and non</w:t>
      </w:r>
      <w:r>
        <w:noBreakHyphen/>
        <w:t>governmental organizations to establish social services to support the whole family when there are elderly people at home and to implement measures especially for low</w:t>
      </w:r>
      <w:r>
        <w:noBreakHyphen/>
        <w:t>income families who wish to keep elderly people at home.  This assistance should also be provided for persons living alone or elderly couples wishing to remain at home.</w:t>
      </w:r>
    </w:p>
    <w:p w:rsidR="00000000" w:rsidRDefault="00000000">
      <w:pPr>
        <w:pStyle w:val="Heading2"/>
      </w:pPr>
      <w:r>
        <w:t>Article 11:  Right to an adequate standard of living</w:t>
      </w:r>
    </w:p>
    <w:p w:rsidR="00000000" w:rsidRDefault="00000000">
      <w:r>
        <w:t>32.</w:t>
      </w:r>
      <w:r>
        <w:tab/>
        <w:t>Of the United Nations Principles for Older Persons, principle 1, which stands at the beginning of the section relating to the independence of older persons, provides that: “Older persons should have access to adequate food, water, shelter, clothing and health care through the provision of income, family and community support and self</w:t>
      </w:r>
      <w:r>
        <w:noBreakHyphen/>
        <w:t>help”.  The Committee attaches great importance to this principle, which demands for older persons the rights contained in article 11 of the Covenant.</w:t>
      </w:r>
    </w:p>
    <w:p w:rsidR="00000000" w:rsidRDefault="00000000">
      <w:r>
        <w:t>33.</w:t>
      </w:r>
      <w:r>
        <w:tab/>
        <w:t>Recommendations 19 to 24 of the Vienna International Plan of Action on Ageing emphasize that housing for the elderly must be viewed as more than mere shelter and that, in addition to the physical, it has psychological and social significance which should be taken into account.  Accordingly, national policies should help elderly persons to continue to live in their own homes as long as possible, through the restoration, development and improvement of homes and their adaptation to the ability of those persons to gain access to and use them (recommendation 19).  Recommendation 20 stresses the need for urban rebuilding and development planning and law to pay special attention to the problems of the ageing, assisting in securing their social integration, while recommendation 22 draws attention to the need to take account of the functional capacity of the elderly in order to provide them with a better living environment and facilitate mobility and communication through the provision of adequate means of transport.</w:t>
      </w:r>
    </w:p>
    <w:p w:rsidR="00000000" w:rsidRDefault="00000000">
      <w:pPr>
        <w:pStyle w:val="Heading2"/>
      </w:pPr>
      <w:r>
        <w:t>Article 12:  Right to physical and mental health</w:t>
      </w:r>
    </w:p>
    <w:p w:rsidR="00000000" w:rsidRDefault="00000000">
      <w:r>
        <w:t>34.</w:t>
      </w:r>
      <w:r>
        <w:tab/>
        <w:t xml:space="preserve">With a view to the realization of the right of elderly persons to the enjoyment of a satisfactory standard of physical and mental health, in accordance with article 12, paragraph 1, of the Covenant, States parties should take account of the content of recommendations 1 to 17 of </w:t>
      </w:r>
      <w:r>
        <w:br w:type="page"/>
        <w:t>the Vienna International Plan of Action on Ageing, which focus entirely on providing guidelines on health policy to preserve the health of the elderly and take a comprehensive view, ranging from prevention and rehabilitation to the care of the terminally ill.</w:t>
      </w:r>
    </w:p>
    <w:p w:rsidR="00000000" w:rsidRDefault="00000000">
      <w:r>
        <w:t>35.</w:t>
      </w:r>
      <w:r>
        <w:tab/>
        <w:t>Clearly, the growing number of chronic, degenerative diseases and the high hospitalization costs they involve cannot be dealt with only by curative treatment.  In this regard, States parties should bear in mind that maintaining health into old age requires investments during the entire life span, basically through the adoption of healthy lifestyles (food, exercise, elimination of tobacco and alcohol, etc.).  Prevention, through regular checks suited to the needs of the elderly, plays a decisive role, as does rehabilitation, by maintaining the functional capacities of elderly persons, with a resulting decrease in the cost of investments in health care and social services.</w:t>
      </w:r>
    </w:p>
    <w:p w:rsidR="00000000" w:rsidRDefault="00000000">
      <w:pPr>
        <w:pStyle w:val="Heading2"/>
      </w:pPr>
      <w:r>
        <w:t>Articles 13 to 15:  Right to education and culture</w:t>
      </w:r>
    </w:p>
    <w:p w:rsidR="00000000" w:rsidRDefault="00000000">
      <w:r>
        <w:t>36.</w:t>
      </w:r>
      <w:r>
        <w:tab/>
        <w:t>Article 13, paragraph 1, of the Covenant recognizes the right of everyone to education.  In the case of the elderly, this right must be approached from two different and complementary points of view: (a) the right of elderly persons to benefit from educational programmes; and (b) making the know</w:t>
      </w:r>
      <w:r>
        <w:noBreakHyphen/>
        <w:t>how and experience of elderly persons available to younger generations.</w:t>
      </w:r>
    </w:p>
    <w:p w:rsidR="00000000" w:rsidRDefault="00000000">
      <w:r>
        <w:t>37.</w:t>
      </w:r>
      <w:r>
        <w:tab/>
        <w:t>With regard to the former, States parties should take account of: (a) the recommendations in principle 16 of the United Nations Principles for Older Persons to the effect that older persons should have access to suitable education programmes and training and should, therefore, on the basis of their preparation, abilities and motivation, be given access to the various levels of education through the adoption of appropriate measures regarding literacy training, life</w:t>
      </w:r>
      <w:r>
        <w:noBreakHyphen/>
        <w:t>long education, access to university, etc.; and (b) recommendation 47 of the Vienna International Plan of Action on Ageing, which, in accordance with the concept of life</w:t>
      </w:r>
      <w:r>
        <w:noBreakHyphen/>
        <w:t>long education promulgated by the United Nations Educational, Scientific and Cultural Organization (UNESCO), recommends informal, community</w:t>
      </w:r>
      <w:r>
        <w:noBreakHyphen/>
        <w:t>based and recreation</w:t>
      </w:r>
      <w:r>
        <w:noBreakHyphen/>
        <w:t>oriented programmes for the elderly in order to develop their sense of self</w:t>
      </w:r>
      <w:r>
        <w:noBreakHyphen/>
        <w:t>reliance and the community’s sense of responsibility.  Such programmes should enjoy the support of national Governments and international organizations.</w:t>
      </w:r>
    </w:p>
    <w:p w:rsidR="00000000" w:rsidRDefault="00000000">
      <w:r>
        <w:t>38.</w:t>
      </w:r>
      <w:r>
        <w:tab/>
        <w:t>With regard to the use of the know</w:t>
      </w:r>
      <w:r>
        <w:noBreakHyphen/>
        <w:t>how and experience of older persons, as referred to in the part of the recommendations of the Vienna International Plan of Action on Ageing dealing with education (paras. 74</w:t>
      </w:r>
      <w:r>
        <w:noBreakHyphen/>
        <w:t>76), attention is drawn to the important role that elderly and old persons still play in most societies as the transmitters of information, knowledge, traditions and spiritual values and to the fact that this important tradition should not be lost.  Consequently, the Committee attaches particular importance to the message contained in recommendation 44 of the Plan: “Educational programmes featuring the elderly as the teachers and transmitters of knowledge, culture and spiritual values should be developed”.</w:t>
      </w:r>
    </w:p>
    <w:p w:rsidR="00000000" w:rsidRDefault="00000000">
      <w:r>
        <w:t>39.</w:t>
      </w:r>
      <w:r>
        <w:tab/>
        <w:t xml:space="preserve">In article 15, paragraphs 1 (a) and (b), of the Covenant, States parties recognize the right of everyone to take part in cultural life and to enjoy the benefits of scientific progress and its applications.  In this respect, the Committee urges States parties to take account of the recommendations contained in the United Nations Principles for Older Persons, and in particular of principle 7: “Older persons should remain integrated in society, participate actively in the </w:t>
      </w:r>
      <w:r>
        <w:br w:type="page"/>
        <w:t>formulation and implementation of policies that directly affect their well</w:t>
      </w:r>
      <w:r>
        <w:noBreakHyphen/>
        <w:t>being and share their knowledge and skills with younger generations”; and principle 16: “Older persons should have access to the educational, cultural, spiritual and recreational resources of society”.</w:t>
      </w:r>
    </w:p>
    <w:p w:rsidR="00000000" w:rsidRDefault="00000000">
      <w:r>
        <w:t>40.</w:t>
      </w:r>
      <w:r>
        <w:tab/>
        <w:t>Similarly, recommendation n 48 of the Vienna International Plan of Action on Ageing encourages Governments and international organizations to support programmes aimed at providing the elderly with easier physical access to cultural institutions (museums, theatres, concert halls, cinemas, etc.).</w:t>
      </w:r>
    </w:p>
    <w:p w:rsidR="00000000" w:rsidRDefault="00000000">
      <w:r>
        <w:t>41.</w:t>
      </w:r>
      <w:r>
        <w:tab/>
        <w:t>Recommendation 50 stresses the need for Governments, non</w:t>
      </w:r>
      <w:r>
        <w:noBreakHyphen/>
        <w:t>governmental organizations and the ageing themselves to make efforts to overcome negative stereotyped images of older persons as suffering from physical and psychological disabilities, incapable of functioning independently and having neither role nor status in society.  These efforts, in which the media and educational institutions should also take part, are essential for achieving a society that champions the full integration of the elderly.</w:t>
      </w:r>
    </w:p>
    <w:p w:rsidR="00000000" w:rsidRDefault="00000000">
      <w:r>
        <w:t>42.</w:t>
      </w:r>
      <w:r>
        <w:tab/>
        <w:t>With regard to the right to enjoy the benefits of scientific progress and its applications, States parties should take account of recommendations 60, 61 and 62 of the Vienna International Plan of Action and make efforts to promote research on the biological, mental and social aspects of ageing and ways of maintaining functional capacities and preventing and delaying the start of chronic illnesses and disabilities.  In this connection, it is recommended that States, intergovernmental organizations and non</w:t>
      </w:r>
      <w:r>
        <w:noBreakHyphen/>
        <w:t>governmental organizations should establish institutions specializing in the teaching of gerontology, geriatrics and geriatric psychology in countries where such institutions do not exist.</w:t>
      </w:r>
    </w:p>
    <w:p w:rsidR="00000000" w:rsidRDefault="00000000">
      <w:pPr>
        <w:keepNext/>
        <w:spacing w:after="0"/>
        <w:jc w:val="center"/>
        <w:rPr>
          <w:b/>
        </w:rPr>
        <w:sectPr w:rsidR="00000000">
          <w:headerReference w:type="even" r:id="rId21"/>
          <w:headerReference w:type="default" r:id="rId22"/>
          <w:endnotePr>
            <w:numFmt w:val="decimal"/>
            <w:numRestart w:val="eachSect"/>
          </w:endnotePr>
          <w:type w:val="continuous"/>
          <w:pgSz w:w="11907" w:h="16840" w:code="9"/>
          <w:pgMar w:top="567" w:right="851" w:bottom="1701" w:left="1701" w:header="851" w:footer="1985" w:gutter="0"/>
          <w:paperSrc w:first="84" w:other="84"/>
          <w:cols w:space="720"/>
        </w:sectPr>
      </w:pPr>
      <w:r>
        <w:rPr>
          <w:b/>
        </w:rPr>
        <w:t>Notes</w:t>
      </w:r>
    </w:p>
    <w:p w:rsidR="00000000" w:rsidRDefault="00000000">
      <w:pPr>
        <w:pStyle w:val="Heading2"/>
      </w:pPr>
      <w:r>
        <w:t>General bibliography</w:t>
      </w:r>
    </w:p>
    <w:p w:rsidR="00000000" w:rsidRDefault="00000000">
      <w:r>
        <w:t>Albouy, François</w:t>
      </w:r>
      <w:r>
        <w:noBreakHyphen/>
        <w:t>Xavier y Kessler, Denis.  Un système de retraite européen: une utopie réalisable? Revue Française des Affaires Sociales, No. hors</w:t>
      </w:r>
      <w:r>
        <w:noBreakHyphen/>
        <w:t>série, noviembre de 1989.</w:t>
      </w:r>
    </w:p>
    <w:p w:rsidR="00000000" w:rsidRDefault="00000000">
      <w:r>
        <w:t>Aranguren, José Luis.  La vejez como autorrealizacion personal y social.  Ministerio Asuntos Sociales.  Madrid, 1992.</w:t>
      </w:r>
    </w:p>
    <w:p w:rsidR="00000000" w:rsidRDefault="00000000">
      <w:r>
        <w:t>Beauvoir, Simone de: La vieillesse.  Gallimard 1970 (Edhasa, 1983).</w:t>
      </w:r>
    </w:p>
    <w:p w:rsidR="00000000" w:rsidRDefault="00000000">
      <w:r>
        <w:t>Cebrián Badia, Francisco Javier: La jubilación forzosa del trabajador y su derecho al trabajo.  Actualidad Laboral No. 14, Madrid, 1991.</w:t>
      </w:r>
    </w:p>
    <w:p w:rsidR="00000000" w:rsidRDefault="00000000">
      <w:r>
        <w:t>Commission des Communautés Européennes: L’Europe dans le mouvement démographique (Mandat du 21 juin 1989), Bruselas, junio de 1990.</w:t>
      </w:r>
    </w:p>
    <w:p w:rsidR="00000000" w:rsidRDefault="00000000">
      <w:r>
        <w:t>Duran Heras, Almudena.  Anticipo de la jubilación en España.  Revista de Seguridad Social, No. 41, Madrid, 1989.</w:t>
      </w:r>
    </w:p>
    <w:p w:rsidR="00000000" w:rsidRDefault="00000000">
      <w:r>
        <w:t>Fuentes, C. Josefa.  Situación Social del AnciaNo. Alcalá de Henares, 1975.</w:t>
      </w:r>
    </w:p>
    <w:p w:rsidR="00000000" w:rsidRDefault="00000000">
      <w:r>
        <w:t>Fundación Europea para la Mejora de las Condiciones de Vida y de Trabajo.  Informe Anual 1989, Luxemburgo.  Oficina de las publicaciones oficiales de las Comunidades Europeas, 1990.</w:t>
      </w:r>
    </w:p>
    <w:p w:rsidR="00000000" w:rsidRDefault="00000000">
      <w:r>
        <w:t>Girard, Paulette.  Vieillissement et emploi, vieillissement et travail.  Haut Conseil de la Population et de la Famille.  Documentation française, 1989.</w:t>
      </w:r>
    </w:p>
    <w:p w:rsidR="00000000" w:rsidRDefault="00000000">
      <w:r>
        <w:t>Guillemard, Anne Marie.  Analisis de las politicas de vejez en Europa.  Ministerio de Asuntos Sociales.  Madrid, 1992.</w:t>
      </w:r>
    </w:p>
    <w:p w:rsidR="00000000" w:rsidRDefault="00000000">
      <w:r>
        <w:t>Guillemard, Anne Marie.  Emploi, protection sociale et cycle de vie: Résultat d’une comparaison internationale des dispositifs de sortie anticipée d’activité.  Sociologie du travail, No. 3, Paris, 1993.</w:t>
      </w:r>
    </w:p>
    <w:p w:rsidR="00000000" w:rsidRDefault="00000000">
      <w:r>
        <w:t>H.  Draus, Renate.  Le troisième âge en la République fédérale allemande.  Observations et diagnostics économiques, No. 22, enero de 1988.</w:t>
      </w:r>
    </w:p>
    <w:p w:rsidR="00000000" w:rsidRDefault="00000000">
      <w:r>
        <w:t>Hermanova, Hana.  Envejecer con salud en Europa en los años 90 Jornadas Europeas sobre personas mayores.  Alicante, 1993.</w:t>
      </w:r>
    </w:p>
    <w:p w:rsidR="00000000" w:rsidRDefault="00000000">
      <w:r>
        <w:t>INSERSO (Instituto Nacional de Servicios Sociales).  La Tercera Edad en Europe: Necesidades y Demandas.  Ministerio de Asuntos Sociales, Madrid, 1989.</w:t>
      </w:r>
    </w:p>
    <w:p w:rsidR="00000000" w:rsidRDefault="00000000">
      <w:pPr>
        <w:spacing w:after="960"/>
      </w:pPr>
      <w:r>
        <w:t>INSERSO.  La Tercera Edad en España: Necesidades y Demandas.  Ministerio de Asuntos Sociales, Madrid, 1990.</w:t>
      </w:r>
    </w:p>
    <w:p w:rsidR="00000000" w:rsidRDefault="00000000">
      <w:r>
        <w:t>INSERSO.  La Tercera Edad en España: Aspectos cuantitativos.  Ministerio de Asuntos Sociales, Madrid, 1989.</w:t>
      </w:r>
    </w:p>
    <w:p w:rsidR="00000000" w:rsidRDefault="00000000">
      <w:r>
        <w:t>ISE (Instituto Sindical Europeo).  Los jubilados en Europa Occidental: Desarrollo y Posiciones Sindicales, Bruselas, 1988.</w:t>
      </w:r>
    </w:p>
    <w:p w:rsidR="00000000" w:rsidRDefault="00000000">
      <w:r>
        <w:t>Lansley, John y Pearson, Maggie.  Preparación a la jubilación en los países de la Comunidad Europea.  Seminario celebrado en Francfort del Main, 10 a 12 de octubre de 1988.  Luxemburgo: Oficina de Publicaciones Oficiales de las Comunidades Europeas, 1989.</w:t>
      </w:r>
    </w:p>
    <w:p w:rsidR="00000000" w:rsidRDefault="00000000">
      <w:r>
        <w:t>Martínez</w:t>
      </w:r>
      <w:r>
        <w:noBreakHyphen/>
        <w:t>Fornes, Santiago, Envejecer en el año 2000.  Editorial Popular, S.A.  Ministerio de Asuntos Sociales, Madrid, 1991.</w:t>
      </w:r>
    </w:p>
    <w:p w:rsidR="00000000" w:rsidRDefault="00000000">
      <w:r>
        <w:t>Minois, George.  Historia de la vejez: De la Antigüedad al Renacimiento.  Editorial Nerea, Madrid, 1989.</w:t>
      </w:r>
    </w:p>
    <w:p w:rsidR="00000000" w:rsidRDefault="00000000">
      <w:r>
        <w:t>Ministerio de Trabajo.  Seminario sobre Trabajadores de Edad Madura.  Ministerio de Trabajo, Madrid, 1968.</w:t>
      </w:r>
    </w:p>
    <w:p w:rsidR="00000000" w:rsidRDefault="00000000">
      <w:r>
        <w:t>OCDE.  Flexibilité de l’âge de la retraite.  OCDE, Paris, 1970.</w:t>
      </w:r>
    </w:p>
    <w:p w:rsidR="00000000" w:rsidRDefault="00000000">
      <w:r>
        <w:t>OCDE.  Indicadores Sociales.  Informes OCDE.  Ministerio de Trabajo y Seguridad Social, Madrid, 1985.</w:t>
      </w:r>
    </w:p>
    <w:p w:rsidR="00000000" w:rsidRDefault="00000000">
      <w:r>
        <w:t>OCDE.  El futuro de la protección social y el envejecimiento de la población.  Informes OCDE.  Ministerio de Trabajo y Seguridad Social, Madrid, 1990.</w:t>
      </w:r>
    </w:p>
    <w:p w:rsidR="00000000" w:rsidRDefault="00000000">
      <w:r>
        <w:t>OIT.  Trabajadores de Edad Madura: Trabajo y Jubilación.  65a.  Reunión de la Conferencia Internacional del Trabajo.  Ginebra, 1965.</w:t>
      </w:r>
    </w:p>
    <w:p w:rsidR="00000000" w:rsidRDefault="00000000">
      <w:r>
        <w:t>OIT.  De la pirámide al pilar de población: los cambios en la población y la seguridad social.  Informes OIT.  Ministerio de Trabajo y Seguridad Social, Madrid, 1990.</w:t>
      </w:r>
    </w:p>
    <w:p w:rsidR="00000000" w:rsidRDefault="00000000">
      <w:r>
        <w:t>OIT.  La OIT y las personas de edad avanzada.  Ginebra, 1992.</w:t>
      </w:r>
    </w:p>
    <w:p w:rsidR="00000000" w:rsidRDefault="00000000">
      <w:r>
        <w:t>PNUD.  Desarrollo HumaNo. Informe 1990.  Tercer Mundo Editores, Bogotá, 1990.</w:t>
      </w:r>
    </w:p>
    <w:p w:rsidR="00000000" w:rsidRDefault="00000000">
      <w:r>
        <w:t>Simposio de Gerontología de Castilla</w:t>
      </w:r>
      <w:r>
        <w:noBreakHyphen/>
        <w:t>León.  Hacia una vejez nueva.  I Simposio de Gerontología de Castilla</w:t>
      </w:r>
      <w:r>
        <w:noBreakHyphen/>
        <w:t>León.  5 a 8 de mayo de 1988.  Fundación Friedrich Ebert, Salamanca, 1988.</w:t>
      </w:r>
    </w:p>
    <w:p w:rsidR="00000000" w:rsidRDefault="00000000">
      <w:r>
        <w:t>Uceda Povedano, Josefina.  La jubilación: reflexiones en torno a la edad de jubilación en la CEE: especial referencia al casa español.  Escuela Social, Madrid, 1988.</w:t>
      </w:r>
    </w:p>
    <w:p w:rsidR="00000000" w:rsidRDefault="00000000">
      <w:r>
        <w:t>Vellas, Pierre.  Législation sanitaire et les personnes agées.  OMS, Publications régionales.  Série européenne, No. 33.</w:t>
      </w:r>
    </w:p>
    <w:p w:rsidR="00000000" w:rsidRDefault="00000000">
      <w:pPr>
        <w:pStyle w:val="Heading2"/>
      </w:pPr>
      <w:r>
        <w:t>Sixteenth session (1997)</w:t>
      </w:r>
      <w:r>
        <w:rPr>
          <w:rStyle w:val="FootnoteReference"/>
          <w:vertAlign w:val="baseline"/>
        </w:rPr>
        <w:footnoteReference w:customMarkFollows="1" w:id="8"/>
        <w:t>*</w:t>
      </w:r>
    </w:p>
    <w:p w:rsidR="00000000" w:rsidRDefault="00000000">
      <w:pPr>
        <w:pStyle w:val="Heading2"/>
      </w:pPr>
      <w:bookmarkStart w:id="31" w:name="_Toc481083349"/>
      <w:bookmarkStart w:id="32" w:name="_Toc70388946"/>
      <w:bookmarkStart w:id="33" w:name="_Toc70516944"/>
      <w:r>
        <w:t xml:space="preserve">General comment No. 7:  The right to adequate housing </w:t>
      </w:r>
      <w:r>
        <w:br/>
        <w:t>(art. 11 (1) of the Covenant):  Forced evictions</w:t>
      </w:r>
      <w:bookmarkStart w:id="34" w:name="_Toc481083350"/>
      <w:bookmarkStart w:id="35" w:name="_Toc70388947"/>
      <w:bookmarkEnd w:id="31"/>
      <w:bookmarkEnd w:id="32"/>
      <w:bookmarkEnd w:id="33"/>
      <w:r>
        <w:t xml:space="preserve"> </w:t>
      </w:r>
      <w:bookmarkEnd w:id="34"/>
      <w:bookmarkEnd w:id="35"/>
    </w:p>
    <w:p w:rsidR="00000000" w:rsidRDefault="00000000">
      <w:r>
        <w:t>1.</w:t>
      </w:r>
      <w:r>
        <w:tab/>
        <w:t>In its general comment No. 4 (1991), the Committee observed that all persons should possess a degree of security of tenure which guarantees legal protection against forced eviction, harassment and other threats.  It concluded that forced evictions are prima facie incompatible with the requirements of the Covenant.  Having considered a significant number of reports of forced evictions in recent years, including instances in which it has determined that the obligations of States parties were being violated, the Committee is now in a position to seek to provide further clarification as to the implications of such practices in terms of the obligations contained in the Covenant.</w:t>
      </w:r>
    </w:p>
    <w:p w:rsidR="00000000" w:rsidRDefault="00000000">
      <w:r>
        <w:t>2.</w:t>
      </w:r>
      <w:r>
        <w:tab/>
        <w:t>The international community has long recognized that the issue of forced evictions is a serious one.  In 1976, the United Nations Conference on Human Settlements noted that special attention should be paid to “undertaking major clearance operations should take place only when conservation and rehabilitation are not feasible and relocation measures are made”.</w:t>
      </w:r>
      <w:r>
        <w:rPr>
          <w:rStyle w:val="EndnoteReference"/>
        </w:rPr>
        <w:endnoteReference w:id="56"/>
      </w:r>
      <w:r>
        <w:t xml:space="preserve"> In 1988, in the Global Strategy for Shelter to the Year 2000, adopted by the General Assembly in its resolution 43/181, the “fundamental obligation [of Governments] to protect and improve houses and neighbourhoods, rather than damage or destroy them” was recognized.</w:t>
      </w:r>
      <w:r>
        <w:rPr>
          <w:rStyle w:val="EndnoteReference"/>
        </w:rPr>
        <w:endnoteReference w:id="57"/>
      </w:r>
      <w:r>
        <w:t xml:space="preserve"> Agenda 21 stated that “people should be protected by law against unfair eviction from their homes or land”.</w:t>
      </w:r>
      <w:r>
        <w:rPr>
          <w:rStyle w:val="EndnoteReference"/>
        </w:rPr>
        <w:endnoteReference w:id="58"/>
      </w:r>
      <w:r>
        <w:t xml:space="preserve"> In the Habitat Agenda Governments committed themselves to “protecting all people from, and providing legal protection and redress for, forced evictions that are contrary to the law, taking human rights into consideration; [and] when evictions are unavoidable, ensuring, as appropriate, that alternative suitable solutions are provided”.</w:t>
      </w:r>
      <w:r>
        <w:rPr>
          <w:rStyle w:val="EndnoteReference"/>
        </w:rPr>
        <w:endnoteReference w:id="59"/>
      </w:r>
      <w:r>
        <w:t xml:space="preserve"> The Commission on Human Rights has also indicated that “forced evictions are a gross violation of human rights”.</w:t>
      </w:r>
      <w:r>
        <w:rPr>
          <w:rStyle w:val="EndnoteReference"/>
        </w:rPr>
        <w:endnoteReference w:id="60"/>
      </w:r>
      <w:r>
        <w:t xml:space="preserve"> However, although these statements are important, they leave open one of the most critical issues, namely that of determining the circumstances under which forced evictions are permissible and of spelling out the types of protection required to ensure respect for the relevant provisions of the Covenant.  </w:t>
      </w:r>
    </w:p>
    <w:p w:rsidR="00000000" w:rsidRDefault="00000000">
      <w:r>
        <w:t>3.</w:t>
      </w:r>
      <w:r>
        <w:tab/>
        <w:t>The use of the term “forced evictions” is, in some respects, problematic.  This expression seeks to convey a sense of arbitrariness and of illegality.  To many observers, however, the reference to “forced evictions” is a tautology, while others have criticized the expression “illegal evictions” on the ground that it assumes that the relevant law provides adequate protection of the right to housing and conforms with the Covenant, which is by no means always the case.  Similarly, it has been suggested that the term “unfair evictions” is even more subjective by virtue of its failure to refer to any legal framework at all.  The international community, especially in the context of the Commission on Human Rights, has opted to refer to “forced evictions”, primarily since all suggested alternatives also suffer from many such defects.  The term “forced evictions” as used throughout this general comment is defined as the permanent or temporary removal against their will of individuals, families and/or communities from the homes and/or land which they occupy, without the provision of, and access to, appropriate forms of legal or other protection.  The prohibition on forced evictions does not, however, apply to evictions carried out by force in accordance with the law and in conformity with the provisions of the International Covenants on Human Rights.</w:t>
      </w:r>
    </w:p>
    <w:p w:rsidR="00000000" w:rsidRDefault="00000000">
      <w:r>
        <w:t>4.</w:t>
      </w:r>
      <w:r>
        <w:tab/>
        <w:t>The practice of forced evictions is widespread and affects persons in both developed and developing countries.  Owing to the interrelationship and interdependency which exist among all human rights, forced evictions frequently violate other human rights.  Thus, while manifestly breaching the rights enshrined in the Covenant, the practice of forced evictions may also result in violations of civil and political rights, such as the right to life, the right to security of the person, the right to non</w:t>
      </w:r>
      <w:r>
        <w:noBreakHyphen/>
        <w:t>interference with privacy, family and home and the right to the peaceful enjoyment of possessions.</w:t>
      </w:r>
    </w:p>
    <w:p w:rsidR="00000000" w:rsidRDefault="00000000">
      <w:r>
        <w:t>5.</w:t>
      </w:r>
      <w:r>
        <w:tab/>
        <w:t>Although the practice of forced evictions might appear to occur primarily in heavily populated urban areas, it also takes place in connection with forced population transfers, internal displacement, forced relocations in the context of armed conflict, mass exoduses and refugee movements.  In all of these contexts, the right to adequate housing and not to be subjected to forced eviction may be violated through a wide range of acts or omissions attributable to States parties.  Even in situations where it may be necessary to impose limitations on such a right, full compliance with article 4 of the Covenant is required so that any limitations imposed must be “determined by law only insofar as this may be compatible with the nature of these [i.e.  economic, social and cultural] rights and solely for the purpose of promoting the general welfare in a democratic society”.</w:t>
      </w:r>
    </w:p>
    <w:p w:rsidR="00000000" w:rsidRDefault="00000000">
      <w:r>
        <w:t>6.</w:t>
      </w:r>
      <w:r>
        <w:tab/>
        <w:t>Many instances of forced eviction are associated with violence, such as evictions resulting from international armed conflicts, internal strife and communal or ethnic violence.</w:t>
      </w:r>
    </w:p>
    <w:p w:rsidR="00000000" w:rsidRDefault="00000000">
      <w:r>
        <w:t>7.</w:t>
      </w:r>
      <w:r>
        <w:tab/>
        <w:t>Other instances of forced eviction occur in the name of development.  Evictions may be carried out in connection with conflict over land rights, development and infrastructure projects, such as the construction of dams or other large</w:t>
      </w:r>
      <w:r>
        <w:noBreakHyphen/>
        <w:t>scale energy projects, with land acquisition measures associated with urban renewal, housing renovation, city beautification programmes, the clearing of land for agricultural purposes, unbridled speculation in land, or the holding of major sporting events like the Olympic Games.</w:t>
      </w:r>
    </w:p>
    <w:p w:rsidR="00000000" w:rsidRDefault="00000000">
      <w:r>
        <w:t>8.</w:t>
      </w:r>
      <w:r>
        <w:tab/>
        <w:t xml:space="preserve">In essence, the obligations of States parties to the Covenant in relation to forced evictions are based on article 11.1, read in conjunction with other relevant provisions.  In particular, article 2.1 obliges States to use “all appropriate means” to promote the right to adequate housing.  However, in view of the nature of the practice of forced evictions, the reference in article 2.1 to progressive achievement based on the availability of resources will rarely be relevant.  The State itself must refrain from forced evictions and ensure that the law is enforced against its agents or third parties who carry out forced evictions (as defined in paragraph 3 above).  Moreover, this approach is reinforced by article 17.1 of the International Covenant on Civil and Political Rights which complements the right not to be forcefully evicted without adequate protection.  That provision recognizes, inter alia, the right to be protected against “arbitrary or unlawful interference” with one’s home.  It is to be noted that the State’s obligation to ensure respect for that right is not qualified by considerations relating to its available resources.  </w:t>
      </w:r>
    </w:p>
    <w:p w:rsidR="00000000" w:rsidRDefault="00000000">
      <w:r>
        <w:t>9.</w:t>
      </w:r>
      <w:r>
        <w:tab/>
        <w:t>Article 2.1 of the Covenant requires States parties to use “all appropriate means”, including the adoption of legislative measures, to promote all the rights protected under the Covenant.  Although the Committee has indicated in its general comment No. 3 (1990) that such measures may not be indispensable in relation to all rights, it is clear that legislation against forced evictions is an essential basis upon which to build a system of effective protection.  Such legislation should include measures which (a) provide the greatest possible security of tenure to occupiers of houses and land, (b) conform to the Covenant and (c) are designed to control strictly the circumstances under which evictions may be carried out.  The legislation must also apply to all agents acting under the authority of the State or who are accountable to it.  Moreover, in view of the increasing trend in some States towards the Government greatly reducing its responsibilities in the housing sector, States parties must ensure that legislative and other measures are adequate to prevent and, if appropriate, punish forced evictions carried out, without appropriate safeguards, by private persons or bodies.  States parties should therefore review relevant legislation and policies to ensure that they are compatible with the obligations arising from the right to adequate housing and repeal or amend any legislation or policies that are inconsistent with the requirements of the Covenant.</w:t>
      </w:r>
    </w:p>
    <w:p w:rsidR="00000000" w:rsidRDefault="00000000">
      <w:r>
        <w:t>10.</w:t>
      </w:r>
      <w:r>
        <w:tab/>
        <w:t>Women, children, youth, older persons, indigenous people, ethnic and other minorities, and other vulnerable individuals and groups all suffer disproportionately from the practice of forced eviction.  Women in all groups are especially vulnerable given the extent of statutory and other forms of discrimination which often apply in relation to property rights (including home ownership) or rights of access to property or accommodation, and their particular vulnerability to acts of violence and sexual abuse when they are rendered homeless.  The non</w:t>
      </w:r>
      <w:r>
        <w:noBreakHyphen/>
        <w:t xml:space="preserve">discrimination provisions of articles 2.2 and 3 of the Covenant impose an additional obligation upon Governments to ensure that, where evictions do occur, appropriate measures are taken to ensure that no form of discrimination is involved.  </w:t>
      </w:r>
    </w:p>
    <w:p w:rsidR="00000000" w:rsidRDefault="00000000">
      <w:r>
        <w:t>11.</w:t>
      </w:r>
      <w:r>
        <w:tab/>
        <w:t>Whereas some evictions may be justifiable, such as in the case of persistent non</w:t>
      </w:r>
      <w:r>
        <w:noBreakHyphen/>
        <w:t>payment of rent or of damage to rented property without any reasonable cause, it is incumbent upon the relevant authorities to ensure that they are carried out in a manner warranted by a law which is compatible with the Covenant and that all the legal recourses and remedies are available to those affected.</w:t>
      </w:r>
    </w:p>
    <w:p w:rsidR="00000000" w:rsidRDefault="00000000">
      <w:r>
        <w:t>12.</w:t>
      </w:r>
      <w:r>
        <w:tab/>
        <w:t>Forced eviction and house demolition as a punitive measure are also inconsistent with the norms of the Covenant.  Likewise, the Committee takes note of the obligations enshrined in the Geneva Conventions of 1949 and Protocols thereto of 1977 concerning prohibitions on the displacement of the civilian population and the destruction of private property as these relate to the practice of forced eviction.</w:t>
      </w:r>
    </w:p>
    <w:p w:rsidR="00000000" w:rsidRDefault="00000000">
      <w:r>
        <w:t>13.</w:t>
      </w:r>
      <w:r>
        <w:tab/>
        <w:t xml:space="preserve">States parties shall ensure, prior to carrying out any evictions, and particularly those involving large groups, that all feasible alternatives are explored in consultation with the affected persons, with a view to avoiding, or at least minimizing, the need to use force.  Legal remedies or procedures should be provided to those who are affected by eviction orders.  States parties shall also see to it that all the individuals concerned have a right to adequate compensation for any property, both personal and real, which is affected.  In this respect, it is pertinent to recall </w:t>
      </w:r>
      <w:r>
        <w:br w:type="page"/>
        <w:t>article 2.3 of the International Covenant on Civil and Political Rights, which requires States parties to ensure “an effective remedy” for persons whose rights have been violated and the obligation upon the “competent authorities (to) enforce such remedies when granted”.</w:t>
      </w:r>
    </w:p>
    <w:p w:rsidR="00000000" w:rsidRDefault="00000000">
      <w:r>
        <w:t>14.</w:t>
      </w:r>
      <w:r>
        <w:tab/>
        <w:t>In cases where eviction is considered to be justified, it should be carried out in strict compliance with the relevant provisions of international human rights law and in accordance with general principles of reasonableness and proportionality.  In this regard it is especially pertinent to recall general comment No.16 of the Human Rights Committee, relating to article 17 of the International Covenant on Civil and Political Rights, which states that interference with a person’s home can only take place “in cases envisaged by the law”.  The Committee observed that the law “should be in accordance with the provisions, aims and objectives of the Covenant and should be, in any event, reasonable in the particular circumstances”.  The Committee also indicated that “relevant legislation must specify in detail the precise circumstances in which such interferences may be permitted”.</w:t>
      </w:r>
    </w:p>
    <w:p w:rsidR="00000000" w:rsidRDefault="00000000">
      <w:r>
        <w:t>15.</w:t>
      </w:r>
      <w:r>
        <w:tab/>
        <w:t>Appropriate procedural protection and due process are essential aspects of all human rights but are especially pertinent in relation to a matter such as forced evictions which directly invokes a large number of the rights recognized in both the International Covenants on Human Rights.  The Committee considers that the procedural protections which should be applied in relation to forced evictions include: (a) an opportunity for genuine consultation with those affected; (b) adequate and reasonable notice for all affected persons prior to the scheduled date of eviction; (c) information on the proposed evictions, and, where applicable, on the alternative purpose for which the land or housing is to be used, to be made available in reasonable time to all those affected; (d) especially where groups of people are involved, government officials or their representatives to be present during an eviction; (e) all persons carrying out the eviction to be properly identified; (f) evictions not to take place in particularly bad weather or at night unless the affected persons consent otherwise; (g) provision of legal remedies; and (h) provision, where possible, of legal aid to persons who are in need of it to seek redress from the courts.</w:t>
      </w:r>
    </w:p>
    <w:p w:rsidR="00000000" w:rsidRDefault="00000000">
      <w:r>
        <w:t>16.</w:t>
      </w:r>
      <w:r>
        <w:tab/>
        <w:t xml:space="preserve">Evictions should not result in individuals being rendered homeless or vulnerable to the violation of other human rights.  Where those affected are unable to provide for themselves, the State party must take all appropriate measures, to the maximum of its available resources, to ensure that adequate alternative housing, resettlement or access to productive land, as the case may be, is available.  </w:t>
      </w:r>
    </w:p>
    <w:p w:rsidR="00000000" w:rsidRDefault="00000000">
      <w:r>
        <w:t>17.</w:t>
      </w:r>
      <w:r>
        <w:tab/>
        <w:t>The Committee is aware that various development projects financed by international agencies within the territories of State parties have resulted in forced evictions.  In this regard, the Committee recalls its general comment No. 2 (1990) which states, inter alia, that “international agencies should scrupulously avoid involvement in projects which, for example ...  promote or reinforce discrimination against individuals or groups contrary to the provisions of the Covenant, or involve large</w:t>
      </w:r>
      <w:r>
        <w:noBreakHyphen/>
        <w:t>scale evictions or displacement of persons without the provision of all appropriate protection and compensation.  Every effort should be made, at each phase of a development project, to ensure that the rights contained in the Covenant are duly taken into account”.</w:t>
      </w:r>
      <w:r>
        <w:rPr>
          <w:rStyle w:val="EndnoteReference"/>
        </w:rPr>
        <w:endnoteReference w:id="61"/>
      </w:r>
    </w:p>
    <w:p w:rsidR="00000000" w:rsidRDefault="00000000">
      <w:r>
        <w:t>18.</w:t>
      </w:r>
      <w:r>
        <w:tab/>
        <w:t>Some institutions, such as the World Bank and the Organisation for Economic Cooperation and Development (OECD) have adopted guidelines on relocation and/or resettlement with a view to limiting the scale of and human suffering associated with forced evictions.  Such practices often accompany large</w:t>
      </w:r>
      <w:r>
        <w:noBreakHyphen/>
        <w:t>scale development projects, such as dam</w:t>
      </w:r>
      <w:r>
        <w:noBreakHyphen/>
        <w:t>building and other major energy projects.  Full respect for such guidelines, insofar as they reflect the obligations contained in the Covenant, is essential on the part of both the agencies themselves and States parties to the Covenant.  The Committee recalls in this respect the statement in the Vienna Declaration and Programme of Action to the effect that “while development facilitates the enjoyment of all human rights, the lack of development may not be invoked to justify the abridgement of internationally recognized human rights” (Part I, para. 10).</w:t>
      </w:r>
    </w:p>
    <w:p w:rsidR="00000000" w:rsidRDefault="00000000">
      <w:r>
        <w:t>19.</w:t>
      </w:r>
      <w:r>
        <w:tab/>
        <w:t>In accordance with the guidelines for reporting adopted by the Committee, State parties are requested to provide various types of information pertaining directly to the practice of forced evictions.  This includes information relating to (a) the “number of persons evicted within the last five years and the number of persons currently lacking legal protection against arbitrary eviction or any other kind of eviction”, (b) “legislation concerning the rights of tenants to security of tenure, to protection from eviction” and (c) “legislation prohibiting any form of eviction”.</w:t>
      </w:r>
      <w:r>
        <w:rPr>
          <w:rStyle w:val="EndnoteReference"/>
        </w:rPr>
        <w:endnoteReference w:id="62"/>
      </w:r>
    </w:p>
    <w:p w:rsidR="00000000" w:rsidRDefault="00000000">
      <w:r>
        <w:t>20.</w:t>
      </w:r>
      <w:r>
        <w:tab/>
        <w:t>Information is also sought as to “measures taken during, inter alia, urban renewal programmes, redevelopment projects, site upgrading, preparation for international events (Olympics and other sporting competitions, exhibitions, conferences, etc.) ‘beautiful city’ campaigns, etc.  which guarantee protection from eviction or guarantee rehousing based on mutual consent, by any persons living on or near to affected sites”.</w:t>
      </w:r>
      <w:r>
        <w:rPr>
          <w:rStyle w:val="EndnoteReference"/>
        </w:rPr>
        <w:endnoteReference w:id="63"/>
      </w:r>
      <w:r>
        <w:t xml:space="preserve"> However, few States parties have included the requisite information in their reports to the Committee.  The Committee therefore wishes to emphasize the importance it attaches to the receipt of such information.</w:t>
      </w:r>
    </w:p>
    <w:p w:rsidR="00000000" w:rsidRDefault="00000000">
      <w:pPr>
        <w:spacing w:after="480"/>
      </w:pPr>
      <w:r>
        <w:t>21.</w:t>
      </w:r>
      <w:r>
        <w:tab/>
        <w:t>Some States parties have indicated that information of this nature is not available.  The Committee recalls that effective monitoring of the right to adequate housing, either by the Government concerned or by the Committee, is not possible in the absence of the collection of appropriate data and would request all States parties to ensure that the necessary data is collected and is reflected in the reports submitted by them under the Covenant.</w:t>
      </w:r>
    </w:p>
    <w:p w:rsidR="00000000" w:rsidRDefault="00000000">
      <w:pPr>
        <w:spacing w:after="0"/>
        <w:jc w:val="center"/>
        <w:rPr>
          <w:b/>
        </w:rPr>
        <w:sectPr w:rsidR="00000000">
          <w:headerReference w:type="even" r:id="rId23"/>
          <w:headerReference w:type="default" r:id="rId24"/>
          <w:endnotePr>
            <w:numFmt w:val="decimal"/>
            <w:numRestart w:val="eachSect"/>
          </w:endnotePr>
          <w:type w:val="continuous"/>
          <w:pgSz w:w="11907" w:h="16840" w:code="9"/>
          <w:pgMar w:top="567" w:right="851" w:bottom="1701" w:left="1701" w:header="851" w:footer="1985" w:gutter="0"/>
          <w:paperSrc w:first="84" w:other="84"/>
          <w:cols w:space="720"/>
        </w:sectPr>
      </w:pPr>
      <w:r>
        <w:rPr>
          <w:b/>
        </w:rPr>
        <w:t>Notes</w:t>
      </w:r>
    </w:p>
    <w:p w:rsidR="00000000" w:rsidRDefault="00000000">
      <w:pPr>
        <w:pStyle w:val="Heading2"/>
      </w:pPr>
      <w:r>
        <w:t>Seventeenth session (1997)</w:t>
      </w:r>
      <w:r>
        <w:rPr>
          <w:rStyle w:val="FootnoteReference"/>
          <w:vertAlign w:val="baseline"/>
        </w:rPr>
        <w:footnoteReference w:customMarkFollows="1" w:id="9"/>
        <w:t>*</w:t>
      </w:r>
    </w:p>
    <w:p w:rsidR="00000000" w:rsidRDefault="00000000">
      <w:pPr>
        <w:pStyle w:val="Heading2"/>
      </w:pPr>
      <w:bookmarkStart w:id="36" w:name="_Toc481083351"/>
      <w:bookmarkStart w:id="37" w:name="_Toc70388948"/>
      <w:bookmarkStart w:id="38" w:name="_Toc70516945"/>
      <w:r>
        <w:t xml:space="preserve">General comment No. 8:  The relationship between economic sanctions </w:t>
      </w:r>
      <w:r>
        <w:br/>
        <w:t>and respect for economic, social and cultural rights</w:t>
      </w:r>
      <w:bookmarkStart w:id="39" w:name="_Toc481083352"/>
      <w:bookmarkStart w:id="40" w:name="_Toc70388949"/>
      <w:bookmarkEnd w:id="36"/>
      <w:bookmarkEnd w:id="37"/>
      <w:bookmarkEnd w:id="38"/>
      <w:r>
        <w:t xml:space="preserve"> </w:t>
      </w:r>
      <w:bookmarkEnd w:id="39"/>
      <w:bookmarkEnd w:id="40"/>
    </w:p>
    <w:p w:rsidR="00000000" w:rsidRDefault="00000000">
      <w:r>
        <w:t>1.</w:t>
      </w:r>
      <w:r>
        <w:tab/>
        <w:t>Economic sanctions are being imposed with increasing frequency, both internationally, regionally and unilaterally.  The purpose of this general comment is to emphasize that, whatever the circumstances, such sanctions should always take full account of the provisions of the International Covenant on Economic, Social and Cultural Rights.  The Committee does not in any way call into question the necessity for the imposition of sanctions in appropriate cases in accordance with Chapter VII of the Charter of the United Nations or other applicable international law.  But those provisions of the Charter that relate to human rights (arts.  1, 55 and 56) must still be considered to be fully applicable in such cases.</w:t>
      </w:r>
    </w:p>
    <w:p w:rsidR="00000000" w:rsidRDefault="00000000">
      <w:r>
        <w:t>2.</w:t>
      </w:r>
      <w:r>
        <w:tab/>
        <w:t>During the 1990s the Security Council has imposed sanctions of varying kind and duration in relation to South Africa, Iraq/Kuwait, parts of the former Yugoslavia, Somalia, the Libyan Arab Jamahiriya, Liberia, Haiti, Angola, Rwanda and the Sudan.  The impact of sanctions upon the enjoyment of economic, social and cultural rights has been brought to the Committee’s attention in a number of cases involving States parties to the Covenant, some of which have reported regularly, thereby giving the Committee the opportunity to examine the situation carefully.</w:t>
      </w:r>
    </w:p>
    <w:p w:rsidR="00000000" w:rsidRDefault="00000000">
      <w:r>
        <w:t>3.</w:t>
      </w:r>
      <w:r>
        <w:tab/>
        <w:t>While the impact of sanctions varies from one case to another, the Committee is aware that they almost always have a dramatic impact on the rights recognized in the Covenant.  Thus, for example, they often cause significant disruption in the distribution of food, pharmaceuticals and sanitation supplies, jeopardize the quality of food and the availability of clean drinking water, severely interfere with the functioning of basic health and education systems, and undermine the right to work.  In addition, their unintended consequences can include reinforcement of the power of oppressive elites, the emergence, almost invariably, of a black market and the generation of huge windfall profits for the privileged elites which manage it, enhancement of the control of the governing elite over the population at large, and restriction of opportunities to seek asylum or to manifest political opposition.  While the phenomena mentioned in the preceding sentence are essentially political in nature, they also have a major additional impact on the enjoyment of economic, social and cultural rights.</w:t>
      </w:r>
    </w:p>
    <w:p w:rsidR="00000000" w:rsidRDefault="00000000">
      <w:r>
        <w:t>4.</w:t>
      </w:r>
      <w:r>
        <w:tab/>
        <w:t xml:space="preserve">In considering sanctions, it is essential to distinguish between the basic objective of applying political and economic pressure upon the governing elite of the country to persuade them to conform to international law, and the collateral infliction of suffering upon the most vulnerable groups within the targeted country.  For that reason, the sanctions regimes established by the Security Council now include humanitarian exemptions designed to permit the flow of essential goods and services destined for humanitarian purposes.  It is commonly assumed that these exemptions ensure basic respect for economic, social and cultural rights within the targeted country.  </w:t>
      </w:r>
    </w:p>
    <w:p w:rsidR="00000000" w:rsidRDefault="00000000">
      <w:r>
        <w:t>5.</w:t>
      </w:r>
      <w:r>
        <w:tab/>
        <w:t>However, a number of recent United Nations and other studies which have analysed the impact of sanctions have concluded that these exemptions do not have this effect.  Moreover, the exemptions are very limited in scope.  They do not address, for example, the question of access to primary education, nor do they provide for repairs to infrastructures which are essential to provide clean water, adequate health care etc.  The Secretary</w:t>
      </w:r>
      <w:r>
        <w:noBreakHyphen/>
        <w:t>General suggested in 1995 that there is a need to assess the potential impact of sanctions before they are imposed and to enhance arrangements for the provision of humanitarian assistance to vulnerable groups.</w:t>
      </w:r>
      <w:r>
        <w:rPr>
          <w:rStyle w:val="EndnoteReference"/>
        </w:rPr>
        <w:endnoteReference w:id="64"/>
      </w:r>
      <w:r>
        <w:t xml:space="preserve">  In the following year, a major study prepared for the General Assembly by Ms. Graça Machel, on the impact of armed conflict on children, stated that “humanitarian exemptions tend to be ambiguous and are interpreted arbitrarily and inconsistently.  ...  Delays, confusion and the denial of requests to import essential humanitarian goods cause resource shortages.  ...  [Their effects] inevitably fall most heavily on the poor”.</w:t>
      </w:r>
      <w:r>
        <w:rPr>
          <w:rStyle w:val="EndnoteReference"/>
        </w:rPr>
        <w:endnoteReference w:id="65"/>
      </w:r>
      <w:r>
        <w:t xml:space="preserve">  Most recently, an October 1997 United Nations report concluded that the review procedures established under the various sanctions committees established by the Security Council “remain cumbersome and aid agencies still encounter difficulties in obtaining approval for exempted supplies.  ...  [The] committees neglect larger problems of commercial and governmental violations in the form of black</w:t>
      </w:r>
      <w:r>
        <w:noBreakHyphen/>
        <w:t>marketing, illicit trade, and corruption”.</w:t>
      </w:r>
      <w:r>
        <w:rPr>
          <w:rStyle w:val="EndnoteReference"/>
        </w:rPr>
        <w:endnoteReference w:id="66"/>
      </w:r>
    </w:p>
    <w:p w:rsidR="00000000" w:rsidRDefault="00000000">
      <w:r>
        <w:t>6.</w:t>
      </w:r>
      <w:r>
        <w:tab/>
        <w:t>It is thus clear, on the basis of an impressive array of both country</w:t>
      </w:r>
      <w:r>
        <w:noBreakHyphen/>
        <w:t>specific and general studies, that insufficient attention is being paid to the impact of sanctions on vulnerable groups.  Nevertheless, for various reasons, these studies have not examined specifically the nefarious consequences that ensue for the enjoyment of economic, social and cultural rights, per se.  It is in fact apparent that in most, if not all, cases, those consequences have either not been taken into account at all or not given the serious consideration they deserve.  There is thus a need to inject a human rights dimension into deliberations on this issue.</w:t>
      </w:r>
    </w:p>
    <w:p w:rsidR="00000000" w:rsidRDefault="00000000">
      <w:r>
        <w:t>7.</w:t>
      </w:r>
      <w:r>
        <w:tab/>
        <w:t xml:space="preserve">The Committee considers that the provisions of the Covenant, virtually all of which are also reflected in a range of other human rights treaties as well as the Universal Declaration of Human Rights, cannot be considered to be inoperative, or in any way inapplicable, solely because a decision has been taken that considerations of international peace and security warrant the imposition of sanctions.  Just as the international community insists that any targeted State must respect the civil and political rights of its citizens, so too must that State and the international community itself do everything possible to protect at least the core content of the economic, social and cultural rights of the affected peoples of that State (see also general comment No. 3 (1990), para. 10).  </w:t>
      </w:r>
    </w:p>
    <w:p w:rsidR="00000000" w:rsidRDefault="00000000">
      <w:r>
        <w:t>8.</w:t>
      </w:r>
      <w:r>
        <w:tab/>
        <w:t>While this obligation of every State is derived from the commitment in the Charter of the United Nations to promote respect for all human rights, it should also be recalled that every permanent member of the Security Council has signed the Covenant, although two (China and the United States) have yet to ratify it.  Most of the non</w:t>
      </w:r>
      <w:r>
        <w:noBreakHyphen/>
        <w:t>permanent members at any given time are parties.  Each of these States has undertaken, in conformity with article 2, paragraph 1, of the Covenant to “take steps, individually and through international assistance and cooperation, especially economic and technical, to the maximum of its available resources, with a view to achieving progressively the full realization of the rights recognized in the present Covenant by all appropriate means ...”.  When the affected State is also a State party, it is doubly incumbent upon other States to respect and take account of the relevant obligations.  To the extent that sanctions are imposed on States which are not parties to the Covenant, the same principles would in any event apply given the status of the economic, social and cultural rights of vulnerable groups as part of general international law, as evidenced, for example, by the near</w:t>
      </w:r>
      <w:r>
        <w:noBreakHyphen/>
        <w:t>universal ratification of the Convention on the Rights of the Child and the status of the Universal Declaration of Human Rights.</w:t>
      </w:r>
    </w:p>
    <w:p w:rsidR="00000000" w:rsidRDefault="00000000">
      <w:r>
        <w:t>9.</w:t>
      </w:r>
      <w:r>
        <w:tab/>
        <w:t>Although the Committee has no role to play in relation to decisions to impose or not to impose sanctions, it does, however, have a responsibility to monitor compliance by all States parties with the Covenant.  When measures are taken which inhibit the ability of a State party to meet its obligations under the Covenant, the terms of sanctions and the manner in which they are implemented become appropriate matters for concern for the Committee.</w:t>
      </w:r>
    </w:p>
    <w:p w:rsidR="00000000" w:rsidRDefault="00000000">
      <w:r>
        <w:t>10.</w:t>
      </w:r>
      <w:r>
        <w:tab/>
        <w:t>The Committee believes that two sets of obligations flow from these considerations.  The first set relates to the affected State.  The imposition of sanctions does not in any way nullify or diminish the relevant obligations of that State party.  As in other comparable situations, those obligations assume greater practical importance in times of particular hardship.  The Committee is thus called upon to scrutinize very carefully the extent to which the State concerned has taken steps “to the maximum of its available resources” to provide the greatest possible protection for the economic, social and cultural rights of each individual living within its jurisdiction.  While sanctions will inevitably diminish the capacity of the affected State to fund or support some of the necessary measures, the State remains under an obligation to ensure the absence of discrimination in relation to the enjoyment of these rights, and to take all possible measures, including negotiations with other States and the international community, to reduce to a minimum the negative impact upon the rights of vulnerable groups within the society.</w:t>
      </w:r>
    </w:p>
    <w:p w:rsidR="00000000" w:rsidRDefault="00000000">
      <w:r>
        <w:t>11.</w:t>
      </w:r>
      <w:r>
        <w:tab/>
        <w:t xml:space="preserve">The second set of obligations relates to the party or parties responsible for the imposition, maintenance or implementation of the sanctions, whether it be the international community, an international or regional organization, or a State or group of States.  In this respect, the Committee considers that there are three conclusions which follow logically from the recognition of economic, social and cultural human rights.  </w:t>
      </w:r>
    </w:p>
    <w:p w:rsidR="00000000" w:rsidRDefault="00000000">
      <w:r>
        <w:t>12.</w:t>
      </w:r>
      <w:r>
        <w:tab/>
        <w:t xml:space="preserve">First, these rights must be taken fully into account when designing an appropriate sanctions regime.  Without endorsing any particular measures in this regard, the Committee notes proposals such as those calling for the creation of a United Nations mechanism for anticipating and tracking sanctions impacts, the elaboration of a more transparent set of agreed principles and procedures based on respect for human rights, the identification of a wider range of exempt goods and services, the authorization of agreed technical agencies to determine necessary exemptions, the creation of a better resourced set of sanctions committees, more precise targeting of the vulnerabilities of those whose behaviour the international community wishes to change, and the introduction of greater overall flexibility.  </w:t>
      </w:r>
    </w:p>
    <w:p w:rsidR="00000000" w:rsidRDefault="00000000">
      <w:r>
        <w:t>13.</w:t>
      </w:r>
      <w:r>
        <w:tab/>
        <w:t xml:space="preserve">Second, effective monitoring, which is always required under the terms of the Covenant, should be undertaken throughout the period that sanctions are in force.  When an external party takes upon itself even partial responsibility for the situation within a country (whether under Chapter VII of the Charter or otherwise), it also unavoidably assumes a responsibility to do all within its power to protect the economic, social and cultural rights of the affected population.  </w:t>
      </w:r>
    </w:p>
    <w:p w:rsidR="00000000" w:rsidRDefault="00000000">
      <w:r>
        <w:t>14.</w:t>
      </w:r>
      <w:r>
        <w:tab/>
        <w:t>Third, the external entity has an obligation “to take steps, individually and through international assistance and cooperation, especially economic and technical” in order to respond to any disproportionate suffering experienced by vulnerable groups within the targeted country.</w:t>
      </w:r>
    </w:p>
    <w:p w:rsidR="00000000" w:rsidRDefault="00000000">
      <w:r>
        <w:t>15.</w:t>
      </w:r>
      <w:r>
        <w:tab/>
        <w:t>In anticipating the objection that sanctions must, almost by definition, result in the grave violation of economic, social and cultural rights if they are to achieve their objectives, the Committee notes the conclusion of a major United Nations study to the effect that “decisions to reduce the suffering of children or minimize other adverse consequences can be taken without jeopardizing the policy aim of sanctions.</w:t>
      </w:r>
      <w:r>
        <w:rPr>
          <w:rStyle w:val="EndnoteReference"/>
        </w:rPr>
        <w:endnoteReference w:id="67"/>
      </w:r>
      <w:r>
        <w:t xml:space="preserve"> This applies equally to the situation of all vulnerable groups.</w:t>
      </w:r>
    </w:p>
    <w:p w:rsidR="00000000" w:rsidRDefault="00000000">
      <w:pPr>
        <w:spacing w:after="480"/>
      </w:pPr>
      <w:r>
        <w:t>16.</w:t>
      </w:r>
      <w:r>
        <w:tab/>
        <w:t>In adopting this general comment the sole aim of the Committee is to draw attention to the fact that the inhabitants of a given country do not forfeit their basic economic, social and cultural rights by virtue of any determination that their leaders have violated norms relating to international peace and security.  The aim is not to give support or encouragement to such leaders, nor is it to undermine the legitimate interests of the international community in enforcing respect for the provisions of the Charter of the United Nations and the general principles of international law.  Rather, it is to insist that lawlessness of one kind should not be met by lawlessness of another kind which pays no heed to the fundamental rights that underlie and give legitimacy to any such collective action.</w:t>
      </w:r>
    </w:p>
    <w:p w:rsidR="00000000" w:rsidRDefault="00000000">
      <w:pPr>
        <w:spacing w:after="0"/>
        <w:jc w:val="center"/>
        <w:rPr>
          <w:b/>
        </w:rPr>
        <w:sectPr w:rsidR="00000000">
          <w:headerReference w:type="even" r:id="rId25"/>
          <w:headerReference w:type="default" r:id="rId26"/>
          <w:endnotePr>
            <w:numFmt w:val="decimal"/>
            <w:numRestart w:val="eachSect"/>
          </w:endnotePr>
          <w:type w:val="continuous"/>
          <w:pgSz w:w="11907" w:h="16840" w:code="9"/>
          <w:pgMar w:top="567" w:right="851" w:bottom="1701" w:left="1701" w:header="851" w:footer="1985" w:gutter="0"/>
          <w:paperSrc w:first="84" w:other="84"/>
          <w:cols w:space="720"/>
        </w:sectPr>
      </w:pPr>
      <w:r>
        <w:rPr>
          <w:b/>
        </w:rPr>
        <w:t>Notes</w:t>
      </w:r>
    </w:p>
    <w:p w:rsidR="00000000" w:rsidRDefault="00000000">
      <w:pPr>
        <w:spacing w:after="0"/>
        <w:jc w:val="center"/>
      </w:pPr>
      <w:r>
        <w:rPr>
          <w:b/>
        </w:rPr>
        <w:t>Nineteenth session (1998)</w:t>
      </w:r>
      <w:r>
        <w:rPr>
          <w:rStyle w:val="FootnoteReference"/>
          <w:vertAlign w:val="baseline"/>
        </w:rPr>
        <w:footnoteReference w:customMarkFollows="1" w:id="10"/>
        <w:t>*</w:t>
      </w:r>
    </w:p>
    <w:p w:rsidR="00000000" w:rsidRDefault="00000000">
      <w:pPr>
        <w:pStyle w:val="Heading2"/>
        <w:spacing w:before="240"/>
      </w:pPr>
      <w:bookmarkStart w:id="41" w:name="_Toc481083353"/>
      <w:bookmarkStart w:id="42" w:name="_Toc70388950"/>
      <w:bookmarkStart w:id="43" w:name="_Toc70516946"/>
      <w:r>
        <w:t>General comment No. 9:  The domestic application of the Covenant</w:t>
      </w:r>
      <w:bookmarkStart w:id="44" w:name="_Toc481083354"/>
      <w:bookmarkStart w:id="45" w:name="_Toc70388951"/>
      <w:bookmarkEnd w:id="41"/>
      <w:bookmarkEnd w:id="42"/>
      <w:bookmarkEnd w:id="43"/>
      <w:r>
        <w:t xml:space="preserve"> </w:t>
      </w:r>
      <w:bookmarkEnd w:id="44"/>
      <w:bookmarkEnd w:id="45"/>
    </w:p>
    <w:p w:rsidR="00000000" w:rsidRDefault="00000000">
      <w:pPr>
        <w:pStyle w:val="Heading2"/>
      </w:pPr>
      <w:r>
        <w:t>A.  The duty to give effect to the Covenant in the domestic legal order</w:t>
      </w:r>
    </w:p>
    <w:p w:rsidR="00000000" w:rsidRDefault="00000000">
      <w:r>
        <w:t>1.</w:t>
      </w:r>
      <w:r>
        <w:tab/>
        <w:t>In its general comment No. 3 (1990) on the nature of States parties’ obligations (article 2, paragraph 1, of the Covenant)</w:t>
      </w:r>
      <w:r>
        <w:rPr>
          <w:rStyle w:val="EndnoteReference"/>
        </w:rPr>
        <w:endnoteReference w:id="68"/>
      </w:r>
      <w:r>
        <w:t xml:space="preserve"> the Committee addressed issues relating to the nature and scope of States parties’ obligations.  The present general comment seeks to elaborate further certain elements of the earlier statement.  The central obligation in relation to the Covenant is for States parties to give effect to the rights recognized therein.  By requiring Governments to do so “by all appropriate means”, the Covenant adopts a broad and flexible approach which enables the particularities of the legal and administrative systems of each State, as well as other relevant considerations, to be taken into account.</w:t>
      </w:r>
    </w:p>
    <w:p w:rsidR="00000000" w:rsidRDefault="00000000">
      <w:r>
        <w:t>2.</w:t>
      </w:r>
      <w:r>
        <w:tab/>
        <w:t>But this flexibility coexists with the obligation upon each State party to use all the means at its disposal to give effect to the rights recognized in the Covenant.  In this respect, the fundamental requirements of international human rights law must be borne in mind.  Thus the Covenant norms must be recognized in appropriate ways within the domestic legal order, appropriate means of redress, or remedies, must be available to any aggrieved individual or group, and appropriate means of ensuring governmental accountability must be put in place.</w:t>
      </w:r>
    </w:p>
    <w:p w:rsidR="00000000" w:rsidRDefault="00000000">
      <w:r>
        <w:t>3.</w:t>
      </w:r>
      <w:r>
        <w:tab/>
        <w:t>Questions relating to the domestic application of the Covenant must be considered in the light of two principles of international law.  The first, as reflected in article 27 of the Vienna Convention on the Law of Treaties,</w:t>
      </w:r>
      <w:r>
        <w:rPr>
          <w:rStyle w:val="EndnoteReference"/>
        </w:rPr>
        <w:endnoteReference w:id="69"/>
      </w:r>
      <w:r>
        <w:t xml:space="preserve"> is that “[A] party may not invoke the provisions of its internal law as justification for its failure to perform a treaty”.  In other words, States should modify the domestic legal order as necessary in order to give effect to their treaty obligations.  The second principle is reflected in article 8 of the Universal Declaration of Human Rights, according to which “Everyone has the right to an effective remedy by the competent national tribunals for acts violating the fundamental rights granted him by the constitution or by law”.  The International Covenant on Economic, Social and Cultural Rights contains no direct counterpart to article 2, paragraph 3 (b), of the International Covenant on Civil and Political Rights, which obligates States parties to, inter alia, “develop the possibilities of judicial remedy”.  Nevertheless, a State party seeking to justify its failure to provide any domestic legal remedies for violations of economic, social and cultural rights would need to show either that such remedies are not “appropriate means” within the terms of article 2, paragraph 1, of the International Covenant on Economic, Social and Cultural Rights or that, in view of the other means used, they are unnecessary.  It will be difficult to show this and the Committee considers that, in many cases, the other means used could be rendered ineffective if they are not reinforced or complemented by judicial remedies.</w:t>
      </w:r>
    </w:p>
    <w:p w:rsidR="00000000" w:rsidRDefault="00000000">
      <w:pPr>
        <w:pStyle w:val="Heading2"/>
      </w:pPr>
      <w:r>
        <w:t>B.  The status of the Covenant in the domestic legal order</w:t>
      </w:r>
    </w:p>
    <w:p w:rsidR="00000000" w:rsidRDefault="00000000">
      <w:r>
        <w:t>4.</w:t>
      </w:r>
      <w:r>
        <w:tab/>
        <w:t>In general, legally binding international human rights standards should operate directly and immediately within the domestic legal system of each State party, thereby enabling individuals to seek enforcement of their rights before national courts and tribunals.  The rule requiring the exhaustion of domestic remedies reinforces the primacy of national remedies in this respect.  The existence and further development of international procedures for the pursuit of individual claims is important, but such procedures are ultimately only supplementary to effective national remedies.</w:t>
      </w:r>
    </w:p>
    <w:p w:rsidR="00000000" w:rsidRDefault="00000000">
      <w:r>
        <w:t>5.</w:t>
      </w:r>
      <w:r>
        <w:tab/>
        <w:t>The Covenant does not stipulate the specific means by which it is to be implemented in the national legal order.  And there is no provision obligating its comprehensive incorporation or requiring it to be accorded any specific type of status in national law.  Although the precise method by which Covenant rights are given effect in national law is a matter for each State party to decide, the means used should be appropriate in the sense of producing results which are consistent with the full discharge of its obligations by the State party.  The means chosen are also subject to review as part of the Committee’s examination of the State party’s compliance with its obligations under the Covenant.</w:t>
      </w:r>
    </w:p>
    <w:p w:rsidR="00000000" w:rsidRDefault="00000000">
      <w:r>
        <w:t>6.</w:t>
      </w:r>
      <w:r>
        <w:tab/>
        <w:t>An analysis of State practice with respect to the Covenant shows that States have used a variety of approaches.  Some States have failed to do anything specific at all.  Of those that have taken measures, some States have transformed the Covenant into domestic law by supplementing or amending existing legislation, without invoking the specific terms of the Covenant.  Others have adopted or incorporated it into domestic law, so that its terms are retained intact and given formal validity in the national legal order.  This has often been done by means of constitutional provisions according priority to the provisions of international human rights treaties over any inconsistent domestic laws.  The approach of States to the Covenant depends significantly upon the approach adopted to treaties in general in the domestic legal order.</w:t>
      </w:r>
    </w:p>
    <w:p w:rsidR="00000000" w:rsidRDefault="00000000">
      <w:r>
        <w:t>7.</w:t>
      </w:r>
      <w:r>
        <w:tab/>
        <w:t>But whatever the preferred methodology, several principles follow from the duty to give effect to the Covenant and must therefore be respected.  First, the means of implementation chosen must be adequate to ensure fulfilment of the obligations under the Covenant.  The need to ensure justiciability (see paragraph 10 below) is relevant when determining the best way to give domestic legal effect to the Covenant rights.  Second, account should be taken of the means which have proved to be most effective in the country concerned in ensuring the protection of other human rights.  Where the means used to give effect to the Covenant on Economic, Social and Cultural Rights differ significantly from those used in relation to other human rights treaties, there should be a compelling justification for this, taking account of the fact that the formulations used in the Covenant are, to a considerable extent, comparable to those used in treaties dealing with civil and political rights.</w:t>
      </w:r>
    </w:p>
    <w:p w:rsidR="00000000" w:rsidRDefault="00000000">
      <w:r>
        <w:t>8.</w:t>
      </w:r>
      <w:r>
        <w:tab/>
        <w:t>Third, while the Covenant does not formally oblige States to incorporate its provisions in domestic law, such an approach is desirable.  Direct incorporation avoids problems that might arise in the translation of treaty obligations into national law, and provides a basis for the direct invocation of the Covenant rights by individuals in national courts.  For these reasons, the Committee strongly encourages formal adoption or incorporation of the Covenant in national law.</w:t>
      </w:r>
    </w:p>
    <w:p w:rsidR="00000000" w:rsidRDefault="00000000">
      <w:pPr>
        <w:pStyle w:val="Heading2"/>
      </w:pPr>
      <w:r>
        <w:t>C.  The role of legal remedies</w:t>
      </w:r>
    </w:p>
    <w:p w:rsidR="00000000" w:rsidRDefault="00000000">
      <w:pPr>
        <w:pStyle w:val="Heading3"/>
      </w:pPr>
      <w:r>
        <w:t>Legal or judicial remedies?</w:t>
      </w:r>
    </w:p>
    <w:p w:rsidR="00000000" w:rsidRDefault="00000000">
      <w:r>
        <w:t>9.</w:t>
      </w:r>
      <w:r>
        <w:tab/>
        <w:t>The right to an effective remedy need not be interpreted as always requiring a judicial remedy.  Administrative remedies will, in many cases, be adequate and those living within the jurisdiction of a State party have a legitimate expectation, based on the principle of good faith, that all administrative authorities will take account of the requirements of the Covenant in their decision</w:t>
      </w:r>
      <w:r>
        <w:noBreakHyphen/>
        <w:t>making.  Any such administrative remedies should be accessible, affordable, timely and effective.  An ultimate right of judicial appeal from administrative procedures of this type would also often be appropriate.  By the same token, there are some obligations, such as (but by no means limited to) those concerning non</w:t>
      </w:r>
      <w:r>
        <w:noBreakHyphen/>
        <w:t>discrimination,</w:t>
      </w:r>
      <w:r>
        <w:rPr>
          <w:rStyle w:val="EndnoteReference"/>
        </w:rPr>
        <w:endnoteReference w:id="70"/>
      </w:r>
      <w:r>
        <w:t xml:space="preserve"> in relation to which the provision of some form of judicial remedy would seem indispensable in order to satisfy the requirements of the Covenant.  In other words, whenever a Covenant right cannot be made fully effective without some role for the judiciary, judicial remedies are necessary.</w:t>
      </w:r>
    </w:p>
    <w:p w:rsidR="00000000" w:rsidRDefault="00000000">
      <w:pPr>
        <w:pStyle w:val="Heading3"/>
      </w:pPr>
      <w:r>
        <w:t xml:space="preserve">Justiciability </w:t>
      </w:r>
    </w:p>
    <w:p w:rsidR="00000000" w:rsidRDefault="00000000">
      <w:r>
        <w:t>10.</w:t>
      </w:r>
      <w:r>
        <w:tab/>
        <w:t>In relation to civil and political rights, it is generally taken for granted that judicial remedies for violations are essential.  Regrettably, the contrary assumption is too often made in relation to economic, social and cultural rights.  This discrepancy is not warranted either by the nature of the rights or by the relevant Covenant provisions.  The Committee has already made clear that it considers many of the provisions in the Covenant to be capable of immediate implementation.  Thus, in general comment No. 3 (1990) it cited, by way of example, articles 3; 7, paragraph (a) (i); 8; 10, paragraph 3; 13, paragraph 2 (a); 13, paragraph 3; 13, paragraph 4; and 15, paragraph 3.  It is important in this regard to distinguish between justiciability (which refers to those matters which are appropriately resolved by the courts) and norms which are self</w:t>
      </w:r>
      <w:r>
        <w:noBreakHyphen/>
        <w:t>executing (capable of being applied by courts without further elaboration).  While the general approach of each legal system needs to be taken into account, there is no Covenant right which could not, in the great majority of systems, be considered to possess at least some significant justiciable dimensions.  It is sometimes suggested that matters involving the allocation of resources should be left to the political authorities rather than the courts.  While the respective competences of the various branches of government must be respected, it is appropriate to acknowledge that courts are generally already involved in a considerable range of matters which have important resource implications.  The adoption of a rigid classification of economic, social and cultural rights which puts them, by definition, beyond the reach of the courts would thus be arbitrary and incompatible with the principle that the two sets of human rights are indivisible and interdependent.  It would also drastically curtail the capacity of the courts to protect the rights of the most vulnerable and disadvantaged groups in society.</w:t>
      </w:r>
    </w:p>
    <w:p w:rsidR="00000000" w:rsidRDefault="00000000">
      <w:pPr>
        <w:pStyle w:val="Heading3"/>
      </w:pPr>
      <w:r>
        <w:t>Self</w:t>
      </w:r>
      <w:r>
        <w:noBreakHyphen/>
        <w:t>executing</w:t>
      </w:r>
    </w:p>
    <w:p w:rsidR="00000000" w:rsidRDefault="00000000">
      <w:r>
        <w:t>11.</w:t>
      </w:r>
      <w:r>
        <w:tab/>
        <w:t>The Covenant does not negate the possibility that the rights it contains may be considered self</w:t>
      </w:r>
      <w:r>
        <w:noBreakHyphen/>
        <w:t>executing in systems where that option is provided for.  Indeed, when it was being drafted, attempts to include a specific provision in the Covenant to the effect that it be considered “non</w:t>
      </w:r>
      <w:r>
        <w:noBreakHyphen/>
        <w:t>self</w:t>
      </w:r>
      <w:r>
        <w:noBreakHyphen/>
        <w:t>executing” were strongly rejected.  In most States, the determination of whether or not a treaty provision is self</w:t>
      </w:r>
      <w:r>
        <w:noBreakHyphen/>
        <w:t>executing will be a matter for the courts, not the executive or the legislature.  In order to perform that function effectively, the relevant courts and tribunals must be made aware of the nature and implications of the Covenant and of the important role of judicial remedies in its implementation.  Thus, for example, when Governments are involved in court proceedings, they should promote interpretations of domestic laws which give effect to their Covenant obligations.  Similarly, judicial training should take full account of the justiciability of the Covenant.  It is especially important to avoid any a priori assumption that the norms should be considered to be non</w:t>
      </w:r>
      <w:r>
        <w:noBreakHyphen/>
        <w:t>self</w:t>
      </w:r>
      <w:r>
        <w:noBreakHyphen/>
        <w:t>executing.  In fact, many of them are stated in terms which are at least as clear and specific as those in other human rights treaties, the provisions of which are regularly deemed by courts to be self</w:t>
      </w:r>
      <w:r>
        <w:noBreakHyphen/>
        <w:t>executing.</w:t>
      </w:r>
    </w:p>
    <w:p w:rsidR="00000000" w:rsidRDefault="00000000">
      <w:pPr>
        <w:pStyle w:val="Heading2"/>
      </w:pPr>
      <w:r>
        <w:t>D.  The treatment of the Covenant in domestic courts</w:t>
      </w:r>
    </w:p>
    <w:p w:rsidR="00000000" w:rsidRDefault="00000000">
      <w:r>
        <w:t>12.</w:t>
      </w:r>
      <w:r>
        <w:tab/>
        <w:t>In the Committee’s guidelines for States’ reports, States are requested to provide information as to whether the provisions of the Covenant “can be invoked before, and directly enforced by, the Courts, other tribunals or administrative authorities”.</w:t>
      </w:r>
      <w:r>
        <w:rPr>
          <w:rStyle w:val="EndnoteReference"/>
        </w:rPr>
        <w:endnoteReference w:id="71"/>
      </w:r>
      <w:r>
        <w:t xml:space="preserve">  Some States have provided such information, but greater importance should be attached to this element in future reports.  In particular, the Committee requests that States parties provide details of any significant jurisprudence from their domestic courts that makes use of the provisions of the Covenant.</w:t>
      </w:r>
    </w:p>
    <w:p w:rsidR="00000000" w:rsidRDefault="00000000">
      <w:r>
        <w:t>13.</w:t>
      </w:r>
      <w:r>
        <w:tab/>
        <w:t>On the basis of available information, it is clear that State practice is mixed.  The Committee notes that some courts have applied the provisions of the Covenant either directly or as interpretative standards.  Other courts are willing to acknowledge, in principle, the relevance of the Covenant for interpreting domestic law, but in practice, the impact of the Covenant on the reasoning or outcome of cases is very limited.  Still other courts have refused to give any degree of legal effect to the Covenant in cases in which individuals have sought to rely on it.  There remains extensive scope for the courts in most countries to place greater reliance upon the Covenant.</w:t>
      </w:r>
    </w:p>
    <w:p w:rsidR="00000000" w:rsidRDefault="00000000">
      <w:r>
        <w:t>14.</w:t>
      </w:r>
      <w:r>
        <w:tab/>
        <w:t>Within the limits of the appropriate exercise of their functions of judicial review, courts should take account of Covenant rights where this is necessary to ensure that the State’s conduct is consistent with its obligations under the Covenant.  Neglect by the courts of this responsibility is incompatible with the principle of the rule of law, which must always be taken to include respect for international human rights obligations.</w:t>
      </w:r>
    </w:p>
    <w:p w:rsidR="00000000" w:rsidRDefault="00000000">
      <w:pPr>
        <w:spacing w:after="480"/>
      </w:pPr>
      <w:r>
        <w:t>15.</w:t>
      </w:r>
      <w:r>
        <w:tab/>
        <w:t xml:space="preserve">It is generally accepted that domestic law should be interpreted as far as possible in a way which conforms to a State’s international legal obligations.  Thus, when a domestic decision maker is faced with a choice between an interpretation of domestic law that would place the </w:t>
      </w:r>
      <w:r>
        <w:br w:type="page"/>
        <w:t>State in breach of the Covenant and one that would enable the State to comply with the Covenant, international law requires the choice of the latter.  Guarantees of equality and non</w:t>
      </w:r>
      <w:r>
        <w:noBreakHyphen/>
        <w:t>discrimination should be interpreted, to the greatest extent possible, in ways which facilitate the full protection of economic, social and cultural rights.</w:t>
      </w:r>
    </w:p>
    <w:p w:rsidR="00000000" w:rsidRDefault="00000000">
      <w:pPr>
        <w:spacing w:after="0"/>
        <w:jc w:val="center"/>
        <w:rPr>
          <w:b/>
        </w:rPr>
        <w:sectPr w:rsidR="00000000">
          <w:headerReference w:type="even" r:id="rId27"/>
          <w:headerReference w:type="default" r:id="rId28"/>
          <w:footerReference w:type="even" r:id="rId29"/>
          <w:endnotePr>
            <w:numFmt w:val="decimal"/>
            <w:numRestart w:val="eachSect"/>
          </w:endnotePr>
          <w:type w:val="continuous"/>
          <w:pgSz w:w="11907" w:h="16840" w:code="9"/>
          <w:pgMar w:top="567" w:right="851" w:bottom="1701" w:left="1701" w:header="851" w:footer="1985" w:gutter="0"/>
          <w:paperSrc w:first="84" w:other="84"/>
          <w:cols w:space="720"/>
        </w:sectPr>
      </w:pPr>
      <w:r>
        <w:rPr>
          <w:b/>
        </w:rPr>
        <w:t>Notes</w:t>
      </w:r>
    </w:p>
    <w:p w:rsidR="00000000" w:rsidRDefault="00000000">
      <w:pPr>
        <w:pStyle w:val="Heading2"/>
      </w:pPr>
      <w:r>
        <w:t>Nineteenth session (1998)</w:t>
      </w:r>
      <w:r>
        <w:rPr>
          <w:rStyle w:val="FootnoteReference"/>
          <w:vertAlign w:val="baseline"/>
        </w:rPr>
        <w:footnoteReference w:customMarkFollows="1" w:id="11"/>
        <w:t>*</w:t>
      </w:r>
    </w:p>
    <w:p w:rsidR="00000000" w:rsidRDefault="00000000">
      <w:pPr>
        <w:pStyle w:val="Heading2"/>
      </w:pPr>
      <w:bookmarkStart w:id="46" w:name="_Toc481083355"/>
      <w:bookmarkStart w:id="47" w:name="_Toc70388952"/>
      <w:bookmarkStart w:id="48" w:name="_Toc70516947"/>
      <w:r>
        <w:t>General comment No. 10:  The role of national human rights institutions</w:t>
      </w:r>
      <w:r>
        <w:br/>
        <w:t>in the protection of economic, social and cultural rights</w:t>
      </w:r>
      <w:bookmarkStart w:id="49" w:name="_Toc481083356"/>
      <w:bookmarkStart w:id="50" w:name="_Toc70388953"/>
      <w:bookmarkEnd w:id="46"/>
      <w:bookmarkEnd w:id="47"/>
      <w:bookmarkEnd w:id="48"/>
      <w:r>
        <w:t xml:space="preserve"> </w:t>
      </w:r>
      <w:bookmarkEnd w:id="49"/>
      <w:bookmarkEnd w:id="50"/>
    </w:p>
    <w:p w:rsidR="00000000" w:rsidRDefault="00000000">
      <w:r>
        <w:t>1.</w:t>
      </w:r>
      <w:r>
        <w:tab/>
        <w:t>Article 2, paragraph 1, of the Covenant obligates each State party “to take steps ...  with a view to achieving progressively the full realization of the [Covenant] rights ...  by all appropriate means”.  The Committee notes that one such means, through which important steps can be taken, is the work of national institutions for the promotion and protection of human rights.  In recent years there has been a proliferation of these institutions and the trend has been strongly encouraged by the General Assembly and the Commission on Human Rights.  The Office of the United Nations High Commissioner for Human Rights has established a major programme to assist and encourage States in relation to national institutions.</w:t>
      </w:r>
    </w:p>
    <w:p w:rsidR="00000000" w:rsidRDefault="00000000">
      <w:r>
        <w:t>2.</w:t>
      </w:r>
      <w:r>
        <w:tab/>
        <w:t>These institutions range from national human rights commissions through Ombudsman offices, public interest or other human rights “advocates”, to “defensores del pueblo”.  In many cases, the institution has been established by the Government, enjoys an important degree of autonomy from the executive and the legislature, takes full account of international human rights standards which are applicable to the country concerned, and is mandated to perform various activities designed to promote and protect human rights.  Such institutions have been established in States with widely differing legal cultures and regardless of their economic situation.</w:t>
      </w:r>
    </w:p>
    <w:p w:rsidR="00000000" w:rsidRDefault="00000000">
      <w:r>
        <w:t>3.</w:t>
      </w:r>
      <w:r>
        <w:tab/>
        <w:t xml:space="preserve">The Committee notes that national institutions have a potentially crucial role to play in promoting and ensuring the indivisibility and interdependence of all human rights.  Unfortunately, this role has too often either not been accorded to the institution or has been neglected or given a low priority by it.  It is therefore essential that full attention be given to </w:t>
      </w:r>
      <w:r>
        <w:br w:type="page"/>
        <w:t>economic, social and cultural rights in all of the relevant activities of these institutions.  The following list is indicative of the types of activities that can be, and in some instances already have been, undertaken by national institutions in relation to these rights:</w:t>
      </w:r>
    </w:p>
    <w:p w:rsidR="00000000" w:rsidRDefault="00000000">
      <w:r>
        <w:tab/>
        <w:t>(a)</w:t>
      </w:r>
      <w:r>
        <w:tab/>
        <w:t>The promotion of educational and information programmes designed to enhance awareness and understanding of economic, social and cultural rights, both within the population at large and among particular groups such as the public service, the judiciary, the private sector and the labour movement;</w:t>
      </w:r>
    </w:p>
    <w:p w:rsidR="00000000" w:rsidRDefault="00000000">
      <w:r>
        <w:tab/>
        <w:t>(b)</w:t>
      </w:r>
      <w:r>
        <w:tab/>
        <w:t>The scrutinizing of existing laws and administrative acts, as well as draft bills and other proposals, to ensure that they are consistent with the requirements of the International Covenant on Economic, Social and Cultural Rights;</w:t>
      </w:r>
    </w:p>
    <w:p w:rsidR="00000000" w:rsidRDefault="00000000">
      <w:r>
        <w:tab/>
        <w:t>(c)</w:t>
      </w:r>
      <w:r>
        <w:tab/>
        <w:t>Providing technical advice, or undertaking surveys in relation to economic, social and cultural rights, including at the request of the public authorities or other appropriate agencies;</w:t>
      </w:r>
    </w:p>
    <w:p w:rsidR="00000000" w:rsidRDefault="00000000">
      <w:r>
        <w:tab/>
        <w:t>(d)</w:t>
      </w:r>
      <w:r>
        <w:tab/>
        <w:t>The identification of national</w:t>
      </w:r>
      <w:r>
        <w:noBreakHyphen/>
        <w:t>level benchmarks against which the realization of Covenant obligations can be measured;</w:t>
      </w:r>
    </w:p>
    <w:p w:rsidR="00000000" w:rsidRDefault="00000000">
      <w:r>
        <w:tab/>
        <w:t>(e)</w:t>
      </w:r>
      <w:r>
        <w:tab/>
        <w:t>Conducting research and inquiries designed to ascertain the extent to which particular economic, social and cultural rights are being realized, either within the State as a whole or in areas or in relation to communities of particular vulnerability;</w:t>
      </w:r>
    </w:p>
    <w:p w:rsidR="00000000" w:rsidRDefault="00000000">
      <w:r>
        <w:tab/>
        <w:t>(f)</w:t>
      </w:r>
      <w:r>
        <w:tab/>
        <w:t>Monitoring compliance with specific rights recognized under the Covenant and providing reports thereon to the public authorities and civil society; and</w:t>
      </w:r>
    </w:p>
    <w:p w:rsidR="00000000" w:rsidRDefault="00000000">
      <w:r>
        <w:tab/>
        <w:t>(g)</w:t>
      </w:r>
      <w:r>
        <w:tab/>
        <w:t>Examining complaints alleging infringements of applicable economic, social and cultural rights standards within the State.</w:t>
      </w:r>
    </w:p>
    <w:p w:rsidR="00000000" w:rsidRDefault="00000000">
      <w:r>
        <w:t>4.</w:t>
      </w:r>
      <w:r>
        <w:tab/>
        <w:t>The Committee calls upon States parties to ensure that the mandates accorded to all national human rights institutions include appropriate attention to economic, social and cultural rights and requests States parties to include details of both the mandates and the principal relevant activities of such institutions in their reports submitted to the Committee.</w:t>
      </w:r>
    </w:p>
    <w:p w:rsidR="00000000" w:rsidRDefault="00000000">
      <w:pPr>
        <w:pStyle w:val="Heading2"/>
      </w:pPr>
      <w:r>
        <w:t>Twentieth session (1999)</w:t>
      </w:r>
      <w:r>
        <w:rPr>
          <w:rStyle w:val="FootnoteReference"/>
          <w:vertAlign w:val="baseline"/>
        </w:rPr>
        <w:footnoteReference w:customMarkFollows="1" w:id="12"/>
        <w:t>*</w:t>
      </w:r>
    </w:p>
    <w:p w:rsidR="00000000" w:rsidRDefault="00000000">
      <w:pPr>
        <w:pStyle w:val="Heading2"/>
      </w:pPr>
      <w:bookmarkStart w:id="51" w:name="_Toc481083357"/>
      <w:bookmarkStart w:id="52" w:name="_Toc70388954"/>
      <w:bookmarkStart w:id="53" w:name="_Toc70516948"/>
      <w:r>
        <w:t>General comment No. 11:  Plans of action for primary education (art. 14)</w:t>
      </w:r>
      <w:bookmarkStart w:id="54" w:name="_Toc481083358"/>
      <w:bookmarkStart w:id="55" w:name="_Toc70388955"/>
      <w:bookmarkEnd w:id="51"/>
      <w:bookmarkEnd w:id="52"/>
      <w:bookmarkEnd w:id="53"/>
      <w:r>
        <w:t xml:space="preserve"> </w:t>
      </w:r>
      <w:bookmarkEnd w:id="54"/>
      <w:bookmarkEnd w:id="55"/>
    </w:p>
    <w:p w:rsidR="00000000" w:rsidRDefault="00000000">
      <w:r>
        <w:t>1.</w:t>
      </w:r>
      <w:r>
        <w:tab/>
        <w:t xml:space="preserve">Article 14 of the International Covenant on Economic, Social and Cultural Rights requires each State party which has not been able to secure compulsory primary education, free of charge, to undertake, within two years, to work out and adopt a detailed plan of action for the </w:t>
      </w:r>
      <w:r>
        <w:br w:type="page"/>
        <w:t>progressive implementation, within a reasonable number of years, to be fixed in the plan, of the principle of compulsory primary education free of charge for all.  In spite of the obligations undertaken in accordance with article 14, a number of States parties have neither drafted nor implemented a plan of action for free and compulsory primary education.</w:t>
      </w:r>
    </w:p>
    <w:p w:rsidR="00000000" w:rsidRDefault="00000000">
      <w:r>
        <w:t>2.</w:t>
      </w:r>
      <w:r>
        <w:tab/>
        <w:t>The right to education, recognized in articles 13 and 14 of the Covenant, as well as in a variety of other international treaties, such as the Convention on the Rights of the Child and the Convention on the Elimination of All Forms of Discrimination against Women, is of vital importance.  It has been variously classified as an economic right, a social right and a cultural right.  It is all of these.  It is also, in many ways, a civil right and a political right, since it is central to the full and effective realization of those rights as well.  In this respect, the right to education epitomizes the indivisibility and interdependence of all human rights.</w:t>
      </w:r>
    </w:p>
    <w:p w:rsidR="00000000" w:rsidRDefault="00000000">
      <w:r>
        <w:t>3.</w:t>
      </w:r>
      <w:r>
        <w:tab/>
        <w:t>In line with its clear and unequivocal obligation under article 14, every State party is under a duty to present to the Committee a plan of action drawn up along the lines specified in paragraph 8 below.  This obligation needs to be scrupulously observed in view of the fact that in developing countries, 130 million children of school age are currently estimated to be without access to primary education, of whom about two thirds are girls.</w:t>
      </w:r>
      <w:r>
        <w:rPr>
          <w:rStyle w:val="FootnoteReference"/>
          <w:b w:val="0"/>
          <w:vertAlign w:val="baseline"/>
        </w:rPr>
        <w:footnoteReference w:customMarkFollows="1" w:id="13"/>
        <w:t>*</w:t>
      </w:r>
      <w:r>
        <w:t xml:space="preserve"> The Committee is fully aware that many diverse factors have made it difficult for States parties to fulfil their obligation to provide a plan of action.  For example, the structural adjustment programmes that began in the 1970s, the debt crises that followed in the 1980s and the financial crises of the late 1990s, as well as other factors, have greatly exacerbated the extent to which the right to primary education is being denied.  These difficulties, however, cannot relieve States parties of their obligation to adopt and submit a plan of action to the Committee, as provided for in article 14 of the Covenant.</w:t>
      </w:r>
    </w:p>
    <w:p w:rsidR="00000000" w:rsidRDefault="00000000">
      <w:r>
        <w:t>4.</w:t>
      </w:r>
      <w:r>
        <w:tab/>
        <w:t>Plans of action prepared by States parties to the Covenant in accordance with article 14 are especially important as the work of the Committee has shown that the lack of educational opportunities for children often reinforces their subjection to various other human rights violations.  For instance these children, who may live in abject poverty and not lead healthy lives, are particularly vulnerable to forced labour and other forms of exploitation.  Moreover, there is a direct correlation between, for example, primary school enrolment levels for girls and major reductions in child marriages.</w:t>
      </w:r>
    </w:p>
    <w:p w:rsidR="00000000" w:rsidRDefault="00000000">
      <w:r>
        <w:t>5.</w:t>
      </w:r>
      <w:r>
        <w:tab/>
        <w:t xml:space="preserve">Article 14 contains a number </w:t>
      </w:r>
      <w:r>
        <w:rPr>
          <w:i/>
        </w:rPr>
        <w:t>o</w:t>
      </w:r>
      <w:r>
        <w:t>f elements which warrant some elaboration in the light of the Committee’s extensive experience in examining State party reports.</w:t>
      </w:r>
    </w:p>
    <w:p w:rsidR="00000000" w:rsidRDefault="00000000">
      <w:r>
        <w:t>6.</w:t>
      </w:r>
      <w:r>
        <w:tab/>
      </w:r>
      <w:r>
        <w:rPr>
          <w:i/>
        </w:rPr>
        <w:t>Compulsory</w:t>
      </w:r>
      <w:r>
        <w:t>.  The element of compulsion serves to highlight the fact that neither parents, nor guardians, nor the State are entitled to treat as optional the decision as to whether the child should have access to primary education.  Similarly, the prohibition of gender discrimination in access to education, required also by articles 2 and 3 of the Covenant, is further underlined by this requirement.  It should be emphasized, however, that the education offered must be adequate in quality, relevant to the child and must promote the realization of the child’s other rights.</w:t>
      </w:r>
    </w:p>
    <w:p w:rsidR="00000000" w:rsidRDefault="00000000">
      <w:r>
        <w:t>7.</w:t>
      </w:r>
      <w:r>
        <w:tab/>
      </w:r>
      <w:r>
        <w:rPr>
          <w:i/>
        </w:rPr>
        <w:t>Free of charge</w:t>
      </w:r>
      <w:r>
        <w:t>.  The nature of this requirement is unequivocal.  The right is expressly formulated so as to ensure the availability of primary education without charge to the child, parents or guardians.  Fees imposed by the Government, the local authorities or the school, and other direct costs, constitute disincentives to the enjoyment of the right and may jeopardize its realization.  They are also often highly regressive in effect.  Their elimination is a matter which must be addressed by the required plan of action.  Indirect costs, such as compulsory levies on parents (sometimes portrayed as being voluntary, when in fact they are not), or the obligation to wear a relatively expensive school uniform, can also fall into the same category.  Other indirect costs may be permissible, subject to the Committee’s examination on a case</w:t>
      </w:r>
      <w:r>
        <w:noBreakHyphen/>
        <w:t>by</w:t>
      </w:r>
      <w:r>
        <w:noBreakHyphen/>
        <w:t>case basis.  This provision of compulsory primary education in no way conflicts with the right recognized in article 13.3 of the Covenant for parents and guardians “to choose for their children schools other than those established by the public authorities”.</w:t>
      </w:r>
    </w:p>
    <w:p w:rsidR="00000000" w:rsidRDefault="00000000">
      <w:r>
        <w:t>8.</w:t>
      </w:r>
      <w:r>
        <w:tab/>
      </w:r>
      <w:r>
        <w:rPr>
          <w:i/>
        </w:rPr>
        <w:t>Adoption of a detailed plan</w:t>
      </w:r>
      <w:r>
        <w:t>.  The State party is required to adopt a plan of action within two years.  This must be interpreted as meaning within two years of the Covenant’s entry into force of the State concerned, or within two years of a subsequent change in circumstances which has led to the non</w:t>
      </w:r>
      <w:r>
        <w:noBreakHyphen/>
        <w:t>observance of the relevant obligation.  This obligation is a continuing one and States parties to which the provision is relevant by virtue of the prevailing situation are not absolved from the obligation as a result of their past failure to act within the two</w:t>
      </w:r>
      <w:r>
        <w:noBreakHyphen/>
        <w:t>year limit.  The plan must cover all of the actions which are necessary in order to secure each of the requisite component parts of the right and must be sufficiently detailed so as to ensure the comprehensive realization of the right.  Participation of all sections of civil society in the drawing up of the plan is vital and some means of periodically reviewing progress and ensuring accountability are essential.  Without those elements, the significance of the article would be undermined.</w:t>
      </w:r>
    </w:p>
    <w:p w:rsidR="00000000" w:rsidRDefault="00000000">
      <w:r>
        <w:t>9.</w:t>
      </w:r>
      <w:r>
        <w:tab/>
      </w:r>
      <w:r>
        <w:rPr>
          <w:i/>
        </w:rPr>
        <w:t>Obligations</w:t>
      </w:r>
      <w:r>
        <w:t>.  A State party cannot escape the unequivocal obligation to adopt a plan of action on the grounds that the necessary resources are not available.  If the obligation could be avoided in this way, there would be no justification for the unique requirement contained in article 14 which applies, almost by definition, to situations characterized by inadequate financial resources.  By the same token, and for the same reason, the reference to “international assistance and cooperation” in article 2.1 and to “international action” in article 23 of the Covenant are of particular relevance in this situation.  Where a State party is clearly lacking in the financial resources and/or expertise required to “work out and adopt” a detailed plan, the international community has a clear obligation to assist.</w:t>
      </w:r>
    </w:p>
    <w:p w:rsidR="00000000" w:rsidRDefault="00000000">
      <w:r>
        <w:t>10.</w:t>
      </w:r>
      <w:r>
        <w:tab/>
      </w:r>
      <w:r>
        <w:rPr>
          <w:i/>
        </w:rPr>
        <w:t>Progressive implementation</w:t>
      </w:r>
      <w:r>
        <w:t>.  The plan of action must be aimed at securing the progressive implementation of the right to compulsory primary education, free of charge, under article 14.  Unlike the provision in article 2.1, however, article 14 specifies that the target date must be “within a reasonable number of years” and, moreover, that the time frame must “be fixed in the plan”.  In other words, the plan must specifically set out a series of targeted implementation dates for each stage of the progressive implementation of the plan.  This underscores both the importance and the relative inflexibility of the obligation in question.  Moreover, it needs to be stressed in this regard that the State party’s other obligations, such as non</w:t>
      </w:r>
      <w:r>
        <w:noBreakHyphen/>
        <w:t>discrimination, are required to be implemented fully and immediately.</w:t>
      </w:r>
      <w:r>
        <w:br w:type="page"/>
        <w:t>11.</w:t>
      </w:r>
      <w:r>
        <w:tab/>
        <w:t>The Committee calls upon every State party to which article 14 is relevant to ensure that its terms are fully complied with and that the resulting plan of action is submitted to the Committee as an integral part of the reports required under the Covenant.  Further, in appropriate cases, the Committee encourages States parties to seek the assistance of relevant international agencies, including the International Labour Organization (ILO), the United Nations Development Programme (UNDP), the United Nations Educational, Scientific and Cultural Organization (UNESCO), the United Nations Children’s Fund (UNICEF), the International Monetary Fund (IMF) and the World Bank, in relation both to the preparation of plans of action under article 14 and their subsequent implementation.  The Committee also calls upon the relevant international agencies to assist States parties to the greatest extent possible to meet their obligations on an urgent basis.</w:t>
      </w:r>
    </w:p>
    <w:p w:rsidR="00000000" w:rsidRDefault="00000000">
      <w:pPr>
        <w:pStyle w:val="Heading2"/>
      </w:pPr>
      <w:r>
        <w:t>Twentieth session (1999)</w:t>
      </w:r>
      <w:r>
        <w:rPr>
          <w:rStyle w:val="FootnoteReference"/>
          <w:vertAlign w:val="baseline"/>
        </w:rPr>
        <w:footnoteReference w:customMarkFollows="1" w:id="14"/>
        <w:t>*</w:t>
      </w:r>
    </w:p>
    <w:p w:rsidR="00000000" w:rsidRDefault="00000000">
      <w:pPr>
        <w:pStyle w:val="Heading2"/>
      </w:pPr>
      <w:bookmarkStart w:id="56" w:name="_Toc481083359"/>
      <w:bookmarkStart w:id="57" w:name="_Toc70388956"/>
      <w:bookmarkStart w:id="58" w:name="_Toc70516949"/>
      <w:r>
        <w:t>General comment No. 12:  The right to adequate food (art. 11)</w:t>
      </w:r>
      <w:bookmarkStart w:id="59" w:name="_Toc481083360"/>
      <w:bookmarkStart w:id="60" w:name="_Toc70388957"/>
      <w:bookmarkEnd w:id="56"/>
      <w:bookmarkEnd w:id="57"/>
      <w:bookmarkEnd w:id="58"/>
      <w:r>
        <w:t xml:space="preserve"> </w:t>
      </w:r>
      <w:bookmarkEnd w:id="59"/>
      <w:bookmarkEnd w:id="60"/>
    </w:p>
    <w:p w:rsidR="00000000" w:rsidRDefault="00000000">
      <w:pPr>
        <w:pStyle w:val="Heading3"/>
      </w:pPr>
      <w:r>
        <w:t>Introduction and basic premises</w:t>
      </w:r>
    </w:p>
    <w:p w:rsidR="00000000" w:rsidRDefault="00000000">
      <w:r>
        <w:t>1.</w:t>
      </w:r>
      <w:r>
        <w:tab/>
        <w:t>The human right to adequate food is recognized in several instruments under international law.  The International Covenant on Economic, Social and Cultural Rights deals more comprehensively than any other instrument with this right.  Pursuant to article 11.1 of the Covenant, States parties recognize “the right of everyone to an adequate standard of living for himself and his family, including adequate food, clothing and housing, and to the continuous improvement of living conditions”, while pursuant to article 11.2 they recognize that more immediate and urgent steps may be needed to ensure “the fundamental right to freedom from hunger and malnutrition”.  The human right to adequate food is of crucial importance for the enjoyment of all rights.  It applies to everyone; thus the reference in article 11.1 to “himself and his family” does not imply any limitation upon the applicability of this right to individuals or to female</w:t>
      </w:r>
      <w:r>
        <w:noBreakHyphen/>
        <w:t>headed households.</w:t>
      </w:r>
    </w:p>
    <w:p w:rsidR="00000000" w:rsidRDefault="00000000">
      <w:r>
        <w:t>2.</w:t>
      </w:r>
      <w:r>
        <w:tab/>
        <w:t>The Committee has accumulated significant information pertaining to the right to adequate food through examination of State parties’ reports over the years since 1979.  The Committee has noted that while reporting guidelines are available relating to the right to adequate food, only a few States parties have provided information sufficient and precise enough to enable the Committee to determine the prevailing situation in the countries concerned with respect to this right and to identify the obstacles to its realization.  This general comment aims to identify some of the principal issues which the Committee considers to be important in relation to the right to adequate food.  Its preparation was triggered by the request of Member States during the 1996 World Food Summit for a better definition of the rights relating to food in article 11 of the Covenant, and by a special request to the Committee to give particular attention to the Summit Plan of Action in monitoring the implementation of the specific measures provided for in article 11 of the Covenant.</w:t>
      </w:r>
    </w:p>
    <w:p w:rsidR="00000000" w:rsidRDefault="00000000">
      <w:r>
        <w:br w:type="page"/>
        <w:t>3.</w:t>
      </w:r>
      <w:r>
        <w:tab/>
        <w:t>In response to these requests, the Committee reviewed the relevant reports and documentation of the Commission on Human Rights and of the Sub</w:t>
      </w:r>
      <w:r>
        <w:noBreakHyphen/>
        <w:t>Commission on Prevention of Discrimination and Protection of Minorities on the right to adequate food as a human right; devoted a day of general discussion to this issue at its seventh session in 1997, taking into consideration the draft international code of conduct on the human right to adequate food prepared by international non</w:t>
      </w:r>
      <w:r>
        <w:noBreakHyphen/>
        <w:t>governmental organizations; participated in two expert consultations on the right to adequate food as a human right organized by the Office of the United Nations High Commissioner for Human Rights (OHCHR), in Geneva in December 1997, and in Rome in November 1998 co</w:t>
      </w:r>
      <w:r>
        <w:noBreakHyphen/>
        <w:t>hosted by the Food and Agriculture Organization of the United Nations (FAO), and noted their final reports.  In April 1999 the Committee participated in a symposium on “The substance and politics of a human rights approach to food and nutrition policies and programmes”, organized by the Administrative Committee on Coordination/Sub</w:t>
      </w:r>
      <w:r>
        <w:noBreakHyphen/>
        <w:t>Committee on Nutrition of the United Nations at its twenty</w:t>
      </w:r>
      <w:r>
        <w:noBreakHyphen/>
        <w:t>sixth session in Geneva and hosted by OHCHR.</w:t>
      </w:r>
    </w:p>
    <w:p w:rsidR="00000000" w:rsidRDefault="00000000">
      <w:r>
        <w:t>4.</w:t>
      </w:r>
      <w:r>
        <w:tab/>
        <w:t>The Committee affirms that the right to adequate food is indivisibly linked to the inherent dignity of the human person and is indispensable for the fulfilment of other human rights enshrined in the International Bill of Human Rights.  It is also inseparable from social justice, requiring the adoption of appropriate economic, environmental and social policies, at both the national and international levels, oriented to the eradication of poverty and the fulfilment of all human rights for all.</w:t>
      </w:r>
    </w:p>
    <w:p w:rsidR="00000000" w:rsidRDefault="00000000">
      <w:r>
        <w:t>5.</w:t>
      </w:r>
      <w:r>
        <w:tab/>
        <w:t>Despite the fact that the international community has frequently reaffirmed the importance of full respect for the right to adequate food, a disturbing gap still exists between the standards set in article 11 of the Covenant and the situation prevailing in many parts of the world.  More than 840 million people throughout the world, most of them in developing countries, are chronically hungry; millions of people are suffering from famine as the result of natural disasters, the increasing incidence of civil strife and wars in some regions and the use of food as a political weapon.  The Committee observes that while the problems of hunger and malnutrition are often particularly acute in developing countries, malnutrition, under</w:t>
      </w:r>
      <w:r>
        <w:noBreakHyphen/>
        <w:t>nutrition and other problems which relate to the right to adequate food and the right to freedom from hunger also exist in some of the most economically developed countries.  Fundamentally, the roots of the problem of hunger and malnutrition are not lack of food but lack of access to available food, inter alia because of poverty, by large segments of the world’s population.</w:t>
      </w:r>
    </w:p>
    <w:p w:rsidR="00000000" w:rsidRDefault="00000000">
      <w:pPr>
        <w:pStyle w:val="Heading3"/>
        <w:jc w:val="both"/>
      </w:pPr>
      <w:r>
        <w:t>Normative content of article 11, paragraphs 1 and 2</w:t>
      </w:r>
    </w:p>
    <w:p w:rsidR="00000000" w:rsidRDefault="00000000">
      <w:r>
        <w:t>6.</w:t>
      </w:r>
      <w:r>
        <w:tab/>
        <w:t xml:space="preserve">The right to adequate food is realized when every man, woman and child, alone or in community with others, have physical and economic access at all times to adequate food or means for its procurement.  The </w:t>
      </w:r>
      <w:r>
        <w:rPr>
          <w:i/>
        </w:rPr>
        <w:t>right to adequate food</w:t>
      </w:r>
      <w:r>
        <w:t xml:space="preserve"> shall therefore not be interpreted in a narrow or restrictive sense which equates it with a minimum package of calories, proteins and other specific nutrients.  The </w:t>
      </w:r>
      <w:r>
        <w:rPr>
          <w:i/>
        </w:rPr>
        <w:t>right to adequate food</w:t>
      </w:r>
      <w:r>
        <w:t xml:space="preserve"> will have to be realized progressively.  However, States have a core obligation to take the necessary action to mitigate and alleviate hunger as provided for in paragraph 2 of article 11, even in times of natural or other disasters.</w:t>
      </w:r>
    </w:p>
    <w:p w:rsidR="00000000" w:rsidRDefault="00000000">
      <w:pPr>
        <w:pStyle w:val="Heading3"/>
      </w:pPr>
      <w:r>
        <w:t>Adequacy and sustainability of food availability and access</w:t>
      </w:r>
    </w:p>
    <w:p w:rsidR="00000000" w:rsidRDefault="00000000">
      <w:r>
        <w:t>7.</w:t>
      </w:r>
      <w:r>
        <w:tab/>
        <w:t xml:space="preserve">The concept of </w:t>
      </w:r>
      <w:r>
        <w:rPr>
          <w:i/>
        </w:rPr>
        <w:t>adequacy</w:t>
      </w:r>
      <w:r>
        <w:t xml:space="preserve"> is particularly significant in relation to the right to food since it serves to underline a number of factors which must be taken into account in determining whether particular foods or diets that are accessible can be considered the most appropriate under given circumstances for the purposes of article 11 of the Covenant.  The notion of </w:t>
      </w:r>
      <w:r>
        <w:rPr>
          <w:i/>
        </w:rPr>
        <w:t>sustainability</w:t>
      </w:r>
      <w:r>
        <w:t xml:space="preserve"> is intrinsically linked to the notion of adequate food or food </w:t>
      </w:r>
      <w:r>
        <w:rPr>
          <w:i/>
        </w:rPr>
        <w:t>security</w:t>
      </w:r>
      <w:r>
        <w:t>, implying food being accessible for both present and future generations.  The precise meaning of “adequacy” is to a large extent determined by prevailing social, economic, cultural, climatic, ecological and other conditions, while “sustainability” incorporates the notion of long</w:t>
      </w:r>
      <w:r>
        <w:noBreakHyphen/>
        <w:t>term availability and accessibility.</w:t>
      </w:r>
    </w:p>
    <w:p w:rsidR="00000000" w:rsidRDefault="00000000">
      <w:r>
        <w:t>8.</w:t>
      </w:r>
      <w:r>
        <w:tab/>
        <w:t>The Committee considers that the core content of the right to adequate food implies:</w:t>
      </w:r>
    </w:p>
    <w:p w:rsidR="00000000" w:rsidRDefault="00000000">
      <w:pPr>
        <w:ind w:left="720"/>
      </w:pPr>
      <w:r>
        <w:t>The availability of food in a quantity and quality sufficient to satisfy the dietary needs of individuals, free from adverse substances, and acceptable within a given culture;</w:t>
      </w:r>
    </w:p>
    <w:p w:rsidR="00000000" w:rsidRDefault="00000000">
      <w:pPr>
        <w:ind w:left="720"/>
      </w:pPr>
      <w:r>
        <w:t>The accessibility of such food in ways that are sustainable and that do not interfere with the enjoyment of other human rights.</w:t>
      </w:r>
    </w:p>
    <w:p w:rsidR="00000000" w:rsidRDefault="00000000">
      <w:r>
        <w:t>9.</w:t>
      </w:r>
      <w:r>
        <w:tab/>
      </w:r>
      <w:r>
        <w:rPr>
          <w:i/>
        </w:rPr>
        <w:t>Dietary needs</w:t>
      </w:r>
      <w:r>
        <w:t xml:space="preserve"> implies that the diet as a whole contains a mix of nutrients for physical and mental growth, development and maintenance, and physical activity that are in compliance with human physiological needs at all stages throughout the life cycle and according to gender and occupation.  Measures may therefore need to be taken to maintain, adapt or strengthen dietary diversity and appropriate consumption and feeding patterns, including breastfeeding, while ensuring that changes in availability and access to food supply as a minimum do not negatively affect dietary composition and intake.</w:t>
      </w:r>
    </w:p>
    <w:p w:rsidR="00000000" w:rsidRDefault="00000000">
      <w:r>
        <w:t>10.</w:t>
      </w:r>
      <w:r>
        <w:tab/>
      </w:r>
      <w:r>
        <w:rPr>
          <w:i/>
        </w:rPr>
        <w:t>Free from adverse substances</w:t>
      </w:r>
      <w:r>
        <w:t xml:space="preserve"> sets requirements for food safety and for a range of protective measures by both public and private means to prevent contamination of foodstuffs through adulteration and/or through bad environmental hygiene or inappropriate handling at different stages throughout the food chain; care must also be taken to identify and avoid or destroy naturally occurring toxins.</w:t>
      </w:r>
    </w:p>
    <w:p w:rsidR="00000000" w:rsidRDefault="00000000">
      <w:r>
        <w:t>11.</w:t>
      </w:r>
      <w:r>
        <w:tab/>
      </w:r>
      <w:r>
        <w:rPr>
          <w:i/>
        </w:rPr>
        <w:t>Cultural or consumer acceptability</w:t>
      </w:r>
      <w:r>
        <w:t xml:space="preserve"> implies the need also to take into account, as far as possible, perceived non</w:t>
      </w:r>
      <w:r>
        <w:noBreakHyphen/>
        <w:t>nutrient</w:t>
      </w:r>
      <w:r>
        <w:noBreakHyphen/>
        <w:t>based values attached to food and food consumption and informed consumer concerns regarding the nature of accessible food supplies.</w:t>
      </w:r>
    </w:p>
    <w:p w:rsidR="00000000" w:rsidRDefault="00000000">
      <w:r>
        <w:t>12.</w:t>
      </w:r>
      <w:r>
        <w:tab/>
      </w:r>
      <w:r>
        <w:rPr>
          <w:i/>
        </w:rPr>
        <w:t>Availability</w:t>
      </w:r>
      <w:r>
        <w:t xml:space="preserve"> refers to the possibilities either for feeding oneself directly from productive land or other natural resources, or for well</w:t>
      </w:r>
      <w:r>
        <w:noBreakHyphen/>
        <w:t>functioning distribution, processing and market systems that can move food from the site of production to where it is needed in accordance with demand.</w:t>
      </w:r>
      <w:r>
        <w:br w:type="page"/>
        <w:t>13.</w:t>
      </w:r>
      <w:r>
        <w:tab/>
      </w:r>
      <w:r>
        <w:rPr>
          <w:i/>
        </w:rPr>
        <w:t>Accessibility</w:t>
      </w:r>
      <w:r>
        <w:t xml:space="preserve"> encompasses both economic and physical accessibility:</w:t>
      </w:r>
    </w:p>
    <w:p w:rsidR="00000000" w:rsidRDefault="00000000">
      <w:pPr>
        <w:ind w:left="720"/>
      </w:pPr>
      <w:r>
        <w:t>Economic accessibility implies that personal or household financial costs associated with the acquisition of food for an adequate diet should be at a level such that the attainment and satisfaction of other basic needs are not threatened or compromised.  Economic accessibility applies to any acquisition pattern or entitlement through which people procure their food and is a measure of the extent to which it is satisfactory for the enjoyment of the right to adequate food.  Socially vulnerable groups such as landless persons and other particularly impoverished segments of the population may need attention through special programmes.</w:t>
      </w:r>
    </w:p>
    <w:p w:rsidR="00000000" w:rsidRDefault="00000000">
      <w:pPr>
        <w:ind w:left="720"/>
      </w:pPr>
      <w:r>
        <w:t>Physical accessibility implies that adequate food must be accessible to everyone, including physically vulnerable individuals, such as infants and young children, elderly people, the physically disabled, the terminally ill and persons with persistent medical problems, including the mentally ill.  Victims of natural disasters, people living in disaster</w:t>
      </w:r>
      <w:r>
        <w:noBreakHyphen/>
        <w:t>prone areas and other specially disadvantaged groups may need special attention and sometimes priority consideration with respect to accessibility of food.  A particular vulnerability is that of many indigenous population groups whose access to their ancestral lands may be threatened.</w:t>
      </w:r>
    </w:p>
    <w:p w:rsidR="00000000" w:rsidRDefault="00000000">
      <w:pPr>
        <w:pStyle w:val="Heading3"/>
      </w:pPr>
      <w:r>
        <w:t>Obligations and violations</w:t>
      </w:r>
    </w:p>
    <w:p w:rsidR="00000000" w:rsidRDefault="00000000">
      <w:r>
        <w:t>14.</w:t>
      </w:r>
      <w:r>
        <w:tab/>
        <w:t xml:space="preserve">The nature of the legal obligations of States parties is set out in article 2 of the Covenant and has been dealt with in the Committee’s general comment No. 3 (1990).  The principal obligation is to take steps to achieve </w:t>
      </w:r>
      <w:r>
        <w:rPr>
          <w:i/>
        </w:rPr>
        <w:t>progressively</w:t>
      </w:r>
      <w:r>
        <w:t xml:space="preserve"> the full realization of the right to adequate food.  This imposes an obligation to move as expeditiously as possible towards that goal.  Every State is obliged to ensure for everyone under its jurisdiction access to the minimum essential food which is sufficient, nutritionally adequate and safe, to ensure their freedom from hunger.</w:t>
      </w:r>
    </w:p>
    <w:p w:rsidR="00000000" w:rsidRDefault="00000000">
      <w:r>
        <w:t>15.</w:t>
      </w:r>
      <w:r>
        <w:tab/>
        <w:t xml:space="preserve">The right to adequate food, like any other human right, imposes three types or levels of obligations on States parties: the obligations to </w:t>
      </w:r>
      <w:r>
        <w:rPr>
          <w:i/>
        </w:rPr>
        <w:t>respect</w:t>
      </w:r>
      <w:r>
        <w:t xml:space="preserve">, to </w:t>
      </w:r>
      <w:r>
        <w:rPr>
          <w:i/>
        </w:rPr>
        <w:t>protect</w:t>
      </w:r>
      <w:r>
        <w:t xml:space="preserve"> and to </w:t>
      </w:r>
      <w:r>
        <w:rPr>
          <w:i/>
        </w:rPr>
        <w:t>fulfil</w:t>
      </w:r>
      <w:r>
        <w:t xml:space="preserve">.  In turn, the obligation to </w:t>
      </w:r>
      <w:r>
        <w:rPr>
          <w:i/>
        </w:rPr>
        <w:t>fulfil</w:t>
      </w:r>
      <w:r>
        <w:t xml:space="preserve"> incorporates both an obligation to </w:t>
      </w:r>
      <w:r>
        <w:rPr>
          <w:i/>
        </w:rPr>
        <w:t>facilitate</w:t>
      </w:r>
      <w:r>
        <w:t xml:space="preserve"> and an obligation to </w:t>
      </w:r>
      <w:r>
        <w:rPr>
          <w:i/>
        </w:rPr>
        <w:t>provide</w:t>
      </w:r>
      <w:r>
        <w:t>.</w:t>
      </w:r>
      <w:r>
        <w:rPr>
          <w:rStyle w:val="FootnoteReference"/>
          <w:b w:val="0"/>
          <w:vertAlign w:val="baseline"/>
        </w:rPr>
        <w:footnoteReference w:customMarkFollows="1" w:id="15"/>
        <w:t>*</w:t>
      </w:r>
      <w:r>
        <w:t xml:space="preserve"> The obligation to </w:t>
      </w:r>
      <w:r>
        <w:rPr>
          <w:i/>
        </w:rPr>
        <w:t>respect</w:t>
      </w:r>
      <w:r>
        <w:t xml:space="preserve"> existing access to adequate food requires States parties not to take any measures that result in preventing such access.  The obligation to protect requires measures by the State to ensure that enterprises or individuals do not deprive individuals of their access to adequate food.  The obligation to </w:t>
      </w:r>
      <w:r>
        <w:rPr>
          <w:i/>
        </w:rPr>
        <w:t>fulfil</w:t>
      </w:r>
      <w:r>
        <w:t xml:space="preserve"> (</w:t>
      </w:r>
      <w:r>
        <w:rPr>
          <w:i/>
        </w:rPr>
        <w:t>facilitate</w:t>
      </w:r>
      <w:r>
        <w:t xml:space="preserve">) means the State must proactively engage in activities intended to strengthen people’s access to and utilization of resources and means to ensure their livelihood, including food security.  Finally, whenever an individual or group is unable, for reasons beyond their control, to enjoy the right to adequate food by the means at their disposal, States have the obligation to </w:t>
      </w:r>
      <w:r>
        <w:rPr>
          <w:i/>
        </w:rPr>
        <w:t>fulfil</w:t>
      </w:r>
      <w:r>
        <w:t xml:space="preserve"> (</w:t>
      </w:r>
      <w:r>
        <w:rPr>
          <w:i/>
        </w:rPr>
        <w:t>provide</w:t>
      </w:r>
      <w:r>
        <w:t>) that right directly.  This obligation also applies for persons who are victims of natural or other disasters.</w:t>
      </w:r>
    </w:p>
    <w:p w:rsidR="00000000" w:rsidRDefault="00000000">
      <w:r>
        <w:t>16.</w:t>
      </w:r>
      <w:r>
        <w:tab/>
        <w:t>Some measures at these different levels of obligations of States parties are of a more immediate nature, while other measures are more of a long</w:t>
      </w:r>
      <w:r>
        <w:noBreakHyphen/>
        <w:t>term character, to achieve progressively the full realization of the right to food.</w:t>
      </w:r>
    </w:p>
    <w:p w:rsidR="00000000" w:rsidRDefault="00000000">
      <w:r>
        <w:t>17.</w:t>
      </w:r>
      <w:r>
        <w:tab/>
        <w:t>Violations of the Covenant occur when a State fails to ensure the satisfaction of, at the very least, the minimum essential level required to be free from hunger.  In determining which actions or omissions amount to a violation of the right to food, it is important to distinguish the inability from the unwillingness of a State party to comply.  Should a State party argue that resource constraints make it impossible to provide access to food for those who are unable by themselves to secure such access, the State has to demonstrate that every effort has been made to use all the resources at its disposal in an effort to satisfy, as a matter of priority, those minimum obligations.  This follows from article 2.1 of the Covenant, which obliges a State party to take the necessary steps to the maximum of its available resources, as previously pointed out by the Committee in its general comment No. 3, paragraph 10.  A State claiming that it is unable to carry out its obligation for reasons beyond its control therefore has the burden of proving that this is the case and that it has unsuccessfully sought to obtain international support to ensure the availability and accessibility of the necessary food.</w:t>
      </w:r>
    </w:p>
    <w:p w:rsidR="00000000" w:rsidRDefault="00000000">
      <w:r>
        <w:t>18.</w:t>
      </w:r>
      <w:r>
        <w:tab/>
        <w:t>Furthermore, any discrimination in access to food, as well as to means and entitlements for its procurement, on the grounds of race, colour, sex, language, age, religion, political or other opinion, national or social origin, property, birth or other status with the purpose or effect of nullifying or impairing the equal enjoyment or exercise of economic, social and cultural rights constitutes a violation of the Covenant.</w:t>
      </w:r>
    </w:p>
    <w:p w:rsidR="00000000" w:rsidRDefault="00000000">
      <w:r>
        <w:t>19.</w:t>
      </w:r>
      <w:r>
        <w:tab/>
        <w:t>Violations of the right to food can occur through the direct action of States or other entities insufficiently regulated by States.  These include: the formal repeal or suspension of legislation necessary for the continued enjoyment of the right to food; denial of access to food to particular individuals or groups, whether the discrimination is based on legislation or is proactive; the prevention of access to humanitarian food aid in internal conflicts or other emergency situations; adoption of legislation or policies which are manifestly incompatible with pre</w:t>
      </w:r>
      <w:r>
        <w:noBreakHyphen/>
        <w:t xml:space="preserve">existing legal obligations relating to the right to food; and failure to regulate activities of individuals or groups so as to prevent them from violating the right to food of others, or the failure of a State to take into account its international legal obligations regarding the </w:t>
      </w:r>
      <w:r>
        <w:br/>
        <w:t xml:space="preserve">right to food when entering into agreements with other States or with international </w:t>
      </w:r>
      <w:r>
        <w:br/>
        <w:t>organizations.</w:t>
      </w:r>
    </w:p>
    <w:p w:rsidR="00000000" w:rsidRDefault="00000000">
      <w:r>
        <w:t>20.</w:t>
      </w:r>
      <w:r>
        <w:tab/>
        <w:t xml:space="preserve">While only States are parties to the Covenant and are thus ultimately accountable for compliance with it, all members of society </w:t>
      </w:r>
      <w:r>
        <w:noBreakHyphen/>
        <w:t xml:space="preserve"> individuals, families, local communities, non</w:t>
      </w:r>
      <w:r>
        <w:noBreakHyphen/>
        <w:t xml:space="preserve">governmental organizations, civil society organizations, as well as the private business sector </w:t>
      </w:r>
      <w:r>
        <w:noBreakHyphen/>
        <w:t xml:space="preserve"> have responsibilities in the realization of the right to adequate food.  The State should provide an environment that facilitates implementation of these responsibilities.  The private business sector </w:t>
      </w:r>
      <w:r>
        <w:noBreakHyphen/>
        <w:t xml:space="preserve"> national and transnational </w:t>
      </w:r>
      <w:r>
        <w:noBreakHyphen/>
        <w:t xml:space="preserve"> should pursue its activities within the framework of a code of conduct conducive to respect of the right to adequate food, agreed upon jointly with the Government and civil society.</w:t>
      </w:r>
    </w:p>
    <w:p w:rsidR="00000000" w:rsidRDefault="00000000">
      <w:pPr>
        <w:pStyle w:val="Heading3"/>
        <w:jc w:val="both"/>
      </w:pPr>
      <w:r>
        <w:t>Implementation at the national level</w:t>
      </w:r>
    </w:p>
    <w:p w:rsidR="00000000" w:rsidRDefault="00000000">
      <w:r>
        <w:t>21.</w:t>
      </w:r>
      <w:r>
        <w:tab/>
        <w:t>The most appropriate ways and means of implementing the right to adequate food will inevitably vary significantly from one State party to another.  Every State will have a margin of discretion in choosing its own approaches, but the Covenant clearly requires that each State party take whatever steps are necessary to ensure that everyone is free from hunger and as soon as possible can enjoy the right to adequate food.  This will require the adoption of a national strategy to ensure food and nutrition security for all, based on human rights principles that define the objectives, and the formulation of policies and corresponding benchmarks.  It should also identify the resources available to meet the objectives and the most cost</w:t>
      </w:r>
      <w:r>
        <w:noBreakHyphen/>
        <w:t>effective way of using them.</w:t>
      </w:r>
    </w:p>
    <w:p w:rsidR="00000000" w:rsidRDefault="00000000">
      <w:r>
        <w:t>22.</w:t>
      </w:r>
      <w:r>
        <w:tab/>
        <w:t>The strategy should be based on a systematic identification of policy measures and activities relevant to the situation and context, as derived from the normative content of the right to adequate food and spelled out in relation to the levels and nature of State parties’ obligations referred to in paragraph 15 of the present general comment.  This will facilitate coordination between ministries and regional and local authorities and ensure that related policies and administrative decisions are in compliance with the obligations under article 11 of the Covenant.</w:t>
      </w:r>
    </w:p>
    <w:p w:rsidR="00000000" w:rsidRDefault="00000000">
      <w:r>
        <w:t>23.</w:t>
      </w:r>
      <w:r>
        <w:tab/>
        <w:t>The formulation and implementation of national strategies for the right to food requires full compliance with the principles of accountability, transparency, people’s participation, decentralization, legislative capacity and the independence of the judiciary.  Good governance is essential to the realization of all human rights, including the elimination of poverty and ensuring a satisfactory livelihood for all.</w:t>
      </w:r>
    </w:p>
    <w:p w:rsidR="00000000" w:rsidRDefault="00000000">
      <w:r>
        <w:t>24.</w:t>
      </w:r>
      <w:r>
        <w:tab/>
        <w:t>Appropriate institutional mechanisms should be devised to secure a representative process towards the formulation of a strategy, drawing on all available domestic expertise relevant to food and nutrition.  The strategy should set out the responsibilities and time frame for the implementation of the necessary measures.</w:t>
      </w:r>
    </w:p>
    <w:p w:rsidR="00000000" w:rsidRDefault="00000000">
      <w:r>
        <w:t>25.</w:t>
      </w:r>
      <w:r>
        <w:tab/>
        <w:t>The strategy should address critical issues and measures in regard to all aspects of the food system, including the production, processing, distribution, marketing and consumption of safe food, as well as parallel measures in the fields of health, education, employment and social security.  Care should be taken to ensure the most sustainable management and use of natural and other resources for food at the national, regional, local and household levels.</w:t>
      </w:r>
    </w:p>
    <w:p w:rsidR="00000000" w:rsidRDefault="00000000">
      <w:r>
        <w:t>26.</w:t>
      </w:r>
      <w:r>
        <w:tab/>
        <w:t>The strategy should give particular attention to the need to prevent discrimination in access to food or resources for food.  This should include: guarantees of full and equal access to economic resources, particularly for women, including the right to inheritance and the ownership of land and other property, credit, natural resources and appropriate technology; measures to respect and protect self</w:t>
      </w:r>
      <w:r>
        <w:noBreakHyphen/>
        <w:t>employment and work which provides a remuneration ensuring a decent living for wage earners and their families (as stipulated in article 7 (a) (ii) of the Covenant); maintaining registries on rights in land (including forests).</w:t>
      </w:r>
    </w:p>
    <w:p w:rsidR="00000000" w:rsidRDefault="00000000">
      <w:r>
        <w:br w:type="page"/>
        <w:t>27.</w:t>
      </w:r>
      <w:r>
        <w:tab/>
        <w:t>As part of their obligations to protect people’s resource base for food, States parties should take appropriate steps to ensure that activities of the private business sector and civil society are in conformity with the right to food.</w:t>
      </w:r>
    </w:p>
    <w:p w:rsidR="00000000" w:rsidRDefault="00000000">
      <w:r>
        <w:t>28.</w:t>
      </w:r>
      <w:r>
        <w:tab/>
        <w:t>Even where a State faces severe resource constraints, whether caused by a process of economic adjustment, economic recession, climatic conditions or other factors, measures should be undertaken to ensure that the right to adequate food is especially fulfilled for vulnerable population groups and individuals.</w:t>
      </w:r>
    </w:p>
    <w:p w:rsidR="00000000" w:rsidRDefault="00000000">
      <w:pPr>
        <w:pStyle w:val="Heading3"/>
      </w:pPr>
      <w:r>
        <w:t>Benchmarks and framework legislation</w:t>
      </w:r>
    </w:p>
    <w:p w:rsidR="00000000" w:rsidRDefault="00000000">
      <w:r>
        <w:t>29.</w:t>
      </w:r>
      <w:r>
        <w:tab/>
        <w:t>In implementing the country</w:t>
      </w:r>
      <w:r>
        <w:noBreakHyphen/>
        <w:t xml:space="preserve">specific strategies referred to above, States should set verifiable benchmarks for subsequent national and international monitoring.  In this connection, States should consider the adoption of a </w:t>
      </w:r>
      <w:r>
        <w:rPr>
          <w:i/>
        </w:rPr>
        <w:t>framework law</w:t>
      </w:r>
      <w:r>
        <w:t xml:space="preserve"> as a major instrument in the implementation of the national strategy concerning the right to food.  The framework law should include provisions on its purpose; the targets or goals to be achieved and the time frame to be set for the achievement of those targets; the means by which the purpose could be achieved described in broad terms, in particular the intended collaboration with civil society and the private sector and with international organizations; institutional responsibility for the process; and the national mechanisms for its monitoring, as well as possible recourse procedures.  In developing the benchmarks and framework legislation, States parties should actively involve civil society organizations.</w:t>
      </w:r>
    </w:p>
    <w:p w:rsidR="00000000" w:rsidRDefault="00000000">
      <w:r>
        <w:t>30.</w:t>
      </w:r>
      <w:r>
        <w:tab/>
        <w:t>Appropriate United Nations programmes and agencies should assist, upon request, in drafting the framework legislation and in reviewing the sectoral legislation.  FAO, for example, has considerable expertise and accumulated knowledge concerning legislation in the field of food and agriculture.  The United Nations Children’s Fund (UNICEF) has equivalent expertise concerning legislation with regard to the right to adequate food for infants and young children through maternal and child protection including legislation to enable breastfeeding, and with regard to the regulation of marketing of breast milk substitutes.</w:t>
      </w:r>
    </w:p>
    <w:p w:rsidR="00000000" w:rsidRDefault="00000000">
      <w:pPr>
        <w:pStyle w:val="Heading3"/>
      </w:pPr>
      <w:r>
        <w:t>Monitoring</w:t>
      </w:r>
    </w:p>
    <w:p w:rsidR="00000000" w:rsidRDefault="00000000">
      <w:r>
        <w:t>31.</w:t>
      </w:r>
      <w:r>
        <w:tab/>
        <w:t>States parties shall develop and maintain mechanisms to monitor progress towards the realization of the right to adequate food for all, to identify the factors and difficulties affecting the degree of implementation of their obligations, and to facilitate the adoption of corrective legislation and administrative measures, including measures to implement their obligations under articles 2.1 and 23 of the Covenant.</w:t>
      </w:r>
    </w:p>
    <w:p w:rsidR="00000000" w:rsidRDefault="00000000">
      <w:pPr>
        <w:pStyle w:val="Heading3"/>
      </w:pPr>
      <w:r>
        <w:t xml:space="preserve">Remedies and accountability </w:t>
      </w:r>
    </w:p>
    <w:p w:rsidR="00000000" w:rsidRDefault="00000000">
      <w:r>
        <w:t>32.</w:t>
      </w:r>
      <w:r>
        <w:tab/>
        <w:t>Any person or group who is a victim of a violation of the right to adequate food should have access to effective judicial or other appropriate remedies at both national and international levels.  All victims of such violations are entitled to adequate reparation, which may take the form of restitution, compensation, satisfaction or guarantees of non</w:t>
      </w:r>
      <w:r>
        <w:noBreakHyphen/>
        <w:t>repetition.  National Ombudsmen and human rights commissions should address violations of the right to food.</w:t>
      </w:r>
    </w:p>
    <w:p w:rsidR="00000000" w:rsidRDefault="00000000">
      <w:r>
        <w:t>33.</w:t>
      </w:r>
      <w:r>
        <w:tab/>
        <w:t>The incorporation in the domestic legal order of international instruments recognizing the right to food, or recognition of their applicability, can significantly enhance the scope and effectiveness of remedial measures and should be encouraged in all cases.  Courts would then be empowered to adjudicate violations of the core content of the right to food by direct reference to obligations under the Covenant.</w:t>
      </w:r>
    </w:p>
    <w:p w:rsidR="00000000" w:rsidRDefault="00000000">
      <w:r>
        <w:t>34.</w:t>
      </w:r>
      <w:r>
        <w:tab/>
        <w:t>Judges and other members of the legal profession are invited to pay greater attention to violations of the right to food in the exercise of their functions.</w:t>
      </w:r>
    </w:p>
    <w:p w:rsidR="00000000" w:rsidRDefault="00000000">
      <w:r>
        <w:t>35.</w:t>
      </w:r>
      <w:r>
        <w:tab/>
        <w:t>States parties should respect and protect the work of human rights advocates and other members of civil society who assist vulnerable groups in the realization of their right to adequate food.</w:t>
      </w:r>
    </w:p>
    <w:p w:rsidR="00000000" w:rsidRDefault="00000000">
      <w:pPr>
        <w:pStyle w:val="Heading3"/>
      </w:pPr>
      <w:r>
        <w:t>International obligations</w:t>
      </w:r>
    </w:p>
    <w:p w:rsidR="00000000" w:rsidRDefault="00000000">
      <w:pPr>
        <w:pStyle w:val="Heading3"/>
      </w:pPr>
      <w:r>
        <w:t>States parties</w:t>
      </w:r>
    </w:p>
    <w:p w:rsidR="00000000" w:rsidRDefault="00000000">
      <w:r>
        <w:t>36.</w:t>
      </w:r>
      <w:r>
        <w:tab/>
        <w:t>In the spirit of Article 56 of the Charter of the United Nations, the specific provisions contained in articles 11, 2.1, and 23 of the Covenant and the Rome Declaration of the World Food Summit, States parties should recognize the essential role of international cooperation and comply with their commitment to take joint and separate action to achieve the full realization of the right to adequate food.  In implementing this commitment, States parties should take steps to respect the enjoyment of the right to food in other countries, to protect that right, to facilitate access to food and to provide the necessary aid when required.  States parties should, in international agreements whenever relevant, ensure that the right to adequate food is given due attention and consider the development of further international legal instruments to that end.</w:t>
      </w:r>
    </w:p>
    <w:p w:rsidR="00000000" w:rsidRDefault="00000000">
      <w:r>
        <w:t>37.</w:t>
      </w:r>
      <w:r>
        <w:tab/>
        <w:t>States parties should refrain at all times from food embargoes or similar measures which endanger conditions for food production and access to food in other countries.  Food should never be used as an instrument of political and economic pressure.  In this regard, the Committee recalls its position, stated in its general comment No. 8, on the relationship between economic sanctions and respect for economic, social and cultural rights.</w:t>
      </w:r>
    </w:p>
    <w:p w:rsidR="00000000" w:rsidRDefault="00000000">
      <w:pPr>
        <w:pStyle w:val="Heading3"/>
      </w:pPr>
      <w:r>
        <w:t>States and international organizations</w:t>
      </w:r>
    </w:p>
    <w:p w:rsidR="00000000" w:rsidRDefault="00000000">
      <w:r>
        <w:t>38.</w:t>
      </w:r>
      <w:r>
        <w:tab/>
        <w:t>States have a joint and individual responsibility, in accordance with the Charter of the United Nations, to cooperate in providing disaster relief and humanitarian assistance in times of emergency, including assistance to refugees and internally displaced persons.  Each State should contribute to this task in accordance with its ability.  The role of the World Food Programme (WFP) and the Office of the United Nations High Commissioner for Refugees (UNHCR), and increasingly that of UNICEF and FAO is of particular importance in this respect and should be strengthened.  Priority in food aid should be given to the most vulnerable populations.</w:t>
      </w:r>
    </w:p>
    <w:p w:rsidR="00000000" w:rsidRDefault="00000000">
      <w:r>
        <w:br w:type="page"/>
        <w:t>39.</w:t>
      </w:r>
      <w:r>
        <w:tab/>
        <w:t>Food aid should, as far as possible, be provided in ways which do not adversely affect local producers and local markets, and should be organized in ways that facilitate the return to food self</w:t>
      </w:r>
      <w:r>
        <w:noBreakHyphen/>
        <w:t>reliance of the beneficiaries.  Such aid should be based on the needs of the intended beneficiaries.  Products included in international food trade or aid programmes must be safe and culturally acceptable to the recipient population.</w:t>
      </w:r>
    </w:p>
    <w:p w:rsidR="00000000" w:rsidRDefault="00000000">
      <w:pPr>
        <w:pStyle w:val="Heading3"/>
      </w:pPr>
      <w:r>
        <w:t>The United Nations and other international organizations</w:t>
      </w:r>
    </w:p>
    <w:p w:rsidR="00000000" w:rsidRDefault="00000000">
      <w:r>
        <w:t>40.</w:t>
      </w:r>
      <w:r>
        <w:tab/>
        <w:t>The role of the United Nations agencies, including through the United Nations Development Assistance Framework (UNDAF) at the country level, in promoting the realization of the right to food is of special importance.  Coordinated efforts for the realization of the right to food should be maintained to enhance coherence and interaction among all the actors concerned, including the various components of civil society.  The food organizations, FAO, WFP and the International Fund for Agricultural Development (IFAD), in conjunction with the United Nations Development Programme (UNDP), UNICEF, the World Bank and the regional development banks, should cooperate more effectively, building on their respective expertise, on the implementation of the right to food at the national level, with due respect to their individual mandates.</w:t>
      </w:r>
    </w:p>
    <w:p w:rsidR="00000000" w:rsidRDefault="00000000">
      <w:r>
        <w:t>41.</w:t>
      </w:r>
      <w:r>
        <w:tab/>
        <w:t>The international financial institutions, notably the International Monetary Fund (IMF) and the World Bank, should pay greater attention to the protection of the right to food in their lending policies and credit agreements and in international measures to deal with the debt crisis.  Care should be taken, in line with the Committee’s general comment No. 2, paragraph 9, in any structural adjustment programme to ensure that the right to food is protected.</w:t>
      </w:r>
    </w:p>
    <w:p w:rsidR="00000000" w:rsidRDefault="00000000">
      <w:pPr>
        <w:pStyle w:val="Heading2"/>
      </w:pPr>
      <w:r>
        <w:t>Twenty</w:t>
      </w:r>
      <w:r>
        <w:noBreakHyphen/>
        <w:t>first session (1999)</w:t>
      </w:r>
    </w:p>
    <w:p w:rsidR="00000000" w:rsidRDefault="00000000">
      <w:pPr>
        <w:pStyle w:val="Heading2"/>
      </w:pPr>
      <w:bookmarkStart w:id="61" w:name="_Toc481083361"/>
      <w:bookmarkStart w:id="62" w:name="_Toc70388958"/>
      <w:bookmarkStart w:id="63" w:name="_Toc70516950"/>
      <w:r>
        <w:t>General comment No. 13:  The right to education (art. 13)</w:t>
      </w:r>
      <w:bookmarkEnd w:id="61"/>
      <w:bookmarkEnd w:id="62"/>
      <w:bookmarkEnd w:id="63"/>
    </w:p>
    <w:p w:rsidR="00000000" w:rsidRDefault="00000000">
      <w:r>
        <w:t>1.</w:t>
      </w:r>
      <w:r>
        <w:tab/>
        <w:t>Education is both a human right in itself and an indispensable means of realizing other human rights.  As an empowerment right, education is the primary vehicle by which economically and socially marginalized adults and children can lift themselves out of poverty and obtain the means to participate fully in their communities.  Education has a vital role in empowering women, safeguarding children from exploitative and hazardous labour and sexual exploitation, promoting human rights and democracy, protecting the environment, and controlling population growth.  Increasingly, education is recognized as one of the best financial investments States can make.  But the importance of education is not just practical:  a well</w:t>
      </w:r>
      <w:r>
        <w:noBreakHyphen/>
        <w:t xml:space="preserve">educated, enlightened and active mind, able to wander freely and widely, is one of the joys and rewards of human existence. </w:t>
      </w:r>
    </w:p>
    <w:p w:rsidR="00000000" w:rsidRDefault="00000000">
      <w:r>
        <w:t>2.</w:t>
      </w:r>
      <w:r>
        <w:tab/>
        <w:t>The International Covenant on Economic, Social and Cultural Rights (ICESCR) devotes two articles to the right to education, articles 13 and 14.  Article 13, the longest provision in the Covenant, is the most wide</w:t>
      </w:r>
      <w:r>
        <w:noBreakHyphen/>
        <w:t xml:space="preserve">ranging and comprehensive article on the right to education in international human rights law.  The Committee has already adopted general comment No. 11 on article 14 (plans of action for primary education); general comment No. 11 and the present </w:t>
      </w:r>
      <w:r>
        <w:br w:type="page"/>
        <w:t>general comment are complementary and should be considered together.  The Committee is aware that for millions of people throughout the world, the enjoyment of the right to education remains a distant goal.  Moreover, in many cases, this goal is becoming increasingly remote.  The Committee is also conscious of the formidable structural and other obstacles impeding the full implementation of article 13 in many States parties.</w:t>
      </w:r>
    </w:p>
    <w:p w:rsidR="00000000" w:rsidRDefault="00000000">
      <w:r>
        <w:t>3.</w:t>
      </w:r>
      <w:r>
        <w:tab/>
        <w:t>With a view to assisting States parties’ implementation of the Covenant and the fulfilment of their reporting obligations, this general comment focuses on the normative content of article 13 (Part I, paras. 4</w:t>
      </w:r>
      <w:r>
        <w:noBreakHyphen/>
        <w:t>42), some of the obligations arising from it (Part II, paras. 43</w:t>
      </w:r>
      <w:r>
        <w:noBreakHyphen/>
        <w:t>57), and some illustrative violations (Part II, paras. 58</w:t>
      </w:r>
      <w:r>
        <w:noBreakHyphen/>
        <w:t>59).  Part III briefly remarks upon the obligations of actors other than States parties.  The general comment is based upon the Committee’s experience in examining States parties’ reports over many years.</w:t>
      </w:r>
    </w:p>
    <w:p w:rsidR="00000000" w:rsidRDefault="00000000">
      <w:pPr>
        <w:pStyle w:val="Heading2"/>
      </w:pPr>
      <w:r>
        <w:t>1.  Normative content of article 13</w:t>
      </w:r>
    </w:p>
    <w:p w:rsidR="00000000" w:rsidRDefault="00000000">
      <w:pPr>
        <w:pStyle w:val="Heading2"/>
      </w:pPr>
      <w:r>
        <w:t>Article 13 (1):  Aims and objectives of education</w:t>
      </w:r>
    </w:p>
    <w:p w:rsidR="00000000" w:rsidRDefault="00000000">
      <w:r>
        <w:t>4.</w:t>
      </w:r>
      <w:r>
        <w:tab/>
        <w:t>States parties agree that all education, whether public or private, formal or non</w:t>
      </w:r>
      <w:r>
        <w:noBreakHyphen/>
        <w:t>formal, shall be directed towards the aims and objectives identified in article 13 (1).  The Committee notes that these educational objectives reflect the fundamental purposes and principles of the United Nations as enshrined in Articles 1 and 2 of the Charter.  For the most part, they are also found in article 26 (2) of the Universal Declaration of Human Rights, although article 13 (1) adds to the Declaration in three respects:  education shall be directed to the human personality’s “sense of dignity”, it shall “enable all persons to participate effectively in a free society”, and it shall promote understanding among all “ethnic” groups, as well as nations and racial and religious groups.  Of those educational objectives which are common to article 26 (2) of the Universal Declaration of Human Rights and article 13 (1) of the Covenant, perhaps the most fundamental is that “education shall be directed to the full development of the human personality”.</w:t>
      </w:r>
    </w:p>
    <w:p w:rsidR="00000000" w:rsidRDefault="00000000">
      <w:r>
        <w:t>5.</w:t>
      </w:r>
      <w:r>
        <w:tab/>
        <w:t>The Committee notes that since the General Assembly adopted the Covenant in 1966, other international instruments have further elaborated the objectives to which education should be directed.  Accordingly, the Committee takes the view that States parties are required to ensure that education conforms to the aims and objectives identified in article 13 (1), as interpreted in the light of the World Declaration on Education for All (Jomtien, Thailand, 1990) (art. 1), the Convention on the Rights of the Child (art. 29 (1)), the Vienna Declaration and Programme of Action (Part I, para. 33 and Part II, para. 80), and the Plan of Action for the United Nations Decade for Human Rights Education (para. 2).  While all these texts closely correspond to article 13 (1) of the Covenant, they also include elements which are not expressly provided for in article 13 (1), such as specific references to gender equality and respect for the environment.  These new elements are implicit in, and reflect a contemporary interpretation of article 13 (1).  The Committee obtains support for this point of view from the widespread endorsement that the previously mentioned texts have received from all regions of the world.</w:t>
      </w:r>
      <w:r>
        <w:rPr>
          <w:rStyle w:val="Footer"/>
          <w:b/>
          <w:vertAlign w:val="superscript"/>
        </w:rPr>
        <w:endnoteReference w:id="72"/>
      </w:r>
    </w:p>
    <w:p w:rsidR="00000000" w:rsidRDefault="00000000">
      <w:pPr>
        <w:pStyle w:val="Heading2"/>
      </w:pPr>
      <w:r>
        <w:br w:type="page"/>
        <w:t>Article 13 (2):  The right to receive an education - some general remarks</w:t>
      </w:r>
    </w:p>
    <w:p w:rsidR="00000000" w:rsidRDefault="00000000">
      <w:r>
        <w:t>6.</w:t>
      </w:r>
      <w:r>
        <w:tab/>
        <w:t>While the precise and appropriate application of the terms will depend upon the conditions prevailing in a particular State party, education in all its forms and at all levels shall exhibit the following interrelated and essential features:</w:t>
      </w:r>
      <w:r>
        <w:rPr>
          <w:rStyle w:val="EndnoteReference"/>
        </w:rPr>
        <w:endnoteReference w:id="73"/>
      </w:r>
      <w:r>
        <w:t xml:space="preserve"> </w:t>
      </w:r>
    </w:p>
    <w:p w:rsidR="00000000" w:rsidRDefault="00000000">
      <w:r>
        <w:tab/>
        <w:t>(a)</w:t>
      </w:r>
      <w:r>
        <w:tab/>
      </w:r>
      <w:r>
        <w:rPr>
          <w:i/>
        </w:rPr>
        <w:t xml:space="preserve">Availability.  </w:t>
      </w:r>
      <w:r>
        <w:t>Functioning educational institutions and programmes have to be available in sufficient quantity within the jurisdiction of the State party.  What they require to function depends upon numerous factors, including the developmental context within which they operate; for example, all institutions and programmes are likely to require buildings or other protection from the elements, sanitation facilities for both sexes, safe drinking water, trained teachers receiving domestically competitive salaries, teaching materials, and so on; while some will also require facilities such as a library, computer facilities and information technology;</w:t>
      </w:r>
    </w:p>
    <w:p w:rsidR="00000000" w:rsidRDefault="00000000">
      <w:r>
        <w:tab/>
        <w:t>(b)</w:t>
      </w:r>
      <w:r>
        <w:tab/>
      </w:r>
      <w:r>
        <w:rPr>
          <w:i/>
        </w:rPr>
        <w:t>Accessibility</w:t>
      </w:r>
      <w:r>
        <w:t>.  Educational institutions and programmes have to be accessible to everyone, without discrimination, within the jurisdiction of the State party.  Accessibility has three overlapping dimensions:</w:t>
      </w:r>
    </w:p>
    <w:p w:rsidR="00000000" w:rsidRDefault="00000000">
      <w:pPr>
        <w:ind w:left="720"/>
        <w:rPr>
          <w:lang w:val="fr-FR"/>
        </w:rPr>
      </w:pPr>
      <w:r>
        <w:t>Non</w:t>
      </w:r>
      <w:r>
        <w:noBreakHyphen/>
        <w:t>discrimination - education must be accessible to all, especially the most vulnerable groups, in law and fact, without discrimination on any of the prohibited grounds (see paras. </w:t>
      </w:r>
      <w:r>
        <w:rPr>
          <w:lang w:val="fr-FR"/>
        </w:rPr>
        <w:t>31-37 on non</w:t>
      </w:r>
      <w:r>
        <w:rPr>
          <w:lang w:val="fr-FR"/>
        </w:rPr>
        <w:noBreakHyphen/>
        <w:t>discrimination);</w:t>
      </w:r>
    </w:p>
    <w:p w:rsidR="00000000" w:rsidRDefault="00000000">
      <w:pPr>
        <w:ind w:left="720"/>
      </w:pPr>
      <w:r>
        <w:t>Physical accessibility - education has to be within safe physical reach, either by attendance at some reasonably convenient geographic location (e.g. a neighbourhood school) or via modern technology (e.g. access to a “distance learning” programme);</w:t>
      </w:r>
    </w:p>
    <w:p w:rsidR="00000000" w:rsidRDefault="00000000">
      <w:pPr>
        <w:ind w:left="720"/>
      </w:pPr>
      <w:r>
        <w:t>Economic accessibility - education has to be affordable to all.  This dimension of accessibility is subject to the differential wording of article 13 (2) in relation to primary, secondary and higher education:  whereas primary education shall be available “free to all”, States parties are required to progressively introduce free secondary and higher education;</w:t>
      </w:r>
    </w:p>
    <w:p w:rsidR="00000000" w:rsidRDefault="00000000">
      <w:r>
        <w:tab/>
        <w:t>(c)</w:t>
      </w:r>
      <w:r>
        <w:tab/>
      </w:r>
      <w:r>
        <w:rPr>
          <w:i/>
        </w:rPr>
        <w:t>Acceptability</w:t>
      </w:r>
      <w:r>
        <w:t xml:space="preserve"> - the form and substance of education, including curricula and teaching methods, have to be acceptable (e.g. relevant, culturally appropriate and of good quality) to students and, in appropriate cases, parents; this is subject to the educational objectives required by article 13 (1) and such minimum educational standards as may be approved by the State (see art. 13 (3) and (4));</w:t>
      </w:r>
    </w:p>
    <w:p w:rsidR="00000000" w:rsidRDefault="00000000">
      <w:r>
        <w:tab/>
        <w:t>(d)</w:t>
      </w:r>
      <w:r>
        <w:tab/>
      </w:r>
      <w:r>
        <w:rPr>
          <w:i/>
        </w:rPr>
        <w:t>Adaptability</w:t>
      </w:r>
      <w:r>
        <w:t xml:space="preserve"> - education has to be flexible so it can adapt to the needs of changing societies and communities and respond to the needs of students within their diverse social and cultural settings.</w:t>
      </w:r>
    </w:p>
    <w:p w:rsidR="00000000" w:rsidRDefault="00000000">
      <w:r>
        <w:t>7.</w:t>
      </w:r>
      <w:r>
        <w:tab/>
        <w:t>When considering the appropriate application of these “interrelated and essential features” the best interests of the student shall be a primary consideration.</w:t>
      </w:r>
    </w:p>
    <w:p w:rsidR="00000000" w:rsidRDefault="00000000">
      <w:pPr>
        <w:pStyle w:val="Heading2"/>
      </w:pPr>
      <w:r>
        <w:t>Article 13 (2) (a):  The right to primary education</w:t>
      </w:r>
    </w:p>
    <w:p w:rsidR="00000000" w:rsidRDefault="00000000">
      <w:r>
        <w:t>8.</w:t>
      </w:r>
      <w:r>
        <w:tab/>
        <w:t>Primary education includes the elements of availability, accessibility, acceptability and adaptability which are common to education in all its forms and at all levels.</w:t>
      </w:r>
      <w:r>
        <w:rPr>
          <w:rStyle w:val="EndnoteReference"/>
        </w:rPr>
        <w:endnoteReference w:id="74"/>
      </w:r>
    </w:p>
    <w:p w:rsidR="00000000" w:rsidRDefault="00000000">
      <w:r>
        <w:t>9.</w:t>
      </w:r>
      <w:r>
        <w:tab/>
        <w:t>The Committee obtains guidance on the proper interpretation of the term “primary education” from the World Declaration on Education for All which states:  “The main delivery system for the basic education of children outside the family is primary schooling.  Primary education must be universal, ensure that the basic learning needs of all children are satisfied, and take into account the culture, needs and opportunities of the community” (art. 5).  “[B]asic learning needs” are defined in article 1 of the World Declaration.</w:t>
      </w:r>
      <w:r>
        <w:rPr>
          <w:rStyle w:val="EndnoteReference"/>
        </w:rPr>
        <w:endnoteReference w:id="75"/>
      </w:r>
      <w:r>
        <w:t xml:space="preserve">  While primary education is not synonymous with basic education, there is a close correspondence between the two.  In this regard, the Committee endorses the position taken by UNICEF:  “Primary education is the most important component of basic education.”</w:t>
      </w:r>
      <w:r>
        <w:rPr>
          <w:rStyle w:val="EndnoteReference"/>
        </w:rPr>
        <w:t xml:space="preserve"> </w:t>
      </w:r>
      <w:r>
        <w:rPr>
          <w:rStyle w:val="EndnoteReference"/>
        </w:rPr>
        <w:endnoteReference w:id="76"/>
      </w:r>
    </w:p>
    <w:p w:rsidR="00000000" w:rsidRDefault="00000000">
      <w:r>
        <w:t>10.</w:t>
      </w:r>
      <w:r>
        <w:tab/>
        <w:t>As formulated in article 13 (2) (a), primary education has two distinctive features:  it is “compulsory” and “available free to all”.  For the Committee’s observations on both terms, see paragraphs 6 and 7 of general comment No. 11 on article 14 of the Covenant.</w:t>
      </w:r>
    </w:p>
    <w:p w:rsidR="00000000" w:rsidRDefault="00000000">
      <w:pPr>
        <w:pStyle w:val="Heading2"/>
      </w:pPr>
      <w:r>
        <w:t>Article 13 (2) (b):  The right to secondary education</w:t>
      </w:r>
    </w:p>
    <w:p w:rsidR="00000000" w:rsidRDefault="00000000">
      <w:r>
        <w:t>11.</w:t>
      </w:r>
      <w:r>
        <w:tab/>
        <w:t>Secondary education includes the elements of availability, accessibility, acceptability and adaptability which are common to education in all its forms and at all levels.</w:t>
      </w:r>
      <w:r>
        <w:rPr>
          <w:rStyle w:val="EndnoteReference"/>
        </w:rPr>
        <w:endnoteReference w:id="77"/>
      </w:r>
    </w:p>
    <w:p w:rsidR="00000000" w:rsidRDefault="00000000">
      <w:r>
        <w:t>12.</w:t>
      </w:r>
      <w:r>
        <w:tab/>
        <w:t>While the content of secondary education will vary among States parties and over time, it includes completion of basic education and consolidation of the foundations for life</w:t>
      </w:r>
      <w:r>
        <w:noBreakHyphen/>
        <w:t>long learning and human development.  It prepares students for vocational and higher educational opportunities.</w:t>
      </w:r>
      <w:r>
        <w:rPr>
          <w:rStyle w:val="EndnoteReference"/>
        </w:rPr>
        <w:endnoteReference w:id="78"/>
      </w:r>
      <w:r>
        <w:t xml:space="preserve">  Article 13 (2) (b) applies to secondary education “in its different forms”, thereby recognizing that secondary education demands flexible curricula and varied delivery systems to respond to the needs of students in different social and cultural settings.  The Committee encourages “alternative” educational programmes which parallel regular secondary school systems.</w:t>
      </w:r>
    </w:p>
    <w:p w:rsidR="00000000" w:rsidRDefault="00000000">
      <w:r>
        <w:t>13.</w:t>
      </w:r>
      <w:r>
        <w:tab/>
        <w:t>According to article 13 (2) (b), secondary education “shall be made generally available and accessible to all by every appropriate means, and in particular by the progressive introduction of free education”.  The phrase “generally available” signifies, firstly, that secondary education is not dependent on a student’s apparent capacity or ability and, secondly, that secondary education will be distributed throughout the State in such a way that it is available on the same basis to all.  For the Committee’s interpretation of “accessible”, see paragraph 6 above.  The phrase “every appropriate means” reinforces the point that States parties should adopt varied and innovative approaches to the delivery of secondary education in different social and cultural contexts.</w:t>
      </w:r>
    </w:p>
    <w:p w:rsidR="00000000" w:rsidRDefault="00000000">
      <w:r>
        <w:t>14.</w:t>
      </w:r>
      <w:r>
        <w:tab/>
        <w:t>“[P]rogressive introduction of free education” means that while States must prioritize the provision of free primary education, they also have an obligation to take concrete steps towards achieving free secondary and higher education.  For the Committee’s general observations on the meaning of the word “free”, see paragraph 7 of general comment No. 11 on article 14.</w:t>
      </w:r>
    </w:p>
    <w:p w:rsidR="00000000" w:rsidRDefault="00000000">
      <w:pPr>
        <w:pStyle w:val="Heading3"/>
      </w:pPr>
      <w:r>
        <w:t>Technical and vocational education</w:t>
      </w:r>
    </w:p>
    <w:p w:rsidR="00000000" w:rsidRDefault="00000000">
      <w:r>
        <w:t>15.</w:t>
      </w:r>
      <w:r>
        <w:tab/>
        <w:t>Technical and vocational education (TVE) forms part of both the right to education and the right to work (art. 6 (2)).  Article 13 (2) (b) presents TVE as part of secondary education, reflecting the particular importance of TVE at this level of education.  Article 6 (2), however, does not refer to TVE in relation to a specific level of education; it comprehends that TVE has a wider role, helping “to achieve steady economic, social and cultural development and full and productive employment”.  Also, the Universal Declaration of Human Rights states that “[t]echnical and professional education shall be made generally available” (art. 26 (1)).  Accordingly, the Committee takes the view that TVE forms an integral element of all levels of education.</w:t>
      </w:r>
      <w:r>
        <w:rPr>
          <w:rStyle w:val="EndnoteReference"/>
        </w:rPr>
        <w:endnoteReference w:id="79"/>
      </w:r>
    </w:p>
    <w:p w:rsidR="00000000" w:rsidRDefault="00000000">
      <w:r>
        <w:t>16.</w:t>
      </w:r>
      <w:r>
        <w:tab/>
        <w:t>An introduction to technology and to the world of work should not be confined to specific TVE programmes but should be understood as a component of general education.  According to the UNESCO Convention on Technical and Vocational Education (1989), TVE consists of “all forms and levels of the educational process involving, in addition to general knowledge, the study of technologies and related sciences and the acquisition of practical skills, know</w:t>
      </w:r>
      <w:r>
        <w:noBreakHyphen/>
        <w:t>how, attitudes and understanding relating to occupations in the various sectors of economic and social life” (art. 1 (a)).  This view is also reflected in certain ILO Conventions.</w:t>
      </w:r>
      <w:r>
        <w:rPr>
          <w:rStyle w:val="EndnoteReference"/>
        </w:rPr>
        <w:endnoteReference w:id="80"/>
      </w:r>
      <w:r>
        <w:t xml:space="preserve">  Understood in this way, the right to TVE includes the following aspects:</w:t>
      </w:r>
    </w:p>
    <w:p w:rsidR="00000000" w:rsidRDefault="00000000">
      <w:r>
        <w:tab/>
        <w:t>(a)</w:t>
      </w:r>
      <w:r>
        <w:tab/>
        <w:t>It enables students to acquire knowledge and skills which contribute to their personal development, self</w:t>
      </w:r>
      <w:r>
        <w:noBreakHyphen/>
        <w:t xml:space="preserve">reliance and employability and enhances the productivity of their families and communities, including the State party’s economic and social development; </w:t>
      </w:r>
    </w:p>
    <w:p w:rsidR="00000000" w:rsidRDefault="00000000">
      <w:r>
        <w:tab/>
        <w:t>(b)</w:t>
      </w:r>
      <w:r>
        <w:tab/>
        <w:t>It takes account of the educational, cultural and social background of the population concerned; the skills, knowledge and levels of qualification needed in the various sectors of the economy; and occupational health, safety and welfare;</w:t>
      </w:r>
    </w:p>
    <w:p w:rsidR="00000000" w:rsidRDefault="00000000">
      <w:r>
        <w:tab/>
        <w:t>(c)</w:t>
      </w:r>
      <w:r>
        <w:tab/>
        <w:t>Provides retraining for adults whose current knowledge and skills have become obsolete owing to technological, economic, employment, social or other changes;</w:t>
      </w:r>
    </w:p>
    <w:p w:rsidR="00000000" w:rsidRDefault="00000000">
      <w:r>
        <w:tab/>
        <w:t>(d)</w:t>
      </w:r>
      <w:r>
        <w:tab/>
        <w:t xml:space="preserve">It consists of programmes which give students, especially those from developing countries, the opportunity to receive TVE in other States, with a view to the appropriate transfer and adaptation of technology; </w:t>
      </w:r>
    </w:p>
    <w:p w:rsidR="00000000" w:rsidRDefault="00000000">
      <w:r>
        <w:tab/>
        <w:t>(e)</w:t>
      </w:r>
      <w:r>
        <w:tab/>
        <w:t>It consists, in the context of the Covenant’s non</w:t>
      </w:r>
      <w:r>
        <w:noBreakHyphen/>
        <w:t>discrimination and equality provisions, of programmes which promote the TVE of women, girls, out</w:t>
      </w:r>
      <w:r>
        <w:noBreakHyphen/>
        <w:t>of</w:t>
      </w:r>
      <w:r>
        <w:noBreakHyphen/>
        <w:t>school youth, unemployed youth, the children of migrant workers, refugees, persons with disabilities and other disadvantaged groups.</w:t>
      </w:r>
    </w:p>
    <w:p w:rsidR="00000000" w:rsidRDefault="00000000">
      <w:pPr>
        <w:pStyle w:val="Heading2"/>
      </w:pPr>
      <w:r>
        <w:t>Article 13 (2) (c):  The right to higher education</w:t>
      </w:r>
    </w:p>
    <w:p w:rsidR="00000000" w:rsidRDefault="00000000">
      <w:r>
        <w:t>17.</w:t>
      </w:r>
      <w:r>
        <w:tab/>
        <w:t>Higher education includes the elements of availability, accessibility, acceptability and adaptability which are common to education in all its forms at all levels.</w:t>
      </w:r>
      <w:r>
        <w:rPr>
          <w:rStyle w:val="EndnoteReference"/>
        </w:rPr>
        <w:endnoteReference w:id="81"/>
      </w:r>
    </w:p>
    <w:p w:rsidR="00000000" w:rsidRDefault="00000000">
      <w:r>
        <w:t>18.</w:t>
      </w:r>
      <w:r>
        <w:tab/>
        <w:t>While article 13 (2) (c) is formulated on the same lines as article 13 (2) (b), there are three differences between the two provisions.  Article 13 (2) (c) does not include a reference to either education “in its different forms” or specifically to TVE.  In the Committee’s opinion, these two omissions reflect only a difference of emphasis between article 13 (2) (b) and (c).  If higher education is to respond to the needs of students in different social and cultural settings, it must have flexible curricula and varied delivery systems, such as distance learning; in practice, therefore, both secondary and higher education have to be available “in different forms”.  As for the lack of reference in article 13 (2) (c) to technical and vocational education, given article 6 (2) of the Covenant and article 26 (1) of the Universal Declaration, TVE forms an integral component of all levels of education, including higher education.</w:t>
      </w:r>
      <w:r>
        <w:rPr>
          <w:rStyle w:val="EndnoteReference"/>
        </w:rPr>
        <w:endnoteReference w:id="82"/>
      </w:r>
      <w:r>
        <w:t xml:space="preserve"> </w:t>
      </w:r>
    </w:p>
    <w:p w:rsidR="00000000" w:rsidRDefault="00000000">
      <w:r>
        <w:t>19.</w:t>
      </w:r>
      <w:r>
        <w:tab/>
        <w:t>The third and most significant difference between article 13 (2) (b) and (c) is that while secondary education “shall be made generally available and accessible to all”, higher education “shall be made equally accessible to all, on the basis of capacity”.  According to article 13 (2) (c), higher education is not to be “generally available”, but only available “on the basis of capacity”.  The “capacity” of individuals should be assessed by reference to all their relevant expertise and experience.</w:t>
      </w:r>
    </w:p>
    <w:p w:rsidR="00000000" w:rsidRDefault="00000000">
      <w:r>
        <w:t>20.</w:t>
      </w:r>
      <w:r>
        <w:tab/>
        <w:t>So far as the wording of article 13 (2) (b) and (c) is the same (e.g. “the progressive introduction of free education”), see the previous comments on article 13 (2) (b).</w:t>
      </w:r>
    </w:p>
    <w:p w:rsidR="00000000" w:rsidRDefault="00000000">
      <w:pPr>
        <w:pStyle w:val="Heading2"/>
      </w:pPr>
      <w:r>
        <w:t>Article 13 (2) (d):  The right to fundamental education</w:t>
      </w:r>
    </w:p>
    <w:p w:rsidR="00000000" w:rsidRDefault="00000000">
      <w:r>
        <w:t>21.</w:t>
      </w:r>
      <w:r>
        <w:tab/>
        <w:t>Fundamental education includes the elements of availability, accessibility, acceptability and adaptability which are common to education in all its forms and at all levels.</w:t>
      </w:r>
      <w:r>
        <w:rPr>
          <w:rStyle w:val="EndnoteReference"/>
        </w:rPr>
        <w:endnoteReference w:id="83"/>
      </w:r>
    </w:p>
    <w:p w:rsidR="00000000" w:rsidRDefault="00000000">
      <w:r>
        <w:t>22.</w:t>
      </w:r>
      <w:r>
        <w:tab/>
        <w:t>In general terms, fundamental education corresponds to basic education as set out in the World Declaration on Education For All.</w:t>
      </w:r>
      <w:r>
        <w:rPr>
          <w:rStyle w:val="EndnoteReference"/>
        </w:rPr>
        <w:endnoteReference w:id="84"/>
      </w:r>
      <w:r>
        <w:t xml:space="preserve">  By virtue of article 13 (2) (d), individuals “who have not received or completed the whole period of their primary education” have a right to fundamental education, or basic education as defined in the World Declaration on Education For All.</w:t>
      </w:r>
    </w:p>
    <w:p w:rsidR="00000000" w:rsidRDefault="00000000">
      <w:r>
        <w:t>23.</w:t>
      </w:r>
      <w:r>
        <w:tab/>
        <w:t>Since everyone has the right to the satisfaction of their “basic learning needs” as understood by the World Declaration, the right to fundamental education is not confined to those “who have not received or completed the whole period of their primary education”.  The right to fundamental education extends to all those who have not yet satisfied their “basic learning needs”.</w:t>
      </w:r>
    </w:p>
    <w:p w:rsidR="00000000" w:rsidRDefault="00000000">
      <w:r>
        <w:t>24.</w:t>
      </w:r>
      <w:r>
        <w:tab/>
        <w:t>It should be emphasized that enjoyment of the right to fundamental education is not limited by age or gender; it extends to children, youth and adults, including older persons.  Fundamental education, therefore, is an integral component of adult education and life</w:t>
      </w:r>
      <w:r>
        <w:noBreakHyphen/>
        <w:t xml:space="preserve">long learning.  Because fundamental education is a right of all age groups, curricula and delivery systems must be devised which are suitable for students of all ages. </w:t>
      </w:r>
    </w:p>
    <w:p w:rsidR="00000000" w:rsidRDefault="00000000">
      <w:pPr>
        <w:pStyle w:val="Heading2"/>
      </w:pPr>
      <w:r>
        <w:t>Article 13 (2) (e):  A school system; adequate fellowship system;</w:t>
      </w:r>
      <w:r>
        <w:br/>
        <w:t>material conditions of teaching staff</w:t>
      </w:r>
    </w:p>
    <w:p w:rsidR="00000000" w:rsidRDefault="00000000">
      <w:r>
        <w:t>25.</w:t>
      </w:r>
      <w:r>
        <w:tab/>
        <w:t xml:space="preserve">The requirement that the “development of a system of schools at all levels shall be actively pursued” means that a State party is obliged to have an overall developmental strategy for its school system.  The strategy must encompass schooling at all levels, but the Covenant requires States parties to prioritize primary education (see para. 51).  “[A]ctively pursued” suggests that the overall strategy should attract a degree of governmental priority and, in any event, must be implemented with vigour. </w:t>
      </w:r>
    </w:p>
    <w:p w:rsidR="00000000" w:rsidRDefault="00000000">
      <w:r>
        <w:t>26.</w:t>
      </w:r>
      <w:r>
        <w:tab/>
        <w:t>The requirement that “an adequate fellowship system shall be established” should be read with the Covenant’s non</w:t>
      </w:r>
      <w:r>
        <w:noBreakHyphen/>
        <w:t>discrimination and equality provisions; the fellowship system should enhance equality of educational access for individuals from disadvantaged groups.</w:t>
      </w:r>
    </w:p>
    <w:p w:rsidR="00000000" w:rsidRDefault="00000000">
      <w:r>
        <w:t>27.</w:t>
      </w:r>
      <w:r>
        <w:tab/>
        <w:t>While the Covenant requires that “the material conditions of teaching staff shall be continuously improved”, in practice the general working conditions of teachers have deteriorated, and reached unacceptably low levels, in many States parties in recent years.  Not only is this inconsistent with article 13 (2) (e), but it is also a major obstacle to the full realization of students’ right to education.  The Committee also notes the relationship between articles 13 (2) (e), 2 (2), 3 and 6</w:t>
      </w:r>
      <w:r>
        <w:noBreakHyphen/>
        <w:t>8 of the Covenant, including the right of teachers to organize and bargain collectively; draws the attention of States parties to the joint UNESCO</w:t>
      </w:r>
      <w:r>
        <w:noBreakHyphen/>
        <w:t>ILO Recommendation Concerning the Status of Teachers (1966) and the UNESCO Recommendation Concerning the Status of Higher</w:t>
      </w:r>
      <w:r>
        <w:noBreakHyphen/>
        <w:t>Education Teaching Personnel (1997); and urges States parties to report on measures they are taking to ensure that all teaching staff enjoy the conditions and status commensurate with their role.</w:t>
      </w:r>
    </w:p>
    <w:p w:rsidR="00000000" w:rsidRDefault="00000000">
      <w:pPr>
        <w:pStyle w:val="Heading2"/>
      </w:pPr>
      <w:r>
        <w:t>Article 13 (3) and (4):  The right to educational freedom</w:t>
      </w:r>
    </w:p>
    <w:p w:rsidR="00000000" w:rsidRDefault="00000000">
      <w:r>
        <w:t>28.</w:t>
      </w:r>
      <w:r>
        <w:tab/>
        <w:t>Article 13 (3) has two elements, one of which is that States parties undertake to respect the liberty of parents and guardians to ensure the religious and moral education of their children in conformity with their own convictions.</w:t>
      </w:r>
      <w:r>
        <w:rPr>
          <w:rStyle w:val="EndnoteReference"/>
        </w:rPr>
        <w:endnoteReference w:id="85"/>
      </w:r>
      <w:r>
        <w:t xml:space="preserve">  The Committee is of the view that this element of article 13 (3) permits public school instruction in subjects such as the general history of religions and ethics if it is given in an unbiased and objective way, respectful of the freedoms of opinion, conscience and expression.  It notes that public education that includes instruction in a particular religion or belief is inconsistent with article 13 (3) unless provision is made for non</w:t>
      </w:r>
      <w:r>
        <w:noBreakHyphen/>
        <w:t xml:space="preserve">discriminatory exemptions or alternatives that would accommodate the wishes of parents and guardians. </w:t>
      </w:r>
    </w:p>
    <w:p w:rsidR="00000000" w:rsidRDefault="00000000">
      <w:r>
        <w:t>29.</w:t>
      </w:r>
      <w:r>
        <w:tab/>
        <w:t>The second element of article 13 (3) is the liberty of parents and guardians to choose other than public schools for their children, provided the schools conform to “such minimum educational standards as may be laid down or approved by the State”.  This has to be read with the complementary provision, article 13 (4), which affirms “the liberty of individuals and bodies to establish and direct educational institutions”, provided the institutions conform to the educational objectives set out in article 13 (1) and certain minimum standards.  These minimum standards may relate to issues such as admission, curricula and the recognition of certificates.  In their turn, these standards must be consistent with the educational objectives set out in article 13 (1).</w:t>
      </w:r>
    </w:p>
    <w:p w:rsidR="00000000" w:rsidRDefault="00000000">
      <w:r>
        <w:t>30.</w:t>
      </w:r>
      <w:r>
        <w:tab/>
        <w:t>Under article 13 (4), everyone, including non</w:t>
      </w:r>
      <w:r>
        <w:noBreakHyphen/>
        <w:t>nationals, has the liberty to establish and direct educational institutions.  The liberty also extends to “bodies”, i.e. legal persons or entities.  It includes the right to establish and direct all types of educational institutions, including nurseries, universities and institutions for adult education.  Given the principles of non</w:t>
      </w:r>
      <w:r>
        <w:noBreakHyphen/>
        <w:t>discrimination, equal opportunity and effective participation in society for all, the State has an obligation to ensure that the liberty set out in article 13 (4) does not lead to extreme disparities of educational opportunity for some groups in society.</w:t>
      </w:r>
    </w:p>
    <w:p w:rsidR="00000000" w:rsidRDefault="00000000">
      <w:pPr>
        <w:pStyle w:val="Heading2"/>
      </w:pPr>
      <w:r>
        <w:t>Article 13:  Special topics of broad application</w:t>
      </w:r>
    </w:p>
    <w:p w:rsidR="00000000" w:rsidRDefault="00000000">
      <w:pPr>
        <w:pStyle w:val="Heading3"/>
      </w:pPr>
      <w:r>
        <w:t>Non</w:t>
      </w:r>
      <w:r>
        <w:noBreakHyphen/>
        <w:t>discrimination and equal treatment</w:t>
      </w:r>
    </w:p>
    <w:p w:rsidR="00000000" w:rsidRDefault="00000000">
      <w:r>
        <w:t>31.</w:t>
      </w:r>
      <w:r>
        <w:tab/>
        <w:t xml:space="preserve">The prohibition against discrimination enshrined in article 2 (2) of the Covenant is subject to neither progressive realization nor the availability of resources; it applies fully and immediately to all aspects of education and encompasses all internationally prohibited grounds of discrimination.  The Committee interprets articles 2 (2) and 3 in the light of the UNESCO Convention against Discrimination in Education, the relevant provisions of the Convention on the Elimination of All Forms of Discrimination against Women, the International Convention on the Elimination of All Forms of Racial Discrimination, the Convention on the Rights of the Child and the ILO Indigenous and Tribal Peoples Convention, 1989 (Convention No. 169), and wishes to draw particular attention to the following issues. </w:t>
      </w:r>
    </w:p>
    <w:p w:rsidR="00000000" w:rsidRDefault="00000000">
      <w:r>
        <w:t>32.</w:t>
      </w:r>
      <w:r>
        <w:tab/>
        <w:t>The adoption of temporary special measures intended to bring about de facto equality for men and women and for disadvantaged groups is not a violation of the right to non</w:t>
      </w:r>
      <w:r>
        <w:noBreakHyphen/>
        <w:t xml:space="preserve">discrimination with regard to education, so long as such measures do not lead to the maintenance of unequal or separate standards for different groups, and provided they are not continued after the objectives for which they were taken have been achieved. </w:t>
      </w:r>
    </w:p>
    <w:p w:rsidR="00000000" w:rsidRDefault="00000000">
      <w:r>
        <w:t>33.</w:t>
      </w:r>
      <w:r>
        <w:tab/>
        <w:t>In some circumstances, separate educational systems or institutions for groups defined by the categories in article 2 (2) shall be deemed not to constitute a breach of the Covenant.  In this regard, the Committee affirms article 2 of the UNESCO Convention against Discrimination in Education (1960).</w:t>
      </w:r>
      <w:r>
        <w:rPr>
          <w:rStyle w:val="EndnoteReference"/>
        </w:rPr>
        <w:endnoteReference w:id="86"/>
      </w:r>
    </w:p>
    <w:p w:rsidR="00000000" w:rsidRDefault="00000000">
      <w:r>
        <w:t>34.</w:t>
      </w:r>
      <w:r>
        <w:tab/>
        <w:t>The Committee takes note of article 2 of the Convention on the Rights of the Child and article 3 (e) of the UNESCO Convention against Discrimination in Education and confirms that the principle of non</w:t>
      </w:r>
      <w:r>
        <w:noBreakHyphen/>
        <w:t>discrimination extends to all persons of school age residing in the territory of a State party, including non</w:t>
      </w:r>
      <w:r>
        <w:noBreakHyphen/>
        <w:t xml:space="preserve">nationals, and irrespective of their legal status. </w:t>
      </w:r>
    </w:p>
    <w:p w:rsidR="00000000" w:rsidRDefault="00000000">
      <w:r>
        <w:t>35.</w:t>
      </w:r>
      <w:r>
        <w:tab/>
        <w:t xml:space="preserve">Sharp disparities in spending policies that result in differing qualities of education for persons residing in different geographic locations may constitute discrimination under the Covenant. </w:t>
      </w:r>
    </w:p>
    <w:p w:rsidR="00000000" w:rsidRDefault="00000000">
      <w:r>
        <w:t>36.</w:t>
      </w:r>
      <w:r>
        <w:tab/>
        <w:t>The Committee affirms paragraph 35 of its general comment No. 5, which addresses the issue of persons with disabilities in the context of the right to education, and paragraphs 36</w:t>
      </w:r>
      <w:r>
        <w:noBreakHyphen/>
        <w:t>42 of its general comment No. 6, which address the issue of older persons in relation to articles 13</w:t>
      </w:r>
      <w:r>
        <w:noBreakHyphen/>
        <w:t xml:space="preserve">15 of the Covenant. </w:t>
      </w:r>
    </w:p>
    <w:p w:rsidR="00000000" w:rsidRDefault="00000000">
      <w:r>
        <w:t>37.</w:t>
      </w:r>
      <w:r>
        <w:tab/>
        <w:t>States parties must closely monitor education - including all relevant policies, institutions, programmes, spending patterns and other practices - so as to identify and take measures to redress any</w:t>
      </w:r>
      <w:r>
        <w:rPr>
          <w:iCs/>
        </w:rPr>
        <w:t xml:space="preserve"> de facto </w:t>
      </w:r>
      <w:r>
        <w:t xml:space="preserve">discrimination.  Educational data should be disaggregated by the prohibited grounds of discrimination. </w:t>
      </w:r>
    </w:p>
    <w:p w:rsidR="00000000" w:rsidRDefault="00000000">
      <w:pPr>
        <w:pStyle w:val="Heading3"/>
      </w:pPr>
      <w:r>
        <w:t>Academic freedom and institutional autonomy</w:t>
      </w:r>
      <w:r>
        <w:rPr>
          <w:rStyle w:val="EndnoteReference"/>
          <w:b/>
        </w:rPr>
        <w:endnoteReference w:id="87"/>
      </w:r>
    </w:p>
    <w:p w:rsidR="00000000" w:rsidRDefault="00000000">
      <w:r>
        <w:t>38.</w:t>
      </w:r>
      <w:r>
        <w:tab/>
        <w:t>In the light of its examination of numerous States parties’ reports, the Committee has formed the view that the right to education can only be enjoyed if accompanied by the academic freedom of staff and students.  Accordingly, even though the issue is not explicitly mentioned in article 13, it is appropriate and necessary for the Committee to make some observations about academic freedom.  The following remarks give particular attention to institutions of higher education because, in the Committee’s experience, staff and students in higher education are especially vulnerable to political and other pressures which undermine academic freedom.  The Committee wishes to emphasize, however, that staff and students throughout the education sector are entitled to academic freedom and many of the following observations have general application.</w:t>
      </w:r>
    </w:p>
    <w:p w:rsidR="00000000" w:rsidRDefault="00000000">
      <w:r>
        <w:t>39.</w:t>
      </w:r>
      <w:r>
        <w:tab/>
        <w:t>Members of the academic community, individually or collectively, are free to pursue, develop and transmit knowledge and ideas, through research, teaching, study, discussion, documentation, production, creation or writing.  Academic freedom includes the liberty of individuals to express freely opinions about the institution or system in which they work, to fulfil their functions without discrimination or fear of repression by the State or any other actor, to participate in professional or representative academic bodies, and to enjoy all the internationally recognized human rights applicable to other individuals in the same jurisdiction.  The enjoyment of academic freedom carries with it obligations, such as the duty to respect the academic freedom of others, to ensure the fair discussion of contrary views, and to treat all without discrimination on any of the prohibited grounds.</w:t>
      </w:r>
    </w:p>
    <w:p w:rsidR="00000000" w:rsidRDefault="00000000">
      <w:r>
        <w:t>40.</w:t>
      </w:r>
      <w:r>
        <w:tab/>
        <w:t>The enjoyment of academic freedom requires the autonomy of institutions of higher education.  Autonomy is that degree of self</w:t>
      </w:r>
      <w:r>
        <w:noBreakHyphen/>
        <w:t>governance necessary for effective decision</w:t>
      </w:r>
      <w:r>
        <w:noBreakHyphen/>
        <w:t>making by institutions of higher education in relation to their academic work, standards, management and related activities.  Self</w:t>
      </w:r>
      <w:r>
        <w:noBreakHyphen/>
        <w:t>governance, however, must be consistent with systems of public accountability, especially in respect of funding provided by the State.  Given the substantial public investments made in higher education, an appropriate balance has to be struck between institutional autonomy and accountability.  While there is no single model, institutional arrangements should be fair, just and equitable, and as transparent and participatory as possible.</w:t>
      </w:r>
    </w:p>
    <w:p w:rsidR="00000000" w:rsidRDefault="00000000">
      <w:pPr>
        <w:pStyle w:val="Heading3"/>
      </w:pPr>
      <w:r>
        <w:t>Discipline in schools</w:t>
      </w:r>
      <w:r>
        <w:rPr>
          <w:rStyle w:val="EndnoteReference"/>
          <w:b/>
        </w:rPr>
        <w:endnoteReference w:id="88"/>
      </w:r>
    </w:p>
    <w:p w:rsidR="00000000" w:rsidRDefault="00000000">
      <w:r>
        <w:t>41.</w:t>
      </w:r>
      <w:r>
        <w:tab/>
        <w:t>In the Committee’s view, corporal punishment is inconsistent with the fundamental guiding principle of international human rights law enshrined in the Preambles to the Universal Declaration of Human Rights and both Covenants:  the dignity of the individual.</w:t>
      </w:r>
      <w:r>
        <w:rPr>
          <w:rStyle w:val="EndnoteReference"/>
        </w:rPr>
        <w:endnoteReference w:id="89"/>
      </w:r>
      <w:r>
        <w:t xml:space="preserve">  Other aspects of school discipline may also be inconsistent with human dignity, such as public humiliation.  Nor should any form of discipline breach other rights under the Covenant, such as the right to food.  A State party is required to take measures to ensure that discipline which is inconsistent with the Covenant does not occur in any public or private educational institution within its jurisdiction.  The Committee welcomes initiatives taken by some States parties which actively encourage schools to introduce “positive”, non</w:t>
      </w:r>
      <w:r>
        <w:noBreakHyphen/>
        <w:t xml:space="preserve">violent approaches to school discipline. </w:t>
      </w:r>
    </w:p>
    <w:p w:rsidR="00000000" w:rsidRDefault="00000000">
      <w:pPr>
        <w:pStyle w:val="Heading3"/>
        <w:rPr>
          <w:lang w:val="fr-FR"/>
        </w:rPr>
      </w:pPr>
      <w:r>
        <w:rPr>
          <w:lang w:val="fr-FR"/>
        </w:rPr>
        <w:t>Limitations on article 13</w:t>
      </w:r>
    </w:p>
    <w:p w:rsidR="00000000" w:rsidRDefault="00000000">
      <w:r>
        <w:t>42.</w:t>
      </w:r>
      <w:r>
        <w:tab/>
        <w:t>The Committee wishes to emphasize that the Covenant’s limitations clause, article 4, is primarily intended to be protective of the rights of individuals rather than permissive of the imposition of limitations by the State.  Consequently, a State party which closes a university or other educational institution on grounds such as national security or the preservation of public order has the burden of justifying such a serious measure in relation to each of the elements identified in article 4.</w:t>
      </w:r>
    </w:p>
    <w:p w:rsidR="00000000" w:rsidRDefault="00000000">
      <w:pPr>
        <w:pStyle w:val="Heading2"/>
      </w:pPr>
      <w:r>
        <w:t>2.  States parties’ obligations and violations</w:t>
      </w:r>
    </w:p>
    <w:p w:rsidR="00000000" w:rsidRDefault="00000000">
      <w:pPr>
        <w:pStyle w:val="Heading3"/>
      </w:pPr>
      <w:r>
        <w:t>General legal obligations</w:t>
      </w:r>
    </w:p>
    <w:p w:rsidR="00000000" w:rsidRDefault="00000000">
      <w:r>
        <w:t>43.</w:t>
      </w:r>
      <w:r>
        <w:tab/>
        <w:t>While the Covenant provides for progressive realization and acknowledges the constraints due to the limits of available resources, it also imposes on States parties various obligations which are of immediate effect.</w:t>
      </w:r>
      <w:r>
        <w:rPr>
          <w:rStyle w:val="EndnoteReference"/>
        </w:rPr>
        <w:endnoteReference w:id="90"/>
      </w:r>
      <w:r>
        <w:t xml:space="preserve">  States parties have immediate obligations in relation to the right to education, such as the “guarantee” that the right “will be exercised without discrimination of any kind” (art. 2 (2)) and the obligation “to take steps” (art. 2 (1)) towards the full realization of article 13.</w:t>
      </w:r>
      <w:r>
        <w:rPr>
          <w:rStyle w:val="EndnoteReference"/>
        </w:rPr>
        <w:endnoteReference w:id="91"/>
      </w:r>
      <w:r>
        <w:t xml:space="preserve">  Such steps must be “deliberate, concrete and targeted” towards the full realization of the right to education. </w:t>
      </w:r>
    </w:p>
    <w:p w:rsidR="00000000" w:rsidRDefault="00000000">
      <w:r>
        <w:t>44.</w:t>
      </w:r>
      <w:r>
        <w:tab/>
        <w:t>The realization of the right to education over time, that is “progressively”, should not be interpreted as depriving States parties’ obligations of all meaningful content.  Progressive realization means that States parties have a specific and continuing obligation “to move as expeditiously and effectively as possible” towards the full realization of article 13.</w:t>
      </w:r>
      <w:r>
        <w:rPr>
          <w:rStyle w:val="EndnoteReference"/>
        </w:rPr>
        <w:endnoteReference w:id="92"/>
      </w:r>
      <w:r>
        <w:t xml:space="preserve"> </w:t>
      </w:r>
    </w:p>
    <w:p w:rsidR="00000000" w:rsidRDefault="00000000">
      <w:r>
        <w:t>45.</w:t>
      </w:r>
      <w:r>
        <w:tab/>
        <w:t>There is a strong presumption of impermissibility of any retrogressive measures taken in relation to the right to education, as well as other rights enunciated in the Covenant.  If any deliberately retrogressive measures are taken, the State party has the burden of proving that they have been introduced after the most careful consideration of all alternatives and that they are fully justified by reference to the totality of the rights provided for in the Covenant and in the context of the full use of the State party’s maximum available resources.</w:t>
      </w:r>
      <w:r>
        <w:rPr>
          <w:rStyle w:val="EndnoteReference"/>
        </w:rPr>
        <w:endnoteReference w:id="93"/>
      </w:r>
    </w:p>
    <w:p w:rsidR="00000000" w:rsidRDefault="00000000">
      <w:r>
        <w:t>46.</w:t>
      </w:r>
      <w:r>
        <w:tab/>
        <w:t>The right to education, like all human rights, imposes three types or levels of obligations on States parties:  the obligations to respect, protect and fulfil.  In turn, the obligation to fulfil incorporates both an obligation to facilitate and an obligation to provide.</w:t>
      </w:r>
    </w:p>
    <w:p w:rsidR="00000000" w:rsidRDefault="00000000">
      <w:r>
        <w:t>47.</w:t>
      </w:r>
      <w:r>
        <w:tab/>
        <w:t>The obligation to respect requires States parties to avoid measures that hinder or prevent the enjoyment of the right to education.  The obligation to protect requires States parties to take measures that prevent third parties from interfering with the enjoyment of the right to education.  The obligation to fulfil (facilitate) requires States to take positive measures that enable and assist individuals and communities to enjoy the right to education.  Finally, States parties have an obligation to fulfil (provide) the right to education.  As a general rule, States parties are obliged to fulfil (provide) a specific right in the Covenant when an individual or group is unable, for reasons beyond their control, to realize the right themselves by the means at their disposal.  However, the extent of this obligation is always subject to the text of the Covenant.</w:t>
      </w:r>
    </w:p>
    <w:p w:rsidR="00000000" w:rsidRDefault="00000000">
      <w:r>
        <w:t>48.</w:t>
      </w:r>
      <w:r>
        <w:tab/>
        <w:t>In this respect, two features of article 13 require emphasis.  First, it is clear that article 13 regards States as having principal responsibility for the direct provision of education in most circumstances; States parties recognize, for example, that the “development of a system of schools at all levels shall be actively pursued” (art. 13 (2) (e)).  Secondly, given the differential wording of article 13 (2) in relation to primary, secondary, higher and fundamental education, the parameters of a State party’s obligation to fulfil (provide) are not the same for all levels of education.  Accordingly, in light of the text of the Covenant, States parties have an enhanced obligation to fulfil (provide) regarding the right to education, but the extent of this obligation is not uniform for all levels of education.  The Committee observes that this interpretation of the obligation to fulfil (provide) in relation to article 13 coincides with the law and practice of numerous States parties.</w:t>
      </w:r>
    </w:p>
    <w:p w:rsidR="00000000" w:rsidRDefault="00000000">
      <w:pPr>
        <w:pStyle w:val="Heading3"/>
      </w:pPr>
      <w:r>
        <w:t>Specific legal obligations</w:t>
      </w:r>
    </w:p>
    <w:p w:rsidR="00000000" w:rsidRDefault="00000000">
      <w:r>
        <w:t>49.</w:t>
      </w:r>
      <w:r>
        <w:tab/>
        <w:t>States parties are required to ensure that curricula, for all levels of the educational system, are directed to the objectives identified in article 13 (1).</w:t>
      </w:r>
      <w:r>
        <w:rPr>
          <w:rStyle w:val="EndnoteReference"/>
        </w:rPr>
        <w:endnoteReference w:id="94"/>
      </w:r>
      <w:r>
        <w:t xml:space="preserve">  They are also obliged to establish and maintain a transparent and effective system which monitors whether or not education is, in fact, directed to the educational objectives set out in article 13 (1).</w:t>
      </w:r>
    </w:p>
    <w:p w:rsidR="00000000" w:rsidRDefault="00000000">
      <w:r>
        <w:t>50.</w:t>
      </w:r>
      <w:r>
        <w:tab/>
        <w:t xml:space="preserve">In relation to article 13 (2), States have obligations to respect, protect and fulfil each of the “essential features” (availability, accessibility, acceptability, adaptability) of the right to education.  By way of illustration, a State must respect the availability of education by not closing private schools; protect the accessibility of education by ensuring that third parties, including parents and employers, do not stop girls from going to school; fulfil (facilitate) the acceptability of education by taking positive measures to ensure that education is culturally appropriate for minorities and indigenous peoples, and of good quality for all; fulfil (provide) the adaptability of education by designing and providing resources for curricula which reflect the contemporary needs of students in a changing world; and fulfil (provide) the availability of education by actively developing a system of schools, including building classrooms, delivering programmes, providing teaching materials, training teachers and paying them domestically competitive salaries. </w:t>
      </w:r>
    </w:p>
    <w:p w:rsidR="00000000" w:rsidRDefault="00000000">
      <w:r>
        <w:t>51.</w:t>
      </w:r>
      <w:r>
        <w:tab/>
        <w:t>As already observed, the obligations of States parties in relation to primary, secondary, higher and fundamental education are not identical.  Given the wording of article 13 (2), States parties are obliged to prioritize the introduction of compulsory, free primary education.</w:t>
      </w:r>
      <w:r>
        <w:rPr>
          <w:rStyle w:val="EndnoteReference"/>
        </w:rPr>
        <w:endnoteReference w:id="95"/>
      </w:r>
      <w:r>
        <w:t xml:space="preserve">  This interpretation of article 13 (2) is reinforced by the priority accorded to primary education in article 14.  The obligation to provide primary education for all is an immediate duty of all States parties. </w:t>
      </w:r>
    </w:p>
    <w:p w:rsidR="00000000" w:rsidRDefault="00000000">
      <w:r>
        <w:t>52.</w:t>
      </w:r>
      <w:r>
        <w:tab/>
        <w:t>In relation to article 13 (2) (b)</w:t>
      </w:r>
      <w:r>
        <w:noBreakHyphen/>
        <w:t xml:space="preserve">(d), a State party has an immediate obligation “to take steps” (art. 2 (1)) towards the realization of secondary, higher and fundamental education for all those within its jurisdiction.  At a minimum, the State party is required to adopt and implement a national educational strategy which includes the provision of secondary, higher and fundamental education in accordance with the Covenant.  This strategy should include mechanisms, such as indicators and benchmarks on the right to education, by which progress can be closely monitored. </w:t>
      </w:r>
    </w:p>
    <w:p w:rsidR="00000000" w:rsidRDefault="00000000">
      <w:r>
        <w:t>53.</w:t>
      </w:r>
      <w:r>
        <w:tab/>
        <w:t>Under article 13 (2) (e), States parties are obliged to ensure that an educational fellowship system is in place to assist disadvantaged groups.</w:t>
      </w:r>
      <w:r>
        <w:rPr>
          <w:rStyle w:val="EndnoteReference"/>
        </w:rPr>
        <w:endnoteReference w:id="96"/>
      </w:r>
      <w:r>
        <w:t xml:space="preserve">  The obligation to pursue actively the “development of a system of schools at all levels” reinforces the principal responsibility of States parties to ensure the direct provision of the right to education in most circumstances.</w:t>
      </w:r>
      <w:r>
        <w:rPr>
          <w:rStyle w:val="EndnoteReference"/>
        </w:rPr>
        <w:endnoteReference w:id="97"/>
      </w:r>
      <w:r>
        <w:t xml:space="preserve"> </w:t>
      </w:r>
    </w:p>
    <w:p w:rsidR="00000000" w:rsidRDefault="00000000">
      <w:r>
        <w:t>54.</w:t>
      </w:r>
      <w:r>
        <w:tab/>
        <w:t xml:space="preserve">States parties are obliged to establish “minimum educational standards” to which all educational institutions established in accordance with article 13 (3) and (4) are required to conform.  They must also maintain a transparent and effective system to monitor such standards.  A State party has no obligation to fund institutions established in accordance with article 13 (3) and (4); however, if a State elects to make a financial contribution to private educational institutions, it must do so without discrimination on any of the prohibited grounds. </w:t>
      </w:r>
    </w:p>
    <w:p w:rsidR="00000000" w:rsidRDefault="00000000">
      <w:r>
        <w:t>55.</w:t>
      </w:r>
      <w:r>
        <w:tab/>
        <w:t>States parties have an obligation to ensure that communities and families are not dependent on child labour.  The Committee especially affirms the importance of education in eliminating child labour and the obligations set out in article 7 (2) of the Worst Forms of Child Labour Convention, 1999 (Convention No. 182).</w:t>
      </w:r>
      <w:r>
        <w:rPr>
          <w:rStyle w:val="EndnoteReference"/>
        </w:rPr>
        <w:endnoteReference w:id="98"/>
      </w:r>
      <w:r>
        <w:t xml:space="preserve">  Additionally, given article 2 (2), States parties are obliged to remove gender and other stereotyping which impedes the educational access of girls, women and other disadvantaged groups. </w:t>
      </w:r>
    </w:p>
    <w:p w:rsidR="00000000" w:rsidRDefault="00000000">
      <w:r>
        <w:t>56.</w:t>
      </w:r>
      <w:r>
        <w:tab/>
        <w:t>In its general comment No. 3, the Committee drew attention to the obligation of all States parties to take steps, “individually and through international assistance and cooperation, especially economic and technical”, towards the full realization of the rights recognized in the Covenant, such as the right to education.</w:t>
      </w:r>
      <w:r>
        <w:rPr>
          <w:rStyle w:val="EndnoteReference"/>
        </w:rPr>
        <w:endnoteReference w:id="99"/>
      </w:r>
      <w:r>
        <w:t xml:space="preserve">  Articles 2 (1) and 23 of the Covenant, Article 56 of the Charter of the United Nations, article 10 of the World Declaration on Education for All, and Part I, paragraph 34 of the Vienna Declaration and Programme of Action all reinforce the obligation of States parties in relation to the provision of international assistance and cooperation for the full realization of the right to education.  In relation to the negotiation and ratification of international agreements, States parties should take steps to ensure that these instruments do not adversely impact upon the right to education.  Similarly, States parties have an obligation to ensure that their actions as members of international organizations, including international financial institutions, take due account of the right to education.</w:t>
      </w:r>
    </w:p>
    <w:p w:rsidR="00000000" w:rsidRDefault="00000000">
      <w:r>
        <w:t>57.</w:t>
      </w:r>
      <w:r>
        <w:tab/>
        <w:t>In its general comment No. 3, the Committee confirmed that States parties have “a minimum core obligation to ensure the satisfaction of, at the very least, minimum essential levels” of each of the rights enunciated in the Covenant, including “the most basic forms of education”.  In the context of article 13, this core includes an obligation:  to ensure the right of access to public educational institutions and programmes on a non</w:t>
      </w:r>
      <w:r>
        <w:noBreakHyphen/>
        <w:t>discriminatory basis; to ensure that education conforms to the objectives set out in article 13 (1); to provide primary education for all in accordance with article 13 (2) (a); to adopt and implement a national educational strategy which includes provision for secondary, higher and fundamental education; and to ensure free choice of education without interference from the State or third parties, subject to conformity with “minimum educational standards” (art. 13 (3) and (4)).</w:t>
      </w:r>
    </w:p>
    <w:p w:rsidR="00000000" w:rsidRDefault="00000000">
      <w:pPr>
        <w:pStyle w:val="Heading3"/>
      </w:pPr>
      <w:r>
        <w:t>Violations</w:t>
      </w:r>
    </w:p>
    <w:p w:rsidR="00000000" w:rsidRDefault="00000000">
      <w:r>
        <w:t>58.</w:t>
      </w:r>
      <w:r>
        <w:tab/>
        <w:t>When the normative content of article 13 (Part I) is applied to the general and specific obligations of States parties (Part II), a dynamic process is set in motion which facilitates identification of violations of the right to education.  Violations of article 13 may occur through the direct action of States parties (acts of commission) or through their failure to take steps required by the Covenant (acts of omission).</w:t>
      </w:r>
    </w:p>
    <w:p w:rsidR="00000000" w:rsidRDefault="00000000">
      <w:r>
        <w:t>59.</w:t>
      </w:r>
      <w:r>
        <w:tab/>
        <w:t>By way of illustration, violations of article 13 include:  the introduction or failure to repeal legislation which discriminates against individuals or groups, on any of the prohibited grounds, in the field of education; the failure to take measures which address de facto educational discrimination; the use of curricula inconsistent with the educational objectives set out in article 13 (1); the failure to maintain a transparent and effective system to monitor conformity with article 13 (1); the failure to introduce, as a matter of priority, primary education which is compulsory and available free to all; the failure to take “deliberate, concrete and targeted” measures towards the progressive realization of secondary, higher and fundamental education in accordance with article 13 (2) (b)</w:t>
      </w:r>
      <w:r>
        <w:noBreakHyphen/>
        <w:t>(d); the prohibition of private educational institutions; the failure to ensure private educational institutions conform to the “minimum educational standards” required by article 13 (3) and (4); the denial of academic freedom of staff and students; the closure of educational institutions in times of political tension in non</w:t>
      </w:r>
      <w:r>
        <w:noBreakHyphen/>
        <w:t xml:space="preserve">conformity with article 4. </w:t>
      </w:r>
    </w:p>
    <w:p w:rsidR="00000000" w:rsidRDefault="00000000">
      <w:pPr>
        <w:pStyle w:val="Heading2"/>
      </w:pPr>
      <w:r>
        <w:t>3.  Obligations of actors other than States parties</w:t>
      </w:r>
    </w:p>
    <w:p w:rsidR="00000000" w:rsidRDefault="00000000">
      <w:pPr>
        <w:spacing w:after="480"/>
      </w:pPr>
      <w:r>
        <w:t>60.</w:t>
      </w:r>
      <w:r>
        <w:tab/>
        <w:t>Given article 22 of the Covenant, the role of the United Nations agencies, including at the country level through the United Nations Development Assistance Framework (UNDAF), is of special importance in relation to the realization of article 13.  Coordinated efforts for the realization of the right to education should be maintained to improve coherence and interaction among all the actors concerned, including the various components of civil society.  UNESCO, the United Nations Development Programme, UNICEF, ILO, the World Bank, the regional development banks, the International Monetary Fund and other relevant bodies within the United Nations system should enhance their cooperation for the implementation of the right to education at the national level, with due respect to their specific mandates, and building on their respective expertise.  In particular, the international financial institutions, notably the World Bank and IMF, should pay greater attention to the protection of the right to education in their lending policies, credit agreements, structural adjustment programmes and measures taken in response to the debt crisis.</w:t>
      </w:r>
      <w:r>
        <w:rPr>
          <w:rStyle w:val="EndnoteReference"/>
        </w:rPr>
        <w:endnoteReference w:id="100"/>
      </w:r>
      <w:r>
        <w:t xml:space="preserve">  When examining the reports of States parties, the Committee will consider the effects of the assistance provided by all actors other than States parties on the ability of States to meet their obligations under article 13.  The adoption of a human rights</w:t>
      </w:r>
      <w:r>
        <w:noBreakHyphen/>
        <w:t>based approach by United Nations specialized agencies, programmes and bodies will greatly facilitate implementation of the right to education.</w:t>
      </w:r>
    </w:p>
    <w:p w:rsidR="00000000" w:rsidRDefault="00000000">
      <w:pPr>
        <w:spacing w:after="0"/>
        <w:jc w:val="center"/>
        <w:rPr>
          <w:b/>
        </w:rPr>
        <w:sectPr w:rsidR="00000000">
          <w:headerReference w:type="even" r:id="rId30"/>
          <w:headerReference w:type="default" r:id="rId31"/>
          <w:footerReference w:type="default" r:id="rId32"/>
          <w:endnotePr>
            <w:numFmt w:val="decimal"/>
            <w:numRestart w:val="eachSect"/>
          </w:endnotePr>
          <w:type w:val="continuous"/>
          <w:pgSz w:w="11907" w:h="16840" w:code="9"/>
          <w:pgMar w:top="567" w:right="851" w:bottom="1701" w:left="1701" w:header="851" w:footer="1985" w:gutter="0"/>
          <w:paperSrc w:first="84" w:other="84"/>
          <w:cols w:space="720"/>
        </w:sectPr>
      </w:pPr>
      <w:r>
        <w:rPr>
          <w:b/>
        </w:rPr>
        <w:t>Notes</w:t>
      </w:r>
    </w:p>
    <w:p w:rsidR="00000000" w:rsidRDefault="00000000">
      <w:pPr>
        <w:pStyle w:val="Heading2"/>
      </w:pPr>
      <w:r>
        <w:t>Twenty-second session (2000)</w:t>
      </w:r>
    </w:p>
    <w:p w:rsidR="00000000" w:rsidRDefault="00000000">
      <w:pPr>
        <w:pStyle w:val="Heading2"/>
      </w:pPr>
      <w:bookmarkStart w:id="64" w:name="_Toc70388960"/>
      <w:bookmarkStart w:id="65" w:name="_Toc70516951"/>
      <w:r>
        <w:t>General comment No. 14:  The right to the highest attainable</w:t>
      </w:r>
      <w:r>
        <w:br/>
        <w:t>standard of health (art. 12)</w:t>
      </w:r>
      <w:bookmarkStart w:id="66" w:name="_Toc70388961"/>
      <w:bookmarkEnd w:id="64"/>
      <w:bookmarkEnd w:id="65"/>
      <w:r>
        <w:t xml:space="preserve"> </w:t>
      </w:r>
      <w:bookmarkEnd w:id="66"/>
    </w:p>
    <w:p w:rsidR="00000000" w:rsidRDefault="00000000">
      <w:r>
        <w:t>1.</w:t>
      </w:r>
      <w:r>
        <w:tab/>
        <w:t>Health is a fundamental human right indispensable for the exercise of other human rights.  Every human being is entitled to the enjoyment of the highest attainable standard of health conducive to living a life in dignity.  The realization of the right to health may be pursued through numerous, complementary approaches, such as the formulation of health policies, or the implementation of health programmes developed by the World Health Organization (WHO), or the adoption of specific legal instruments.  Moreover, the right to health includes certain components which are legally enforceable.</w:t>
      </w:r>
      <w:r>
        <w:rPr>
          <w:rStyle w:val="FootnoteReference"/>
        </w:rPr>
        <w:endnoteReference w:id="101"/>
      </w:r>
      <w:r>
        <w:br w:type="page"/>
        <w:t>2.</w:t>
      </w:r>
      <w:r>
        <w:tab/>
        <w:t>The human right to health is recognized in numerous international instruments.  Article 25.1 of the Universal Declaration of Human Rights affirms:  “Everyone has the right to a standard of living adequate for the health of himself and of his family, including food, clothing, housing and medical care and necessary social services”.  The International Covenant on Economic, Social and Cultural Rights provides the most comprehensive article on the right to health in international human rights law.  In accordance with article 12.1 of the Covenant, States parties recognize “the right of everyone to the enjoyment of the highest attainable standard of physical and mental health”, while article 12.2 enumerates, by way of illustration, a number of “steps to be taken by the States parties ...  to achieve the full realization of this right”.  Additionally, the right to health is recognized, inter alia, in article 5 (e) (iv) of the International Convention on the Elimination of All Forms of Racial Discrimination of 1965, in articles 11.1 (f) and 12 of the Convention on the Elimination of All Forms of Discrimination against Women of 1979 and in article 24 of the Convention on the Rights of the Child of 1989.  Several regional human rights instruments also recognize the right to health, such as the European Social Charter of 1961 as revised (art. 11), the African Charter on Human and Peoples’ Rights of 1981 (art. 16) and the Additional Protocol to the American Convention on Human Rights in the Area of Economic, Social and Cultural Rights of 1988 (art. 10).  Similarly, the right to health has been proclaimed by the Commission on Human Rights,</w:t>
      </w:r>
      <w:r>
        <w:rPr>
          <w:rStyle w:val="EndnoteReference"/>
        </w:rPr>
        <w:endnoteReference w:id="102"/>
      </w:r>
      <w:r>
        <w:t xml:space="preserve"> as well as in the Vienna Declaration and Programme of Action of 1993 and other international instruments.</w:t>
      </w:r>
      <w:r>
        <w:rPr>
          <w:rStyle w:val="FootnoteReference"/>
        </w:rPr>
        <w:endnoteReference w:id="103"/>
      </w:r>
    </w:p>
    <w:p w:rsidR="00000000" w:rsidRDefault="00000000">
      <w:r>
        <w:t>3.</w:t>
      </w:r>
      <w:r>
        <w:tab/>
        <w:t>The right to health is closely related to and dependent upon the realization of other human rights, as contained in the International Bill of Rights, including the rights to food, housing, work, education, human dignity, life, non</w:t>
      </w:r>
      <w:r>
        <w:noBreakHyphen/>
        <w:t>discrimination, equality, the prohibition against torture, privacy, access to information, and the freedoms of association, assembly and movement.  These and other rights and freedoms address integral components of the right to health.</w:t>
      </w:r>
    </w:p>
    <w:p w:rsidR="00000000" w:rsidRDefault="00000000">
      <w:r>
        <w:t>4.</w:t>
      </w:r>
      <w:r>
        <w:tab/>
        <w:t>In drafting article 12 of the Covenant, the Third Committee of the United Nations General Assembly did not adopt the definition of health contained in the preamble to the Constitution of WHO, which conceptualizes health as “a state of complete physical, mental and social well</w:t>
      </w:r>
      <w:r>
        <w:noBreakHyphen/>
        <w:t>being and not merely the absence of disease or infirmity”.  However, the reference in article 12.1 of the Covenant to “the highest attainable standard of physical and mental health” is not confined to the right to health care.  On the contrary, the drafting history and the express wording of article 12.2 acknowledge that the right to health embraces a wide range of socio</w:t>
      </w:r>
      <w:r>
        <w:noBreakHyphen/>
        <w:t>economic factors that promote conditions in which people can lead a healthy life, and extends to the underlying determinants of health, such as food and nutrition, housing, access to safe and potable water and adequate sanitation, safe and healthy working conditions, and a healthy environment.</w:t>
      </w:r>
    </w:p>
    <w:p w:rsidR="00000000" w:rsidRDefault="00000000">
      <w:r>
        <w:t>5.</w:t>
      </w:r>
      <w:r>
        <w:tab/>
        <w:t>The Committee is aware that, for millions of people throughout the world, the full enjoyment of the right to health still remains a distant goal.  Moreover, in many cases, especially for those living in poverty, this goal is becoming increasingly remote.  The Committee recognizes the formidable structural and other obstacles resulting from international and other factors beyond the control of States that impede the full realization of article 12 in many States parties.</w:t>
      </w:r>
    </w:p>
    <w:p w:rsidR="00000000" w:rsidRDefault="00000000">
      <w:r>
        <w:t>6.</w:t>
      </w:r>
      <w:r>
        <w:tab/>
        <w:t xml:space="preserve">With a view to assisting States parties’ implementation of the Covenant and the fulfilment of their reporting obligations, this </w:t>
      </w:r>
      <w:r>
        <w:rPr>
          <w:color w:val="000000"/>
        </w:rPr>
        <w:t>general comment</w:t>
      </w:r>
      <w:r>
        <w:t xml:space="preserve"> focuses on the normative content of article 12 (Part I), States parties’ obligations (Part II), violations (Part III) and implementation at the national level (Part IV), while the obligations of actors other than States parties are addressed in Part V.  The </w:t>
      </w:r>
      <w:r>
        <w:rPr>
          <w:color w:val="000000"/>
        </w:rPr>
        <w:t>general comment</w:t>
      </w:r>
      <w:r>
        <w:t xml:space="preserve"> is based on the Committee’s experience in examining States parties’ reports over many years.</w:t>
      </w:r>
    </w:p>
    <w:p w:rsidR="00000000" w:rsidRDefault="00000000">
      <w:pPr>
        <w:pStyle w:val="Heading2"/>
      </w:pPr>
      <w:r>
        <w:t>1.  Normative content of article 12</w:t>
      </w:r>
    </w:p>
    <w:p w:rsidR="00000000" w:rsidRDefault="00000000">
      <w:r>
        <w:t>7.</w:t>
      </w:r>
      <w:r>
        <w:tab/>
        <w:t>Article 12.1 provides a definition of the right to health, while article 12.2 enumerates illustrative, non</w:t>
      </w:r>
      <w:r>
        <w:noBreakHyphen/>
        <w:t>exhaustive examples of States parties’ obligations.</w:t>
      </w:r>
    </w:p>
    <w:p w:rsidR="00000000" w:rsidRDefault="00000000">
      <w:r>
        <w:t>8.</w:t>
      </w:r>
      <w:r>
        <w:tab/>
        <w:t xml:space="preserve">The right to health is not to be understood as a right to be </w:t>
      </w:r>
      <w:r>
        <w:rPr>
          <w:i/>
        </w:rPr>
        <w:t>healthy</w:t>
      </w:r>
      <w:r>
        <w:t>.  The right to health contains both freedoms and entitlements.  The freedoms include the right to control one’s health and body, including sexual and reproductive freedom, and the right to be free from interference, such as the right to be free from torture, non</w:t>
      </w:r>
      <w:r>
        <w:noBreakHyphen/>
        <w:t>consensual medical treatment and experimentation.  By contrast, the entitlements include the right to a system of health protection which provides equality of opportunity for people to enjoy the highest attainable level of health.</w:t>
      </w:r>
    </w:p>
    <w:p w:rsidR="00000000" w:rsidRDefault="00000000">
      <w:r>
        <w:t>9.</w:t>
      </w:r>
      <w:r>
        <w:tab/>
        <w:t>The notion of “the highest attainable standard of health” in article 12.1 takes into account both the individual’s biological and socio</w:t>
      </w:r>
      <w:r>
        <w:noBreakHyphen/>
        <w:t>economic preconditions and a State’s available resources.  There are a number of aspects which cannot be addressed solely within the relationship between States and individuals; in particular, good health cannot be ensured by a State, nor can States provide protection against every possible cause of human ill health.  Thus, genetic factors, individual susceptibility to ill health and the adoption of unhealthy or risky lifestyles may play an important role with respect to an individual’s health.  Consequently, the right to health must be understood as a right to the enjoyment of a variety of facilities, goods, services and conditions necessary for the realization of the highest attainable standard of health.</w:t>
      </w:r>
    </w:p>
    <w:p w:rsidR="00000000" w:rsidRDefault="00000000">
      <w:r>
        <w:t>10.</w:t>
      </w:r>
      <w:r>
        <w:tab/>
        <w:t>Since the adoption of the two International Covenants in 1966 the world health situation has changed dramatically and the notion of health has undergone substantial changes and has also widened in scope.  More determinants of health are being taken into consideration, such as resource distribution and gender differences.  A wider definition of health also takes into account such socially</w:t>
      </w:r>
      <w:r>
        <w:noBreakHyphen/>
        <w:t>related concerns as violence and armed conflict.</w:t>
      </w:r>
      <w:r>
        <w:rPr>
          <w:rStyle w:val="FootnoteReference"/>
        </w:rPr>
        <w:endnoteReference w:id="104"/>
      </w:r>
      <w:r>
        <w:t xml:space="preserve">  Moreover, formerly unknown diseases, such as human immunodeficiency virus and acquired immunodeficiency syndrome (HIV/AIDS), and others that have become more widespread, such as cancer, as well as the rapid growth of the world population, have created new obstacles for the realization of the right to health which need to be taken into account when interpreting article 12.</w:t>
      </w:r>
    </w:p>
    <w:p w:rsidR="00000000" w:rsidRDefault="00000000">
      <w:r>
        <w:t>11.</w:t>
      </w:r>
      <w:r>
        <w:tab/>
        <w:t>The Committee interprets the right to health, as defined in article 12.1, as an inclusive right extending not only to timely and appropriate health care but also to the underlying determinants of health, such as access to safe and potable water and adequate sanitation, an adequate supply of safe food, nutrition and housing, healthy occupational and environmental conditions, and access to health</w:t>
      </w:r>
      <w:r>
        <w:noBreakHyphen/>
        <w:t>related education and information, including on sexual and reproductive health.  A further important aspect is the participation of the population in all health</w:t>
      </w:r>
      <w:r>
        <w:noBreakHyphen/>
        <w:t>related decision</w:t>
      </w:r>
      <w:r>
        <w:noBreakHyphen/>
        <w:t>making at the community, national and international levels.</w:t>
      </w:r>
    </w:p>
    <w:p w:rsidR="00000000" w:rsidRDefault="00000000">
      <w:r>
        <w:t>12.</w:t>
      </w:r>
      <w:r>
        <w:tab/>
        <w:t>The right to health in all its forms and at all levels contains the following interrelated and essential elements, the precise application of which will depend on the conditions prevailing in a particular State party:</w:t>
      </w:r>
    </w:p>
    <w:p w:rsidR="00000000" w:rsidRDefault="00000000">
      <w:r>
        <w:tab/>
        <w:t>(a)</w:t>
      </w:r>
      <w:r>
        <w:rPr>
          <w:i/>
        </w:rPr>
        <w:tab/>
        <w:t xml:space="preserve">Availability.  </w:t>
      </w:r>
      <w:r>
        <w:t>Functioning public health and health</w:t>
      </w:r>
      <w:r>
        <w:noBreakHyphen/>
        <w:t>care facilities, goods and services, as well as programmes, have to be available in sufficient quantity within the State party</w:t>
      </w:r>
      <w:r>
        <w:rPr>
          <w:i/>
        </w:rPr>
        <w:t xml:space="preserve">.  </w:t>
      </w:r>
      <w:r>
        <w:t>The precise nature of the facilities, goods and services will vary depending on numerous factors, including the State party’s developmental level</w:t>
      </w:r>
      <w:r>
        <w:rPr>
          <w:i/>
        </w:rPr>
        <w:t xml:space="preserve">.  </w:t>
      </w:r>
      <w:r>
        <w:t>They will include, however, the underlying determinants of health, such as safe and potable drinking water and adequate sanitation facilities, hospitals, clinics and other health</w:t>
      </w:r>
      <w:r>
        <w:noBreakHyphen/>
        <w:t>related buildings, trained medical and professional personnel receiving domestically competitive salaries, and essential drugs, as defined by the WHO Action Programme on Essential Drugs;</w:t>
      </w:r>
      <w:r>
        <w:rPr>
          <w:rStyle w:val="FootnoteReference"/>
        </w:rPr>
        <w:endnoteReference w:id="105"/>
      </w:r>
    </w:p>
    <w:p w:rsidR="00000000" w:rsidRDefault="00000000">
      <w:r>
        <w:tab/>
        <w:t>(b)</w:t>
      </w:r>
      <w:r>
        <w:rPr>
          <w:i/>
        </w:rPr>
        <w:tab/>
        <w:t xml:space="preserve">Accessibility.  </w:t>
      </w:r>
      <w:r>
        <w:t>Health facilities, goods and services</w:t>
      </w:r>
      <w:r>
        <w:rPr>
          <w:rStyle w:val="FootnoteReference"/>
        </w:rPr>
        <w:endnoteReference w:id="106"/>
      </w:r>
      <w:r>
        <w:t xml:space="preserve"> have to be accessible to everyone without discrimination, within the jurisdiction of the State party</w:t>
      </w:r>
      <w:r>
        <w:rPr>
          <w:i/>
        </w:rPr>
        <w:t xml:space="preserve">.  </w:t>
      </w:r>
      <w:r>
        <w:t>Accessibility has four overlapping dimensions:</w:t>
      </w:r>
    </w:p>
    <w:p w:rsidR="00000000" w:rsidRDefault="00000000">
      <w:pPr>
        <w:ind w:left="720"/>
      </w:pPr>
      <w:r>
        <w:t>Non</w:t>
      </w:r>
      <w:r>
        <w:noBreakHyphen/>
        <w:t>discrimination:  health facilities, goods and services must be accessible to all, especially the most vulnerable or marginalized sections of the population, in law and in fact, without discrimination on any of the prohibited grounds;</w:t>
      </w:r>
      <w:r>
        <w:rPr>
          <w:rStyle w:val="FootnoteReference"/>
        </w:rPr>
        <w:endnoteReference w:id="107"/>
      </w:r>
    </w:p>
    <w:p w:rsidR="00000000" w:rsidRDefault="00000000">
      <w:pPr>
        <w:ind w:left="720"/>
      </w:pPr>
      <w:r>
        <w:t>Physical accessibility:  health facilities, goods and services must be within safe physical reach for all sections of the population, especially vulnerable or marginalized groups, such as ethnic minorities and indigenous populations, women, children, adolescents, older persons, persons with disabilities and persons with HIV/AIDS</w:t>
      </w:r>
      <w:r>
        <w:rPr>
          <w:i/>
        </w:rPr>
        <w:t xml:space="preserve">.  </w:t>
      </w:r>
      <w:r>
        <w:t>Accessibility also implies that medical services and underlying determinants of health, such as safe and potable water and adequate sanitation facilities, are within safe physical reach, including in rural areas</w:t>
      </w:r>
      <w:r>
        <w:rPr>
          <w:i/>
        </w:rPr>
        <w:t xml:space="preserve">.  </w:t>
      </w:r>
      <w:r>
        <w:t>Accessibility further includes adequate access to buildings for persons with disabilities;</w:t>
      </w:r>
    </w:p>
    <w:p w:rsidR="00000000" w:rsidRDefault="00000000">
      <w:pPr>
        <w:ind w:left="720"/>
      </w:pPr>
      <w:r>
        <w:t>Economic accessibility (affordability):  health facilities, goods and services must be affordable for all</w:t>
      </w:r>
      <w:r>
        <w:rPr>
          <w:i/>
        </w:rPr>
        <w:t xml:space="preserve">.  </w:t>
      </w:r>
      <w:r>
        <w:t>Payment for health</w:t>
      </w:r>
      <w:r>
        <w:noBreakHyphen/>
        <w:t>care services, as well as services related to the underlying determinants of health, has to be based on the principle of equity, ensuring that these services, whether privately or publicly provided, are affordable for all, including socially disadvantaged groups</w:t>
      </w:r>
      <w:r>
        <w:rPr>
          <w:i/>
        </w:rPr>
        <w:t xml:space="preserve">.  </w:t>
      </w:r>
      <w:r>
        <w:t>Equity demands that poorer households should not be disproportionately burdened with health expenses as compared to richer households;</w:t>
      </w:r>
    </w:p>
    <w:p w:rsidR="00000000" w:rsidRDefault="00000000">
      <w:pPr>
        <w:ind w:left="720"/>
      </w:pPr>
      <w:r>
        <w:t>Information accessibility:  accessibility includes the right to seek, receive and impart information and ideas</w:t>
      </w:r>
      <w:r>
        <w:rPr>
          <w:rStyle w:val="FootnoteReference"/>
        </w:rPr>
        <w:endnoteReference w:id="108"/>
      </w:r>
      <w:r>
        <w:t xml:space="preserve"> concerning health issues</w:t>
      </w:r>
      <w:r>
        <w:rPr>
          <w:i/>
        </w:rPr>
        <w:t xml:space="preserve">.  </w:t>
      </w:r>
      <w:r>
        <w:t>However, accessibility of information should not impair the right to have personal health data treated with confidentiality;</w:t>
      </w:r>
    </w:p>
    <w:p w:rsidR="00000000" w:rsidRDefault="00000000">
      <w:r>
        <w:br w:type="page"/>
      </w:r>
      <w:r>
        <w:tab/>
        <w:t>(c)</w:t>
      </w:r>
      <w:r>
        <w:tab/>
      </w:r>
      <w:r>
        <w:rPr>
          <w:i/>
        </w:rPr>
        <w:t xml:space="preserve">Acceptability.  </w:t>
      </w:r>
      <w:r>
        <w:t>All health facilities, goods and services must be respectful of medical ethics and culturally appropriate, i.e. respectful of the culture of individuals, minorities, peoples and communities, sensitive to gender and life</w:t>
      </w:r>
      <w:r>
        <w:noBreakHyphen/>
        <w:t>cycle requirements, as well as being designed to respect confidentiality and improve the health status of those concerned;</w:t>
      </w:r>
    </w:p>
    <w:p w:rsidR="00000000" w:rsidRDefault="00000000">
      <w:r>
        <w:tab/>
        <w:t>(d)</w:t>
      </w:r>
      <w:r>
        <w:rPr>
          <w:i/>
        </w:rPr>
        <w:tab/>
        <w:t xml:space="preserve">Quality.  </w:t>
      </w:r>
      <w:r>
        <w:t>As well as being culturally acceptable, health facilities, goods and services must also be scientifically and medically appropriate and of good quality</w:t>
      </w:r>
      <w:r>
        <w:rPr>
          <w:i/>
        </w:rPr>
        <w:t xml:space="preserve">.  </w:t>
      </w:r>
      <w:r>
        <w:t>This requires, inter alia, skilled medical personnel, scientifically approved and unexpired</w:t>
      </w:r>
      <w:r>
        <w:rPr>
          <w:i/>
        </w:rPr>
        <w:t xml:space="preserve"> </w:t>
      </w:r>
      <w:r>
        <w:t>drugs and hospital equipment, safe and potable water, and adequate sanitation.</w:t>
      </w:r>
    </w:p>
    <w:p w:rsidR="00000000" w:rsidRDefault="00000000">
      <w:r>
        <w:t>13.</w:t>
      </w:r>
      <w:r>
        <w:tab/>
        <w:t>The non</w:t>
      </w:r>
      <w:r>
        <w:noBreakHyphen/>
        <w:t>exhaustive catalogue of examples in article 12.2 provides guidance in defining the action to be taken by States</w:t>
      </w:r>
      <w:r>
        <w:rPr>
          <w:i/>
        </w:rPr>
        <w:t xml:space="preserve">.  </w:t>
      </w:r>
      <w:r>
        <w:t>It gives specific generic examples of measures arising from the broad definition of the right to health contained in article 12.1, thereby illustrating the content of that right, as exemplified in the following paragraphs.</w:t>
      </w:r>
      <w:r>
        <w:rPr>
          <w:rStyle w:val="FootnoteReference"/>
        </w:rPr>
        <w:endnoteReference w:id="109"/>
      </w:r>
    </w:p>
    <w:p w:rsidR="00000000" w:rsidRDefault="00000000">
      <w:pPr>
        <w:pStyle w:val="Heading2"/>
      </w:pPr>
      <w:r>
        <w:t>Article 12.2 (a):  The right to maternal, child and reproductive health</w:t>
      </w:r>
    </w:p>
    <w:p w:rsidR="00000000" w:rsidRDefault="00000000">
      <w:r>
        <w:t>14.</w:t>
      </w:r>
      <w:r>
        <w:tab/>
        <w:t>“The provision for the reduction of the stillbirth rate and of infant mortality and for the healthy development of the child” (art. 12.2 (a))</w:t>
      </w:r>
      <w:r>
        <w:rPr>
          <w:rStyle w:val="FootnoteReference"/>
        </w:rPr>
        <w:endnoteReference w:id="110"/>
      </w:r>
      <w:r>
        <w:t xml:space="preserve"> may be understood as requiring measures to improve child and maternal health, sexual and reproductive health services, including access to family planning, pre</w:t>
      </w:r>
      <w:r>
        <w:noBreakHyphen/>
        <w:t xml:space="preserve"> and post</w:t>
      </w:r>
      <w:r>
        <w:noBreakHyphen/>
        <w:t>natal care,</w:t>
      </w:r>
      <w:r>
        <w:rPr>
          <w:rStyle w:val="FootnoteReference"/>
        </w:rPr>
        <w:endnoteReference w:id="111"/>
      </w:r>
      <w:r>
        <w:t xml:space="preserve"> emergency obstetric services and access to information, as well as to resources necessary to act on that information.</w:t>
      </w:r>
      <w:r>
        <w:rPr>
          <w:rStyle w:val="FootnoteReference"/>
        </w:rPr>
        <w:endnoteReference w:id="112"/>
      </w:r>
    </w:p>
    <w:p w:rsidR="00000000" w:rsidRDefault="00000000">
      <w:pPr>
        <w:pStyle w:val="Heading2"/>
      </w:pPr>
      <w:r>
        <w:t>Article 12.2 (b):  The right to healthy natural and workplace environments</w:t>
      </w:r>
    </w:p>
    <w:p w:rsidR="00000000" w:rsidRDefault="00000000">
      <w:r>
        <w:t>15.</w:t>
      </w:r>
      <w:r>
        <w:tab/>
        <w:t>“The improvement of all aspects of environmental and industrial hygiene” (art. 12.2 (b)) comprises, inter alia, preventive measures in respect of occupational accidents and diseases; the requirement to ensure an adequate supply of safe and potable water and basic sanitation; the prevention and reduction of the population’s exposure to harmful substances such as radiation and harmful chemicals or other detrimental environmental conditions that directly or indirectly impact upon human health.</w:t>
      </w:r>
      <w:r>
        <w:rPr>
          <w:rStyle w:val="FootnoteReference"/>
        </w:rPr>
        <w:endnoteReference w:id="113"/>
      </w:r>
      <w:r>
        <w:t xml:space="preserve"> Furthermore, industrial hygiene refers to the minimization, so far as is reasonably practicable, of the causes of health hazards inherent in the working environment.</w:t>
      </w:r>
      <w:r>
        <w:rPr>
          <w:rStyle w:val="FootnoteReference"/>
        </w:rPr>
        <w:endnoteReference w:id="114"/>
      </w:r>
      <w:r>
        <w:t xml:space="preserve">  Article 12.2 (b) also embraces adequate housing and safe and hygienic working conditions, an adequate supply of food and proper nutrition, and discourages the abuse of alcohol, and the use of tobacco, drugs and other harmful substances.</w:t>
      </w:r>
    </w:p>
    <w:p w:rsidR="00000000" w:rsidRDefault="00000000">
      <w:pPr>
        <w:pStyle w:val="Heading2"/>
      </w:pPr>
      <w:r>
        <w:t>Article 12.2 (c):  The right to prevention, treatment and control of diseases</w:t>
      </w:r>
    </w:p>
    <w:p w:rsidR="00000000" w:rsidRDefault="00000000">
      <w:r>
        <w:t>16.</w:t>
      </w:r>
      <w:r>
        <w:tab/>
        <w:t>“The prevention, treatment and control of epidemic, endemic, occupational and other diseases” (art. 12.2 (c)) requires the establishment of prevention and education programmes for behaviour</w:t>
      </w:r>
      <w:r>
        <w:noBreakHyphen/>
        <w:t>related health concerns such as sexually transmitted diseases, in particular HIV/AIDS, and those adversely affecting sexual and reproductive health, and the promotion of social determinants of good health, such as environmental safety, education, economic development and gender equity</w:t>
      </w:r>
      <w:r>
        <w:rPr>
          <w:i/>
        </w:rPr>
        <w:t xml:space="preserve">.  </w:t>
      </w:r>
      <w:r>
        <w:t>The right to treatment includes the creation of a system of urgent medical care in cases of accidents, epidemics and similar health hazards, and the provision of disaster relief and humanitarian assistance in emergency situations</w:t>
      </w:r>
      <w:r>
        <w:rPr>
          <w:i/>
        </w:rPr>
        <w:t xml:space="preserve">.  </w:t>
      </w:r>
      <w:r>
        <w:t xml:space="preserve">The control of diseases refers to </w:t>
      </w:r>
    </w:p>
    <w:p w:rsidR="00000000" w:rsidRDefault="00000000">
      <w:r>
        <w:br w:type="page"/>
        <w:t>States’ individual and joint efforts to, inter alia, make available relevant technologies, using and improving epidemiological surveillance and data collection on a disaggregated basis, the implementation or enhancement of immunization programmes and other strategies of infectious disease control.</w:t>
      </w:r>
    </w:p>
    <w:p w:rsidR="00000000" w:rsidRDefault="00000000">
      <w:pPr>
        <w:pStyle w:val="Heading2"/>
      </w:pPr>
      <w:r>
        <w:t>Article 12.2 (d):  The right to health facilities, goods and services</w:t>
      </w:r>
      <w:r>
        <w:rPr>
          <w:rStyle w:val="FootnoteReference"/>
          <w:b/>
        </w:rPr>
        <w:endnoteReference w:id="115"/>
      </w:r>
    </w:p>
    <w:p w:rsidR="00000000" w:rsidRDefault="00000000">
      <w:r>
        <w:t>17.</w:t>
      </w:r>
      <w:r>
        <w:tab/>
        <w:t>“The creation of conditions which would assure to all medical service and medical attention in the event of sickness” (art. 12.2 (d)), both physical and mental, includes the provision of equal and timely access to basic preventive, curative, rehabilitative health services and health education; regular screening programmes; appropriate treatment of prevalent diseases, illnesses, injuries and disabilities, preferably at community level; the provision of essential drugs; and appropriate mental health treatment and care</w:t>
      </w:r>
      <w:r>
        <w:rPr>
          <w:i/>
        </w:rPr>
        <w:t xml:space="preserve">.  </w:t>
      </w:r>
      <w:r>
        <w:t>A further important aspect is the improvement and furtherance of participation of the population in the provision of preventive and curative health services, such as the organization of the health sector, the insurance system and, in particular, participation in political decisions relating to the right to health taken at both the community and national levels.</w:t>
      </w:r>
    </w:p>
    <w:p w:rsidR="00000000" w:rsidRDefault="00000000">
      <w:pPr>
        <w:pStyle w:val="Heading2"/>
      </w:pPr>
      <w:r>
        <w:t>Article 12:  Special topics of broad application</w:t>
      </w:r>
    </w:p>
    <w:p w:rsidR="00000000" w:rsidRDefault="00000000">
      <w:pPr>
        <w:pStyle w:val="Heading3"/>
      </w:pPr>
      <w:r>
        <w:t>Non</w:t>
      </w:r>
      <w:r>
        <w:noBreakHyphen/>
        <w:t>discrimination and equal treatment</w:t>
      </w:r>
    </w:p>
    <w:p w:rsidR="00000000" w:rsidRDefault="00000000">
      <w:r>
        <w:t>18.</w:t>
      </w:r>
      <w:r>
        <w:tab/>
        <w:t>By virtue of article 2.2 and article 3, the Covenant proscribes any discrimination in access to health care and underlying determinants of health, as well as to means and entitlements for their procurement, on the grounds of race, colour, sex, language, religion, political or other opinion, national or social origin, property, birth, physical or mental disability, health status (including HIV/AIDS), sexual orientation and civil, political, social or other status, which has the intention or effect of nullifying or impairing the equal enjoyment or exercise of the right to health</w:t>
      </w:r>
      <w:r>
        <w:rPr>
          <w:i/>
        </w:rPr>
        <w:t xml:space="preserve">.  </w:t>
      </w:r>
      <w:r>
        <w:t>The Committee stresses that many measures, such as most strategies and programmes designed to eliminate health</w:t>
      </w:r>
      <w:r>
        <w:noBreakHyphen/>
        <w:t>related discrimination, can be pursued with minimum resource implications through the adoption, modification or abrogation of legislation or the dissemination of information</w:t>
      </w:r>
      <w:r>
        <w:rPr>
          <w:i/>
        </w:rPr>
        <w:t xml:space="preserve">.  </w:t>
      </w:r>
      <w:r>
        <w:t xml:space="preserve">The Committee recalls </w:t>
      </w:r>
      <w:r>
        <w:rPr>
          <w:color w:val="000000"/>
        </w:rPr>
        <w:t>general comment</w:t>
      </w:r>
      <w:r>
        <w:t xml:space="preserve"> No. 3, paragraph 12, which states that even in times of severe resource constraints, the vulnerable members of society must be protected by the adoption of relatively low</w:t>
      </w:r>
      <w:r>
        <w:noBreakHyphen/>
        <w:t>cost targeted programmes.</w:t>
      </w:r>
    </w:p>
    <w:p w:rsidR="00000000" w:rsidRDefault="00000000">
      <w:r>
        <w:t>19.</w:t>
      </w:r>
      <w:r>
        <w:tab/>
        <w:t>With respect to the right to health, equality of access to health care and health services has to be emphasized</w:t>
      </w:r>
      <w:r>
        <w:rPr>
          <w:i/>
        </w:rPr>
        <w:t xml:space="preserve">.  </w:t>
      </w:r>
      <w:r>
        <w:t>States have a special obligation to provide those who do not have sufficient means with the necessary health insurance and health</w:t>
      </w:r>
      <w:r>
        <w:noBreakHyphen/>
        <w:t>care facilities, and to prevent any discrimination on internationally prohibited grounds in the provision of health care and health services, especially with respect to the core obligations of the right to health.</w:t>
      </w:r>
      <w:r>
        <w:rPr>
          <w:rStyle w:val="FootnoteReference"/>
        </w:rPr>
        <w:endnoteReference w:id="116"/>
      </w:r>
      <w:r>
        <w:t xml:space="preserve">  Inappropriate health resource allocation can lead to discrimination that may not be overt</w:t>
      </w:r>
      <w:r>
        <w:rPr>
          <w:i/>
        </w:rPr>
        <w:t xml:space="preserve">.  </w:t>
      </w:r>
      <w:r>
        <w:t>For example, investments should not disproportionately favour expensive curative health services which are often accessible only to a small, privileged fraction of the population, rather than primary and preventive health care benefiting a far larger part of the population.</w:t>
      </w:r>
    </w:p>
    <w:p w:rsidR="00000000" w:rsidRDefault="00000000">
      <w:pPr>
        <w:pStyle w:val="Heading3"/>
      </w:pPr>
      <w:r>
        <w:t>Gender perspective</w:t>
      </w:r>
    </w:p>
    <w:p w:rsidR="00000000" w:rsidRDefault="00000000">
      <w:r>
        <w:t>20.</w:t>
      </w:r>
      <w:r>
        <w:tab/>
        <w:t>The Committee recommends that States integrate a gender perspective in their health</w:t>
      </w:r>
      <w:r>
        <w:noBreakHyphen/>
        <w:t>related policies, planning, programmes and research in order to promote better health for both women and men</w:t>
      </w:r>
      <w:r>
        <w:rPr>
          <w:i/>
        </w:rPr>
        <w:t xml:space="preserve">.  </w:t>
      </w:r>
      <w:r>
        <w:t>A gender</w:t>
      </w:r>
      <w:r>
        <w:noBreakHyphen/>
        <w:t>based approach recognizes that biological and sociocultural factors play a significant role in influencing the health of men and women</w:t>
      </w:r>
      <w:r>
        <w:rPr>
          <w:i/>
        </w:rPr>
        <w:t xml:space="preserve">.  </w:t>
      </w:r>
      <w:r>
        <w:t>The disaggregation of health and socio</w:t>
      </w:r>
      <w:r>
        <w:noBreakHyphen/>
        <w:t>economic data according to sex is essential for identifying and remedying inequalities in health.</w:t>
      </w:r>
    </w:p>
    <w:p w:rsidR="00000000" w:rsidRDefault="00000000">
      <w:pPr>
        <w:pStyle w:val="Heading3"/>
      </w:pPr>
      <w:r>
        <w:t>Women and the right to health</w:t>
      </w:r>
    </w:p>
    <w:p w:rsidR="00000000" w:rsidRDefault="00000000">
      <w:r>
        <w:t>21.</w:t>
      </w:r>
      <w:r>
        <w:tab/>
        <w:t>To eliminate discrimination against women, there is a need to develop and implement a comprehensive national strategy for promoting women’s right to health throughout their life span</w:t>
      </w:r>
      <w:r>
        <w:rPr>
          <w:i/>
        </w:rPr>
        <w:t xml:space="preserve">.  </w:t>
      </w:r>
      <w:r>
        <w:t>Such a strategy should include interventions aimed at the prevention and treatment of diseases affecting women, as well as policies to provide access to a full range of high quality and affordable health care, including sexual and reproductive services</w:t>
      </w:r>
      <w:r>
        <w:rPr>
          <w:i/>
        </w:rPr>
        <w:t xml:space="preserve">.  </w:t>
      </w:r>
      <w:r>
        <w:t>A major goal should be reducing women’s health risks, particularly lowering rates of maternal mortality and protecting women from domestic violence</w:t>
      </w:r>
      <w:r>
        <w:rPr>
          <w:i/>
        </w:rPr>
        <w:t xml:space="preserve">.  </w:t>
      </w:r>
      <w:r>
        <w:t>The realization of women’s right to health requires the removal of all barriers interfering with access to health services, education and information, including in the area of sexual and reproductive health</w:t>
      </w:r>
      <w:r>
        <w:rPr>
          <w:i/>
        </w:rPr>
        <w:t xml:space="preserve">.  </w:t>
      </w:r>
      <w:r>
        <w:t>It is also important to undertake preventive, promotive and remedial action to shield women from the impact of harmful traditional cultural practices and norms that deny them their full reproductive rights.</w:t>
      </w:r>
    </w:p>
    <w:p w:rsidR="00000000" w:rsidRDefault="00000000">
      <w:pPr>
        <w:pStyle w:val="Heading3"/>
      </w:pPr>
      <w:r>
        <w:t>Children and adolescents</w:t>
      </w:r>
    </w:p>
    <w:p w:rsidR="00000000" w:rsidRDefault="00000000">
      <w:r>
        <w:t>22.</w:t>
      </w:r>
      <w:r>
        <w:tab/>
        <w:t>Article 12.2 (a) outlines the need to take measures to reduce infant mortality and promote the healthy development of infants and children</w:t>
      </w:r>
      <w:r>
        <w:rPr>
          <w:i/>
        </w:rPr>
        <w:t xml:space="preserve">.  </w:t>
      </w:r>
      <w:r>
        <w:t>Subsequent international human rights instruments recognize that children and adolescents have the right to the enjoyment of the highest standard of health and access to facilities for the treatment of illness.</w:t>
      </w:r>
      <w:r>
        <w:rPr>
          <w:rStyle w:val="FootnoteReference"/>
        </w:rPr>
        <w:endnoteReference w:id="117"/>
      </w:r>
      <w:r>
        <w:t xml:space="preserve">  The Convention on the Rights of the Child directs States to ensure access to essential health services for the child and his or her family, including pre</w:t>
      </w:r>
      <w:r>
        <w:noBreakHyphen/>
        <w:t xml:space="preserve"> and post</w:t>
      </w:r>
      <w:r>
        <w:noBreakHyphen/>
        <w:t>natal care for mothers</w:t>
      </w:r>
      <w:r>
        <w:rPr>
          <w:i/>
        </w:rPr>
        <w:t xml:space="preserve">.  </w:t>
      </w:r>
      <w:r>
        <w:t>The Convention links these goals with ensuring access to child</w:t>
      </w:r>
      <w:r>
        <w:noBreakHyphen/>
        <w:t>friendly information about preventive and health</w:t>
      </w:r>
      <w:r>
        <w:noBreakHyphen/>
        <w:t>promoting behaviour and support to families and communities in implementing these practices.  Implementation of the principle of non</w:t>
      </w:r>
      <w:r>
        <w:noBreakHyphen/>
        <w:t>discrimination requires that girls, as well as boys, have equal access to adequate nutrition, safe environments, and physical as well as mental health services.  There is a need to adopt effective and appropriate measures to abolish harmful traditional practices affecting the health of children, particularly girls, including early marriage, female genital mutilation, preferential feeding and care of male children.</w:t>
      </w:r>
      <w:r>
        <w:rPr>
          <w:rStyle w:val="FootnoteReference"/>
        </w:rPr>
        <w:endnoteReference w:id="118"/>
      </w:r>
      <w:r>
        <w:t xml:space="preserve"> Children with disabilities should be given the opportunity to enjoy a fulfilling and decent life and to participate within their community.</w:t>
      </w:r>
    </w:p>
    <w:p w:rsidR="00000000" w:rsidRDefault="00000000">
      <w:r>
        <w:t>23.</w:t>
      </w:r>
      <w:r>
        <w:tab/>
        <w:t>States parties should provide a safe and supportive environment for adolescents, that ensures the opportunity to participate in decisions affecting their health, to build life skills, to acquire appropriate information, to receive counselling and to negotiate the health</w:t>
      </w:r>
      <w:r>
        <w:noBreakHyphen/>
        <w:t>behaviour choices they make.  The realization of the right to health of adolescents is dependent on the development of youth</w:t>
      </w:r>
      <w:r>
        <w:noBreakHyphen/>
        <w:t>friendly health care, which respects confidentiality and privacy and includes appropriate sexual and reproductive health services.</w:t>
      </w:r>
    </w:p>
    <w:p w:rsidR="00000000" w:rsidRDefault="00000000">
      <w:r>
        <w:t>24.</w:t>
      </w:r>
      <w:r>
        <w:tab/>
        <w:t>In all policies and programmes aimed at guaranteeing the right to health of children and adolescents their best interests shall be a primary consideration.</w:t>
      </w:r>
    </w:p>
    <w:p w:rsidR="00000000" w:rsidRDefault="00000000">
      <w:pPr>
        <w:pStyle w:val="Heading3"/>
      </w:pPr>
      <w:r>
        <w:t>Older persons</w:t>
      </w:r>
    </w:p>
    <w:p w:rsidR="00000000" w:rsidRDefault="00000000">
      <w:r>
        <w:t>25.</w:t>
      </w:r>
      <w:r>
        <w:tab/>
        <w:t xml:space="preserve">With regard to the realization of the right to health of older persons, the Committee, in accordance with paragraphs 34 and 35 of </w:t>
      </w:r>
      <w:r>
        <w:rPr>
          <w:color w:val="000000"/>
        </w:rPr>
        <w:t>general comment</w:t>
      </w:r>
      <w:r>
        <w:t xml:space="preserve"> No. 6 (1995), reaffirms the importance of an integrated approach, combining elements of preventive, curative and rehabilitative health treatment.  Such measures should be based on periodical check</w:t>
      </w:r>
      <w:r>
        <w:noBreakHyphen/>
        <w:t>ups for both sexes; physical as well as psychological rehabilitative measures aimed at maintaining the functionality and autonomy of older persons; and attention and care for chronically and terminally ill persons, sparing them avoidable pain and enabling them to die with dignity.</w:t>
      </w:r>
    </w:p>
    <w:p w:rsidR="00000000" w:rsidRDefault="00000000">
      <w:pPr>
        <w:pStyle w:val="Heading3"/>
      </w:pPr>
      <w:r>
        <w:t>Persons with disabilities</w:t>
      </w:r>
    </w:p>
    <w:p w:rsidR="00000000" w:rsidRDefault="00000000">
      <w:r>
        <w:t>26.</w:t>
      </w:r>
      <w:r>
        <w:tab/>
        <w:t xml:space="preserve">The Committee reaffirms paragraph 34 of its </w:t>
      </w:r>
      <w:r>
        <w:rPr>
          <w:color w:val="000000"/>
        </w:rPr>
        <w:t>general comment</w:t>
      </w:r>
      <w:r>
        <w:t xml:space="preserve"> No. 5, which addresses the issue of persons with disabilities in the context of the right to physical and mental health.  Moreover, the Committee stresses the need to ensure that not only the public health sector but also private providers of health services and facilities comply with the principle of non</w:t>
      </w:r>
      <w:r>
        <w:noBreakHyphen/>
        <w:t>discrimination in relation to persons with disabilities.</w:t>
      </w:r>
    </w:p>
    <w:p w:rsidR="00000000" w:rsidRDefault="00000000">
      <w:pPr>
        <w:pStyle w:val="Heading3"/>
      </w:pPr>
      <w:r>
        <w:t>Indigenous peoples</w:t>
      </w:r>
    </w:p>
    <w:p w:rsidR="00000000" w:rsidRDefault="00000000">
      <w:r>
        <w:t>27.</w:t>
      </w:r>
      <w:r>
        <w:tab/>
        <w:t>In the light of emerging international law and practice and the recent measures taken by States in relation to indigenous peoples,</w:t>
      </w:r>
      <w:r>
        <w:rPr>
          <w:rStyle w:val="FootnoteReference"/>
        </w:rPr>
        <w:endnoteReference w:id="119"/>
      </w:r>
      <w:r>
        <w:t xml:space="preserve"> the Committee deems it useful to identify elements that would help to define indigenous peoples’ right to health in order better to enable States with indigenous peoples to implement the provisions contained in article 12 of the Covenant.  The Committee considers that indigenous peoples have the right to specific measures to improve their access to health services and care.  These health services should be culturally appropriate, taking into account traditional preventive care, healing practices and medicines.  States should provide resources for indigenous peoples to design, deliver and control such services so that they may enjoy the highest attainable standard of physical and mental health.  The vital medicinal plants, animals and minerals necessary to the full enjoyment of health of indigenous peoples should also be protected.  The Committee notes that, in indigenous communities, the health of the individual is often linked to the health of the society as a whole and has a collective dimension.  In this respect, the Committee considers that development</w:t>
      </w:r>
      <w:r>
        <w:noBreakHyphen/>
        <w:t>related activities that lead to the displacement of indigenous peoples against their will from their traditional territories and environment, denying them their sources of nutrition and breaking their symbiotic relationship with their lands, has a deleterious effect on their health.</w:t>
      </w:r>
    </w:p>
    <w:p w:rsidR="00000000" w:rsidRDefault="00000000">
      <w:pPr>
        <w:pStyle w:val="Heading3"/>
      </w:pPr>
      <w:r>
        <w:t>Limitations</w:t>
      </w:r>
    </w:p>
    <w:p w:rsidR="00000000" w:rsidRDefault="00000000">
      <w:r>
        <w:t>28.</w:t>
      </w:r>
      <w:r>
        <w:tab/>
        <w:t>Issues of public health are sometimes used by States as grounds for limiting the exercise of other fundamental rights.  The Committee wishes to emphasize that the Covenant’s limitation clause, article 4, is primarily intended to protect the rights of individuals rather than to permit the imposition of limitations by States.  Consequently a State party which, for example, restricts the movement of, or incarcerates, persons with transmissible diseases such as HIV/AIDS, refuses to allow doctors to treat persons believed to be opposed to a Government, or fails to provide immunization against the community’s major infectious diseases, on grounds such as national security or the preservation of public order, has the burden of justifying such serious measures in relation to each of the elements identified in article 4.  Such restrictions must be in accordance with the law, including international human rights standards, compatible with the nature of the rights protected by the Covenant, in the interest of legitimate aims pursued, and strictly necessary for the promotion of the general welfare in a democratic society.</w:t>
      </w:r>
    </w:p>
    <w:p w:rsidR="00000000" w:rsidRDefault="00000000">
      <w:r>
        <w:t>29.</w:t>
      </w:r>
      <w:r>
        <w:tab/>
        <w:t>In line with article 5.1, such limitations must be proportional, i.e. the least restrictive alternative must be adopted where several types of limitations are available.  Even where such limitations on grounds of protecting public health are basically permitted, they should be of limited duration and subject to review.</w:t>
      </w:r>
    </w:p>
    <w:p w:rsidR="00000000" w:rsidRDefault="00000000">
      <w:pPr>
        <w:pStyle w:val="Heading2"/>
      </w:pPr>
      <w:r>
        <w:t>2.  States parties’ obligations</w:t>
      </w:r>
    </w:p>
    <w:p w:rsidR="00000000" w:rsidRDefault="00000000">
      <w:pPr>
        <w:pStyle w:val="Heading3"/>
      </w:pPr>
      <w:r>
        <w:t>General legal obligations</w:t>
      </w:r>
    </w:p>
    <w:p w:rsidR="00000000" w:rsidRDefault="00000000">
      <w:r>
        <w:t>30.</w:t>
      </w:r>
      <w:r>
        <w:tab/>
        <w:t>While the Covenant provides for progressive realization and acknowledges the constraints due to the limits of available resources, it also imposes on States parties various obligations which are of immediate effect.  States parties have immediate obligations in relation to the right to health, such as the guarantee that the right will be exercised without discrimination of any kind (art. 2.2) and the obligation to take steps (art. 2.1) towards the full realization of article 12.  Such steps must be deliberate, concrete and targeted towards the full realization of the right to health.</w:t>
      </w:r>
      <w:r>
        <w:rPr>
          <w:rStyle w:val="FootnoteReference"/>
        </w:rPr>
        <w:endnoteReference w:id="120"/>
      </w:r>
    </w:p>
    <w:p w:rsidR="00000000" w:rsidRDefault="00000000">
      <w:r>
        <w:t>31.</w:t>
      </w:r>
      <w:r>
        <w:tab/>
        <w:t>The progressive realization of the right to health over a period of time should not be interpreted as depriving States parties’ obligations of all meaningful content.  Rather, progressive realization means that States parties have a specific and continuing obligation to move as expeditiously and effectively as possible towards the full realization of article 12.</w:t>
      </w:r>
      <w:r>
        <w:rPr>
          <w:rStyle w:val="FootnoteReference"/>
        </w:rPr>
        <w:endnoteReference w:id="121"/>
      </w:r>
    </w:p>
    <w:p w:rsidR="00000000" w:rsidRDefault="00000000">
      <w:r>
        <w:t>32.</w:t>
      </w:r>
      <w:r>
        <w:tab/>
        <w:t>As with all other rights in the Covenant, there is a strong presumption that retrogressive measures taken in relation to the right to health are not permissible.  If any deliberately retrogressive measures are taken, the State party has the burden of proving that they have been introduced after the most careful consideration of all alternatives and that they are duly justified by reference to the totality of the rights provided for in the Covenant in the context of the full use of the State party’s maximum available resources.</w:t>
      </w:r>
      <w:r>
        <w:rPr>
          <w:rStyle w:val="FootnoteReference"/>
        </w:rPr>
        <w:endnoteReference w:id="122"/>
      </w:r>
    </w:p>
    <w:p w:rsidR="00000000" w:rsidRDefault="00000000">
      <w:r>
        <w:t>33.</w:t>
      </w:r>
      <w:r>
        <w:tab/>
        <w:t xml:space="preserve">The right to health, like all human rights, imposes three types or levels of obligations on States parties:  the obligations to </w:t>
      </w:r>
      <w:r>
        <w:rPr>
          <w:i/>
        </w:rPr>
        <w:t>respect</w:t>
      </w:r>
      <w:r>
        <w:t xml:space="preserve">, </w:t>
      </w:r>
      <w:r>
        <w:rPr>
          <w:i/>
        </w:rPr>
        <w:t xml:space="preserve">protect </w:t>
      </w:r>
      <w:r>
        <w:t xml:space="preserve">and </w:t>
      </w:r>
      <w:r>
        <w:rPr>
          <w:i/>
        </w:rPr>
        <w:t>fulfil</w:t>
      </w:r>
      <w:r>
        <w:t>.  In turn, the obligation to fulfil contains obligations to facilitate, provide and promote.</w:t>
      </w:r>
      <w:r>
        <w:rPr>
          <w:rStyle w:val="FootnoteReference"/>
        </w:rPr>
        <w:endnoteReference w:id="123"/>
      </w:r>
      <w:r>
        <w:t xml:space="preserve">  The obligation to </w:t>
      </w:r>
      <w:r>
        <w:rPr>
          <w:i/>
        </w:rPr>
        <w:t xml:space="preserve">respect </w:t>
      </w:r>
      <w:r>
        <w:t xml:space="preserve">requires States to refrain from interfering directly or indirectly with the enjoyment of the right to health.  The obligation to </w:t>
      </w:r>
      <w:r>
        <w:rPr>
          <w:i/>
        </w:rPr>
        <w:t>protect</w:t>
      </w:r>
      <w:r>
        <w:t xml:space="preserve"> requires States to take measures that prevent third parties from interfering with article 12 guarantees.  Finally, the obligation to </w:t>
      </w:r>
      <w:r>
        <w:rPr>
          <w:i/>
        </w:rPr>
        <w:t>fulfil</w:t>
      </w:r>
      <w:r>
        <w:t xml:space="preserve"> requires States to adopt appropriate legislative, administrative, budgetary, judicial, promotional and other measures towards the full realization of the right to health.</w:t>
      </w:r>
    </w:p>
    <w:p w:rsidR="00000000" w:rsidRDefault="00000000">
      <w:pPr>
        <w:pStyle w:val="Heading3"/>
      </w:pPr>
      <w:r>
        <w:t>Specific legal obligations</w:t>
      </w:r>
    </w:p>
    <w:p w:rsidR="00000000" w:rsidRDefault="00000000">
      <w:r>
        <w:t>34.</w:t>
      </w:r>
      <w:r>
        <w:tab/>
        <w:t xml:space="preserve">In particular, States are under the obligation to </w:t>
      </w:r>
      <w:r>
        <w:rPr>
          <w:i/>
        </w:rPr>
        <w:t>respect</w:t>
      </w:r>
      <w:r>
        <w:t xml:space="preserve"> the right to health by, inter alia, refraining from denying or limiting equal access for all persons, including prisoners or detainees, minorities, asylum-seekers and illegal immigrants, to preventive, curative and palliative health services; abstaining from enforcing discriminatory practices as a State policy; and abstaining from imposing discriminatory practices relating to women’s health status and needs.  Furthermore, obligations to respect include a State’s obligation to refrain from prohibiting or impeding traditional preventive care, healing practices and medicines, from marketing unsafe drugs and from applying coercive medical treatments, unless on an exceptional basis for the treatment of mental illness or the prevention and control of communicable diseases.  Such exceptional cases should be subject to specific and restrictive conditions, respecting best practices and applicable international standards, including the Principles for the Protection of Persons with Mental Illness and the Improvement of Mental Health Care.</w:t>
      </w:r>
      <w:r>
        <w:rPr>
          <w:rStyle w:val="FootnoteReference"/>
        </w:rPr>
        <w:endnoteReference w:id="124"/>
      </w:r>
      <w:r>
        <w:t xml:space="preserve">  In addition, States should refrain from limiting access to contraceptives and other means of maintaining sexual and reproductive health, from censoring, withholding or intentionally misrepresenting health</w:t>
      </w:r>
      <w:r>
        <w:noBreakHyphen/>
        <w:t>related information, including sexual education and information, as well as from preventing people’s participation in health</w:t>
      </w:r>
      <w:r>
        <w:noBreakHyphen/>
        <w:t>related matters.  States should also refrain from unlawfully polluting air, water and soil, e.g. through industrial waste from State</w:t>
      </w:r>
      <w:r>
        <w:noBreakHyphen/>
        <w:t>owned facilities, from using or testing nuclear, biological or chemical weapons if such testing results in the release of substances harmful to human health, and from limiting access to health services as a punitive measure, e.g. during armed conflicts in violation of international humanitarian law.</w:t>
      </w:r>
    </w:p>
    <w:p w:rsidR="00000000" w:rsidRDefault="00000000">
      <w:r>
        <w:t>35.</w:t>
      </w:r>
      <w:r>
        <w:tab/>
        <w:t xml:space="preserve">Obligations to </w:t>
      </w:r>
      <w:r>
        <w:rPr>
          <w:i/>
        </w:rPr>
        <w:t>protect</w:t>
      </w:r>
      <w:r>
        <w:t xml:space="preserve"> include, inter alia, the duties of States to adopt legislation or to take other measures ensuring equal access to health care and health</w:t>
      </w:r>
      <w:r>
        <w:noBreakHyphen/>
        <w:t>related services provided by third parties; to ensure that privatization of the health sector does not constitute a threat to the availability, accessibility, acceptability and quality of health facilities, goods and services; to control the marketing of medical equipment and medicines by third parties; and to ensure that medical practitioners and other health professionals meet appropriate standards of education, skill and ethical codes of conduct.  States are also obliged to ensure that harmful social or traditional practices do not interfere with access to pre</w:t>
      </w:r>
      <w:r>
        <w:noBreakHyphen/>
        <w:t xml:space="preserve"> and post</w:t>
      </w:r>
      <w:r>
        <w:noBreakHyphen/>
        <w:t>natal care and family planning; to prevent third parties from coercing women to undergo traditional practices, e.g. female genital mutilation; and to take measures to protect all vulnerable or marginalized groups of society, in particular women, children, adolescents and older persons, in the light of gender</w:t>
      </w:r>
      <w:r>
        <w:noBreakHyphen/>
        <w:t>based expressions of violence.  States should also ensure that third parties do not limit people’s access to health</w:t>
      </w:r>
      <w:r>
        <w:noBreakHyphen/>
        <w:t>related information and services.</w:t>
      </w:r>
    </w:p>
    <w:p w:rsidR="00000000" w:rsidRDefault="00000000">
      <w:r>
        <w:t>36.</w:t>
      </w:r>
      <w:r>
        <w:tab/>
        <w:t xml:space="preserve">The obligation to </w:t>
      </w:r>
      <w:r>
        <w:rPr>
          <w:i/>
        </w:rPr>
        <w:t>fulfil</w:t>
      </w:r>
      <w:r>
        <w:t xml:space="preserve"> requires States parties, inter alia, to give sufficient recognition to the right to health in the national political and legal systems, preferably by way of legislative implementation, and to adopt a national health policy with a detailed plan for realizing the right to health.  States must ensure provision of health care, including immunization programmes against the major infectious diseases, and ensure equal access for all to the underlying determinants of health, such as nutritiously safe food and potable drinking water, basic sanitation and adequate housing and living conditions.  Public health infrastructures should provide for sexual and reproductive health services, including safe motherhood, particularly in rural areas.  States have to ensure the appropriate training of doctors and other medical personnel, the provision of a sufficient number of hospitals, clinics and other health</w:t>
      </w:r>
      <w:r>
        <w:noBreakHyphen/>
        <w:t>related facilities, and the promotion and support of the establishment of institutions providing counselling and mental health services, with due regard to equitable distribution throughout the country.  Further obligations include the provision of a public, private or mixed health insurance system which is affordable for all, the promotion of medical research and health education, as well as information campaigns, in particular with respect to HIV/AIDS, sexual and reproductive health, traditional practices, domestic violence, the abuse of alcohol and the use of cigarettes, drugs and other harmful substances.  States are also required to adopt measures against environmental and occupational health hazards and against any other threat as demonstrated by epidemiological data.  For this purpose they should formulate and implement national policies aimed at reducing and eliminating pollution of air, water and soil, including pollution by heavy metals such as lead from gasoline.  Furthermore, States parties are required to formulate, implement and periodically review a coherent national policy to minimize the risk of occupational accidents and diseases, as well as to provide a coherent national policy on occupational safety and health services.</w:t>
      </w:r>
      <w:r>
        <w:rPr>
          <w:rStyle w:val="EndnoteReference"/>
        </w:rPr>
        <w:endnoteReference w:id="125"/>
      </w:r>
    </w:p>
    <w:p w:rsidR="00000000" w:rsidRDefault="00000000">
      <w:r>
        <w:t>37.</w:t>
      </w:r>
      <w:r>
        <w:tab/>
        <w:t xml:space="preserve">The obligation to </w:t>
      </w:r>
      <w:r>
        <w:rPr>
          <w:i/>
        </w:rPr>
        <w:t xml:space="preserve">fulfil </w:t>
      </w:r>
      <w:r>
        <w:t>(</w:t>
      </w:r>
      <w:r>
        <w:rPr>
          <w:i/>
        </w:rPr>
        <w:t>facilitate</w:t>
      </w:r>
      <w:r>
        <w:t xml:space="preserve">) requires States inter alia to take positive measures that enable and assist individuals and communities to enjoy the right to health.  States parties are also obliged to </w:t>
      </w:r>
      <w:r>
        <w:rPr>
          <w:i/>
        </w:rPr>
        <w:t>fulfil</w:t>
      </w:r>
      <w:r>
        <w:t xml:space="preserve"> (</w:t>
      </w:r>
      <w:r>
        <w:rPr>
          <w:i/>
        </w:rPr>
        <w:t>provide</w:t>
      </w:r>
      <w:r>
        <w:t xml:space="preserve">) a specific right contained in the Covenant when individuals or a group are unable, for reasons beyond their control, to realize that right themselves by the means at their disposal.  The obligation to </w:t>
      </w:r>
      <w:r>
        <w:rPr>
          <w:i/>
        </w:rPr>
        <w:t xml:space="preserve">fulfil </w:t>
      </w:r>
      <w:r>
        <w:t>(</w:t>
      </w:r>
      <w:r>
        <w:rPr>
          <w:i/>
        </w:rPr>
        <w:t>promote</w:t>
      </w:r>
      <w:r>
        <w:t>) the right to health requires States to undertake actions that create, maintain and restore the health of the population.  Such obligations include:  (i) fostering recognition of factors favouring positive health results, e.g. research and provision of information; (ii) ensuring that health services are culturally appropriate and that health-care staff are trained to recognize and respond to the specific needs of vulnerable or marginalized groups; (iii) ensuring that the State meets its obligations in the dissemination of appropriate information relating to healthy lifestyles and nutrition, harmful traditional practices and the availability of services; (iv) supporting people in making informed choices about their health.</w:t>
      </w:r>
    </w:p>
    <w:p w:rsidR="00000000" w:rsidRDefault="00000000">
      <w:pPr>
        <w:pStyle w:val="Heading3"/>
      </w:pPr>
      <w:r>
        <w:t>International obligations</w:t>
      </w:r>
    </w:p>
    <w:p w:rsidR="00000000" w:rsidRDefault="00000000">
      <w:r>
        <w:t>38.</w:t>
      </w:r>
      <w:r>
        <w:tab/>
        <w:t xml:space="preserve">In its </w:t>
      </w:r>
      <w:r>
        <w:rPr>
          <w:color w:val="000000"/>
        </w:rPr>
        <w:t>general comment</w:t>
      </w:r>
      <w:r>
        <w:t xml:space="preserve"> No. 3, the Committee drew attention to the obligation of all States parties to take steps, individually and through international assistance and cooperation, especially economic and technical, towards the full realization of the rights recognized in the Covenant, such as the right to health.  In the spirit of Article 56 of the Charter of the United Nations, the specific provisions of the Covenant (arts. 12, 2.1, 22 and 23) and the Alma</w:t>
      </w:r>
      <w:r>
        <w:noBreakHyphen/>
        <w:t>Ata Declaration on primary health care, States parties should recognize the essential role of international cooperation and comply with their commitment to take joint and separate action to achieve the full realization of the right to health.  In this regard, States parties are referred to the Alma</w:t>
      </w:r>
      <w:r>
        <w:noBreakHyphen/>
        <w:t>Ata Declaration which proclaims that the existing gross inequality in the health status of the people, particularly between developed and developing countries, as well as within countries, is politically, socially and economically unacceptable and is, therefore, of common concern to all countries.</w:t>
      </w:r>
      <w:r>
        <w:rPr>
          <w:rStyle w:val="EndnoteReference"/>
        </w:rPr>
        <w:endnoteReference w:id="126"/>
      </w:r>
    </w:p>
    <w:p w:rsidR="00000000" w:rsidRDefault="00000000">
      <w:r>
        <w:t>39.</w:t>
      </w:r>
      <w:r>
        <w:tab/>
        <w:t>To comply with their international obligations in relation to article 12, States parties have to respect the enjoyment of the right to health in other countries, and to prevent third parties from violating the right in other countries, if they are able to influence these third parties by way of legal or political means, in accordance with the Charter of the United Nations and applicable international law.  Depending on the availability of resources, States should facilitate access to essential health facilities, goods and services in other countries, wherever possible, and provide the necessary aid when required.</w:t>
      </w:r>
      <w:r>
        <w:rPr>
          <w:rStyle w:val="EndnoteReference"/>
        </w:rPr>
        <w:endnoteReference w:id="127"/>
      </w:r>
      <w:r>
        <w:t xml:space="preserve">  States parties should ensure that the right to health is given due attention in international agreements and, to that end, should consider the development of further legal instruments.  In relation to the conclusion of other international agreements, States parties should take steps to ensure that these instruments do not adversely impact upon the right to health.  Similarly, States parties have an obligation to ensure that their actions as members of international organizations take due account of the right to health.  Accordingly, States parties which are members of international financial institutions, notably the International Monetary Fund, the World Bank, and regional development banks, should pay greater attention to the protection of the right to health in influencing the lending policies, credit agreements and international measures of these institutions.</w:t>
      </w:r>
    </w:p>
    <w:p w:rsidR="00000000" w:rsidRDefault="00000000">
      <w:r>
        <w:t>40.</w:t>
      </w:r>
      <w:r>
        <w:tab/>
        <w:t>States parties have a joint and individual responsibility, in accordance with the Charter of the United Nations and relevant resolutions of the United Nations General Assembly and of the World Health Assembly, to cooperate in providing disaster relief and humanitarian assistance in times of emergency, including assistance to refugees and internally displaced persons.  Each State should contribute to this task to the maximum of its capacities.  Priority in the provision of international medical aid, distribution and management of resources, such as safe and potable water, food and medical supplies, and financial aid should be given to the most vulnerable or marginalized groups of the population.  Moreover, given that some diseases are easily transmissible beyond the frontiers of a State, the international community has a collective responsibility to address this problem.  The economically developed States parties have a special responsibility and interest to assist the poorer developing States in this regard.</w:t>
      </w:r>
    </w:p>
    <w:p w:rsidR="00000000" w:rsidRDefault="00000000">
      <w:r>
        <w:t>41.</w:t>
      </w:r>
      <w:r>
        <w:tab/>
        <w:t xml:space="preserve">States parties should refrain at all times from imposing embargoes or similar measures restricting the supply of another State with adequate medicines and medical equipment.  Restrictions on such goods should never be used as an instrument of political and economic pressure.  In this regard, the Committee recalls its position, stated in </w:t>
      </w:r>
      <w:r>
        <w:rPr>
          <w:color w:val="000000"/>
        </w:rPr>
        <w:t>general comment</w:t>
      </w:r>
      <w:r>
        <w:t xml:space="preserve"> No. 8, on the relationship between economic sanctions and respect for economic, social and cultural rights.</w:t>
      </w:r>
    </w:p>
    <w:p w:rsidR="00000000" w:rsidRDefault="00000000">
      <w:r>
        <w:t>42.</w:t>
      </w:r>
      <w:r>
        <w:tab/>
        <w:t xml:space="preserve">While only States are parties to the Covenant and thus ultimately accountable for compliance with it, all members of society </w:t>
      </w:r>
      <w:r>
        <w:noBreakHyphen/>
        <w:t xml:space="preserve"> individuals, including health professionals, families, local communities, intergovernmental and non</w:t>
      </w:r>
      <w:r>
        <w:noBreakHyphen/>
        <w:t xml:space="preserve">governmental organizations, civil society organizations, as well as the private business sector </w:t>
      </w:r>
      <w:r>
        <w:noBreakHyphen/>
        <w:t xml:space="preserve"> have responsibilities regarding the realization of the right to health.  States parties should therefore provide an environment which facilitates the discharge of these responsibilities.</w:t>
      </w:r>
    </w:p>
    <w:p w:rsidR="00000000" w:rsidRDefault="00000000">
      <w:pPr>
        <w:pStyle w:val="Heading3"/>
      </w:pPr>
      <w:r>
        <w:t>Core obligations</w:t>
      </w:r>
    </w:p>
    <w:p w:rsidR="00000000" w:rsidRDefault="00000000">
      <w:r>
        <w:t>43.</w:t>
      </w:r>
      <w:r>
        <w:tab/>
        <w:t xml:space="preserve">In </w:t>
      </w:r>
      <w:r>
        <w:rPr>
          <w:color w:val="000000"/>
        </w:rPr>
        <w:t>general comment</w:t>
      </w:r>
      <w:r>
        <w:t xml:space="preserve"> No. 3, the Committee confirms that States parties have a core obligation to ensure the satisfaction of, at the very least, minimum essential levels of each of the rights enunciated in the Covenant, including essential primary health care.  Read in conjunction with more contemporary instruments, such as the Programme of Action of the International Conference on Population and Development,</w:t>
      </w:r>
      <w:r>
        <w:rPr>
          <w:rStyle w:val="FootnoteReference"/>
        </w:rPr>
        <w:endnoteReference w:id="128"/>
      </w:r>
      <w:r>
        <w:t xml:space="preserve"> the Alma</w:t>
      </w:r>
      <w:r>
        <w:noBreakHyphen/>
        <w:t>Ata Declaration provides compelling guidance on the core obligations arising from article 12.  Accordingly, in the Committee’s view, these core obligations include at least the following obligations:</w:t>
      </w:r>
    </w:p>
    <w:p w:rsidR="00000000" w:rsidRDefault="00000000">
      <w:r>
        <w:tab/>
        <w:t>(a)</w:t>
      </w:r>
      <w:r>
        <w:tab/>
        <w:t>To ensure the right of access to health facilities, goods and services on a non</w:t>
      </w:r>
      <w:r>
        <w:noBreakHyphen/>
        <w:t>discriminatory basis, especially for vulnerable or marginalized groups;</w:t>
      </w:r>
    </w:p>
    <w:p w:rsidR="00000000" w:rsidRDefault="00000000">
      <w:r>
        <w:tab/>
        <w:t>(b)</w:t>
      </w:r>
      <w:r>
        <w:tab/>
        <w:t>To ensure access to the minimum essential food which is nutritionally adequate and safe, to ensure freedom from hunger to everyone;</w:t>
      </w:r>
    </w:p>
    <w:p w:rsidR="00000000" w:rsidRDefault="00000000">
      <w:r>
        <w:tab/>
        <w:t>(c)</w:t>
      </w:r>
      <w:r>
        <w:tab/>
        <w:t>To ensure access to basic shelter, housing and sanitation, and an adequate supply of safe and potable water;</w:t>
      </w:r>
    </w:p>
    <w:p w:rsidR="00000000" w:rsidRDefault="00000000">
      <w:r>
        <w:tab/>
        <w:t>(d)</w:t>
      </w:r>
      <w:r>
        <w:tab/>
        <w:t>To provide essential drugs, as from time to time defined under the WHO Action Programme on Essential Drugs;</w:t>
      </w:r>
    </w:p>
    <w:p w:rsidR="00000000" w:rsidRDefault="00000000">
      <w:r>
        <w:tab/>
        <w:t>(e)</w:t>
      </w:r>
      <w:r>
        <w:tab/>
        <w:t>To ensure equitable distribution of all health facilities, goods and services;</w:t>
      </w:r>
    </w:p>
    <w:p w:rsidR="00000000" w:rsidRDefault="00000000">
      <w:r>
        <w:tab/>
        <w:t>(f)</w:t>
      </w:r>
      <w:r>
        <w:tab/>
        <w:t>To adopt and implement a national public health strategy and plan of action, on the basis of epidemiological evidence, addressing the health concerns of the whole population; the strategy and plan of action shall be devised, and periodically reviewed, on the basis of a participatory and transparent process; they shall include methods, such as right to health indicators and benchmarks, by which progress can be closely monitored; the process by which the strategy and plan of action are devised, as well as their content, shall give particular attention to all vulnerable or marginalized groups.</w:t>
      </w:r>
    </w:p>
    <w:p w:rsidR="00000000" w:rsidRDefault="00000000">
      <w:r>
        <w:t>44.</w:t>
      </w:r>
      <w:r>
        <w:tab/>
        <w:t>The Committee also confirms that the following are obligations of comparable priority:</w:t>
      </w:r>
    </w:p>
    <w:p w:rsidR="00000000" w:rsidRDefault="00000000">
      <w:r>
        <w:tab/>
        <w:t>(a)</w:t>
      </w:r>
      <w:r>
        <w:tab/>
        <w:t>To ensure reproductive, maternal (prenatal as well as post</w:t>
      </w:r>
      <w:r>
        <w:noBreakHyphen/>
        <w:t>natal) and child health care;</w:t>
      </w:r>
    </w:p>
    <w:p w:rsidR="00000000" w:rsidRDefault="00000000">
      <w:r>
        <w:tab/>
        <w:t>(b)</w:t>
      </w:r>
      <w:r>
        <w:tab/>
        <w:t>To provide immunization against the major infectious diseases occurring in the community;</w:t>
      </w:r>
    </w:p>
    <w:p w:rsidR="00000000" w:rsidRDefault="00000000">
      <w:r>
        <w:tab/>
        <w:t>(c)</w:t>
      </w:r>
      <w:r>
        <w:tab/>
        <w:t>To take measures to prevent, treat and control epidemic and endemic diseases;</w:t>
      </w:r>
    </w:p>
    <w:p w:rsidR="00000000" w:rsidRDefault="00000000">
      <w:r>
        <w:tab/>
        <w:t>(d)</w:t>
      </w:r>
      <w:r>
        <w:tab/>
        <w:t>To provide education and access to information concerning the main health problems in the community, including methods of preventing and controlling them;</w:t>
      </w:r>
    </w:p>
    <w:p w:rsidR="00000000" w:rsidRDefault="00000000">
      <w:r>
        <w:tab/>
        <w:t>(e)</w:t>
      </w:r>
      <w:r>
        <w:tab/>
        <w:t>To provide appropriate training for health personnel, including education on health and human rights.</w:t>
      </w:r>
    </w:p>
    <w:p w:rsidR="00000000" w:rsidRDefault="00000000">
      <w:r>
        <w:t>45.</w:t>
      </w:r>
      <w:r>
        <w:tab/>
        <w:t>For the avoidance of any doubt, the Committee wishes to emphasize that it is particularly incumbent on States parties and other actors in a position to assist, to provide “international assistance and cooperation, especially economic and technical”</w:t>
      </w:r>
      <w:r>
        <w:rPr>
          <w:rStyle w:val="FootnoteReference"/>
        </w:rPr>
        <w:endnoteReference w:id="129"/>
      </w:r>
      <w:r>
        <w:t xml:space="preserve"> which enable developing countries to fulfil their core and other obligations indicated in paragraphs 43 and 44 above.</w:t>
      </w:r>
    </w:p>
    <w:p w:rsidR="00000000" w:rsidRDefault="00000000">
      <w:pPr>
        <w:pStyle w:val="Heading2"/>
      </w:pPr>
      <w:r>
        <w:t>3.  Violations</w:t>
      </w:r>
    </w:p>
    <w:p w:rsidR="00000000" w:rsidRDefault="00000000">
      <w:r>
        <w:t>46.</w:t>
      </w:r>
      <w:r>
        <w:tab/>
        <w:t>When the normative content of article 12 (Part I) is applied to the obligations of States parties (Part II), a dynamic process is set in motion which facilitates identification of violations of the right to health.  The following paragraphs provide illustrations of violations of article 12.</w:t>
      </w:r>
    </w:p>
    <w:p w:rsidR="00000000" w:rsidRDefault="00000000">
      <w:r>
        <w:t>47.</w:t>
      </w:r>
      <w:r>
        <w:tab/>
        <w:t>In determining which actions or omissions amount to a violation of the right to health, it is important to distinguish the inability from the unwillingness of a State party to comply with its obligations under article 12.  This follows from article 12.1, which speaks of the highest attainable standard of health, as well as from article 2.1 of the Covenant, which obliges each State party to take the necessary steps to the maximum of its available resources.  A State which is unwilling to use the maximum of its available resources for the realization of the right to health is in violation of its obligations under article 12.  If resource constraints render it impossible for a State to comply fully with its Covenant obligations, it has the burden of justifying that every effort has nevertheless been made to use all available resources at its disposal in order to satisfy, as a matter of priority, the obligations outlined above.  It should be stressed, however, that a State party cannot, under any circumstances whatsoever, justify its non</w:t>
      </w:r>
      <w:r>
        <w:noBreakHyphen/>
        <w:t>compliance with the core obligations set out in paragraph 43 above, which are non</w:t>
      </w:r>
      <w:r>
        <w:noBreakHyphen/>
        <w:t>derogable.</w:t>
      </w:r>
    </w:p>
    <w:p w:rsidR="00000000" w:rsidRDefault="00000000">
      <w:r>
        <w:t>48.</w:t>
      </w:r>
      <w:r>
        <w:tab/>
        <w:t xml:space="preserve">Violations of the right to health can occur through the direct action of States or other entities insufficiently regulated by States.  The adoption of any retrogressive measures incompatible with the core obligations under the right to health, outlined in paragraph 43 above, constitutes a violation of the right to health.  Violations through </w:t>
      </w:r>
      <w:r>
        <w:rPr>
          <w:i/>
        </w:rPr>
        <w:t>acts of commission</w:t>
      </w:r>
      <w:r>
        <w:t xml:space="preserve"> include the formal repeal or suspension of legislation necessary for the continued enjoyment of the right to health or the adoption of legislation or policies which are manifestly incompatible with pre</w:t>
      </w:r>
      <w:r>
        <w:noBreakHyphen/>
        <w:t>existing domestic or international legal obligations in relation to the right to health.</w:t>
      </w:r>
    </w:p>
    <w:p w:rsidR="00000000" w:rsidRDefault="00000000">
      <w:r>
        <w:t>49.</w:t>
      </w:r>
      <w:r>
        <w:tab/>
        <w:t xml:space="preserve">Violations of the right to health can also occur through the omission or failure of States to take necessary measures arising from legal obligations.  Violations through </w:t>
      </w:r>
      <w:r>
        <w:rPr>
          <w:i/>
        </w:rPr>
        <w:t>acts of omission</w:t>
      </w:r>
      <w:r>
        <w:t xml:space="preserve"> include the failure to take appropriate steps towards the full realization of everyone’s right to the enjoyment of the </w:t>
      </w:r>
      <w:r>
        <w:rPr>
          <w:bCs/>
        </w:rPr>
        <w:t>h</w:t>
      </w:r>
      <w:r>
        <w:t>ighest attainable standard of physical and mental health, the failure to have a national policy on occupational safety and health as well as occupational health services, and the failure to enforce relevant laws.</w:t>
      </w:r>
    </w:p>
    <w:p w:rsidR="00000000" w:rsidRDefault="00000000">
      <w:pPr>
        <w:pStyle w:val="Heading3"/>
      </w:pPr>
      <w:r>
        <w:t>Violations of the obligation to respect</w:t>
      </w:r>
    </w:p>
    <w:p w:rsidR="00000000" w:rsidRDefault="00000000">
      <w:r>
        <w:t>50.</w:t>
      </w:r>
      <w:r>
        <w:tab/>
        <w:t>Violations of the obligation to respect are those State actions, policies or laws that contravene the standards set out in article 12 of the Covenant and are likely to result in bodily harm, unnecessary morbidity and preventable mortality.  Examples include the denial of access to health facilities, goods and services to particular individuals or groups as a result of de jure or de facto discrimination; the deliberate withholding or misrepresentation of information vital to health protection or treatment; the suspension of legislation or the adoption of laws or policies that interfere with the enjoyment of any of the components of the right to health; and the failure of the State to take into account its legal obligations regarding the right to health when entering into bilateral or multilateral agreements with other States, international organizations and other entities, such as multinational corporations.</w:t>
      </w:r>
    </w:p>
    <w:p w:rsidR="00000000" w:rsidRDefault="00000000">
      <w:pPr>
        <w:pStyle w:val="Heading3"/>
      </w:pPr>
      <w:r>
        <w:t>Violations of the obligation to protect</w:t>
      </w:r>
    </w:p>
    <w:p w:rsidR="00000000" w:rsidRDefault="00000000">
      <w:r>
        <w:t>51.</w:t>
      </w:r>
      <w:r>
        <w:tab/>
        <w:t>Violations of the obligation to protect follow from the failure of a State to take all necessary measures to safeguard persons within their jurisdiction from infringements of the right to health by third parties.  This category includes such omissions as the failure to regulate the activities of individuals, groups or corporations so as to prevent them from violating the right to health of others; the failure to protect consumers and workers from practices detrimental to health, e.g. by employers and manufacturers of medicines or food; the failure to discourage production, marketing and consumption of tobacco, narcotics and other harmful substances; the failure to protect women against violence or to prosecute perpetrators; the failure to discourage the continued observance of harmful traditional medical or cultural practices; and the failure to enact or enforce laws to prevent the pollution of water, air and soil by extractive and manufacturing industries.</w:t>
      </w:r>
    </w:p>
    <w:p w:rsidR="00000000" w:rsidRDefault="00000000">
      <w:pPr>
        <w:pStyle w:val="Heading3"/>
      </w:pPr>
      <w:r>
        <w:t>Violations of the obligation to fulfil</w:t>
      </w:r>
    </w:p>
    <w:p w:rsidR="00000000" w:rsidRDefault="00000000">
      <w:r>
        <w:t>52.</w:t>
      </w:r>
      <w:r>
        <w:tab/>
        <w:t>Violations of the obligation to fulfil occur through the failure of States parties to take all necessary steps to ensure the realization of the right to health.  Examples include the failure to adopt or implement a national health policy designed to ensure the right to health for everyone; insufficient expenditure or misallocation of public resources which results in the non</w:t>
      </w:r>
      <w:r>
        <w:noBreakHyphen/>
        <w:t>enjoyment of the right to health by individuals or groups, particularly the vulnerable or marginalized; the failure to monitor the realization of the right to health at the national level, for example by identifying right to health indicators and benchmarks; the failure to take measures to reduce the inequitable distribution of health facilities, goods and services; the failure to adopt a gender</w:t>
      </w:r>
      <w:r>
        <w:noBreakHyphen/>
        <w:t>sensitive approach to health; and the failure to reduce infant and maternal mortality rates.</w:t>
      </w:r>
    </w:p>
    <w:p w:rsidR="00000000" w:rsidRDefault="00000000">
      <w:pPr>
        <w:pStyle w:val="Heading2"/>
      </w:pPr>
      <w:r>
        <w:t>4.  Implementation at the national level</w:t>
      </w:r>
    </w:p>
    <w:p w:rsidR="00000000" w:rsidRDefault="00000000">
      <w:pPr>
        <w:pStyle w:val="Heading3"/>
      </w:pPr>
      <w:r>
        <w:t>Framework legislation</w:t>
      </w:r>
    </w:p>
    <w:p w:rsidR="00000000" w:rsidRDefault="00000000">
      <w:r>
        <w:t>53.</w:t>
      </w:r>
      <w:r>
        <w:tab/>
        <w:t>The most appropriate feasible measures to implement the right to health will vary significantly from one State to another.  Every State has a margin of discretion in assessing which measures are most suitable to meet its specific circumstances.  The Covenant, however, clearly imposes a duty on each State to take whatever steps are necessary to ensure that everyone has access to health facilities, goods and services so that they can enjoy, as soon as possible, the highest attainable standard of physical and mental health.  This requires the adoption of a national strategy to ensure to all the enjoyment of the right to health, based on human rights principles which define the objectives of that strategy, and the formulation of policies and corresponding right to health indicators and benchmarks.  The national health strategy should also identify the resources available to attain defined objectives, as well as the most cost</w:t>
      </w:r>
      <w:r>
        <w:noBreakHyphen/>
        <w:t>effective way of using those resources.</w:t>
      </w:r>
    </w:p>
    <w:p w:rsidR="00000000" w:rsidRDefault="00000000">
      <w:r>
        <w:t>54.</w:t>
      </w:r>
      <w:r>
        <w:tab/>
        <w:t>The formulation and implementation of national health strategies and plans of action should respect, inter alia, the principles of non</w:t>
      </w:r>
      <w:r>
        <w:noBreakHyphen/>
        <w:t>discrimination and people’s participation.  In particular, the right of individuals and groups to participate in decision</w:t>
      </w:r>
      <w:r>
        <w:noBreakHyphen/>
        <w:t>making processes, which may affect their development, must be an integral component of any policy, programme or strategy developed to discharge governmental obligations under article 12.  Promoting health must involve effective community action in setting priorities, making decisions, planning, implementing and evaluating strategies to achieve better health.  Effective provision of health services can only be assured if people’s participation is secured by States.</w:t>
      </w:r>
    </w:p>
    <w:p w:rsidR="00000000" w:rsidRDefault="00000000">
      <w:r>
        <w:t>55.</w:t>
      </w:r>
      <w:r>
        <w:tab/>
        <w:t>The national health strategy and plan of action should also be based on the principles of accountability, transparency and independence of the judiciary, since good governance is essential to the effective implementation of all human rights, including the realization of the right to health.  In order to create a favourable climate for the realization of the right, States parties should take appropriate steps to ensure that the private business sector and civil society are aware of, and consider the importance of, the right to health in pursuing their activities.</w:t>
      </w:r>
    </w:p>
    <w:p w:rsidR="00000000" w:rsidRDefault="00000000">
      <w:r>
        <w:t>56.</w:t>
      </w:r>
      <w:r>
        <w:tab/>
        <w:t>States should consider adopting a framework law to operationalize their right to health national strategy.  The framework law should establish national mechanisms for monitoring the implementation of national health strategies and plans of action.  It should include provisions on the targets to be achieved and the time frame for their achievement; the means by which right to health benchmarks could be achieved; the intended collaboration with civil society, including health experts, the private sector and international organizations; institutional responsibility for the implementation of the right to health national strategy and plan of action; and possible recourse procedures.  In monitoring progress towards the realization of the right to health, States parties should identify the factors and difficulties affecting implementation of their obligations.</w:t>
      </w:r>
    </w:p>
    <w:p w:rsidR="00000000" w:rsidRDefault="00000000">
      <w:pPr>
        <w:pStyle w:val="Heading3"/>
      </w:pPr>
      <w:r>
        <w:t>Right to health indicators and benchmarks</w:t>
      </w:r>
    </w:p>
    <w:p w:rsidR="00000000" w:rsidRDefault="00000000">
      <w:r>
        <w:t>57.</w:t>
      </w:r>
      <w:r>
        <w:tab/>
        <w:t>National health strategies should identify appropriate right to health indicators and benchmarks.  The indicators should be designed to monitor, at the national and international levels, the State party’s obligations under article 12.  States may obtain guidance on appropriate right to health indicators, which should address different aspects of the right to health, from the ongoing work of WHO and the United Nations Children’s Fund (UNICEF) in this field.  Right to health indicators require disaggregation on the prohibited grounds of discrimination.</w:t>
      </w:r>
    </w:p>
    <w:p w:rsidR="00000000" w:rsidRDefault="00000000">
      <w:r>
        <w:t>58.</w:t>
      </w:r>
      <w:r>
        <w:tab/>
        <w:t>Having identified appropriate right to health indicators, States parties are invited to set appropriate national benchmarks in relation to each indicator.  During the periodic reporting procedure the Committee will engage in a process of scoping with the State party.  Scoping involves the joint consideration by the State party and the Committee of the indicators and national benchmarks which will then provide the targets to be achieved during the next reporting period.  In the following five years, the State party will use these national benchmarks to help monitor its implementation of article 12.  Thereafter, in the subsequent reporting process, the State party and the Committee will consider whether or not the benchmarks have been achieved, and the reasons for any difficulties that may have been encountered.</w:t>
      </w:r>
    </w:p>
    <w:p w:rsidR="00000000" w:rsidRDefault="00000000">
      <w:pPr>
        <w:pStyle w:val="Heading3"/>
      </w:pPr>
      <w:r>
        <w:t>Remedies and accountability</w:t>
      </w:r>
    </w:p>
    <w:p w:rsidR="00000000" w:rsidRDefault="00000000">
      <w:r>
        <w:t>59.</w:t>
      </w:r>
      <w:r>
        <w:tab/>
        <w:t>Any person or group victim of a violation of the right to health should have access to effective judicial or other appropriate remedies at both national and international levels.</w:t>
      </w:r>
      <w:r>
        <w:rPr>
          <w:rStyle w:val="FootnoteReference"/>
        </w:rPr>
        <w:endnoteReference w:id="130"/>
      </w:r>
      <w:r>
        <w:t xml:space="preserve">  All victims of such violations should be entitled to adequate reparation, which may take the form of restitution, compensation, satisfaction or guarantees of non</w:t>
      </w:r>
      <w:r>
        <w:noBreakHyphen/>
        <w:t>repetition.  National ombudsmen, human rights commissions, consumer forums, patients’ rights associations or similar institutions should address violations of the right to health.</w:t>
      </w:r>
    </w:p>
    <w:p w:rsidR="00000000" w:rsidRDefault="00000000">
      <w:r>
        <w:br w:type="page"/>
        <w:t>60.</w:t>
      </w:r>
      <w:r>
        <w:tab/>
        <w:t>The incorporation in the domestic legal order of international instruments recognizing the right to health can significantly enhance the scope and effectiveness of remedial measures and should be encouraged in all cases.</w:t>
      </w:r>
      <w:r>
        <w:rPr>
          <w:rStyle w:val="EndnoteReference"/>
        </w:rPr>
        <w:endnoteReference w:id="131"/>
      </w:r>
      <w:r>
        <w:t xml:space="preserve">  Incorporation enables courts to adjudicate violations of the right to health, or at least its core obligations, by direct reference to the Covenant.</w:t>
      </w:r>
    </w:p>
    <w:p w:rsidR="00000000" w:rsidRDefault="00000000">
      <w:r>
        <w:t>61.</w:t>
      </w:r>
      <w:r>
        <w:tab/>
        <w:t>Judges and members of the legal profession should be encouraged by States parties to pay greater attention to violations of the right to health in the exercise of their functions.</w:t>
      </w:r>
    </w:p>
    <w:p w:rsidR="00000000" w:rsidRDefault="00000000">
      <w:r>
        <w:t>62.</w:t>
      </w:r>
      <w:r>
        <w:tab/>
        <w:t>States parties should respect, protect, facilitate and promote the work of human rights advocates and other members of civil society with a view to assisting vulnerable or marginalized groups in the realization of their right to health.</w:t>
      </w:r>
    </w:p>
    <w:p w:rsidR="00000000" w:rsidRDefault="00000000">
      <w:pPr>
        <w:pStyle w:val="Heading2"/>
      </w:pPr>
      <w:r>
        <w:t>5.  Obligations of actors other than States parties</w:t>
      </w:r>
    </w:p>
    <w:p w:rsidR="00000000" w:rsidRDefault="00000000">
      <w:r>
        <w:t>63.</w:t>
      </w:r>
      <w:r>
        <w:tab/>
        <w:t>The role of the United Nations agencies and programmes, and in particular the key function assigned to WHO in realizing the right to health at the international, regional and country levels, is of particular importance, as is the function of UNICEF in relation to the right to health of children.  When formulating and implementing their right to health national strategies, States parties should avail themselves of technical assistance and cooperation of WHO.  Further, when preparing their reports, States parties should utilize the extensive information and advisory services of WHO with regard to data collection, disaggregation, and the development of right to health indicators and benchmarks.</w:t>
      </w:r>
    </w:p>
    <w:p w:rsidR="00000000" w:rsidRDefault="00000000">
      <w:r>
        <w:t>64.</w:t>
      </w:r>
      <w:r>
        <w:tab/>
        <w:t>Moreover, coordinated efforts for the realization of the right to health should be maintained to enhance the interaction among all the actors concerned, including the various components of civil society.  In conformity with articles 22 and 23 of the Covenant, WHO, the International Labour Organization, the United Nations Development Programme, UNICEF, the United Nations Population Fund, the World Bank, regional development banks, the International Monetary Fund, the World Trade Organization and other relevant bodies within the United Nations system, should cooperate effectively with States parties, building on their respective expertise, in relation to the implementation of the right to health at the national level, with due respect to their individual mandates.  In particular, the international financial institutions, notably the World Bank and the International Monetary Fund, should pay greater attention to the protection of the right to health in their lending policies, credit agreements and structural adjustment programmes.  When examining the reports of States parties and their ability to meet the obligations under article 12, the Committee will consider the effects of the assistance provided by all other actors.  The adoption of a human rights</w:t>
      </w:r>
      <w:r>
        <w:noBreakHyphen/>
        <w:t>based approach by United Nations specialized agencies, programmes and bodies will greatly facilitate implementation of the right to health.  In the course of its examination of States parties’ reports, the Committee will also consider the role of health professional associations  and other non</w:t>
      </w:r>
      <w:r>
        <w:noBreakHyphen/>
        <w:t>governmental organizations in relation to the States’ obligations under article 12.</w:t>
      </w:r>
    </w:p>
    <w:p w:rsidR="00000000" w:rsidRDefault="00000000">
      <w:r>
        <w:br w:type="page"/>
        <w:t>65.</w:t>
      </w:r>
      <w:r>
        <w:tab/>
        <w:t>The role of WHO, the Office of the United Nations High Commissioner for Refugees, the International Committee of the Red Cross/Red Crescent and UNICEF, as well as non</w:t>
      </w:r>
      <w:r>
        <w:noBreakHyphen/>
        <w:t>governmental organizations and national medical associations, is of particular importance in relation to disaster relief and humanitarian assistance in times of emergencies, including assistance to refugees and internally displaced persons.  Priority in the provision of international medical aid, distribution and management of resources, such as safe and potable water, food and medical supplies, and financial aid should be given to the most vulnerable or marginalized groups of the population.</w:t>
      </w:r>
    </w:p>
    <w:p w:rsidR="00000000" w:rsidRDefault="00000000">
      <w:r>
        <w:t>Adopted on 11 May 2000.</w:t>
      </w:r>
    </w:p>
    <w:p w:rsidR="00000000" w:rsidRDefault="00000000">
      <w:pPr>
        <w:pStyle w:val="Heading2"/>
        <w:spacing w:after="0"/>
        <w:sectPr w:rsidR="00000000">
          <w:headerReference w:type="even" r:id="rId33"/>
          <w:headerReference w:type="default" r:id="rId34"/>
          <w:footerReference w:type="even" r:id="rId35"/>
          <w:endnotePr>
            <w:numFmt w:val="decimal"/>
            <w:numRestart w:val="eachSect"/>
          </w:endnotePr>
          <w:type w:val="continuous"/>
          <w:pgSz w:w="11907" w:h="16840" w:code="9"/>
          <w:pgMar w:top="567" w:right="851" w:bottom="1701" w:left="1701" w:header="851" w:footer="1985" w:gutter="0"/>
          <w:paperSrc w:first="84" w:other="84"/>
          <w:cols w:space="720"/>
        </w:sectPr>
      </w:pPr>
      <w:r>
        <w:t>Notes</w:t>
      </w:r>
    </w:p>
    <w:p w:rsidR="00000000" w:rsidRDefault="00000000">
      <w:pPr>
        <w:pStyle w:val="Heading2"/>
      </w:pPr>
      <w:r>
        <w:t>Twenty-ninth session (2002)</w:t>
      </w:r>
    </w:p>
    <w:p w:rsidR="00000000" w:rsidRDefault="00000000">
      <w:pPr>
        <w:pStyle w:val="Heading2"/>
      </w:pPr>
      <w:bookmarkStart w:id="67" w:name="_Toc481083363"/>
      <w:bookmarkStart w:id="68" w:name="_Toc70388962"/>
      <w:bookmarkStart w:id="69" w:name="_Toc70516952"/>
      <w:r>
        <w:t>General comment No. 15:  The right to water</w:t>
      </w:r>
      <w:r>
        <w:br/>
        <w:t>(arts. 11 and 12 of the Covenant)</w:t>
      </w:r>
      <w:bookmarkEnd w:id="67"/>
      <w:bookmarkEnd w:id="68"/>
      <w:bookmarkEnd w:id="69"/>
    </w:p>
    <w:p w:rsidR="00000000" w:rsidRDefault="00000000">
      <w:pPr>
        <w:pStyle w:val="Heading2"/>
      </w:pPr>
      <w:r>
        <w:t>I.  Introduction</w:t>
      </w:r>
    </w:p>
    <w:p w:rsidR="00000000" w:rsidRDefault="00000000">
      <w:r>
        <w:t>1.</w:t>
      </w:r>
      <w:r>
        <w:tab/>
        <w:t>Water is a limited natural resource and a public good fundamental for life and health.  The human right to water is indispensable for leading a life in human dignity.  It is a prerequisite for the realization of other human rights.  The Committee has been confronted continually with the widespread denial of the right to water in developing as well as developed countries.  Over 1 billion persons lack access to a basic water supply, while several billion do not have access to adequate sanitation, which is the primary cause of water contamination and diseases linked to water.</w:t>
      </w:r>
      <w:r>
        <w:rPr>
          <w:rStyle w:val="EndnoteReference"/>
        </w:rPr>
        <w:endnoteReference w:id="132"/>
      </w:r>
      <w:r>
        <w:t xml:space="preserve"> The continuing contamination, depletion and unequal distribution of water is exacerbating existing poverty.  States parties have to adopt effective measures to realize, without discrimination, the right to water, as set out in this general comment.</w:t>
      </w:r>
    </w:p>
    <w:p w:rsidR="00000000" w:rsidRDefault="00000000">
      <w:pPr>
        <w:pStyle w:val="Heading3"/>
      </w:pPr>
      <w:r>
        <w:t>The legal bases of the right to water</w:t>
      </w:r>
    </w:p>
    <w:p w:rsidR="00000000" w:rsidRDefault="00000000">
      <w:r>
        <w:t>2.</w:t>
      </w:r>
      <w:r>
        <w:tab/>
        <w:t>The human right to water entitles everyone to sufficient, safe, acceptable, physically accessible and affordable water for personal and domestic uses.  An adequate amount of safe water is necessary to prevent death from dehydration, to reduce the risk of water-related disease and to provide for consumption, cooking, personal and domestic hygienic requirements.</w:t>
      </w:r>
    </w:p>
    <w:p w:rsidR="00000000" w:rsidRDefault="00000000">
      <w:r>
        <w:br w:type="page"/>
        <w:t>3.</w:t>
      </w:r>
      <w:r>
        <w:tab/>
        <w:t>Article 11, paragraph 1, of the Covenant specifies a number of rights emanating from, and indispensable for, the realization of the right to an adequate standard of living “including adequate food, clothing and housing”.  The use of the word “including” indicates that this catalogue of rights was not intended to be exhaustive.  The right to water clearly falls within the category of guarantees essential for securing an adequate standard of living, particularly since it is one of the most fundamental conditions for survival.  Moreover, the Committee has previously recognized that water is a human right contained in article 11, paragraph 1, (see general comment No. 6 (1995)).</w:t>
      </w:r>
      <w:r>
        <w:rPr>
          <w:rStyle w:val="EndnoteReference"/>
        </w:rPr>
        <w:endnoteReference w:id="133"/>
      </w:r>
      <w:r>
        <w:t xml:space="preserve">  The right to water is also inextricably related to the right to the highest attainable standard of health (art. 12, para. 1</w:t>
      </w:r>
      <w:r>
        <w:rPr>
          <w:bCs/>
        </w:rPr>
        <w:t>)</w:t>
      </w:r>
      <w:r>
        <w:rPr>
          <w:rStyle w:val="EndnoteReference"/>
        </w:rPr>
        <w:endnoteReference w:id="134"/>
      </w:r>
      <w:r>
        <w:t xml:space="preserve"> and the rights to adequate housing and adequate food (art. 11, para. 1).</w:t>
      </w:r>
      <w:r>
        <w:rPr>
          <w:rStyle w:val="EndnoteReference"/>
        </w:rPr>
        <w:endnoteReference w:id="135"/>
      </w:r>
      <w:r>
        <w:t xml:space="preserve">  The right should also be seen in conjunction with other rights enshrined in the International Bill of Human Rights, foremost amongst them the right to life and human dignity.</w:t>
      </w:r>
    </w:p>
    <w:p w:rsidR="00000000" w:rsidRDefault="00000000">
      <w:r>
        <w:t>4.</w:t>
      </w:r>
      <w:r>
        <w:tab/>
        <w:t>The right to water has been recognized in a wide range of international documents, including treaties, declarations and other standards.</w:t>
      </w:r>
      <w:r>
        <w:rPr>
          <w:rStyle w:val="EndnoteReference"/>
        </w:rPr>
        <w:endnoteReference w:id="136"/>
      </w:r>
      <w:r>
        <w:t xml:space="preserve">  For instance, Article 14, paragraph 2, of the Convention on the Elimination of All Forms of Discrimination Against Women stipulates that States parties shall ensure to women the right to “enjoy adequate living conditions, particularly in relation to […] water supply”.  Article 24, paragraph 2, of the Convention on the Rights of the Child requires States parties to combat disease and malnutrition “through the provision of adequate nutritious foods and clean drinking water”.</w:t>
      </w:r>
    </w:p>
    <w:p w:rsidR="00000000" w:rsidRDefault="00000000">
      <w:r>
        <w:t>5.</w:t>
      </w:r>
      <w:r>
        <w:tab/>
        <w:t>The right to water has been consistently addressed by the Committee during its consideration of States parties’ reports, in accordance with its revised general guidelines regarding the form and content of reports to be submitted by States parties under articles 16 and 17 of the International Covenant on Economic, Social and Cultural Rights, and its general comments.</w:t>
      </w:r>
    </w:p>
    <w:p w:rsidR="00000000" w:rsidRDefault="00000000">
      <w:pPr>
        <w:rPr>
          <w:rStyle w:val="NormalWeb"/>
        </w:rPr>
      </w:pPr>
      <w:r>
        <w:rPr>
          <w:caps/>
        </w:rPr>
        <w:t>6.</w:t>
      </w:r>
      <w:r>
        <w:rPr>
          <w:caps/>
        </w:rPr>
        <w:tab/>
        <w:t>W</w:t>
      </w:r>
      <w:r>
        <w:t>ater is required for a range of different purposes, besides personal and domestic uses, to realize many of the Covenant rights.  For instance, water is necessary to produce food (right to adequate food) and ensure environmental hygiene (right to health).  Water is essential for securing livelihoods (right to gain a living by work) and enjoying certain cultural practices (right to take part in cultural life).  Nevertheless, priority in the allocation of water must be given to the right to water for personal and domestic uses.  Priority should also be given to the water resources required to prevent starvation and disease, as well as water required to meet the core obligations of each of the Covenant rights.</w:t>
      </w:r>
      <w:r>
        <w:rPr>
          <w:rStyle w:val="EndnoteReference"/>
        </w:rPr>
        <w:endnoteReference w:id="137"/>
      </w:r>
    </w:p>
    <w:p w:rsidR="00000000" w:rsidRDefault="00000000">
      <w:pPr>
        <w:pStyle w:val="Heading3"/>
      </w:pPr>
      <w:r>
        <w:t>Water and Covenant rights</w:t>
      </w:r>
    </w:p>
    <w:p w:rsidR="00000000" w:rsidRDefault="00000000">
      <w:r>
        <w:t>7.</w:t>
      </w:r>
      <w:r>
        <w:tab/>
        <w:t xml:space="preserve">The </w:t>
      </w:r>
      <w:r>
        <w:rPr>
          <w:caps/>
        </w:rPr>
        <w:t>C</w:t>
      </w:r>
      <w:r>
        <w:t>ommittee notes the importance of ensuring sustainable access to water resources for agriculture to realize the right to adequate food (see general comment No. 12 (1999)).</w:t>
      </w:r>
      <w:r>
        <w:rPr>
          <w:rStyle w:val="EndnoteReference"/>
        </w:rPr>
        <w:endnoteReference w:id="138"/>
      </w:r>
      <w:r>
        <w:t xml:space="preserve">  </w:t>
      </w:r>
      <w:r>
        <w:rPr>
          <w:caps/>
        </w:rPr>
        <w:t>A</w:t>
      </w:r>
      <w:r>
        <w:t xml:space="preserve">ttention should be given to ensuring that disadvantaged and marginalized farmers, including women farmers, have equitable access to water and water management systems, including sustainable rain harvesting and irrigation technology.  </w:t>
      </w:r>
      <w:r>
        <w:rPr>
          <w:caps/>
        </w:rPr>
        <w:t>T</w:t>
      </w:r>
      <w:r>
        <w:t xml:space="preserve">aking note of the duty in article 1, paragraph 2, of the </w:t>
      </w:r>
      <w:r>
        <w:rPr>
          <w:caps/>
        </w:rPr>
        <w:t>C</w:t>
      </w:r>
      <w:r>
        <w:t xml:space="preserve">ovenant, which provides that a people may not “be deprived of its means of subsistence”, </w:t>
      </w:r>
      <w:r>
        <w:rPr>
          <w:caps/>
        </w:rPr>
        <w:t>S</w:t>
      </w:r>
      <w:r>
        <w:t>tates parties should ensure that</w:t>
      </w:r>
      <w:r>
        <w:rPr>
          <w:b/>
          <w:caps/>
        </w:rPr>
        <w:t xml:space="preserve"> </w:t>
      </w:r>
      <w:r>
        <w:t>there is adequate access to water for subsistence farming and for securing the livelihoods of indigenous peoples.</w:t>
      </w:r>
      <w:r>
        <w:rPr>
          <w:rStyle w:val="EndnoteReference"/>
        </w:rPr>
        <w:endnoteReference w:id="139"/>
      </w:r>
    </w:p>
    <w:p w:rsidR="00000000" w:rsidRDefault="00000000">
      <w:r>
        <w:br w:type="page"/>
        <w:t>8.</w:t>
      </w:r>
      <w:r>
        <w:tab/>
        <w:t xml:space="preserve">Environmental hygiene, as an aspect of the right to health under article 12, paragraph 2 (b), of the </w:t>
      </w:r>
      <w:r>
        <w:rPr>
          <w:caps/>
        </w:rPr>
        <w:t>C</w:t>
      </w:r>
      <w:r>
        <w:t>ovenant, encompasses taking steps on a non-discriminatory basis to prevent threats to health from unsafe and toxic water conditions.</w:t>
      </w:r>
      <w:r>
        <w:rPr>
          <w:rStyle w:val="EndnoteReference"/>
        </w:rPr>
        <w:endnoteReference w:id="140"/>
      </w:r>
      <w:r>
        <w:t xml:space="preserve">  For example, </w:t>
      </w:r>
      <w:r>
        <w:rPr>
          <w:caps/>
        </w:rPr>
        <w:t>S</w:t>
      </w:r>
      <w:r>
        <w:t xml:space="preserve">tates parties should ensure that natural water resources are protected from contamination by harmful substances and pathogenic microbes.  Likewise, </w:t>
      </w:r>
      <w:r>
        <w:rPr>
          <w:caps/>
        </w:rPr>
        <w:t>S</w:t>
      </w:r>
      <w:r>
        <w:t>tates parties should monitor and combat situations where aquatic ecosystems serve as a habitat for vectors of diseases wherever they pose a risk to human living environments.</w:t>
      </w:r>
      <w:r>
        <w:rPr>
          <w:rStyle w:val="EndnoteReference"/>
        </w:rPr>
        <w:endnoteReference w:id="141"/>
      </w:r>
    </w:p>
    <w:p w:rsidR="00000000" w:rsidRDefault="00000000">
      <w:r>
        <w:t>9.</w:t>
      </w:r>
      <w:r>
        <w:tab/>
        <w:t xml:space="preserve">With a view to assisting </w:t>
      </w:r>
      <w:r>
        <w:rPr>
          <w:caps/>
        </w:rPr>
        <w:t>S</w:t>
      </w:r>
      <w:r>
        <w:t xml:space="preserve">tates parties’ implementation of the Covenant and the fulfilment of their reporting obligations, this general comment focuses in </w:t>
      </w:r>
      <w:r>
        <w:rPr>
          <w:caps/>
        </w:rPr>
        <w:t>P</w:t>
      </w:r>
      <w:r>
        <w:t xml:space="preserve">art </w:t>
      </w:r>
      <w:r>
        <w:rPr>
          <w:caps/>
        </w:rPr>
        <w:t xml:space="preserve">II </w:t>
      </w:r>
      <w:r>
        <w:t xml:space="preserve">on the normative content of the right to water in articles 11, paragraph 1, and 12, on </w:t>
      </w:r>
      <w:r>
        <w:rPr>
          <w:caps/>
        </w:rPr>
        <w:t>S</w:t>
      </w:r>
      <w:r>
        <w:t>tates parties’ obligations (</w:t>
      </w:r>
      <w:r>
        <w:rPr>
          <w:caps/>
        </w:rPr>
        <w:t>P</w:t>
      </w:r>
      <w:r>
        <w:t xml:space="preserve">art </w:t>
      </w:r>
      <w:r>
        <w:rPr>
          <w:caps/>
        </w:rPr>
        <w:t>III</w:t>
      </w:r>
      <w:r>
        <w:t>), on violations (</w:t>
      </w:r>
      <w:r>
        <w:rPr>
          <w:caps/>
        </w:rPr>
        <w:t>P</w:t>
      </w:r>
      <w:r>
        <w:t xml:space="preserve">art </w:t>
      </w:r>
      <w:r>
        <w:rPr>
          <w:caps/>
        </w:rPr>
        <w:t>IV</w:t>
      </w:r>
      <w:r>
        <w:t>) and on implementation at the national level (</w:t>
      </w:r>
      <w:r>
        <w:rPr>
          <w:caps/>
        </w:rPr>
        <w:t>P</w:t>
      </w:r>
      <w:r>
        <w:t>art </w:t>
      </w:r>
      <w:r>
        <w:rPr>
          <w:caps/>
        </w:rPr>
        <w:t>V</w:t>
      </w:r>
      <w:r>
        <w:t xml:space="preserve">), while the obligations of actors other than </w:t>
      </w:r>
      <w:r>
        <w:rPr>
          <w:caps/>
        </w:rPr>
        <w:t>S</w:t>
      </w:r>
      <w:r>
        <w:t xml:space="preserve">tates parties are addressed in </w:t>
      </w:r>
      <w:r>
        <w:rPr>
          <w:caps/>
        </w:rPr>
        <w:t>P</w:t>
      </w:r>
      <w:r>
        <w:t xml:space="preserve">art </w:t>
      </w:r>
      <w:r>
        <w:rPr>
          <w:caps/>
        </w:rPr>
        <w:t>VI</w:t>
      </w:r>
      <w:r>
        <w:t>.</w:t>
      </w:r>
    </w:p>
    <w:p w:rsidR="00000000" w:rsidRDefault="00000000">
      <w:pPr>
        <w:pStyle w:val="Heading2"/>
      </w:pPr>
      <w:r>
        <w:t>II.  Normative content of the right to water</w:t>
      </w:r>
    </w:p>
    <w:p w:rsidR="00000000" w:rsidRDefault="00000000">
      <w:r>
        <w:t>10.</w:t>
      </w:r>
      <w:r>
        <w:tab/>
        <w:t>The right to water contains both freedoms and entitlements.  The freedoms include the right to maintain access to existing water supplies necessary for the right to water, and the right to be free from interference, such as the right to be free from arbitrary disconnections or contamination of water supplies.  By contrast, the entitlements include the right to a system of water supply and management that provides equality of opportunity for people to enjoy the right to water.</w:t>
      </w:r>
    </w:p>
    <w:p w:rsidR="00000000" w:rsidRDefault="00000000">
      <w:r>
        <w:t>11.</w:t>
      </w:r>
      <w:r>
        <w:tab/>
        <w:t xml:space="preserve">The elements of the right to water must be </w:t>
      </w:r>
      <w:r>
        <w:rPr>
          <w:i/>
        </w:rPr>
        <w:t>adequate</w:t>
      </w:r>
      <w:r>
        <w:t xml:space="preserve"> for </w:t>
      </w:r>
      <w:r>
        <w:rPr>
          <w:color w:val="000000"/>
        </w:rPr>
        <w:t xml:space="preserve">human dignity, life and health, in accordance with articles 11, paragraph 1, and 12.  </w:t>
      </w:r>
      <w:r>
        <w:t>The adequacy of water should not be interpreted narrowly, by mere reference to volumetric quantities and technologies</w:t>
      </w:r>
      <w:r>
        <w:rPr>
          <w:color w:val="000000"/>
        </w:rPr>
        <w:t xml:space="preserve">.  </w:t>
      </w:r>
      <w:r>
        <w:t>Water should be treated as a social and cultural good, and not primarily as an economic good</w:t>
      </w:r>
      <w:r>
        <w:rPr>
          <w:color w:val="000000"/>
        </w:rPr>
        <w:t xml:space="preserve">.  </w:t>
      </w:r>
      <w:r>
        <w:t>The manner of the realization of the right to water must also be sustainable, ensuring that the right can be realized for present and future generations.</w:t>
      </w:r>
      <w:r>
        <w:rPr>
          <w:rStyle w:val="EndnoteReference"/>
        </w:rPr>
        <w:endnoteReference w:id="142"/>
      </w:r>
    </w:p>
    <w:p w:rsidR="00000000" w:rsidRDefault="00000000">
      <w:r>
        <w:t>12.</w:t>
      </w:r>
      <w:r>
        <w:tab/>
        <w:t>While the adequacy of water required for the right to water may vary according to different conditions, the following factors apply in all circumstances:</w:t>
      </w:r>
    </w:p>
    <w:p w:rsidR="00000000" w:rsidRDefault="00000000">
      <w:r>
        <w:tab/>
        <w:t>(a)</w:t>
      </w:r>
      <w:r>
        <w:tab/>
      </w:r>
      <w:r>
        <w:rPr>
          <w:i/>
        </w:rPr>
        <w:t xml:space="preserve">Availability.  </w:t>
      </w:r>
      <w:r>
        <w:t>The water supply for each person must be sufficient and continuous for personal and domestic uses.</w:t>
      </w:r>
      <w:r>
        <w:rPr>
          <w:rStyle w:val="EndnoteReference"/>
        </w:rPr>
        <w:endnoteReference w:id="143"/>
      </w:r>
      <w:r>
        <w:t xml:space="preserve">  These uses ordinarily include drinking, personal sanitation, washing of clothes, food preparation, personal and household hygiene.</w:t>
      </w:r>
      <w:r>
        <w:rPr>
          <w:rStyle w:val="EndnoteReference"/>
        </w:rPr>
        <w:endnoteReference w:id="144"/>
      </w:r>
      <w:r>
        <w:t xml:space="preserve">  </w:t>
      </w:r>
      <w:r>
        <w:rPr>
          <w:color w:val="000000"/>
        </w:rPr>
        <w:t>The quantity of water available for each person should correspond to World Health Organization (WHO) guidelines.</w:t>
      </w:r>
      <w:r>
        <w:rPr>
          <w:rStyle w:val="EndnoteReference"/>
          <w:color w:val="000000"/>
        </w:rPr>
        <w:endnoteReference w:id="145"/>
      </w:r>
      <w:r>
        <w:rPr>
          <w:color w:val="000000"/>
        </w:rPr>
        <w:t xml:space="preserve">  </w:t>
      </w:r>
      <w:r>
        <w:t>Some individuals and groups may also require additional water due to health, climate, and work conditions;</w:t>
      </w:r>
    </w:p>
    <w:p w:rsidR="00000000" w:rsidRDefault="00000000">
      <w:r>
        <w:tab/>
        <w:t>(b)</w:t>
      </w:r>
      <w:r>
        <w:tab/>
      </w:r>
      <w:r>
        <w:rPr>
          <w:i/>
        </w:rPr>
        <w:t xml:space="preserve">Quality.  </w:t>
      </w:r>
      <w:r>
        <w:t xml:space="preserve">The water required for each personal or domestic use must be safe, therefore free from micro-organisms, chemical substances and radiological </w:t>
      </w:r>
      <w:r>
        <w:rPr>
          <w:i/>
        </w:rPr>
        <w:t>hazards</w:t>
      </w:r>
      <w:r>
        <w:t xml:space="preserve"> that constitute a threat to a person’s health.</w:t>
      </w:r>
      <w:r>
        <w:rPr>
          <w:rStyle w:val="EndnoteReference"/>
        </w:rPr>
        <w:endnoteReference w:id="146"/>
      </w:r>
      <w:r>
        <w:t xml:space="preserve"> Furthermore, water should be of an </w:t>
      </w:r>
      <w:r>
        <w:rPr>
          <w:color w:val="000000"/>
        </w:rPr>
        <w:t>acceptable colour, odour and taste for each personal or domestic use;</w:t>
      </w:r>
    </w:p>
    <w:p w:rsidR="00000000" w:rsidRDefault="00000000">
      <w:r>
        <w:tab/>
        <w:t>(c)</w:t>
      </w:r>
      <w:r>
        <w:tab/>
      </w:r>
      <w:r>
        <w:rPr>
          <w:i/>
        </w:rPr>
        <w:t xml:space="preserve">Accessibility.  </w:t>
      </w:r>
      <w:r>
        <w:t xml:space="preserve">Water and water facilities and services have to be accessible to </w:t>
      </w:r>
      <w:r>
        <w:rPr>
          <w:i/>
        </w:rPr>
        <w:t>everyone</w:t>
      </w:r>
      <w:r>
        <w:t xml:space="preserve"> without discrimination, within the jurisdiction of the State party</w:t>
      </w:r>
      <w:r>
        <w:rPr>
          <w:i/>
        </w:rPr>
        <w:t xml:space="preserve">.  </w:t>
      </w:r>
      <w:r>
        <w:t>Accessibility has four overlapping dimensions:</w:t>
      </w:r>
    </w:p>
    <w:p w:rsidR="00000000" w:rsidRDefault="00000000">
      <w:pPr>
        <w:pStyle w:val="Rom2"/>
        <w:rPr>
          <w:color w:val="000000"/>
        </w:rPr>
      </w:pPr>
      <w:r>
        <w:rPr>
          <w:i/>
        </w:rPr>
        <w:t>Physical accessibility</w:t>
      </w:r>
      <w:r>
        <w:t>:  Water, and adequate water facilities and services, must be within safe physical reach for all sections of the population</w:t>
      </w:r>
      <w:r>
        <w:rPr>
          <w:caps/>
        </w:rPr>
        <w:t xml:space="preserve">.  </w:t>
      </w:r>
      <w:r>
        <w:t>Sufficient, safe and acceptable water must be accessible within, or in the immediate vicinity,</w:t>
      </w:r>
      <w:r>
        <w:rPr>
          <w:caps/>
        </w:rPr>
        <w:t xml:space="preserve"> </w:t>
      </w:r>
      <w:r>
        <w:t>of each household, educational institution and workplace.</w:t>
      </w:r>
      <w:r>
        <w:rPr>
          <w:rStyle w:val="EndnoteReference"/>
          <w:caps/>
        </w:rPr>
        <w:endnoteReference w:id="147"/>
      </w:r>
      <w:r>
        <w:rPr>
          <w:caps/>
        </w:rPr>
        <w:t xml:space="preserve">  A</w:t>
      </w:r>
      <w:r>
        <w:t>ll water facilities and services must be of sufficient</w:t>
      </w:r>
      <w:r>
        <w:rPr>
          <w:caps/>
        </w:rPr>
        <w:t xml:space="preserve"> </w:t>
      </w:r>
      <w:r>
        <w:t>quality</w:t>
      </w:r>
      <w:r>
        <w:rPr>
          <w:caps/>
        </w:rPr>
        <w:t xml:space="preserve">, </w:t>
      </w:r>
      <w:r>
        <w:t>culturally appropriate and sensitive to gender, life-cycle and privacy requirements</w:t>
      </w:r>
      <w:r>
        <w:rPr>
          <w:caps/>
        </w:rPr>
        <w:t xml:space="preserve">.  </w:t>
      </w:r>
      <w:r>
        <w:rPr>
          <w:color w:val="000000"/>
        </w:rPr>
        <w:t>Physical security should not be threatened during access to water facilities and services;</w:t>
      </w:r>
    </w:p>
    <w:p w:rsidR="00000000" w:rsidRDefault="00000000">
      <w:pPr>
        <w:pStyle w:val="Rom2"/>
      </w:pPr>
      <w:r>
        <w:rPr>
          <w:i/>
        </w:rPr>
        <w:t>Economic accessibility</w:t>
      </w:r>
      <w:r>
        <w:t>:  Water, and water facilities and services, must be affordable for all</w:t>
      </w:r>
      <w:r>
        <w:rPr>
          <w:caps/>
        </w:rPr>
        <w:t xml:space="preserve">.  </w:t>
      </w:r>
      <w:r>
        <w:t>The direct and indirect costs and charges associated with securing water must be affordable, and must not compromise or threaten the realization of other Covenant rights;</w:t>
      </w:r>
    </w:p>
    <w:p w:rsidR="00000000" w:rsidRDefault="00000000">
      <w:pPr>
        <w:pStyle w:val="Rom2"/>
      </w:pPr>
      <w:r>
        <w:rPr>
          <w:i/>
        </w:rPr>
        <w:t>Non-discrimination</w:t>
      </w:r>
      <w:r>
        <w:t>:  Water and water facilities and services must be accessible to all, including the most vulnerable or marginalized sections of the population, in law and in fact, without discrimination on any of the prohibited grounds; and</w:t>
      </w:r>
    </w:p>
    <w:p w:rsidR="00000000" w:rsidRDefault="00000000">
      <w:pPr>
        <w:pStyle w:val="Rom2"/>
      </w:pPr>
      <w:r>
        <w:rPr>
          <w:i/>
        </w:rPr>
        <w:t>Information accessibility</w:t>
      </w:r>
      <w:r>
        <w:t>:  Accessibility includes the right to seek, receive and impart information concerning water issues.</w:t>
      </w:r>
      <w:r>
        <w:rPr>
          <w:rStyle w:val="EndnoteReference"/>
        </w:rPr>
        <w:endnoteReference w:id="148"/>
      </w:r>
    </w:p>
    <w:p w:rsidR="00000000" w:rsidRDefault="00000000">
      <w:pPr>
        <w:pStyle w:val="Heading2"/>
      </w:pPr>
      <w:r>
        <w:t>Special topics of broad application</w:t>
      </w:r>
    </w:p>
    <w:p w:rsidR="00000000" w:rsidRDefault="00000000">
      <w:pPr>
        <w:pStyle w:val="Heading3"/>
      </w:pPr>
      <w:r>
        <w:t>Non-discrimination and equality</w:t>
      </w:r>
    </w:p>
    <w:p w:rsidR="00000000" w:rsidRDefault="00000000">
      <w:r>
        <w:t>13.</w:t>
      </w:r>
      <w:r>
        <w:tab/>
        <w:t>The obligation of States parties to guarantee that the right to water is enjoyed without discrimination (art. 2, para. 2), and equally between men and women (art. 3), pervades all of the Covenant obligations</w:t>
      </w:r>
      <w:r>
        <w:rPr>
          <w:caps/>
        </w:rPr>
        <w:t xml:space="preserve">.  </w:t>
      </w:r>
      <w:r>
        <w:t>The Covenant thus proscribes any discrimination on the grounds of race, colour, sex, age, language, religion, political or other opinion, national or social origin, property, birth, physical or mental disability, health status (including HIV/AIDS), sexual orientation and civil, political, social or other status, which has the intention or effect of nullifying or impairing the equal enjoyment or exercise of the right to water</w:t>
      </w:r>
      <w:r>
        <w:rPr>
          <w:caps/>
        </w:rPr>
        <w:t xml:space="preserve">.  </w:t>
      </w:r>
      <w:r>
        <w:t>The Committee recalls paragraph 12 of general comment No. 3 (1990), which states that even in times of severe resource constraints, the vulnerable members of society must be protected by the adoption of relatively low-cost targeted programmes.</w:t>
      </w:r>
    </w:p>
    <w:p w:rsidR="00000000" w:rsidRDefault="00000000">
      <w:r>
        <w:t>14.</w:t>
      </w:r>
      <w:r>
        <w:tab/>
        <w:t>States parties should take steps to remove de facto discrimination on prohibited grounds, where individuals and groups are deprived of the means or entitlements necessary for achieving the right to water</w:t>
      </w:r>
      <w:r>
        <w:rPr>
          <w:caps/>
        </w:rPr>
        <w:t xml:space="preserve">.  </w:t>
      </w:r>
      <w:r>
        <w:t>States parties should ensure that the allocation of water resources, and investments in water, facilitate access to water for all members of society</w:t>
      </w:r>
      <w:r>
        <w:rPr>
          <w:caps/>
        </w:rPr>
        <w:t xml:space="preserve">.  </w:t>
      </w:r>
      <w:r>
        <w:t>Inappropriate resource allocation can lead to discrimination that may not be overt</w:t>
      </w:r>
      <w:r>
        <w:rPr>
          <w:caps/>
        </w:rPr>
        <w:t xml:space="preserve">.  </w:t>
      </w:r>
      <w:r>
        <w:t xml:space="preserve">For example, investments </w:t>
      </w:r>
      <w:r>
        <w:br w:type="page"/>
        <w:t>should not disproportionately favour expensive water supply services and facilities that are often accessible only to a small, privileged fraction of the population, rather than investing in services and facilities that benefit a far larger part of the population.</w:t>
      </w:r>
    </w:p>
    <w:p w:rsidR="00000000" w:rsidRDefault="00000000">
      <w:r>
        <w:t>15.</w:t>
      </w:r>
      <w:r>
        <w:tab/>
        <w:t>With respect to the right to water, States parties have a special obligation to provide those who do not have sufficient means with the necessary water and water facilities and to prevent any discrimination on internationally prohibited grounds in the provision of water and water services.</w:t>
      </w:r>
    </w:p>
    <w:p w:rsidR="00000000" w:rsidRDefault="00000000">
      <w:r>
        <w:t>16.</w:t>
      </w:r>
      <w:r>
        <w:tab/>
        <w:t>Whereas the right to water applies to everyone, States parties should give special attention to those individuals and groups who have traditionally faced difficulties in exercising this right, including women, children, minority groups, indigenous peoples, refugees, asylum</w:t>
      </w:r>
      <w:r>
        <w:noBreakHyphen/>
        <w:t>seekers, internally displaced persons, migrant workers, prisoners and detainees</w:t>
      </w:r>
      <w:r>
        <w:rPr>
          <w:caps/>
        </w:rPr>
        <w:t xml:space="preserve">.  </w:t>
      </w:r>
      <w:r>
        <w:t>In particular, States parties should take steps to ensure that:</w:t>
      </w:r>
    </w:p>
    <w:p w:rsidR="00000000" w:rsidRDefault="00000000">
      <w:r>
        <w:tab/>
        <w:t>(a)</w:t>
      </w:r>
      <w:r>
        <w:tab/>
        <w:t>Women are not excluded from decision-making processes concerning water resources and entitlements</w:t>
      </w:r>
      <w:r>
        <w:rPr>
          <w:caps/>
        </w:rPr>
        <w:t xml:space="preserve">.  </w:t>
      </w:r>
      <w:r>
        <w:t>The disproportionate burden women bear in the collection of water should be alleviated;</w:t>
      </w:r>
    </w:p>
    <w:p w:rsidR="00000000" w:rsidRDefault="00000000">
      <w:r>
        <w:tab/>
        <w:t>(b)</w:t>
      </w:r>
      <w:r>
        <w:tab/>
        <w:t>Children are not prevented from enjoying their human rights due to the lack of adequate water in educational institutions and households or through the burden of collecting water</w:t>
      </w:r>
      <w:r>
        <w:rPr>
          <w:caps/>
        </w:rPr>
        <w:t xml:space="preserve">.  </w:t>
      </w:r>
      <w:r>
        <w:t>Provision of adequate water to educational institutions currently without adequate drinking water should be addressed as a matter of urgency;</w:t>
      </w:r>
    </w:p>
    <w:p w:rsidR="00000000" w:rsidRDefault="00000000">
      <w:r>
        <w:tab/>
        <w:t>(c)</w:t>
      </w:r>
      <w:r>
        <w:tab/>
        <w:t>Rural and deprived urban areas have access to properly maintained water facilities</w:t>
      </w:r>
      <w:r>
        <w:rPr>
          <w:caps/>
        </w:rPr>
        <w:t xml:space="preserve">.  </w:t>
      </w:r>
      <w:r>
        <w:t>Access to traditional water sources in rural areas should be protected from unlawful encroachment and pollution</w:t>
      </w:r>
      <w:r>
        <w:rPr>
          <w:caps/>
        </w:rPr>
        <w:t xml:space="preserve">.  </w:t>
      </w:r>
      <w:r>
        <w:t>Deprived urban areas, including informal human settlements, and homeless persons, should have access to properly maintained water facilities</w:t>
      </w:r>
      <w:r>
        <w:rPr>
          <w:caps/>
        </w:rPr>
        <w:t xml:space="preserve">.  </w:t>
      </w:r>
      <w:r>
        <w:t>No household should be denied the right to water on the grounds of their housing or land status;</w:t>
      </w:r>
    </w:p>
    <w:p w:rsidR="00000000" w:rsidRDefault="00000000">
      <w:r>
        <w:tab/>
        <w:t>(d)</w:t>
      </w:r>
      <w:r>
        <w:tab/>
        <w:t>Indigenous peoples’ access to water resources on their ancestral lands is protected from encroachment and unlawful pollution</w:t>
      </w:r>
      <w:r>
        <w:rPr>
          <w:caps/>
        </w:rPr>
        <w:t xml:space="preserve">.  </w:t>
      </w:r>
      <w:r>
        <w:t>States should provide resources for indigenous peoples to design, deliver and control their access to water;</w:t>
      </w:r>
    </w:p>
    <w:p w:rsidR="00000000" w:rsidRDefault="00000000">
      <w:r>
        <w:tab/>
        <w:t>(e)</w:t>
      </w:r>
      <w:r>
        <w:tab/>
        <w:t>Nomadic and traveller communities have access to adequate water at traditional and designated halting sites;</w:t>
      </w:r>
    </w:p>
    <w:p w:rsidR="00000000" w:rsidRDefault="00000000">
      <w:r>
        <w:tab/>
        <w:t>(f)</w:t>
      </w:r>
      <w:r>
        <w:tab/>
        <w:t>Refugees, asylum-seekers, internally displaced persons and returnees have access to adequate water whether they stay in camps or in urban and rural areas</w:t>
      </w:r>
      <w:r>
        <w:rPr>
          <w:caps/>
        </w:rPr>
        <w:t xml:space="preserve">.  </w:t>
      </w:r>
      <w:r>
        <w:t>Refugees and asylum</w:t>
      </w:r>
      <w:r>
        <w:noBreakHyphen/>
        <w:t>seekers should be granted the right to water on the same conditions as granted to nationals;</w:t>
      </w:r>
    </w:p>
    <w:p w:rsidR="00000000" w:rsidRDefault="00000000">
      <w:r>
        <w:tab/>
        <w:t>(g)</w:t>
      </w:r>
      <w:r>
        <w:tab/>
        <w:t>Prisoners and detainees are provided with sufficient and safe water for their daily individual requirements, taking note of the requirements of international humanitarian law and the United Nations Standard Minimum Rules for the Treatment of Prisoners;</w:t>
      </w:r>
      <w:r>
        <w:rPr>
          <w:rStyle w:val="EndnoteReference"/>
          <w:caps/>
        </w:rPr>
        <w:endnoteReference w:id="149"/>
      </w:r>
    </w:p>
    <w:p w:rsidR="00000000" w:rsidRDefault="00000000">
      <w:r>
        <w:br w:type="page"/>
      </w:r>
      <w:r>
        <w:tab/>
        <w:t>(h)</w:t>
      </w:r>
      <w:r>
        <w:tab/>
        <w:t>Groups facing difficulties with physical access to water, such as older persons, persons with disabilities,</w:t>
      </w:r>
      <w:r>
        <w:rPr>
          <w:rStyle w:val="EndnoteReference"/>
        </w:rPr>
        <w:t xml:space="preserve"> </w:t>
      </w:r>
      <w:r>
        <w:t>victims of natural disasters, persons living in disaster-prone areas, and those living in arid and semi-arid areas, or on small islands are provided with safe and sufficient water.</w:t>
      </w:r>
    </w:p>
    <w:p w:rsidR="00000000" w:rsidRDefault="00000000">
      <w:pPr>
        <w:pStyle w:val="Heading2"/>
        <w:rPr>
          <w:lang w:val="fr-FR"/>
        </w:rPr>
      </w:pPr>
      <w:r>
        <w:rPr>
          <w:lang w:val="fr-FR"/>
        </w:rPr>
        <w:t>III.  States parties’ obligations</w:t>
      </w:r>
    </w:p>
    <w:p w:rsidR="00000000" w:rsidRDefault="00000000">
      <w:pPr>
        <w:pStyle w:val="Heading3"/>
      </w:pPr>
      <w:r>
        <w:t>General legal obligations</w:t>
      </w:r>
    </w:p>
    <w:p w:rsidR="00000000" w:rsidRDefault="00000000">
      <w:r>
        <w:t>17.</w:t>
      </w:r>
      <w:r>
        <w:tab/>
        <w:t>While the Covenant provides for progressive realization and acknowledges the constraints due to the limits of available resources, it also imposes on States parties various obligations which are of immediate effect</w:t>
      </w:r>
      <w:r>
        <w:rPr>
          <w:caps/>
        </w:rPr>
        <w:t xml:space="preserve">.  </w:t>
      </w:r>
      <w:r>
        <w:t>States parties have immediate obligations in relation to the right to water, such as the guarantee that the right will be exercised without discrimination of any kind (art. 2, para. 2) and the obligation to take steps (art. 2, para. 1) towards the full realization of articles 11, paragraph 1, and 12</w:t>
      </w:r>
      <w:r>
        <w:rPr>
          <w:caps/>
        </w:rPr>
        <w:t xml:space="preserve">.  </w:t>
      </w:r>
      <w:r>
        <w:t>Such steps must be deliberate, concrete and targeted towards the full realization of the right to water.</w:t>
      </w:r>
    </w:p>
    <w:p w:rsidR="00000000" w:rsidRDefault="00000000">
      <w:r>
        <w:t>18.</w:t>
      </w:r>
      <w:r>
        <w:tab/>
        <w:t>States parties have a constant and continuing duty under the Covenant to move as expeditiously and effectively as possible towards the full realization of the right to water</w:t>
      </w:r>
      <w:r>
        <w:rPr>
          <w:caps/>
        </w:rPr>
        <w:t xml:space="preserve">.  </w:t>
      </w:r>
      <w:r>
        <w:t>Realization of the right should be feasible and practicable, since all States parties exercise control over a broad range of resources, including water, technology, financial resources and international assistance, as with all other rights in the Covenant.</w:t>
      </w:r>
    </w:p>
    <w:p w:rsidR="00000000" w:rsidRDefault="00000000">
      <w:r>
        <w:t>19.</w:t>
      </w:r>
      <w:r>
        <w:tab/>
        <w:t>There is a strong presumption that retrogressive measures taken in relation to the right to water are prohibited under the Covenant.</w:t>
      </w:r>
      <w:r>
        <w:rPr>
          <w:rStyle w:val="EndnoteReference"/>
        </w:rPr>
        <w:endnoteReference w:id="150"/>
      </w:r>
      <w:r>
        <w:t xml:space="preserve">  If any deliberately retrogressive measures are taken, the State party has the burden of proving that they have been introduced after the most careful consideration of all alternatives and that they are duly justified by reference to the totality of the rights provided for in the Covenant in the context of the full use of the State party’s maximum available resources.</w:t>
      </w:r>
    </w:p>
    <w:p w:rsidR="00000000" w:rsidRDefault="00000000">
      <w:pPr>
        <w:pStyle w:val="Heading3"/>
      </w:pPr>
      <w:r>
        <w:t>Specific legal obligations</w:t>
      </w:r>
    </w:p>
    <w:p w:rsidR="00000000" w:rsidRDefault="00000000">
      <w:r>
        <w:t>20.</w:t>
      </w:r>
      <w:r>
        <w:tab/>
        <w:t xml:space="preserve">The right to water, like any human right, imposes three types of obligations on States parties:  obligations to </w:t>
      </w:r>
      <w:r>
        <w:rPr>
          <w:i/>
        </w:rPr>
        <w:t>respect</w:t>
      </w:r>
      <w:r>
        <w:t xml:space="preserve">, obligations to </w:t>
      </w:r>
      <w:r>
        <w:rPr>
          <w:i/>
        </w:rPr>
        <w:t xml:space="preserve">protect </w:t>
      </w:r>
      <w:r>
        <w:t xml:space="preserve">and obligations to </w:t>
      </w:r>
      <w:r>
        <w:rPr>
          <w:i/>
        </w:rPr>
        <w:t>fulfil</w:t>
      </w:r>
      <w:r>
        <w:t>.</w:t>
      </w:r>
    </w:p>
    <w:p w:rsidR="00000000" w:rsidRDefault="00000000">
      <w:pPr>
        <w:pStyle w:val="Heading4"/>
        <w:rPr>
          <w:caps/>
        </w:rPr>
      </w:pPr>
      <w:r>
        <w:t>(a)</w:t>
      </w:r>
      <w:r>
        <w:tab/>
        <w:t>Obligations to respect</w:t>
      </w:r>
    </w:p>
    <w:p w:rsidR="00000000" w:rsidRDefault="00000000">
      <w:r>
        <w:t>21.</w:t>
      </w:r>
      <w:r>
        <w:tab/>
        <w:t xml:space="preserve">The obligation to </w:t>
      </w:r>
      <w:r>
        <w:rPr>
          <w:i/>
        </w:rPr>
        <w:t>respect</w:t>
      </w:r>
      <w:r>
        <w:t xml:space="preserve"> requires that States parties refrain from interfering directly or indirectly with the enjoyment of the right to water</w:t>
      </w:r>
      <w:r>
        <w:rPr>
          <w:caps/>
        </w:rPr>
        <w:t xml:space="preserve">.  </w:t>
      </w:r>
      <w:r>
        <w:t>The obligation includes, inter alia, refraining from engaging in any practice or activity that denies or limits equal access to adequate water; arbitrarily interfering with customary or traditional arrangements for water allocation; unlawfully diminishing or polluting water, for example through waste from State-owned facilities or through use and testing of weapons; and limiting access to, or destroying, water services and infrastructure as a punitive measure, for example, during armed conflicts in violation of international humanitarian law.</w:t>
      </w:r>
      <w:r>
        <w:br w:type="page"/>
        <w:t>22.</w:t>
      </w:r>
      <w:r>
        <w:tab/>
        <w:t>The Committee notes that during armed conflicts, emergency situations and natural disasters, the right to water embraces those obligations by which States parties are bound under international humanitarian law.</w:t>
      </w:r>
      <w:r>
        <w:rPr>
          <w:rStyle w:val="EndnoteReference"/>
        </w:rPr>
        <w:endnoteReference w:id="151"/>
      </w:r>
      <w:r>
        <w:t xml:space="preserve">  This includes protection of objects indispensable for survival of the civilian population, including drinking water installations and supplies and irrigation works, protection of the natural environment against widespread, long-term and severe damage and ensuring that civilians, internees and prisoners have access to adequate water.</w:t>
      </w:r>
      <w:r>
        <w:rPr>
          <w:rStyle w:val="EndnoteReference"/>
        </w:rPr>
        <w:endnoteReference w:id="152"/>
      </w:r>
    </w:p>
    <w:p w:rsidR="00000000" w:rsidRDefault="00000000">
      <w:pPr>
        <w:pStyle w:val="Heading4"/>
      </w:pPr>
      <w:r>
        <w:t>(b)</w:t>
      </w:r>
      <w:r>
        <w:tab/>
        <w:t>Obligations to protect</w:t>
      </w:r>
    </w:p>
    <w:p w:rsidR="00000000" w:rsidRDefault="00000000">
      <w:r>
        <w:t>23.</w:t>
      </w:r>
      <w:r>
        <w:tab/>
        <w:t xml:space="preserve">The obligation to </w:t>
      </w:r>
      <w:r>
        <w:rPr>
          <w:i/>
        </w:rPr>
        <w:t>protect</w:t>
      </w:r>
      <w:r>
        <w:t xml:space="preserve"> requires States parties to prevent third parties from interfering in any way with the enjoyment of the right to water</w:t>
      </w:r>
      <w:r>
        <w:rPr>
          <w:caps/>
        </w:rPr>
        <w:t xml:space="preserve">.  </w:t>
      </w:r>
      <w:r>
        <w:t>Third parties include individuals, groups, corporations and other entities as well as agents acting under their authority</w:t>
      </w:r>
      <w:r>
        <w:rPr>
          <w:caps/>
        </w:rPr>
        <w:t xml:space="preserve">.  </w:t>
      </w:r>
      <w:r>
        <w:t>The obligation includes, inter alia, adopting the necessary and effective legislative and other measures to restrain, for example, third parties from denying equal access to adequate water; and polluting and inequitably extracting from water resources, including natural sources, wells and other water distribution systems.</w:t>
      </w:r>
    </w:p>
    <w:p w:rsidR="00000000" w:rsidRDefault="00000000">
      <w:r>
        <w:t>24.</w:t>
      </w:r>
      <w:r>
        <w:tab/>
        <w:t>Where water services (such as piped water networks, water tankers, access to rivers and wells) are operated or controlled by third parties, States parties must prevent them from compromising equal, affordable, and physical access to sufficient, safe and acceptable water</w:t>
      </w:r>
      <w:r>
        <w:rPr>
          <w:caps/>
        </w:rPr>
        <w:t xml:space="preserve">.  </w:t>
      </w:r>
      <w:r>
        <w:t>To prevent such abuses an effective regulatory system must be established, in conformity with the Covenant and this general comment, which includes independent monitoring, genuine public participation and imposition of penalties for non-compliance.</w:t>
      </w:r>
    </w:p>
    <w:p w:rsidR="00000000" w:rsidRDefault="00000000">
      <w:pPr>
        <w:pStyle w:val="Heading4"/>
        <w:rPr>
          <w:caps/>
        </w:rPr>
      </w:pPr>
      <w:r>
        <w:t>(c)</w:t>
      </w:r>
      <w:r>
        <w:tab/>
        <w:t>Obligations to fulfil</w:t>
      </w:r>
    </w:p>
    <w:p w:rsidR="00000000" w:rsidRDefault="00000000">
      <w:r>
        <w:t>25.</w:t>
      </w:r>
      <w:r>
        <w:tab/>
        <w:t xml:space="preserve">The obligation to </w:t>
      </w:r>
      <w:r>
        <w:rPr>
          <w:i/>
        </w:rPr>
        <w:t xml:space="preserve">fulfil </w:t>
      </w:r>
      <w:r>
        <w:t>can be disaggregated into the obligations to facilitate, promote and provide</w:t>
      </w:r>
      <w:r>
        <w:rPr>
          <w:caps/>
        </w:rPr>
        <w:t xml:space="preserve">.  </w:t>
      </w:r>
      <w:r>
        <w:t>The obligation to facilitate requires the State to take positive measures to assist individuals and communities to enjoy the right</w:t>
      </w:r>
      <w:r>
        <w:rPr>
          <w:caps/>
        </w:rPr>
        <w:t xml:space="preserve">.  </w:t>
      </w:r>
      <w:r>
        <w:t>The obligation to promote obliges the State party to take steps to ensure that there is appropriate education concerning the hygienic use of water, protection of water sources and methods to minimize water wastage</w:t>
      </w:r>
      <w:r>
        <w:rPr>
          <w:caps/>
        </w:rPr>
        <w:t xml:space="preserve">.  </w:t>
      </w:r>
      <w:r>
        <w:t>States parties are also obliged to fulfil (provide) the right when individuals or a group are unable, for reasons beyond their control, to realize that right themselves by the means at their disposal.</w:t>
      </w:r>
    </w:p>
    <w:p w:rsidR="00000000" w:rsidRDefault="00000000">
      <w:r>
        <w:t>26.</w:t>
      </w:r>
      <w:r>
        <w:tab/>
        <w:t>The obligation to fulfil requires States parties to adopt the necessary measures directed towards the full realization of the right to water</w:t>
      </w:r>
      <w:r>
        <w:rPr>
          <w:caps/>
        </w:rPr>
        <w:t xml:space="preserve">.  </w:t>
      </w:r>
      <w:r>
        <w:t>The obligation includes, inter alia, according sufficient recognition of this right within the national political and legal systems, preferably by way of legislative implementation; adopting a national water strategy and plan of action to realize this right; ensuring that water is affordable for everyone; and facilitating improved and sustainable access to water, particularly in rural and deprived urban areas.</w:t>
      </w:r>
    </w:p>
    <w:p w:rsidR="00000000" w:rsidRDefault="00000000">
      <w:r>
        <w:t>27.</w:t>
      </w:r>
      <w:r>
        <w:tab/>
        <w:t>To ensure that water is affordable, States parties must adopt the necessary measures that may include, inter alia:  (a) use of a range of appropriate low-cost techniques and technologies; (b) appropriate pricing policies such as free or low-cost water; and (c) income supplements</w:t>
      </w:r>
      <w:r>
        <w:rPr>
          <w:caps/>
        </w:rPr>
        <w:t xml:space="preserve">.  </w:t>
      </w:r>
      <w:r>
        <w:t xml:space="preserve">Any payment for water services has to be based on the principle of equity, ensuring that these </w:t>
      </w:r>
    </w:p>
    <w:p w:rsidR="00000000" w:rsidRDefault="00000000">
      <w:r>
        <w:br w:type="page"/>
        <w:t>services, whether privately or publicly provided, are affordable for all, including socially disadvantaged groups</w:t>
      </w:r>
      <w:r>
        <w:rPr>
          <w:caps/>
        </w:rPr>
        <w:t xml:space="preserve">.  </w:t>
      </w:r>
      <w:r>
        <w:t>Equity demands that poorer households should not be disproportionately burdened with water expenses as compared to richer households.</w:t>
      </w:r>
    </w:p>
    <w:p w:rsidR="00000000" w:rsidRDefault="00000000">
      <w:r>
        <w:t>28.</w:t>
      </w:r>
      <w:r>
        <w:tab/>
        <w:t>States parties should adopt comprehensive and integrated strategies and programmes to ensure that there is sufficient and safe water for present and future generations.</w:t>
      </w:r>
      <w:r>
        <w:rPr>
          <w:rStyle w:val="EndnoteReference"/>
        </w:rPr>
        <w:endnoteReference w:id="153"/>
      </w:r>
      <w:r>
        <w:t xml:space="preserve">  Such strategies and programmes may include:  (a) reducing depletion of water resources through unsustainable extraction, diversion and damming; (b) reducing and eliminating contamination of watersheds and water-related ecosystems by substances such as radiation, harmful chemicals and human excreta; (c) monitoring water reserves; (d) ensuring that proposed developments do not interfere with access to adequate water; (e) assessing the impacts of actions that may impinge upon water availability and natural-ecosystems watersheds, such as climate changes, desertification and increased soil salinity, deforestation and loss of biodiversity;</w:t>
      </w:r>
      <w:r>
        <w:rPr>
          <w:rStyle w:val="EndnoteReference"/>
        </w:rPr>
        <w:endnoteReference w:id="154"/>
      </w:r>
      <w:r>
        <w:t xml:space="preserve"> (f) increasing the efficient use of water by end-users; (g) reducing water wastage in its distribution; (h) response mechanisms for emergency situations; (i) and establishing competent institutions and appropriate institutional arrangements to carry out the strategies and programmes.</w:t>
      </w:r>
    </w:p>
    <w:p w:rsidR="00000000" w:rsidRDefault="00000000">
      <w:r>
        <w:t>29.</w:t>
      </w:r>
      <w:r>
        <w:tab/>
        <w:t>Ensuring that everyone has access to adequate sanitation is not only fundamental for human dignity and privacy, but is one of the principal mechanisms for protecting the quality of drinking water supplies and resources.</w:t>
      </w:r>
      <w:r>
        <w:rPr>
          <w:rStyle w:val="EndnoteReference"/>
          <w:color w:val="000000"/>
        </w:rPr>
        <w:endnoteReference w:id="155"/>
      </w:r>
      <w:r>
        <w:t xml:space="preserve"> In accordance with the rights to health and adequate housing (see general comments Nos. 4 (1991) and 14 (2000)) States parties have an obligation to progressively extend safe sanitation services, particularly to rural and deprived urban areas, taking into account the needs of women and children.</w:t>
      </w:r>
    </w:p>
    <w:p w:rsidR="00000000" w:rsidRDefault="00000000">
      <w:pPr>
        <w:pStyle w:val="Heading3"/>
        <w:rPr>
          <w:caps/>
        </w:rPr>
      </w:pPr>
      <w:r>
        <w:t>International obligations</w:t>
      </w:r>
    </w:p>
    <w:p w:rsidR="00000000" w:rsidRDefault="00000000">
      <w:r>
        <w:t>30.</w:t>
      </w:r>
      <w:r>
        <w:tab/>
        <w:t>Article 2, paragraph 1, and articles 11, paragraph 1, and 23 of the Covenant require that States parties recognize the essential role of international cooperation and assistance and take joint and separate action to achieve the full realization of the right to water.</w:t>
      </w:r>
    </w:p>
    <w:p w:rsidR="00000000" w:rsidRDefault="00000000">
      <w:r>
        <w:t>31.</w:t>
      </w:r>
      <w:r>
        <w:tab/>
        <w:t>To comply with their international obligations in relation to the right to water, States parties have to respect the enjoyment of the right in other countries</w:t>
      </w:r>
      <w:r>
        <w:rPr>
          <w:caps/>
        </w:rPr>
        <w:t xml:space="preserve">.  </w:t>
      </w:r>
      <w:r>
        <w:t>International cooperation requires States parties to refrain from actions that interfere, directly or indirectly, with the enjoyment of the right to water in other countries</w:t>
      </w:r>
      <w:r>
        <w:rPr>
          <w:caps/>
        </w:rPr>
        <w:t xml:space="preserve">.  </w:t>
      </w:r>
      <w:r>
        <w:t>Any activities undertaken within the State party’s jurisdiction should not deprive another country of the ability to realize the right to water for persons in its jurisdiction.</w:t>
      </w:r>
      <w:r>
        <w:rPr>
          <w:rStyle w:val="EndnoteReference"/>
        </w:rPr>
        <w:endnoteReference w:id="156"/>
      </w:r>
    </w:p>
    <w:p w:rsidR="00000000" w:rsidRDefault="00000000">
      <w:r>
        <w:t>32.</w:t>
      </w:r>
      <w:r>
        <w:tab/>
        <w:t>States parties should refrain at all times from imposing embargoes or similar measures, that prevent the supply of water, as well as goods and services essential for securing the right to water.</w:t>
      </w:r>
      <w:r>
        <w:rPr>
          <w:rStyle w:val="EndnoteReference"/>
        </w:rPr>
        <w:endnoteReference w:id="157"/>
      </w:r>
      <w:r>
        <w:t xml:space="preserve">  Water should never be used as an instrument of political and economic pressure</w:t>
      </w:r>
      <w:r>
        <w:rPr>
          <w:caps/>
        </w:rPr>
        <w:t xml:space="preserve">.  </w:t>
      </w:r>
      <w:r>
        <w:t xml:space="preserve">In this regard, the Committee recalls its position, stated in its </w:t>
      </w:r>
      <w:r>
        <w:rPr>
          <w:color w:val="000000"/>
        </w:rPr>
        <w:t>general comment</w:t>
      </w:r>
      <w:r>
        <w:t xml:space="preserve"> No. 8 (1997), on the relationship between economic sanctions and respect for economic, social and cultural rights.</w:t>
      </w:r>
    </w:p>
    <w:p w:rsidR="00000000" w:rsidRDefault="00000000">
      <w:r>
        <w:t>33.</w:t>
      </w:r>
      <w:r>
        <w:tab/>
        <w:t>Steps should be taken by States parties to prevent their own citizens and companies from violating the right to water of individuals and communities in other countries</w:t>
      </w:r>
      <w:r>
        <w:rPr>
          <w:caps/>
        </w:rPr>
        <w:t xml:space="preserve">.  </w:t>
      </w:r>
      <w:r>
        <w:t xml:space="preserve">Where States </w:t>
      </w:r>
      <w:r>
        <w:br w:type="page"/>
        <w:t>parties can take steps to influence other third parties to respect the right, through legal or political means, such steps should be taken in accordance with the Charter of the United Nations and applicable international law.</w:t>
      </w:r>
    </w:p>
    <w:p w:rsidR="00000000" w:rsidRDefault="00000000">
      <w:r>
        <w:t>34.</w:t>
      </w:r>
      <w:r>
        <w:tab/>
        <w:t>Depending on the availability of resources, States should facilitate realization of the right to water in other countries, for example through provision of water resources, financial and technical assistance, and provide the necessary aid when required</w:t>
      </w:r>
      <w:r>
        <w:rPr>
          <w:caps/>
        </w:rPr>
        <w:t xml:space="preserve">.  </w:t>
      </w:r>
      <w:r>
        <w:t>In disaster relief and emergency assistance, including assistance to refugees and displaced persons, priority should be given to Covenant rights, including the provision of adequate water</w:t>
      </w:r>
      <w:r>
        <w:rPr>
          <w:caps/>
        </w:rPr>
        <w:t xml:space="preserve">.  </w:t>
      </w:r>
      <w:r>
        <w:t>International assistance should be provided in a manner that is consistent with the Covenant and other human rights standards, and sustainable and culturally appropriate</w:t>
      </w:r>
      <w:r>
        <w:rPr>
          <w:caps/>
        </w:rPr>
        <w:t xml:space="preserve">.  </w:t>
      </w:r>
      <w:r>
        <w:t>The economically developed States parties have a special responsibility and interest to assist the poorer developing States in this regard.</w:t>
      </w:r>
    </w:p>
    <w:p w:rsidR="00000000" w:rsidRDefault="00000000">
      <w:r>
        <w:t>35.</w:t>
      </w:r>
      <w:r>
        <w:tab/>
        <w:t>States parties should ensure that the right to water is given due attention in international agreements and, to that end, should consider the development of further legal instruments</w:t>
      </w:r>
      <w:r>
        <w:rPr>
          <w:caps/>
        </w:rPr>
        <w:t xml:space="preserve">.  </w:t>
      </w:r>
      <w:r>
        <w:t>With regard to the conclusion and implementation of other international and regional agreements, States parties should take steps to ensure that these instruments do not adversely impact upon the right to water</w:t>
      </w:r>
      <w:r>
        <w:rPr>
          <w:caps/>
        </w:rPr>
        <w:t xml:space="preserve">.  </w:t>
      </w:r>
      <w:r>
        <w:t>Agreements concerning trade liberalization should not curtail or inhibit a country’s capacity to ensure the full realization of the right to water.</w:t>
      </w:r>
    </w:p>
    <w:p w:rsidR="00000000" w:rsidRDefault="00000000">
      <w:r>
        <w:t>36.</w:t>
      </w:r>
      <w:r>
        <w:tab/>
        <w:t>States parties should ensure that their actions as members of international organizations take due account of the right to water</w:t>
      </w:r>
      <w:r>
        <w:rPr>
          <w:caps/>
        </w:rPr>
        <w:t xml:space="preserve">.  </w:t>
      </w:r>
      <w:r>
        <w:t>Accordingly, States parties that are members of international financial institutions, notably the International Monetary Fund, the World Bank, and regional development banks, should take steps to ensure that the right to water is taken into account in their lending policies, credit agreements and other international measures.</w:t>
      </w:r>
    </w:p>
    <w:p w:rsidR="00000000" w:rsidRDefault="00000000">
      <w:pPr>
        <w:pStyle w:val="Heading3"/>
      </w:pPr>
      <w:r>
        <w:t>Core obligations</w:t>
      </w:r>
    </w:p>
    <w:p w:rsidR="00000000" w:rsidRDefault="00000000">
      <w:r>
        <w:t>37.</w:t>
      </w:r>
      <w:r>
        <w:tab/>
        <w:t xml:space="preserve">In </w:t>
      </w:r>
      <w:r>
        <w:rPr>
          <w:color w:val="000000"/>
        </w:rPr>
        <w:t>general comment</w:t>
      </w:r>
      <w:r>
        <w:t xml:space="preserve"> No. 3 (1990), the Committee confirms that States parties have a core obligation to ensure the satisfaction of, at the very least, minimum essential levels of each of the rights enunciated in the Covenant</w:t>
      </w:r>
      <w:r>
        <w:rPr>
          <w:caps/>
        </w:rPr>
        <w:t xml:space="preserve">.  </w:t>
      </w:r>
      <w:r>
        <w:t>In the Committee’s view, at least a number of core obligations in relation to the right to water can be identified, which are of immediate effect:</w:t>
      </w:r>
    </w:p>
    <w:p w:rsidR="00000000" w:rsidRDefault="00000000">
      <w:r>
        <w:tab/>
        <w:t>(a)</w:t>
      </w:r>
      <w:r>
        <w:tab/>
        <w:t>To ensure access to the minimum essential amount of water, that is sufficient and safe for personal and domestic uses to prevent disease;</w:t>
      </w:r>
    </w:p>
    <w:p w:rsidR="00000000" w:rsidRDefault="00000000">
      <w:r>
        <w:rPr>
          <w:color w:val="000000"/>
        </w:rPr>
        <w:tab/>
        <w:t>(b)</w:t>
      </w:r>
      <w:r>
        <w:rPr>
          <w:color w:val="000000"/>
        </w:rPr>
        <w:tab/>
        <w:t>To ensure the right of access to water and water facilities and services on a non</w:t>
      </w:r>
      <w:r>
        <w:rPr>
          <w:color w:val="000000"/>
        </w:rPr>
        <w:noBreakHyphen/>
      </w:r>
      <w:r>
        <w:t>discriminatory</w:t>
      </w:r>
      <w:r>
        <w:rPr>
          <w:color w:val="000000"/>
        </w:rPr>
        <w:t xml:space="preserve"> basis, especially for disadvantaged or marginalized groups;</w:t>
      </w:r>
    </w:p>
    <w:p w:rsidR="00000000" w:rsidRDefault="00000000">
      <w:r>
        <w:tab/>
        <w:t>(c)</w:t>
      </w:r>
      <w:r>
        <w:tab/>
        <w:t>To ensure physical access to water facilities or services that provide sufficient, safe and regular water; that have a sufficient number of water outlets to avoid prohibitive waiting times; and that are at a reasonable distance from the household;</w:t>
      </w:r>
    </w:p>
    <w:p w:rsidR="00000000" w:rsidRDefault="00000000">
      <w:r>
        <w:tab/>
        <w:t>(d)</w:t>
      </w:r>
      <w:r>
        <w:tab/>
        <w:t>To ensure personal security is not threatened when having to physically access to water;</w:t>
      </w:r>
    </w:p>
    <w:p w:rsidR="00000000" w:rsidRDefault="00000000">
      <w:r>
        <w:rPr>
          <w:color w:val="000000"/>
        </w:rPr>
        <w:tab/>
        <w:t>(e)</w:t>
      </w:r>
      <w:r>
        <w:rPr>
          <w:color w:val="000000"/>
        </w:rPr>
        <w:tab/>
        <w:t>To ensure equitable distribution of all available water facilities and services;</w:t>
      </w:r>
    </w:p>
    <w:p w:rsidR="00000000" w:rsidRDefault="00000000">
      <w:r>
        <w:tab/>
        <w:t>(f)</w:t>
      </w:r>
      <w:r>
        <w:tab/>
        <w:t>To adopt and implement a national water strategy and plan of action addressing the whole population; the strategy and plan of action should be devised, and periodically reviewed, on the basis of a participatory and transparent process; it should include methods, such as right to water indicators and benchmarks, by which progress can be closely monitored; the process by which the strategy and plan of action are devised, as well as their content, shall give particular attention to all disadvantaged or marginalized groups;</w:t>
      </w:r>
    </w:p>
    <w:p w:rsidR="00000000" w:rsidRDefault="00000000">
      <w:r>
        <w:tab/>
        <w:t>(g)</w:t>
      </w:r>
      <w:r>
        <w:tab/>
        <w:t>To monitor the extent of the realization, or the non-realization, of the right to water;</w:t>
      </w:r>
    </w:p>
    <w:p w:rsidR="00000000" w:rsidRDefault="00000000">
      <w:r>
        <w:tab/>
        <w:t>(h)</w:t>
      </w:r>
      <w:r>
        <w:tab/>
        <w:t>To adopt relatively low-cost targeted water programmes to protect vulnerable and marginalized groups;</w:t>
      </w:r>
    </w:p>
    <w:p w:rsidR="00000000" w:rsidRDefault="00000000">
      <w:r>
        <w:tab/>
        <w:t>(i)</w:t>
      </w:r>
      <w:r>
        <w:tab/>
        <w:t>To take measures to prevent, treat and control diseases linked to water, in particular ensuring access to adequate sanitation.</w:t>
      </w:r>
    </w:p>
    <w:p w:rsidR="00000000" w:rsidRDefault="00000000">
      <w:r>
        <w:t>38.</w:t>
      </w:r>
      <w:r>
        <w:tab/>
        <w:t>For the avoidance of any doubt, the Committee wishes to emphasize that it is particularly incumbent on States parties, and other actors in a position to assist, to provide international assistance and cooperation, especially economic and technical which enables developing countries to fulfil their core obligations indicated in paragraph 37 above.</w:t>
      </w:r>
    </w:p>
    <w:p w:rsidR="00000000" w:rsidRDefault="00000000">
      <w:pPr>
        <w:pStyle w:val="Heading2"/>
      </w:pPr>
      <w:r>
        <w:t>IV</w:t>
      </w:r>
      <w:r>
        <w:rPr>
          <w:caps/>
        </w:rPr>
        <w:t xml:space="preserve">.  </w:t>
      </w:r>
      <w:r>
        <w:t>Violations</w:t>
      </w:r>
    </w:p>
    <w:p w:rsidR="00000000" w:rsidRDefault="00000000">
      <w:r>
        <w:t>39.</w:t>
      </w:r>
      <w:r>
        <w:tab/>
        <w:t>When the normative content of the right to water (see Part II) is applied to the obligations of States parties (Part III), a process is set in motion, which facilitates identification of violations of the right to water</w:t>
      </w:r>
      <w:r>
        <w:rPr>
          <w:caps/>
        </w:rPr>
        <w:t xml:space="preserve">.  </w:t>
      </w:r>
      <w:r>
        <w:t>The following paragraphs provide illustrations of violations of the right to water.</w:t>
      </w:r>
    </w:p>
    <w:p w:rsidR="00000000" w:rsidRDefault="00000000">
      <w:r>
        <w:t>40.</w:t>
      </w:r>
      <w:r>
        <w:tab/>
        <w:t>To demonstrate compliance with their general and specific obligations, States parties must establish that they have taken the necessary and feasible steps towards the realization of the right to water</w:t>
      </w:r>
      <w:r>
        <w:rPr>
          <w:caps/>
        </w:rPr>
        <w:t xml:space="preserve">.  </w:t>
      </w:r>
      <w:r>
        <w:t>In accordance with international law, a failure to act in good faith to take such steps amounts to a violation of the right</w:t>
      </w:r>
      <w:r>
        <w:rPr>
          <w:caps/>
        </w:rPr>
        <w:t xml:space="preserve">.  </w:t>
      </w:r>
      <w:r>
        <w:t>It should be stressed that a State party cannot justify its non-compliance with the core obligations set out in paragraph 37 above, which are non</w:t>
      </w:r>
      <w:r>
        <w:noBreakHyphen/>
        <w:t>derogable.</w:t>
      </w:r>
    </w:p>
    <w:p w:rsidR="00000000" w:rsidRDefault="00000000">
      <w:r>
        <w:t>41.</w:t>
      </w:r>
      <w:r>
        <w:tab/>
        <w:t>In determining which actions or omissions amount to a violation of the right to water, it is important to distinguish the inability from the unwillingness of a State party to comply with its obligations in relation to the right to water</w:t>
      </w:r>
      <w:r>
        <w:rPr>
          <w:color w:val="000000"/>
        </w:rPr>
        <w:t xml:space="preserve">.  </w:t>
      </w:r>
      <w:r>
        <w:t>This follows from articles 11, paragraph 1, and 12, which speak of the right to an adequate standard of living and the right to health, as well as from article 2, paragraph 1, of the Covenant, which obliges each State party to take the necessary steps to the maximum of its available resources</w:t>
      </w:r>
      <w:r>
        <w:rPr>
          <w:color w:val="000000"/>
        </w:rPr>
        <w:t xml:space="preserve">.  </w:t>
      </w:r>
      <w:r>
        <w:t>A State which is unwilling to use the maximum of its available resources for the realization of the right to water is in violation of its obligations under the Covenant</w:t>
      </w:r>
      <w:r>
        <w:rPr>
          <w:color w:val="000000"/>
        </w:rPr>
        <w:t xml:space="preserve">.  </w:t>
      </w:r>
      <w:r>
        <w:t>If resource constraints render it impossible for a State party to comply fully with its Covenant obligations, it has the burden of justifying that every effort has nevertheless been made to use all available resources at its disposal in order to satisfy, as a matter of priority, the obligations outlined above.</w:t>
      </w:r>
    </w:p>
    <w:p w:rsidR="00000000" w:rsidRDefault="00000000">
      <w:r>
        <w:t>42.</w:t>
      </w:r>
      <w:r>
        <w:tab/>
        <w:t xml:space="preserve">Violations of the right to water can occur through </w:t>
      </w:r>
      <w:r>
        <w:rPr>
          <w:i/>
        </w:rPr>
        <w:t>acts of commission</w:t>
      </w:r>
      <w:r>
        <w:t>, the direct actions of States parties or other entities insufficiently regulated by States</w:t>
      </w:r>
      <w:r>
        <w:rPr>
          <w:color w:val="000000"/>
        </w:rPr>
        <w:t xml:space="preserve">.  </w:t>
      </w:r>
      <w:r>
        <w:t>Violations include, for example, the adoption of retrogressive measures incompatible with the core obligations (outlined in paragraph 37 above), the formal repeal or suspension of legislation necessary for the continued enjoyment of the right to water, or the adoption of legislation or policies which are manifestly incompatible with pre-existing domestic or international legal obligations in relation to the right to water.</w:t>
      </w:r>
    </w:p>
    <w:p w:rsidR="00000000" w:rsidRDefault="00000000">
      <w:r>
        <w:t>43.</w:t>
      </w:r>
      <w:r>
        <w:tab/>
        <w:t xml:space="preserve">Violations through </w:t>
      </w:r>
      <w:r>
        <w:rPr>
          <w:i/>
        </w:rPr>
        <w:t>acts of omission</w:t>
      </w:r>
      <w:r>
        <w:t xml:space="preserve"> include the failure to take appropriate steps towards the full realization of everyone’s right to water, the failure to have a national policy on water, and the failure to enforce relevant laws.</w:t>
      </w:r>
    </w:p>
    <w:p w:rsidR="00000000" w:rsidRDefault="00000000">
      <w:r>
        <w:t>44.</w:t>
      </w:r>
      <w:r>
        <w:tab/>
        <w:t>While it is not possible to specify a complete list of violations in advance, a number of typical examples relating to the levels of obligations, emanating from the Committee’s work, may be identified:</w:t>
      </w:r>
    </w:p>
    <w:p w:rsidR="00000000" w:rsidRDefault="00000000">
      <w:r>
        <w:tab/>
        <w:t>(a)</w:t>
      </w:r>
      <w:r>
        <w:tab/>
        <w:t>Violations of the obligation to respect follow from the State party’s interference with the right to water</w:t>
      </w:r>
      <w:r>
        <w:rPr>
          <w:color w:val="000000"/>
        </w:rPr>
        <w:t xml:space="preserve">.  </w:t>
      </w:r>
      <w:r>
        <w:t>This includes, inter alia:  (i) arbitrary or unjustified disconnection or exclusion from water services or facilities; (ii) discriminatory or unaffordable increases in the price of water; and (iii) pollution and diminution of water resources affecting human health;</w:t>
      </w:r>
    </w:p>
    <w:p w:rsidR="00000000" w:rsidRDefault="00000000">
      <w:r>
        <w:tab/>
        <w:t>(b)</w:t>
      </w:r>
      <w:r>
        <w:tab/>
        <w:t>Violations of the obligation to protect follow from the failure of a State to take all necessary measures to safeguard persons within their jurisdiction from infringements of the right to water by third parties.</w:t>
      </w:r>
      <w:r>
        <w:rPr>
          <w:rStyle w:val="EndnoteReference"/>
        </w:rPr>
        <w:endnoteReference w:id="158"/>
      </w:r>
      <w:r>
        <w:t xml:space="preserve"> This includes, inter alia:  (i) failure to enact or enforce laws to prevent the contamination and inequitable extraction of water; (ii) failure to effectively regulate and control water services providers; (iii) failure to protect water distribution systems (e.g., piped networks and wells) from interference, damage and destruction; and</w:t>
      </w:r>
    </w:p>
    <w:p w:rsidR="00000000" w:rsidRDefault="00000000">
      <w:r>
        <w:tab/>
        <w:t>(c)</w:t>
      </w:r>
      <w:r>
        <w:tab/>
        <w:t>Violations of the obligation to fulfil occur through the failure of States parties to take all necessary steps to ensure the realization of the right to water</w:t>
      </w:r>
      <w:r>
        <w:rPr>
          <w:color w:val="000000"/>
        </w:rPr>
        <w:t xml:space="preserve">.  </w:t>
      </w:r>
      <w:r>
        <w:t>Examples include, inter alia:  (i) failure to adopt or implement a national water policy designed to ensure the right to water for everyone; (ii) insufficient expenditure or misallocation of public resources which results in the non-enjoyment of the right to water by individuals or groups, particularly the vulnerable or marginalized; (iii) failure to monitor the realization of the right to water at the national level, for example by identifying right-to-water indicators and benchmarks; (iv) failure to take measures to reduce the inequitable distribution of water facilities and services; (v) failure to adopt mechanisms for emergency relief; (vi) failure to ensure that the minimum essential level of the right is enjoyed by everyone; (vii) failure of a State to take into account its international legal obligations regarding the right to water when entering into agreements with other States or with international organizations.</w:t>
      </w:r>
    </w:p>
    <w:p w:rsidR="00000000" w:rsidRDefault="00000000">
      <w:pPr>
        <w:pStyle w:val="Heading2"/>
      </w:pPr>
      <w:r>
        <w:t>V</w:t>
      </w:r>
      <w:r>
        <w:rPr>
          <w:color w:val="000000"/>
        </w:rPr>
        <w:t xml:space="preserve">.  </w:t>
      </w:r>
      <w:r>
        <w:t>Implementation at the national level</w:t>
      </w:r>
    </w:p>
    <w:p w:rsidR="00000000" w:rsidRDefault="00000000">
      <w:r>
        <w:t>45.</w:t>
      </w:r>
      <w:r>
        <w:tab/>
        <w:t>In accordance with article 2, paragraph 1, of the Covenant, States parties are required to utilize “all appropriate means, including particularly the adoption of legislative measures” in the implementation of their Covenant obligations</w:t>
      </w:r>
      <w:r>
        <w:rPr>
          <w:color w:val="000000"/>
        </w:rPr>
        <w:t xml:space="preserve">.  </w:t>
      </w:r>
      <w:r>
        <w:t>Every State party has a margin of discretion in assessing which measures are most suitable to meet its specific circumstances</w:t>
      </w:r>
      <w:r>
        <w:rPr>
          <w:color w:val="000000"/>
        </w:rPr>
        <w:t xml:space="preserve">.  </w:t>
      </w:r>
      <w:r>
        <w:t>The Covenant, however, clearly imposes a duty on each State party to take whatever steps are necessary to ensure that everyone enjoys the right to water, as soon as possible</w:t>
      </w:r>
      <w:r>
        <w:rPr>
          <w:color w:val="000000"/>
        </w:rPr>
        <w:t xml:space="preserve">.  </w:t>
      </w:r>
      <w:r>
        <w:t>Any national measures designed to realize the right to water should not interfere with the enjoyment of other human rights.</w:t>
      </w:r>
    </w:p>
    <w:p w:rsidR="00000000" w:rsidRDefault="00000000">
      <w:pPr>
        <w:pStyle w:val="Heading3"/>
      </w:pPr>
      <w:r>
        <w:t>Legislation, strategies and policies</w:t>
      </w:r>
    </w:p>
    <w:p w:rsidR="00000000" w:rsidRDefault="00000000">
      <w:r>
        <w:t>46.</w:t>
      </w:r>
      <w:r>
        <w:tab/>
        <w:t>Existing legislation, strategies and policies should be reviewed to ensure that they are compatible with obligations arising from the right to water, and should be repealed, amended or changed if inconsistent with Covenant requirements.</w:t>
      </w:r>
    </w:p>
    <w:p w:rsidR="00000000" w:rsidRDefault="00000000">
      <w:r>
        <w:t>47.</w:t>
      </w:r>
      <w:r>
        <w:tab/>
        <w:t>The duty to take steps clearly imposes on States parties an obligation to adopt a national strategy or plan of action to realize the right to water</w:t>
      </w:r>
      <w:r>
        <w:rPr>
          <w:color w:val="000000"/>
        </w:rPr>
        <w:t xml:space="preserve">.  </w:t>
      </w:r>
      <w:r>
        <w:t>The strategy must:  (a) be based upon human rights law and principles; (b) cover all aspects of the right to water and the corresponding obligations of States parties; (c) define clear objectives; (d) set targets or goals to be achieved and the time frame for their achievement; (e) formulate adequate policies and corresponding benchmarks and indicators</w:t>
      </w:r>
      <w:r>
        <w:rPr>
          <w:color w:val="000000"/>
        </w:rPr>
        <w:t xml:space="preserve">.  </w:t>
      </w:r>
      <w:r>
        <w:t>The strategy should also establish institutional responsibility for the process; identify resources available to attain the objectives, targets and goals; allocate resources appropriately according to institutional responsibility; and establish accountability mechanisms to ensure the implementation of the strategy</w:t>
      </w:r>
      <w:r>
        <w:rPr>
          <w:color w:val="000000"/>
        </w:rPr>
        <w:t xml:space="preserve">.  </w:t>
      </w:r>
      <w:r>
        <w:t>When formulating and implementing their right to water national strategies, States parties should avail themselves of technical assistance and cooperation of the United Nations specialized agencies (see Part VI below).</w:t>
      </w:r>
    </w:p>
    <w:p w:rsidR="00000000" w:rsidRDefault="00000000">
      <w:r>
        <w:t>48.</w:t>
      </w:r>
      <w:r>
        <w:tab/>
        <w:t>The formulation and implementation of national water strategies and plans of action should respect, inter alia, the principles of non-discrimination and people’s participation</w:t>
      </w:r>
      <w:r>
        <w:rPr>
          <w:color w:val="000000"/>
        </w:rPr>
        <w:t xml:space="preserve">.  </w:t>
      </w:r>
      <w:r>
        <w:t>The right of individuals and groups to participate in decision-making processes that may affect their exercise of the right to water must be an integral part of any policy, programme or strategy concerning water</w:t>
      </w:r>
      <w:r>
        <w:rPr>
          <w:color w:val="000000"/>
        </w:rPr>
        <w:t xml:space="preserve">.  </w:t>
      </w:r>
      <w:r>
        <w:t>Individuals and groups should be given full and equal access to information concerning water, water services and the environment, held by public authorities or third parties.</w:t>
      </w:r>
    </w:p>
    <w:p w:rsidR="00000000" w:rsidRDefault="00000000">
      <w:r>
        <w:t>49.</w:t>
      </w:r>
      <w:r>
        <w:tab/>
        <w:t>The national water strategy and plan of action should also be based on the principles of accountability, transparency and independence of the judiciary, since good governance is essential to the effective implementation of all human rights, including the realization of the right to water</w:t>
      </w:r>
      <w:r>
        <w:rPr>
          <w:color w:val="000000"/>
        </w:rPr>
        <w:t xml:space="preserve">.  </w:t>
      </w:r>
      <w:r>
        <w:t>In order to create a favourable climate for the realization of the right, States parties should take appropriate steps to ensure that the private business sector and civil society are aware of, and consider the importance of, the right to water in pursuing their activities.</w:t>
      </w:r>
    </w:p>
    <w:p w:rsidR="00000000" w:rsidRDefault="00000000">
      <w:r>
        <w:t>50.</w:t>
      </w:r>
      <w:r>
        <w:tab/>
        <w:t>States parties may find it advantageous to adopt framework legislation to operationalize their right to water strategy</w:t>
      </w:r>
      <w:r>
        <w:rPr>
          <w:color w:val="000000"/>
        </w:rPr>
        <w:t xml:space="preserve">.  </w:t>
      </w:r>
      <w:r>
        <w:t>Such legislation should include:  (a) targets or goals to be attained and the time frame for their achievement; (b) the means by which the purpose could be achieved; (c) the intended collaboration with civil society, private sector and international organizations; (d) institutional responsibility for the process; (e) national mechanisms for its monitoring; and (f) remedies and recourse procedures.</w:t>
      </w:r>
    </w:p>
    <w:p w:rsidR="00000000" w:rsidRDefault="00000000">
      <w:r>
        <w:t>51.</w:t>
      </w:r>
      <w:r>
        <w:tab/>
        <w:t>Steps should be taken to ensure there is sufficient coordination between the national ministries, regional and local authorities in order to reconcile water-related policies</w:t>
      </w:r>
      <w:r>
        <w:rPr>
          <w:color w:val="000000"/>
        </w:rPr>
        <w:t xml:space="preserve">.  </w:t>
      </w:r>
      <w:r>
        <w:t>Where implementation of the right to water has been delegated to regional or local authorities, the State party still retains the responsibility to comply with its Covenant obligations, and therefore should ensure that these authorities have at their disposal sufficient resources to maintain and extend the necessary water services and facilities</w:t>
      </w:r>
      <w:r>
        <w:rPr>
          <w:color w:val="000000"/>
        </w:rPr>
        <w:t xml:space="preserve">.  </w:t>
      </w:r>
      <w:r>
        <w:t>The States parties must further ensure that such authorities do not deny access to services on a discriminatory basis.</w:t>
      </w:r>
    </w:p>
    <w:p w:rsidR="00000000" w:rsidRDefault="00000000">
      <w:r>
        <w:t>52.</w:t>
      </w:r>
      <w:r>
        <w:tab/>
        <w:t>States parties are obliged to monitor effectively the realization of the right to water</w:t>
      </w:r>
      <w:r>
        <w:rPr>
          <w:color w:val="000000"/>
        </w:rPr>
        <w:t xml:space="preserve">.  </w:t>
      </w:r>
      <w:r>
        <w:t>In monitoring progress towards the realization of the right to water, States parties should identify the factors and difficulties affecting implementation of their obligations.</w:t>
      </w:r>
    </w:p>
    <w:p w:rsidR="00000000" w:rsidRDefault="00000000">
      <w:pPr>
        <w:pStyle w:val="Heading3"/>
      </w:pPr>
      <w:r>
        <w:t>Indicators and benchmarks</w:t>
      </w:r>
    </w:p>
    <w:p w:rsidR="00000000" w:rsidRDefault="00000000">
      <w:r>
        <w:t>53.</w:t>
      </w:r>
      <w:r>
        <w:tab/>
        <w:t>To assist the monitoring process, right to water indicators should be identified in the national water strategies or plans of action</w:t>
      </w:r>
      <w:r>
        <w:rPr>
          <w:color w:val="000000"/>
        </w:rPr>
        <w:t xml:space="preserve">.  </w:t>
      </w:r>
      <w:r>
        <w:t>The indicators should be designed to monitor, at the national and international levels, the State party’s obligations under articles 11, paragraph 1, and 12</w:t>
      </w:r>
      <w:r>
        <w:rPr>
          <w:color w:val="000000"/>
        </w:rPr>
        <w:t xml:space="preserve">.  </w:t>
      </w:r>
      <w:r>
        <w:t>Indicators should address the different components of adequate water (such as sufficiency, safety and acceptability, affordability and physical accessibility), be disaggregated by the prohibited grounds of discrimination, and cover all persons residing in the State party’s territorial jurisdiction or under their control</w:t>
      </w:r>
      <w:r>
        <w:rPr>
          <w:color w:val="000000"/>
        </w:rPr>
        <w:t xml:space="preserve">.  </w:t>
      </w:r>
      <w:r>
        <w:t>States parties may obtain guidance on appropriate indicators from the ongoing work of WHO, the Food and Agriculture Organization of the United Nations (FAO), the United Nations Centre for Human Settlements (Habitat), the International Labour Organization (ILO), the United Nations Children’s Fund (UNICEF), the United Nations Environment Programme (UNEP), the United Nations Development Programme (UNDP) and the United Nations Commission on Human Rights.</w:t>
      </w:r>
    </w:p>
    <w:p w:rsidR="00000000" w:rsidRDefault="00000000">
      <w:r>
        <w:t>54.</w:t>
      </w:r>
      <w:r>
        <w:tab/>
        <w:t>Having identified appropriate right to water indicators, States parties are invited to set appropriate national benchmarks in relation to each indicator.</w:t>
      </w:r>
      <w:r>
        <w:rPr>
          <w:rStyle w:val="EndnoteReference"/>
          <w:color w:val="000000"/>
        </w:rPr>
        <w:endnoteReference w:id="159"/>
      </w:r>
      <w:r>
        <w:t xml:space="preserve"> During the periodic reporting procedure, the Committee will engage in a process of “scoping” with the State party</w:t>
      </w:r>
      <w:r>
        <w:rPr>
          <w:color w:val="000000"/>
        </w:rPr>
        <w:t xml:space="preserve">.  </w:t>
      </w:r>
      <w:r>
        <w:t>Scoping involves the joint consideration by the State party and the Committee of the indicators and national benchmarks which will then provide the targets to be achieved during the next reporting period</w:t>
      </w:r>
      <w:r>
        <w:rPr>
          <w:color w:val="000000"/>
        </w:rPr>
        <w:t xml:space="preserve">.  </w:t>
      </w:r>
      <w:r>
        <w:t>In the following five years, the State party will use these national benchmarks to help monitor its implementation of the right to water</w:t>
      </w:r>
      <w:r>
        <w:rPr>
          <w:color w:val="000000"/>
        </w:rPr>
        <w:t xml:space="preserve">.  </w:t>
      </w:r>
      <w:r>
        <w:t xml:space="preserve">Thereafter, in the subsequent reporting process, the State party and the Committee will consider whether or not the benchmarks have been achieved, and the reasons for any difficulties that may have been encountered (see </w:t>
      </w:r>
      <w:r>
        <w:rPr>
          <w:color w:val="000000"/>
        </w:rPr>
        <w:t>general comment</w:t>
      </w:r>
      <w:r>
        <w:t xml:space="preserve"> No. 14 (2000), paragraph 58)</w:t>
      </w:r>
      <w:r>
        <w:rPr>
          <w:color w:val="000000"/>
        </w:rPr>
        <w:t xml:space="preserve">.  </w:t>
      </w:r>
      <w:r>
        <w:t>Further, when setting benchmarks and preparing their reports, States parties should utilize the extensive information and advisory services of specialized agencies with regard to data collection and disaggregation.</w:t>
      </w:r>
    </w:p>
    <w:p w:rsidR="00000000" w:rsidRDefault="00000000">
      <w:pPr>
        <w:pStyle w:val="Heading3"/>
      </w:pPr>
      <w:r>
        <w:t>Remedies and accountability</w:t>
      </w:r>
    </w:p>
    <w:p w:rsidR="00000000" w:rsidRDefault="00000000">
      <w:r>
        <w:t>55.</w:t>
      </w:r>
      <w:r>
        <w:tab/>
        <w:t>Any persons or groups who have been denied their right to water should have access to effective judicial or other appropriate remedies at both national and international levels (see </w:t>
      </w:r>
      <w:r>
        <w:rPr>
          <w:color w:val="000000"/>
        </w:rPr>
        <w:t>general comment</w:t>
      </w:r>
      <w:r>
        <w:t xml:space="preserve"> No. 9 (1998), paragraph 4, and Principle 10 of the Rio Declaration on Environment and Development).</w:t>
      </w:r>
      <w:r>
        <w:rPr>
          <w:rStyle w:val="EndnoteReference"/>
        </w:rPr>
        <w:endnoteReference w:id="160"/>
      </w:r>
      <w:r>
        <w:t xml:space="preserve">  The Committee notes that the right has been constitutionally entrenched by a number of States and has been subject to litigation before national courts</w:t>
      </w:r>
      <w:r>
        <w:rPr>
          <w:color w:val="000000"/>
        </w:rPr>
        <w:t xml:space="preserve">.  </w:t>
      </w:r>
      <w:r>
        <w:t xml:space="preserve">All victims of violations of the right to water should be entitled to adequate reparation, including </w:t>
      </w:r>
    </w:p>
    <w:p w:rsidR="00000000" w:rsidRDefault="00000000">
      <w:r>
        <w:br w:type="page"/>
        <w:t>restitution, compensation, satisfaction or guarantees of non-repetition</w:t>
      </w:r>
      <w:r>
        <w:rPr>
          <w:color w:val="000000"/>
        </w:rPr>
        <w:t xml:space="preserve">.  </w:t>
      </w:r>
      <w:r>
        <w:t>National ombudsmen, human rights commissions, and similar institutions should be permitted to address violations of the right.</w:t>
      </w:r>
    </w:p>
    <w:p w:rsidR="00000000" w:rsidRDefault="00000000">
      <w:r>
        <w:t>56.</w:t>
      </w:r>
      <w:r>
        <w:tab/>
        <w:t xml:space="preserve">Before any action that interferes with an individual’s right to water is carried out by the State party, or by any other third party, the relevant authorities must ensure that such actions are performed in a manner warranted by law, compatible with the Covenant, and that comprises:  (a) opportunity for genuine consultation with those affected; (b) timely and full disclosure of information on the proposed measures; (c) reasonable notice of proposed actions; (d) legal recourse and remedies for those affected; and (e) legal assistance for obtaining legal remedies (see also </w:t>
      </w:r>
      <w:r>
        <w:rPr>
          <w:color w:val="000000"/>
        </w:rPr>
        <w:t>general comment</w:t>
      </w:r>
      <w:r>
        <w:t>s No. 4 (1991) and No. 7 (1997))</w:t>
      </w:r>
      <w:r>
        <w:rPr>
          <w:color w:val="000000"/>
        </w:rPr>
        <w:t xml:space="preserve">.  </w:t>
      </w:r>
      <w:r>
        <w:t>Where such action is based on a person’s failure to pay for water their capacity to pay must be taken into account</w:t>
      </w:r>
      <w:r>
        <w:rPr>
          <w:color w:val="000000"/>
        </w:rPr>
        <w:t xml:space="preserve">.  </w:t>
      </w:r>
      <w:r>
        <w:t>Under no circumstances shall an individual be deprived of the minimum essential level of water.</w:t>
      </w:r>
    </w:p>
    <w:p w:rsidR="00000000" w:rsidRDefault="00000000">
      <w:r>
        <w:t>57.</w:t>
      </w:r>
      <w:r>
        <w:tab/>
        <w:t>The incorporation in the domestic legal order of international instruments recognizing the right to water can significantly enhance the scope and effectiveness of remedial measures and should be encouraged in all cases</w:t>
      </w:r>
      <w:r>
        <w:rPr>
          <w:color w:val="000000"/>
        </w:rPr>
        <w:t xml:space="preserve">.  </w:t>
      </w:r>
      <w:r>
        <w:t>Incorporation enables courts to adjudicate violations of the right to water, or at least the core obligations, by direct reference to the Covenant.</w:t>
      </w:r>
    </w:p>
    <w:p w:rsidR="00000000" w:rsidRDefault="00000000">
      <w:r>
        <w:t>58.</w:t>
      </w:r>
      <w:r>
        <w:tab/>
        <w:t>Judges, adjudicators and members of the legal profession should be encouraged by States parties to pay greater attention to violations of the right to water in the exercise of their functions.</w:t>
      </w:r>
    </w:p>
    <w:p w:rsidR="00000000" w:rsidRDefault="00000000">
      <w:r>
        <w:t>59.</w:t>
      </w:r>
      <w:r>
        <w:tab/>
        <w:t>States parties should respect, protect, facilitate and promote the work of human rights advocates and other members of civil society with a view to assisting vulnerable or marginalized groups in the realization of their right to water.</w:t>
      </w:r>
    </w:p>
    <w:p w:rsidR="00000000" w:rsidRDefault="00000000">
      <w:pPr>
        <w:pStyle w:val="Heading2"/>
      </w:pPr>
      <w:r>
        <w:t>VI</w:t>
      </w:r>
      <w:r>
        <w:rPr>
          <w:color w:val="000000"/>
        </w:rPr>
        <w:t xml:space="preserve">.  </w:t>
      </w:r>
      <w:r>
        <w:t>Obligations of actors other than States</w:t>
      </w:r>
    </w:p>
    <w:p w:rsidR="00000000" w:rsidRDefault="00000000">
      <w:r>
        <w:t>60.</w:t>
      </w:r>
      <w:r>
        <w:tab/>
        <w:t>United Nations agencies and other international organizations concerned with water, such as WHO, FAO, UNICEF, UNEP, UN-Habitat, ILO, UNDP, the International Fund for Agricultural Development (IFAD), as well as international organizations concerned with trade such as the World Trade Organization (WTO), should cooperate effectively with States parties, building on their respective expertise, in relation to the implementation of the right to water at the national level</w:t>
      </w:r>
      <w:r>
        <w:rPr>
          <w:color w:val="000000"/>
        </w:rPr>
        <w:t xml:space="preserve">.  </w:t>
      </w:r>
      <w:r>
        <w:t xml:space="preserve">The international financial institutions, notably the International Monetary Fund and the World Bank, should take into account the right to water in their lending policies, credit agreements, structural adjustment programmes and other development projects (see </w:t>
      </w:r>
      <w:r>
        <w:rPr>
          <w:color w:val="000000"/>
        </w:rPr>
        <w:t>general comment</w:t>
      </w:r>
      <w:r>
        <w:t xml:space="preserve"> No. 2 (1990)), so that the enjoyment of the right to water is promoted</w:t>
      </w:r>
      <w:r>
        <w:rPr>
          <w:color w:val="000000"/>
        </w:rPr>
        <w:t xml:space="preserve">.  </w:t>
      </w:r>
      <w:r>
        <w:t>When examining the reports of States parties and their ability to meet the obligations to realize the right to water, the Committee will consider the effects of the assistance provided by all other actors</w:t>
      </w:r>
      <w:r>
        <w:rPr>
          <w:color w:val="000000"/>
        </w:rPr>
        <w:t xml:space="preserve">.  </w:t>
      </w:r>
      <w:r>
        <w:t>The incorporation of human rights law and principles in the programmes and policies by international organizations will greatly facilitate implementation of the right to water</w:t>
      </w:r>
      <w:r>
        <w:rPr>
          <w:color w:val="000000"/>
        </w:rPr>
        <w:t xml:space="preserve">.  </w:t>
      </w:r>
      <w:r>
        <w:t xml:space="preserve">The role of the International Federation of the Red Cross and Red Crescent Societies, International Committee of the Red Cross, the Office of the United Nations High Commissioner for Refugees (UNHCR), WHO and UNICEF, as well as non-governmental organizations and other </w:t>
      </w:r>
    </w:p>
    <w:p w:rsidR="00000000" w:rsidRDefault="00000000">
      <w:r>
        <w:br w:type="page"/>
        <w:t>associations, is of particular importance in relation to disaster relief and humanitarian assistance in times of emergencies</w:t>
      </w:r>
      <w:r>
        <w:rPr>
          <w:color w:val="000000"/>
        </w:rPr>
        <w:t xml:space="preserve">.  </w:t>
      </w:r>
      <w:r>
        <w:t>Priority in the provision of aid, distribution and management of water and water facilities should be given to the most vulnerable or marginalized groups of the population.</w:t>
      </w:r>
    </w:p>
    <w:p w:rsidR="00000000" w:rsidRDefault="00000000">
      <w:pPr>
        <w:pStyle w:val="Heading2"/>
        <w:spacing w:after="0"/>
        <w:sectPr w:rsidR="00000000">
          <w:headerReference w:type="even" r:id="rId36"/>
          <w:headerReference w:type="default" r:id="rId37"/>
          <w:footerReference w:type="even" r:id="rId38"/>
          <w:endnotePr>
            <w:numFmt w:val="decimal"/>
            <w:numRestart w:val="eachSect"/>
          </w:endnotePr>
          <w:type w:val="continuous"/>
          <w:pgSz w:w="11907" w:h="16840" w:code="9"/>
          <w:pgMar w:top="567" w:right="851" w:bottom="1701" w:left="1701" w:header="851" w:footer="1985" w:gutter="0"/>
          <w:paperSrc w:first="84" w:other="84"/>
          <w:cols w:space="720"/>
        </w:sectPr>
      </w:pPr>
      <w:r>
        <w:t>Notes</w:t>
      </w:r>
      <w:bookmarkStart w:id="70" w:name="_Toc481083365"/>
      <w:bookmarkStart w:id="71" w:name="_Toc70388964"/>
      <w:bookmarkStart w:id="72" w:name="_Toc70516953"/>
    </w:p>
    <w:p w:rsidR="00000000" w:rsidRDefault="00000000">
      <w:pPr>
        <w:pStyle w:val="Heading2"/>
        <w:ind w:left="2846" w:hanging="567"/>
        <w:jc w:val="left"/>
      </w:pPr>
      <w:r>
        <w:t>II.</w:t>
      </w:r>
      <w:r>
        <w:tab/>
        <w:t>GENERAL COMMENTS</w:t>
      </w:r>
      <w:r>
        <w:rPr>
          <w:rStyle w:val="FootnoteReference"/>
          <w:vertAlign w:val="baseline"/>
        </w:rPr>
        <w:footnoteReference w:customMarkFollows="1" w:id="16"/>
        <w:t>*</w:t>
      </w:r>
      <w:r>
        <w:rPr>
          <w:caps/>
        </w:rPr>
        <w:t xml:space="preserve"> adopted by </w:t>
      </w:r>
      <w:r>
        <w:rPr>
          <w:caps/>
        </w:rPr>
        <w:br/>
        <w:t>the Human Rights Committee</w:t>
      </w:r>
      <w:r>
        <w:rPr>
          <w:rStyle w:val="FootnoteReference"/>
          <w:vertAlign w:val="baseline"/>
        </w:rPr>
        <w:footnoteReference w:customMarkFollows="1" w:id="17"/>
        <w:t>**</w:t>
      </w:r>
      <w:bookmarkEnd w:id="70"/>
      <w:bookmarkEnd w:id="71"/>
      <w:bookmarkEnd w:id="72"/>
    </w:p>
    <w:p w:rsidR="00000000" w:rsidRDefault="00000000">
      <w:pPr>
        <w:pStyle w:val="Heading2"/>
      </w:pPr>
      <w:bookmarkStart w:id="73" w:name="_Toc481083366"/>
      <w:bookmarkStart w:id="74" w:name="_Toc70388965"/>
      <w:r>
        <w:t>Introduction</w:t>
      </w:r>
      <w:r>
        <w:rPr>
          <w:rStyle w:val="FootnoteReference"/>
          <w:vertAlign w:val="baseline"/>
        </w:rPr>
        <w:footnoteReference w:customMarkFollows="1" w:id="18"/>
        <w:t>***</w:t>
      </w:r>
      <w:bookmarkEnd w:id="73"/>
      <w:bookmarkEnd w:id="74"/>
    </w:p>
    <w:p w:rsidR="00000000" w:rsidRDefault="00000000">
      <w:r>
        <w:tab/>
        <w:t>The introduction to document CCPR/C/21/Rev.1 (General comments adopted by the Human Rights Committee under article 40, paragraph 4, of the International Covenant on Civil and Political Rights; date:  19 May 1989) explains the purpose of the general comments as follows:</w:t>
      </w:r>
    </w:p>
    <w:p w:rsidR="00000000" w:rsidRDefault="00000000">
      <w:pPr>
        <w:ind w:left="720"/>
      </w:pPr>
      <w:r>
        <w:tab/>
        <w:t>“The Committee wishes to reiterate its desire to assist States parties in fulfilling their reporting obligations.  These general comments draw attention to some aspects of this matter but do not purport to be limitative or to attribute any priority between different aspects of the implementation of the Covenant.  These comments will, from time to time, be followed by others as constraints of time and further experience may make possible.</w:t>
      </w:r>
    </w:p>
    <w:p w:rsidR="00000000" w:rsidRDefault="00000000">
      <w:pPr>
        <w:ind w:left="720"/>
      </w:pPr>
      <w:r>
        <w:tab/>
        <w:t>“The Committee so far has examined 77 initial reports, 34 second periodic reports and, in some cases, additional information and supplementary reports.  This experience, therefore, now covers a significant number of the States which have ratified the Covenant, at present 87.  They represent different regions of the world with different political, social and legal systems and their reports illustrate most of the problems which may arise in implementing the Covenant, although they do not afford any complete basis for a worldwide review of the situation as regards civil and political rights.</w:t>
      </w:r>
    </w:p>
    <w:p w:rsidR="00000000" w:rsidRDefault="00000000">
      <w:pPr>
        <w:ind w:left="720"/>
      </w:pPr>
      <w:r>
        <w:tab/>
        <w:t>“The purpose of these general comments is to make this experience available for the benefit of all States parties in order to promote their further implementation of the Covenant; to draw their attention to insufficiencies disclosed by a large number of reports; to suggest improvements in the reporting procedure and to stimulate the activities of these States and international organizations in the promotion and protection of human rights.  These comments should also be of interest to other States, especially those preparing to become parties to the Covenant and thus to strengthen the cooperation of all States in the universal promotion and protection of human rights.”</w:t>
      </w:r>
    </w:p>
    <w:p w:rsidR="00000000" w:rsidRDefault="00000000">
      <w:pPr>
        <w:pStyle w:val="Heading2"/>
      </w:pPr>
      <w:r>
        <w:t>Thirteenth session (1981)</w:t>
      </w:r>
    </w:p>
    <w:p w:rsidR="00000000" w:rsidRDefault="00000000">
      <w:pPr>
        <w:pStyle w:val="Heading2"/>
      </w:pPr>
      <w:bookmarkStart w:id="75" w:name="_Toc481083367"/>
      <w:bookmarkStart w:id="76" w:name="_Toc70388966"/>
      <w:bookmarkStart w:id="77" w:name="_Toc70516954"/>
      <w:r>
        <w:t>General comment No. 1:  Reporting obligation</w:t>
      </w:r>
      <w:bookmarkEnd w:id="75"/>
      <w:bookmarkEnd w:id="76"/>
      <w:bookmarkEnd w:id="77"/>
    </w:p>
    <w:p w:rsidR="00000000" w:rsidRDefault="00000000">
      <w:pPr>
        <w:jc w:val="center"/>
      </w:pPr>
      <w:r>
        <w:t>[General comment No. 1 has been replaced by general comment No. 30]</w:t>
      </w:r>
    </w:p>
    <w:p w:rsidR="00000000" w:rsidRDefault="00000000">
      <w:pPr>
        <w:ind w:firstLine="720"/>
      </w:pPr>
      <w:r>
        <w:t>States parties have undertaken to submit reports in accordance with article 40 of the Covenant within one year of its entry into force for the States parties concerned and, thereafter, whenever the Committee so requests.  Until the present time only the first part of this provision, calling for initial reports, has become regularly operative.  The Committee notes, as appears from its annual reports, that only a small number of States have submitted their reports on time.  Most of them have been submitted with delays ranging from a few months to several years and some States parties are still in default despite repeated reminders and other actions by the Committee.  The fact that most States parties have nevertheless, even if somewhat late, engaged in a constructive dialogue with the Committee suggests that the States parties normally ought to be able to fulfil the reporting obligation within the time limit prescribed by article 40 (1) and that it would be in their own interest to do so in the future.  In the process of ratifying the Covenant, States should pay immediate attention to their reporting obligation since the proper preparation of a report which covers so many civil and political rights necessarily does require time.</w:t>
      </w:r>
    </w:p>
    <w:p w:rsidR="00000000" w:rsidRDefault="00000000">
      <w:pPr>
        <w:pStyle w:val="Heading2"/>
      </w:pPr>
      <w:r>
        <w:t>Thirteenth session (1981)</w:t>
      </w:r>
    </w:p>
    <w:p w:rsidR="00000000" w:rsidRDefault="00000000">
      <w:pPr>
        <w:pStyle w:val="Heading2"/>
      </w:pPr>
      <w:bookmarkStart w:id="78" w:name="_Toc481083369"/>
      <w:bookmarkStart w:id="79" w:name="_Toc70388968"/>
      <w:bookmarkStart w:id="80" w:name="_Toc70516955"/>
      <w:r>
        <w:t>General comment No. 2:  Reporting guidelines</w:t>
      </w:r>
      <w:bookmarkEnd w:id="78"/>
      <w:bookmarkEnd w:id="79"/>
      <w:bookmarkEnd w:id="80"/>
    </w:p>
    <w:p w:rsidR="00000000" w:rsidRDefault="00000000">
      <w:r>
        <w:t>1.</w:t>
      </w:r>
      <w:r>
        <w:tab/>
        <w:t>The Committee has noted that some of the reports submitted initially were so brief and general that the Committee found it necessary to elaborate general guidelines regarding the form and content of reports.  These guidelines were designed to ensure that reports are presented in a uniform manner and to enable the Committee and States parties to obtain a complete picture of the situation in each State as regards the implementation of the rights referred to in the Covenant.  Despite the guidelines, however, some reports are still so brief and general that they do not satisfy the reporting obligations under article 40.</w:t>
      </w:r>
    </w:p>
    <w:p w:rsidR="00000000" w:rsidRDefault="00000000">
      <w:r>
        <w:t>2.</w:t>
      </w:r>
      <w:r>
        <w:tab/>
        <w:t>Article 2 of the Covenant requires States parties to adopt such legislative or other measures and provide such remedies as may be necessary to implement the Covenant.  Article 40 requires States parties to submit to the Committee reports on the measures adopted by them, on the progress made in the enjoyment of the Covenant rights and the factors and difficulties, if any, affecting the implementation of the Covenant.  Even reports which were in their form generally in accordance with the guidelines have in substance been incomplete.  It has been difficult to understand from some reports whether the Covenant had been implemented as part of national legislation and many of them were clearly incomplete as regards relevant legislation.  In some reports the role of national bodies or organs in supervising and in implementing the rights had not been made clear.  Further, very few reports have given any account of the factors and difficulties affecting the implementation of the Covenant.</w:t>
      </w:r>
    </w:p>
    <w:p w:rsidR="00000000" w:rsidRDefault="00000000">
      <w:r>
        <w:t>3.</w:t>
      </w:r>
      <w:r>
        <w:tab/>
        <w:t>The Committee considers that the reporting obligation embraces not only the relevant laws and other norms relating to the obligations under the Covenant but also the practices and decisions of courts and other organs of the State party as well as further relevant facts which are likely to show the degree of the actual implementation and enjoyment of the rights recognized in the Covenant, the progress achieved and factors and difficulties in implementing the obligations under the Covenant.</w:t>
      </w:r>
    </w:p>
    <w:p w:rsidR="00000000" w:rsidRDefault="00000000">
      <w:r>
        <w:t>4.</w:t>
      </w:r>
      <w:r>
        <w:tab/>
        <w:t>It is the practice of the Committee, in accordance with Rule 68 of its Provisional Rules of Procedure, to examine reports in the presence of representatives of the reporting States.  All States whose reports have been examined have cooperated with the Committee in this way but the level, experience and the number of representatives have varied.  The Committee wishes to state that, if it is to be able to perform its functions under article 40 as effectively as possible and if the reporting State is to obtain the maximum benefit from the dialogue, it is desirable that the States representatives should have such status and experience (and preferably be in such number) as to respond to questions put, and the comments made, in the Committee over the whole range of matters covered by the Covenant.</w:t>
      </w:r>
    </w:p>
    <w:p w:rsidR="00000000" w:rsidRDefault="00000000">
      <w:pPr>
        <w:pStyle w:val="Heading2"/>
      </w:pPr>
      <w:r>
        <w:t>Thirteenth session (1981)</w:t>
      </w:r>
    </w:p>
    <w:p w:rsidR="00000000" w:rsidRDefault="00000000">
      <w:pPr>
        <w:pStyle w:val="Heading2"/>
      </w:pPr>
      <w:bookmarkStart w:id="81" w:name="_Toc481083371"/>
      <w:bookmarkStart w:id="82" w:name="_Toc70388970"/>
      <w:bookmarkStart w:id="83" w:name="_Toc70516956"/>
      <w:r>
        <w:t>General comment No. 3:  Article 2 (Implementation at the national level)</w:t>
      </w:r>
      <w:bookmarkEnd w:id="81"/>
      <w:bookmarkEnd w:id="82"/>
      <w:bookmarkEnd w:id="83"/>
    </w:p>
    <w:p w:rsidR="00000000" w:rsidRDefault="00000000">
      <w:r>
        <w:t>1.</w:t>
      </w:r>
      <w:r>
        <w:tab/>
        <w:t>The Committee notes that article 2 of the Covenant generally leaves it to the States parties concerned to choose their method of implementation in their territories within the framework set out in that article.  It recognizes, in particular, that the implementation does not depend solely on constitutional or legislative enactments, which in themselves are often not per se sufficient.  The Committee considers it necessary to draw the attention of States parties to the fact that the obligation under the Covenant is not confined to the respect of human rights, but that States parties have also undertaken to ensure the enjoyment of these rights to all individuals under their jurisdiction.  This aspect calls for specific activities by the States parties to enable individuals to enjoy their rights.  This is obvious in a number of articles (e.g. article 3 which is dealt with in general comment No. 4 below), but in principle this undertaking relates to all rights set forth in the Covenant.</w:t>
      </w:r>
    </w:p>
    <w:p w:rsidR="00000000" w:rsidRDefault="00000000">
      <w:r>
        <w:t>2.</w:t>
      </w:r>
      <w:r>
        <w:tab/>
        <w:t>In this connection, it is very important that individuals should know what their rights under the Covenant (and the Optional Protocol, as the case may be) are and also that all administrative and judicial authorities should be aware of the obligations which the State party has assumed under the Covenant.  To this end, the Covenant should be publicized in all official languages of the State and steps should be taken to familiarize the authorities concerned with its contents as part of their training.  It is desirable also to give publicity to the State party’s cooperation with the Committee.</w:t>
      </w:r>
    </w:p>
    <w:p w:rsidR="00000000" w:rsidRDefault="00000000">
      <w:pPr>
        <w:pStyle w:val="Heading2"/>
      </w:pPr>
      <w:r>
        <w:t>Thirteenth session (1981)</w:t>
      </w:r>
    </w:p>
    <w:p w:rsidR="00000000" w:rsidRDefault="00000000">
      <w:pPr>
        <w:pStyle w:val="Heading2"/>
      </w:pPr>
      <w:bookmarkStart w:id="84" w:name="_Toc481083373"/>
      <w:bookmarkStart w:id="85" w:name="_Toc70388972"/>
      <w:bookmarkStart w:id="86" w:name="_Toc70516957"/>
      <w:r>
        <w:t>General comment No. 4:  Article 3 (Equal right of men and women</w:t>
      </w:r>
      <w:r>
        <w:br/>
        <w:t>to the enjoyment of all civil and political rights)</w:t>
      </w:r>
      <w:bookmarkEnd w:id="84"/>
      <w:bookmarkEnd w:id="85"/>
      <w:bookmarkEnd w:id="86"/>
    </w:p>
    <w:p w:rsidR="00000000" w:rsidRDefault="00000000">
      <w:r>
        <w:t>1.</w:t>
      </w:r>
      <w:r>
        <w:tab/>
        <w:t>Article 3 of the Covenant requiring, as it does, States parties to ensure the equal right of men and women to the enjoyment of all civil and political rights provided for in the Covenant, has been insufficiently dealt with in a considerable number of States reports and has raised a number of concerns, two of which may be highlighted.</w:t>
      </w:r>
    </w:p>
    <w:p w:rsidR="00000000" w:rsidRDefault="00000000">
      <w:r>
        <w:t>2.</w:t>
      </w:r>
      <w:r>
        <w:tab/>
        <w:t>Firstly, article 3, as articles 2 (1) and 26 insofar as those articles primarily deal with the prevention of discrimination on a number of grounds, among which sex is one, requires not only measures of protection but also affirmative action designed to ensure the positive enjoyment of rights.  This cannot be done simply by enacting laws.  Hence, more information has generally been required regarding the role of women in practice with a view to ascertaining what measures, in addition to purely legislative measures of protection, have been or are being taken to give effect to the precise and positive obligations under article 3 and to ascertain what progress is being made or what factors or difficulties are being met in this regard.</w:t>
      </w:r>
    </w:p>
    <w:p w:rsidR="00000000" w:rsidRDefault="00000000">
      <w:r>
        <w:t>3.</w:t>
      </w:r>
      <w:r>
        <w:tab/>
        <w:t>Secondly, the positive obligation undertaken by States parties under that article may itself have an inevitable impact on legislation or administrative measures specifically designed to regulate matters other than those dealt with in the Covenant but which may adversely affect rights recognized in the Covenant.  One example, among others, is the degree to which immigration laws which distinguish between a male and a female citizen may or may not adversely affect the scope of the right of the woman to marriage to non</w:t>
      </w:r>
      <w:r>
        <w:noBreakHyphen/>
        <w:t>citizens or to hold public office.</w:t>
      </w:r>
    </w:p>
    <w:p w:rsidR="00000000" w:rsidRDefault="00000000">
      <w:r>
        <w:t>4.</w:t>
      </w:r>
      <w:r>
        <w:tab/>
        <w:t>The Committee, therefore, considers that it might assist States parties if special attention were given to a review by specially appointed bodies or institutions of laws or measures which inherently draw a distinction between men and women insofar as those laws or measures adversely affect the rights provided for in the Covenant and, secondly, that States parties should give specific information in their reports about all measures, legislative or otherwise, designed to implement their undertaking under this article.</w:t>
      </w:r>
    </w:p>
    <w:p w:rsidR="00000000" w:rsidRDefault="00000000">
      <w:r>
        <w:t>5.</w:t>
      </w:r>
      <w:r>
        <w:tab/>
        <w:t>The Committee considers that it might help the States parties in implementing this obligation, if more use could be made of existing means of international cooperation with a view to exchanging experience and organizing assistance in solving the practical problems connected with the insurance of equal rights for men and women.</w:t>
      </w:r>
    </w:p>
    <w:p w:rsidR="00000000" w:rsidRDefault="00000000">
      <w:pPr>
        <w:pStyle w:val="Heading2"/>
      </w:pPr>
      <w:r>
        <w:t>Thirteenth session (1981)</w:t>
      </w:r>
    </w:p>
    <w:p w:rsidR="00000000" w:rsidRDefault="00000000">
      <w:pPr>
        <w:pStyle w:val="Heading2"/>
      </w:pPr>
      <w:bookmarkStart w:id="87" w:name="_Toc481083375"/>
      <w:bookmarkStart w:id="88" w:name="_Toc70388974"/>
      <w:bookmarkStart w:id="89" w:name="_Toc70516958"/>
      <w:r>
        <w:t>General comment No. 5:  Article 4 (Derogations)</w:t>
      </w:r>
      <w:bookmarkEnd w:id="87"/>
      <w:bookmarkEnd w:id="88"/>
      <w:bookmarkEnd w:id="89"/>
    </w:p>
    <w:p w:rsidR="00000000" w:rsidRDefault="00000000">
      <w:pPr>
        <w:tabs>
          <w:tab w:val="center" w:pos="4677"/>
          <w:tab w:val="right" w:pos="9355"/>
        </w:tabs>
      </w:pPr>
      <w:r>
        <w:tab/>
        <w:t>[General comment No. 5 has been replaced by general comment No. 29]</w:t>
      </w:r>
    </w:p>
    <w:p w:rsidR="00000000" w:rsidRDefault="00000000">
      <w:r>
        <w:t>1.</w:t>
      </w:r>
      <w:r>
        <w:tab/>
        <w:t>Article 4 of the Covenant has posed a number of problems for the Committee when considering reports from some States parties.  When a public emergency which threatens the life of a nation arises and it is officially proclaimed, a State party may derogate from a number of rights to the extent strictly required by the situation.  The State party, however, may not derogate from certain specific rights and may not take discriminatory measures on a number of grounds.  The State party is also under an obligation to inform the other States parties immediately, through the Secretary</w:t>
      </w:r>
      <w:r>
        <w:noBreakHyphen/>
        <w:t>General, of the derogations it has made including the reasons therefor and the date on which the derogations are terminated.</w:t>
      </w:r>
    </w:p>
    <w:p w:rsidR="00000000" w:rsidRDefault="00000000">
      <w:r>
        <w:t>2.</w:t>
      </w:r>
      <w:r>
        <w:tab/>
        <w:t>States parties have generally indicated the mechanism provided in their legal systems for the declaration of a state of emergency and the applicable provisions of the law governing derogations.  However, in the case of a few States which had apparently derogated from Covenant rights, it was unclear not only whether a state of emergency had been officially declared but also whether rights from which the Covenant allows no derogation had in fact not been derogated from and further whether the other States parties had been informed of the derogations and of the reasons for the derogations.</w:t>
      </w:r>
    </w:p>
    <w:p w:rsidR="00000000" w:rsidRDefault="00000000">
      <w:r>
        <w:t>3.</w:t>
      </w:r>
      <w:r>
        <w:tab/>
        <w:t>The Committee holds the view that measures taken under article 4 are of an exceptional and temporary nature and may only last as long as the life of the nation concerned is threatened and that, in times of emergency, the protection of human rights becomes all the more important, particularly those rights from which no derogations can be made.  The Committee also considers that it is equally important for States parties, in times of public emergency, to inform the other States parties of the nature and extent of the derogations they have made and of the reasons therefor and, further, to fulfil their reporting obligations under article 40 of the Covenant by indicating the nature and extent of each right derogated from together with the relevant documentation.</w:t>
      </w:r>
    </w:p>
    <w:p w:rsidR="00000000" w:rsidRDefault="00000000">
      <w:pPr>
        <w:pStyle w:val="Heading2"/>
      </w:pPr>
      <w:r>
        <w:t>Sixteenth session (1982)</w:t>
      </w:r>
    </w:p>
    <w:p w:rsidR="00000000" w:rsidRDefault="00000000">
      <w:pPr>
        <w:pStyle w:val="Heading2"/>
      </w:pPr>
      <w:bookmarkStart w:id="90" w:name="_Toc481083377"/>
      <w:bookmarkStart w:id="91" w:name="_Toc70388976"/>
      <w:bookmarkStart w:id="92" w:name="_Toc70516959"/>
      <w:r>
        <w:t>General comment No. 6:  Article 6 (Right to life)</w:t>
      </w:r>
      <w:bookmarkEnd w:id="90"/>
      <w:bookmarkEnd w:id="91"/>
      <w:bookmarkEnd w:id="92"/>
    </w:p>
    <w:p w:rsidR="00000000" w:rsidRDefault="00000000">
      <w:r>
        <w:t>1.</w:t>
      </w:r>
      <w:r>
        <w:tab/>
        <w:t>The right to life enunciated in article 6 of the Covenant has been dealt with in all State reports.  It is the supreme right from which no derogation is permitted even in time of public emergency which threatens the life of the nation (art. 4).  However, the Committee has noted that quite often the information given concerning article 6 was limited to only one or other aspect of this right.  It is a right which should not be interpreted narrowly.</w:t>
      </w:r>
    </w:p>
    <w:p w:rsidR="00000000" w:rsidRDefault="00000000">
      <w:r>
        <w:t>2.</w:t>
      </w:r>
      <w:r>
        <w:tab/>
        <w:t>The Committee observes that war and other acts of mass violence continue to be a scourge of humanity and take the lives of thousands of innocent human beings every year.  Under the Charter of the United Nations the threat or use of force by any State against another State, except in exercise of the inherent right of self</w:t>
      </w:r>
      <w:r>
        <w:noBreakHyphen/>
        <w:t>defence, is already prohibited.  The Committee considers that States have the supreme duty to prevent wars, acts of genocide and other acts of mass violence causing arbitrary loss of life.  Every effort they make to avert the danger of war, especially thermonuclear war, and to strengthen international peace and security would constitute the most important condition and guarantee for the safeguarding of the right to life.  In this respect, the Committee notes, in particular, a connection between article 6 and article 20, which states that the law shall prohibit any propaganda for war (para. 1) or incitement to violence (para. 2) as therein described.</w:t>
      </w:r>
    </w:p>
    <w:p w:rsidR="00000000" w:rsidRDefault="00000000">
      <w:r>
        <w:t>3.</w:t>
      </w:r>
      <w:r>
        <w:tab/>
        <w:t>The protection against arbitrary deprivation of life which is explicitly required by the third sentence of article 6 (1) is of paramount importance.  The Committee considers that States parties should take measures not only to prevent and punish deprivation of life by criminal acts, but also to prevent arbitrary killing by their own security forces.  The deprivation of life by the authorities of the State is a matter of the utmost gravity.  Therefore, the law must strictly control and limit the circumstances in which a person may be deprived of his life by such authorities.</w:t>
      </w:r>
    </w:p>
    <w:p w:rsidR="00000000" w:rsidRDefault="00000000">
      <w:r>
        <w:t>4.</w:t>
      </w:r>
      <w:r>
        <w:tab/>
        <w:t>States parties should also take specific and effective measures to prevent the disappearance of individuals, something which unfortunately has become all too frequent and leads too often to arbitrary deprivation of life.  Furthermore, States should establish effective facilities and procedures to investigate thoroughly cases of missing and disappeared persons in circumstances which may involve a violation of the right to life.</w:t>
      </w:r>
    </w:p>
    <w:p w:rsidR="00000000" w:rsidRDefault="00000000">
      <w:r>
        <w:t>5.</w:t>
      </w:r>
      <w:r>
        <w:tab/>
        <w:t>Moreover, the Committee has noted that the right to life has been too often narrowly interpreted.  The expression “inherent right to life” cannot properly be understood in a restrictive manner, and the protection of this right requires that States adopt positive measures.  In this connection, the Committee considers that it would be desirable for States parties to take all possible measures to reduce infant mortality and to increase life expectancy, especially in adopting measures to eliminate malnutrition and epidemics.</w:t>
      </w:r>
    </w:p>
    <w:p w:rsidR="00000000" w:rsidRDefault="00000000">
      <w:r>
        <w:t>6.</w:t>
      </w:r>
      <w:r>
        <w:tab/>
        <w:t>While it follows from article 6 (2) to (6) that States parties are not obliged to abolish the death penalty totally they are obliged to limit its use and, in particular, to abolish it for other than the “most serious crimes”.  Accordingly, they ought to consider reviewing their criminal laws in this light and, in any event, are obliged to restrict the application of the death penalty to the “most serious crimes”.  The article also refers generally to abolition in terms which strongly suggest (paras. 2 (2) and (6)) that abolition is desirable.  The Committee concludes that all measures of abolition should be considered as progress in the enjoyment of the right to life within the meaning of article 40, and should as such be reported to the Committee.  The Committee notes that a number of States have already abolished the death penalty or suspended its application.  Nevertheless, States’ reports show that progress made towards abolishing or limiting the application of the death penalty is quite inadequate.</w:t>
      </w:r>
    </w:p>
    <w:p w:rsidR="00000000" w:rsidRDefault="00000000">
      <w:r>
        <w:t>7.</w:t>
      </w:r>
      <w:r>
        <w:tab/>
        <w:t>The Committee is of the opinion that the expression “most serious crimes” must be read restrictively to mean that the death penalty should be a quite exceptional measure.  It also follows from the express terms of article 6 that it can only be imposed in accordance with the law in force at the time of the commission of the crime and not contrary to the Covenant.  The procedural guarantees therein prescribed must be observed, including the right to a fair hearing by an independent tribunal, the presumption of innocence, the minimum guarantees for the defence, and the right to review by a higher tribunal.  These rights are applicable in addition to the particular right to seek pardon or commutation of the sentence.</w:t>
      </w:r>
    </w:p>
    <w:p w:rsidR="00000000" w:rsidRDefault="00000000">
      <w:pPr>
        <w:pStyle w:val="Heading2"/>
      </w:pPr>
      <w:r>
        <w:t>Sixteenth session (1982)</w:t>
      </w:r>
    </w:p>
    <w:p w:rsidR="00000000" w:rsidRDefault="00000000">
      <w:pPr>
        <w:pStyle w:val="Heading2"/>
      </w:pPr>
      <w:bookmarkStart w:id="93" w:name="_Toc481083379"/>
      <w:bookmarkStart w:id="94" w:name="_Toc70388978"/>
      <w:bookmarkStart w:id="95" w:name="_Toc70516960"/>
      <w:r>
        <w:t>General comment No. 7:  Article 7 (Prohibition of torture or cruel,</w:t>
      </w:r>
      <w:r>
        <w:br/>
        <w:t xml:space="preserve"> inhuman or degrading treatment or punishment)</w:t>
      </w:r>
      <w:bookmarkEnd w:id="93"/>
      <w:bookmarkEnd w:id="94"/>
      <w:bookmarkEnd w:id="95"/>
    </w:p>
    <w:p w:rsidR="00000000" w:rsidRDefault="00000000">
      <w:pPr>
        <w:jc w:val="center"/>
      </w:pPr>
      <w:r>
        <w:t>[General comment No. 7 has been replaced by general comment No. 20]</w:t>
      </w:r>
    </w:p>
    <w:p w:rsidR="00000000" w:rsidRDefault="00000000">
      <w:r>
        <w:t>1.</w:t>
      </w:r>
      <w:r>
        <w:tab/>
        <w:t>In examining the reports of States parties, members of the Committee have often asked for further information under article 7 which prohibits, in the first place, torture or cruel, inhuman or degrading treatment or punishment.  The Committee recalls that even in situations of public emergency such as are envisaged by article 4 (1) this provision is non</w:t>
      </w:r>
      <w:r>
        <w:noBreakHyphen/>
        <w:t>derogable under article 4 (2).  Its purpose is to protect the integrity and dignity of the individual.  The Committee notes that it is not sufficient for the implementation of this article to prohibit such treatment or punishment or to make it a crime.  Most States have penal provisions which are applicable to cases of torture or similar practices.  Because such cases nevertheless occur, it follows from article 7, read together with article 2 of the Covenant, that States must ensure an effective protection through some machinery of control.  Complaints about ill</w:t>
      </w:r>
      <w:r>
        <w:noBreakHyphen/>
        <w:t>treatment must be investigated effectively by competent authorities.  Those found guilty must be held responsible, and the alleged victims must themselves have effective remedies at their disposal, including the right to obtain compensation.  Among the safeguards which may make control effective are provisions against detention incommunicado, granting, without prejudice to the investigation, persons such as doctors, lawyers and family members access to the detainees; provisions requiring that detainees should be held in places that are publicly recognized and that their names and places of detention should be entered in a central register available to persons concerned, such as relatives; provisions making confessions or other evidence obtained through torture or other treatment contrary to article 7 inadmissible in court; and measures of training and instruction of law enforcement officials not to apply such treatment.</w:t>
      </w:r>
    </w:p>
    <w:p w:rsidR="00000000" w:rsidRDefault="00000000">
      <w:r>
        <w:t>2.</w:t>
      </w:r>
      <w:r>
        <w:tab/>
        <w:t>As appears from the terms of this article, the scope of protection required goes far beyond torture as normally understood.  It may not be necessary to draw sharp distinctions between the various prohibited forms of treatment or punishment.  These distinctions depend on the kind, purpose and severity of the particular treatment.  In the view of the Committee the prohibition must extend to corporal punishment, including excessive chastisement as an educational or disciplinary measure.  Even such a measure as solitary confinement may, according to the circumstances, and especially when the person is kept incommunicado, be contrary to this article.  Moreover, the article clearly protects not only persons arrested or imprisoned, but also pupils and patients in educational and medical institutions.  Finally, it is also the duty of public authorities to ensure protection by the law against such treatment even when committed by persons acting outside or without any official authority.  For all persons deprived of their liberty, the prohibition of treatment contrary to article 7 is supplemented by the positive requirement of article 10 (1) of the Covenant that they shall be treated with humanity and with respect for the inherent dignity of the human person.</w:t>
      </w:r>
    </w:p>
    <w:p w:rsidR="00000000" w:rsidRDefault="00000000">
      <w:r>
        <w:t>3.</w:t>
      </w:r>
      <w:r>
        <w:tab/>
        <w:t>In particular, the prohibition extends to medical or scientific experimentation without the free consent of the person concerned (art. 7, second sentence).  The Committee notes that the reports of States parties have generally given little or no information on this point.  It takes the view that at least in countries where science and medicine are highly developed, and even for peoples and areas outside their borders if affected by their experiments, more attention should be given to the possible need and means to ensure the observance of this provision.  Special protection in regard to such experiments is necessary in the case of persons not capable of giving their consent.</w:t>
      </w:r>
    </w:p>
    <w:p w:rsidR="00000000" w:rsidRDefault="00000000">
      <w:pPr>
        <w:pStyle w:val="Heading2"/>
      </w:pPr>
      <w:r>
        <w:t>Sixteenth session (1982)</w:t>
      </w:r>
    </w:p>
    <w:p w:rsidR="00000000" w:rsidRDefault="00000000">
      <w:pPr>
        <w:pStyle w:val="Heading2"/>
      </w:pPr>
      <w:bookmarkStart w:id="96" w:name="_Toc481083381"/>
      <w:bookmarkStart w:id="97" w:name="_Toc70388980"/>
      <w:bookmarkStart w:id="98" w:name="_Toc70516961"/>
      <w:r>
        <w:t>General comment No. 8:  Article 9 (Right to liberty and security of persons)</w:t>
      </w:r>
      <w:bookmarkStart w:id="99" w:name="_Toc481083382"/>
      <w:bookmarkStart w:id="100" w:name="_Toc70388981"/>
      <w:bookmarkEnd w:id="96"/>
      <w:bookmarkEnd w:id="97"/>
      <w:bookmarkEnd w:id="98"/>
      <w:r>
        <w:t xml:space="preserve"> </w:t>
      </w:r>
      <w:bookmarkEnd w:id="99"/>
      <w:bookmarkEnd w:id="100"/>
    </w:p>
    <w:p w:rsidR="00000000" w:rsidRDefault="00000000">
      <w:r>
        <w:t>1.</w:t>
      </w:r>
      <w:r>
        <w:tab/>
        <w:t>Article 9 which deals with the right to liberty and security of persons has often been somewhat narrowly understood in reports by States parties, and they have therefore given incomplete information.  The Committee points out that paragraph 1 is applicable to all deprivations of liberty, whether in criminal cases or in other cases such as, for example, mental illness, vagrancy, drug addiction, educational purposes, immigration control, etc.  It is true that some of the provisions of article 9 (part of paragraph 2 and the whole of paragraph 3) are only applicable to persons against whom criminal charges are brought.  But the rest, and in particular the important guarantee laid down in paragraph 4, i.e. the right to control by a court of the legality of the detention, applies to all persons deprived of their liberty by arrest or detention.  Furthermore, States parties have in accordance with article 2 (3) also to ensure that an effective remedy is provided in other cases in which an individual claims to be deprived of his liberty in violation of the Covenant.</w:t>
      </w:r>
    </w:p>
    <w:p w:rsidR="00000000" w:rsidRDefault="00000000">
      <w:r>
        <w:t>2.</w:t>
      </w:r>
      <w:r>
        <w:tab/>
        <w:t>Paragraph 3 of article 9 requires that in criminal cases any person arrested or detained has to be brought “promptly” before a judge or other officer authorized by law to exercise judicial power.  More precise time limits are fixed by law in most States parties and, in the view of the Committee, delays must not exceed a few days.  Many States have given insufficient information about the actual practices in this respect.</w:t>
      </w:r>
    </w:p>
    <w:p w:rsidR="00000000" w:rsidRDefault="00000000">
      <w:r>
        <w:t>3.</w:t>
      </w:r>
      <w:r>
        <w:tab/>
        <w:t>Another matter is the total length of detention pending trial.  In certain categories of criminal cases in some countries this matter has caused some concern within the Committee, and members have questioned whether their practices have been in conformity with the entitlement “to trial within a reasonable time or to release” under paragraph 3.  Pre</w:t>
      </w:r>
      <w:r>
        <w:noBreakHyphen/>
        <w:t>trial detention should be an exception and as short as possible.  The Committee would welcome information concerning mechanisms existing and measures taken with a view to reducing the duration of such detention.</w:t>
      </w:r>
    </w:p>
    <w:p w:rsidR="00000000" w:rsidRDefault="00000000">
      <w:r>
        <w:t>4.</w:t>
      </w:r>
      <w:r>
        <w:tab/>
        <w:t>Also if so</w:t>
      </w:r>
      <w:r>
        <w:noBreakHyphen/>
        <w:t>called preventive detention is used, for reasons of public security, it must be controlled by these same provisions, i.e. it must not be arbitrary, and must be based on grounds and procedures established by law (para. 1), information of the reasons must be given (para. 2) and court control of the detention must be available (para. 4) as well as compensation in the case of a breach (para. 5).  And if, in addition, criminal charges are brought in such cases, the full protection of article 9 (2) and (3), as well as article 14, must also be granted.</w:t>
      </w:r>
    </w:p>
    <w:p w:rsidR="00000000" w:rsidRDefault="00000000">
      <w:pPr>
        <w:pStyle w:val="Heading2"/>
      </w:pPr>
      <w:r>
        <w:t>Sixteenth session (1982)</w:t>
      </w:r>
    </w:p>
    <w:p w:rsidR="00000000" w:rsidRDefault="00000000">
      <w:pPr>
        <w:pStyle w:val="Heading2"/>
      </w:pPr>
      <w:bookmarkStart w:id="101" w:name="_Toc481083383"/>
      <w:bookmarkStart w:id="102" w:name="_Toc70388982"/>
      <w:bookmarkStart w:id="103" w:name="_Toc70516962"/>
      <w:r>
        <w:t xml:space="preserve">General comment No. 9:  Article 10 (Humane treatment of persons </w:t>
      </w:r>
      <w:r>
        <w:br/>
        <w:t>deprived of their liberty)</w:t>
      </w:r>
      <w:bookmarkStart w:id="104" w:name="_Toc481083384"/>
      <w:bookmarkStart w:id="105" w:name="_Toc70388983"/>
      <w:bookmarkEnd w:id="101"/>
      <w:bookmarkEnd w:id="102"/>
      <w:bookmarkEnd w:id="103"/>
      <w:r>
        <w:t xml:space="preserve"> </w:t>
      </w:r>
      <w:bookmarkEnd w:id="104"/>
      <w:bookmarkEnd w:id="105"/>
    </w:p>
    <w:p w:rsidR="00000000" w:rsidRDefault="00000000">
      <w:pPr>
        <w:jc w:val="center"/>
      </w:pPr>
      <w:r>
        <w:t>[General comment No. 9 has been replaced by general comment No. 21]</w:t>
      </w:r>
    </w:p>
    <w:p w:rsidR="00000000" w:rsidRDefault="00000000">
      <w:r>
        <w:t>1.</w:t>
      </w:r>
      <w:r>
        <w:tab/>
        <w:t>Article 10, paragraph 1 of the Covenant provides that all persons deprived of their liberty shall be treated with humanity and with respect for the inherent dignity of the human person.  However, by no means all the reports submitted by States parties have contained information on the way in which this paragraph of the article is being implemented.  The Committee is of the opinion that it would be desirable for the reports of States parties to contain specific information on the legal measures designed to protect that right.  The Committee also considers that reports should indicate the concrete measures being taken by the competent State organs to monitor the mandatory implementation of national legislation concerning the humane treatment and respect for the human dignity of all persons deprived of their liberty that paragraph 1 requires.</w:t>
      </w:r>
    </w:p>
    <w:p w:rsidR="00000000" w:rsidRDefault="00000000">
      <w:r>
        <w:tab/>
        <w:t xml:space="preserve">The Committee notes, in particular, that paragraph 1 of this article is generally applicable to persons deprived of their liberty, whereas paragraph 2 deals with accused as distinct from convicted persons, and paragraph 3 with convicted persons only.  This structure quite often is not reflected in the reports, which mainly have related to accused and convicted persons.  The wording of paragraph 1, its context </w:t>
      </w:r>
      <w:r>
        <w:noBreakHyphen/>
        <w:t xml:space="preserve"> especially its proximity to article 9, paragraph 1, which also deals with all deprivations of liberty </w:t>
      </w:r>
      <w:r>
        <w:noBreakHyphen/>
        <w:t xml:space="preserve"> and its purpose support a broad application of the principle expressed in that provision.  Moreover, the Committee recalls that this article supplements article 7 as regards the treatment of all persons deprived of their liberty.</w:t>
      </w:r>
    </w:p>
    <w:p w:rsidR="00000000" w:rsidRDefault="00000000">
      <w:r>
        <w:tab/>
        <w:t>The humane treatment and the respect for the dignity of all persons deprived of their liberty is a basic standard of universal application which cannot depend entirely on material resources.  While the Committee is aware that in other respects the modalities and conditions of detention may vary with the available resources, they must always be applied without discrimination, as required by article 2 (1).</w:t>
      </w:r>
    </w:p>
    <w:p w:rsidR="00000000" w:rsidRDefault="00000000">
      <w:r>
        <w:tab/>
        <w:t>Ultimate responsibility for the observance of this principle rests with the State as regards all institutions where persons are lawfully held against their will, not only in prisons but also, for example, hospitals, detention camps or correctional institutions.</w:t>
      </w:r>
    </w:p>
    <w:p w:rsidR="00000000" w:rsidRDefault="00000000">
      <w:r>
        <w:t>2.</w:t>
      </w:r>
      <w:r>
        <w:tab/>
        <w:t>Subparagraph 2 (a) of the article provides that, save in exceptional circumstances, accused persons shall be segregated from convicted persons and shall receive separate treatment appropriate to their status as unconvicted persons.  Some reports have failed to pay proper attention to this direct requirement of the Covenant and, as a result, to provide adequate information on the way in which the treatment of accused persons differs from that of convicted persons.  Such information should be included in future reports.</w:t>
      </w:r>
    </w:p>
    <w:p w:rsidR="00000000" w:rsidRDefault="00000000">
      <w:r>
        <w:tab/>
        <w:t>Subparagraph 2 (b) of the article calls, inter alia, for accused juvenile persons to be separated from adults.  The information in reports shows that a number of States are not taking sufficient account of the fact that this is an unconditional requirement of the Covenant.  It is the Committee’s opinion that, as is clear from the text of the Covenant, deviation from States parties’ obligations under subparagraph 2 (b) cannot be justified by any consideration whatsoever.</w:t>
      </w:r>
    </w:p>
    <w:p w:rsidR="00000000" w:rsidRDefault="00000000">
      <w:r>
        <w:t>3.</w:t>
      </w:r>
      <w:r>
        <w:tab/>
        <w:t>In a number of cases, the information appearing in reports with respect to paragraph 3 of the article has contained no concrete mention either of legislative or administrative measures or of practical steps to promote the reformation and social rehabilitation of prisoners, by, for example, education, vocational training and useful work.  Allowing visits, in particular by family members, is normally also such a measure which is required for reasons of humanity.  There are also similar lacunae in the reports of certain States with respect to information concerning juvenile offenders, who must be segregated from adults and given treatment appropriate to their age and legal status.</w:t>
      </w:r>
    </w:p>
    <w:p w:rsidR="00000000" w:rsidRDefault="00000000">
      <w:r>
        <w:t>4.</w:t>
      </w:r>
      <w:r>
        <w:tab/>
        <w:t>The Committee further notes that the principles of humane treatment and respect for human dignity set out in paragraph 1 are the basis for the more specific and limited obligations of States in the field of criminal justice set out in paragraphs 2 and 3 of article 10.  The segregation of accused persons from convicted ones is required in order to emphasize their status as unconvicted persons who are at the same time protected by the presumption of innocence stated in article 14, paragraph 2.  The aim of these provisions is to protect the groups mentioned, and the requirements contained therein should be seen in that light.  Thus, for example, the segregation and treatment of juvenile offenders should be provided for in such a way that it promotes their reformation and social rehabilitation.</w:t>
      </w:r>
    </w:p>
    <w:p w:rsidR="00000000" w:rsidRDefault="00000000">
      <w:pPr>
        <w:pStyle w:val="Heading2"/>
      </w:pPr>
      <w:r>
        <w:t>Nineteenth session (1983)</w:t>
      </w:r>
    </w:p>
    <w:p w:rsidR="00000000" w:rsidRDefault="00000000">
      <w:pPr>
        <w:pStyle w:val="Heading2"/>
        <w:tabs>
          <w:tab w:val="center" w:pos="4677"/>
          <w:tab w:val="right" w:pos="9355"/>
        </w:tabs>
        <w:jc w:val="left"/>
      </w:pPr>
      <w:bookmarkStart w:id="106" w:name="_Toc481083385"/>
      <w:bookmarkStart w:id="107" w:name="_Toc70388984"/>
      <w:bookmarkStart w:id="108" w:name="_Toc70516963"/>
      <w:r>
        <w:tab/>
        <w:t>General comment No. 10:  Article 19 (Freedom of opinion)</w:t>
      </w:r>
      <w:bookmarkEnd w:id="106"/>
      <w:bookmarkEnd w:id="107"/>
      <w:bookmarkEnd w:id="108"/>
    </w:p>
    <w:p w:rsidR="00000000" w:rsidRDefault="00000000">
      <w:r>
        <w:t>1.</w:t>
      </w:r>
      <w:r>
        <w:tab/>
        <w:t>Paragraph 1 requires protection of the “right to hold opinions without interference”.  This is a right to which the Covenant permits no exception or restriction.  The Committee would welcome information from States parties concerning paragraph 1.</w:t>
      </w:r>
    </w:p>
    <w:p w:rsidR="00000000" w:rsidRDefault="00000000">
      <w:r>
        <w:t>2.</w:t>
      </w:r>
      <w:r>
        <w:tab/>
        <w:t>Paragraph 2 requires protection of the right to freedom of expression, which includes not only freedom to “impart information and ideas of all kinds”, but also freedom to “seek” and “receive” them “regardless of frontiers” and in whatever medium, “either orally, in writing or in print, in the form of art, or through any other media of his choice”.  Not all States parties have provided information concerning all aspects of the freedom of expression.  For instance, little attention has so far been given to the fact that, because of the development of modern mass media, effective measures are necessary to prevent such control of the media as would interfere with the right of everyone to freedom of expression in a way that is not provided for in paragraph 3.</w:t>
      </w:r>
      <w:r>
        <w:cr/>
        <w:t>3.</w:t>
      </w:r>
      <w:r>
        <w:tab/>
        <w:t>Many State reports confine themselves to mentioning that freedom of expression is guaranteed under the Constitution or the law.  However, in order to know the precise regime of freedom of expression in law and in practice, the Committee needs in addition pertinent information about the rules which either define the scope of freedom of expression or which set forth certain restrictions, as well as any other conditions which in practice affect the exercise of this right.  It is the interplay between the principle of freedom of expression and such limitations and restrictions which determines the actual scope of the individual’s right.</w:t>
      </w:r>
    </w:p>
    <w:p w:rsidR="00000000" w:rsidRDefault="00000000">
      <w:r>
        <w:t>4.</w:t>
      </w:r>
      <w:r>
        <w:tab/>
        <w:t>Paragraph 3 expressly stresses that the exercise of the right to freedom of expression carries with it special duties and responsibilities and for this reason certain restrictions on the right are permitted which may relate either to the interests of other persons or to those of the community as a whole.  However, when a State party imposes certain restrictions on the exercise of freedom of expression, these may not put in jeopardy the right itself.  Paragraph 3 lays down conditions and it is only subject to these conditions that restrictions may be imposed</w:t>
      </w:r>
      <w:r>
        <w:rPr>
          <w:lang w:val="en-US"/>
        </w:rPr>
        <w:t xml:space="preserve">:  </w:t>
      </w:r>
      <w:r>
        <w:t>the restrictions must be “provided by law”; they may only be imposed for one of the purposes set out in subparagraphs (a) and (b) of paragraph 3; and they must be justified as being “necessary” for that State party for one of those purposes.</w:t>
      </w:r>
    </w:p>
    <w:p w:rsidR="00000000" w:rsidRDefault="00000000">
      <w:pPr>
        <w:pStyle w:val="Heading2"/>
      </w:pPr>
      <w:r>
        <w:t>Nineteenth session (1983)</w:t>
      </w:r>
    </w:p>
    <w:p w:rsidR="00000000" w:rsidRDefault="00000000">
      <w:pPr>
        <w:pStyle w:val="Heading2"/>
        <w:tabs>
          <w:tab w:val="center" w:pos="4677"/>
          <w:tab w:val="left" w:pos="8537"/>
        </w:tabs>
        <w:jc w:val="left"/>
      </w:pPr>
      <w:bookmarkStart w:id="109" w:name="_Toc481083387"/>
      <w:bookmarkStart w:id="110" w:name="_Toc70388986"/>
      <w:bookmarkStart w:id="111" w:name="_Toc70516964"/>
      <w:r>
        <w:tab/>
        <w:t>General comment No. 11</w:t>
      </w:r>
      <w:r>
        <w:rPr>
          <w:lang w:val="en-US"/>
        </w:rPr>
        <w:t xml:space="preserve">:  </w:t>
      </w:r>
      <w:r>
        <w:t>Article 20</w:t>
      </w:r>
      <w:bookmarkStart w:id="112" w:name="_Toc481083388"/>
      <w:bookmarkStart w:id="113" w:name="_Toc70388987"/>
      <w:bookmarkEnd w:id="109"/>
      <w:bookmarkEnd w:id="110"/>
      <w:bookmarkEnd w:id="111"/>
      <w:r>
        <w:t xml:space="preserve"> </w:t>
      </w:r>
      <w:bookmarkEnd w:id="112"/>
      <w:bookmarkEnd w:id="113"/>
    </w:p>
    <w:p w:rsidR="00000000" w:rsidRDefault="00000000">
      <w:r>
        <w:t>1.</w:t>
      </w:r>
      <w:r>
        <w:tab/>
        <w:t>Not all reports submitted by States parties have provided sufficient information as to the implementation of article 20 of the Covenant.  In view of the nature of article 20, States parties are obliged to adopt the necessary legislative measures prohibiting the actions referred to therein.  However, the reports have shown that in some States such actions are neither prohibited by law nor are appropriate efforts intended or made to prohibit them.  Furthermore, many reports failed to give sufficient information concerning the relevant national legislation and practice.</w:t>
      </w:r>
    </w:p>
    <w:p w:rsidR="00000000" w:rsidRDefault="00000000">
      <w:r>
        <w:t>2.</w:t>
      </w:r>
      <w:r>
        <w:tab/>
        <w:t>Article 20 of the Covenant states that any propaganda for war and any advocacy of national, racial or religious hatred that constitutes incitement to discrimination, hostility or violence shall be prohibited by law.  In the opinion of the Committee, these required prohibitions are fully compatible with the right of freedom of expression as contained in article 19, the exercise of which carries with it special duties and responsibilities.  The prohibition under paragraph 1 extends to all forms of propaganda threatening or resulting in an act of aggression or breach of the peace contrary to the Charter of the United Nations, while paragraph 2 is directed against any advocacy of national, racial or religious hatred that constitutes incitement to discrimination, hostility or violence, whether such propaganda or advocacy has aims which are internal or external to the State concerned.  The provisions of article 20, paragraph 1, do not prohibit advocacy of the sovereign right of self</w:t>
      </w:r>
      <w:r>
        <w:noBreakHyphen/>
        <w:t>defence or the right of peoples to self</w:t>
      </w:r>
      <w:r>
        <w:noBreakHyphen/>
        <w:t>determination and independence in accordance with the Charter of the United Nations.  For article 20 to become fully effective there ought to be a law making it clear that propaganda and advocacy as described therein are contrary to public policy and providing for an appropriate sanction in case of violation.  The Committee, therefore, believes that States parties which have not yet done so should take the measures necessary to fulfil the obligations contained in article 20, and should themselves refrain from any such propaganda or advocacy.</w:t>
      </w:r>
    </w:p>
    <w:p w:rsidR="00000000" w:rsidRDefault="00000000">
      <w:pPr>
        <w:pStyle w:val="Heading2"/>
      </w:pPr>
      <w:r>
        <w:t>Twenty</w:t>
      </w:r>
      <w:r>
        <w:noBreakHyphen/>
        <w:t>first session (1984)</w:t>
      </w:r>
    </w:p>
    <w:p w:rsidR="00000000" w:rsidRDefault="00000000">
      <w:pPr>
        <w:pStyle w:val="Heading2"/>
      </w:pPr>
      <w:bookmarkStart w:id="114" w:name="_Toc481083389"/>
      <w:bookmarkStart w:id="115" w:name="_Toc70388988"/>
      <w:bookmarkStart w:id="116" w:name="_Toc70516965"/>
      <w:r>
        <w:t>General comment No. 12</w:t>
      </w:r>
      <w:r>
        <w:rPr>
          <w:lang w:val="en-US"/>
        </w:rPr>
        <w:t xml:space="preserve">:  </w:t>
      </w:r>
      <w:r>
        <w:t>Article 1 (Right to self-determination)</w:t>
      </w:r>
      <w:bookmarkStart w:id="117" w:name="_Toc481083390"/>
      <w:bookmarkStart w:id="118" w:name="_Toc70388989"/>
      <w:bookmarkEnd w:id="114"/>
      <w:bookmarkEnd w:id="115"/>
      <w:bookmarkEnd w:id="116"/>
      <w:r>
        <w:t xml:space="preserve"> </w:t>
      </w:r>
      <w:bookmarkEnd w:id="117"/>
      <w:bookmarkEnd w:id="118"/>
    </w:p>
    <w:p w:rsidR="00000000" w:rsidRDefault="00000000">
      <w:r>
        <w:t>1.</w:t>
      </w:r>
      <w:r>
        <w:tab/>
        <w:t>In accordance with the purposes and principles of the Charter of the United Nations, article 1 of the International Covenant on Civil and Political Rights recognizes that all peoples have the right of self</w:t>
      </w:r>
      <w:r>
        <w:noBreakHyphen/>
        <w:t>determination.  The right of self</w:t>
      </w:r>
      <w:r>
        <w:noBreakHyphen/>
        <w:t>determination is of particular importance because its realization is an essential condition for the effective guarantee and observance of individual human rights and for the promotion and strengthening of those rights.  It is for that reason that States set forth the right of self</w:t>
      </w:r>
      <w:r>
        <w:noBreakHyphen/>
        <w:t>determination in a provision of positive law in both Covenants and placed this provision as article 1 apart from and before all of the other rights in the two Covenants.</w:t>
      </w:r>
    </w:p>
    <w:p w:rsidR="00000000" w:rsidRDefault="00000000">
      <w:r>
        <w:t>2.</w:t>
      </w:r>
      <w:r>
        <w:tab/>
        <w:t>Article 1 enshrines an inalienable right of all peoples as described in its paragraphs 1 and 2.  By virtue of that right they freely “determine their political status and freely pursue their economic, social and cultural development”.  The article imposes on all States parties corresponding obligations.  This right and the corresponding obligations concerning its implementation are interrelated with other provisions of the Covenant and rules of international law.</w:t>
      </w:r>
    </w:p>
    <w:p w:rsidR="00000000" w:rsidRDefault="00000000">
      <w:r>
        <w:t>3.</w:t>
      </w:r>
      <w:r>
        <w:tab/>
        <w:t>Although the reporting obligations of all States parties include article 1, only some reports give detailed explanations regarding each of its paragraphs.  The Committee has noted that many of them completely ignore article 1, provide inadequate information in regard to it or confine themselves to a reference to election laws.  The Committee considers it highly desirable that States parties’ reports should contain information on each paragraph of article 1.</w:t>
      </w:r>
    </w:p>
    <w:p w:rsidR="00000000" w:rsidRDefault="00000000">
      <w:r>
        <w:t>4.</w:t>
      </w:r>
      <w:r>
        <w:tab/>
        <w:t>With regard to paragraph 1 of article 1, States parties should describe the constitutional and political processes which in practice allow the exercise of this right.</w:t>
      </w:r>
    </w:p>
    <w:p w:rsidR="00000000" w:rsidRDefault="00000000">
      <w:r>
        <w:t>5.</w:t>
      </w:r>
      <w:r>
        <w:tab/>
        <w:t>Paragraph 2 affirms a particular aspect of the economic content of the right of self</w:t>
      </w:r>
      <w:r>
        <w:noBreakHyphen/>
        <w:t>determination, namely the right of peoples, for their own ends, freely to “dispose of their natural wealth and resources without prejudice to any obligations arising out of international economic cooperation, based upon the principle of mutual benefit, and international law.  In no case may a people be deprived of its own means of subsistence”.  This right entails corresponding duties for all States and the international community.  States should indicate any factors or difficulties which prevent the free disposal of their natural wealth and resources contrary to the provisions of this paragraph and to what extent that affects the enjoyment of other rights set forth in the Covenant.</w:t>
      </w:r>
    </w:p>
    <w:p w:rsidR="00000000" w:rsidRDefault="00000000">
      <w:r>
        <w:t>6.</w:t>
      </w:r>
      <w:r>
        <w:tab/>
        <w:t>Paragraph 3, in the Committee’s opinion, is particularly important in that it imposes specific obligations on States parties, not only in relation to their own peoples but vis</w:t>
      </w:r>
      <w:r>
        <w:noBreakHyphen/>
        <w:t>à</w:t>
      </w:r>
      <w:r>
        <w:noBreakHyphen/>
        <w:t>vis all peoples which have not been able to exercise or have been deprived of the possibility of exercising their right to self</w:t>
      </w:r>
      <w:r>
        <w:noBreakHyphen/>
        <w:t>determination.  The general nature of this paragraph is confirmed by its drafting history.  It stipulates that “The States parties to the present Covenant, including those having responsibility for the administration of Non</w:t>
      </w:r>
      <w:r>
        <w:noBreakHyphen/>
        <w:t>Self</w:t>
      </w:r>
      <w:r>
        <w:noBreakHyphen/>
        <w:t>Governing and Trust Territories, shall promote the realization of the right of self</w:t>
      </w:r>
      <w:r>
        <w:noBreakHyphen/>
        <w:t>determination, and shall respect that right, in conformity with the provisions of the Charter of the United Nations”.  The obligations exist irrespective of whether a people entitled to self</w:t>
      </w:r>
      <w:r>
        <w:noBreakHyphen/>
        <w:t>determination depends on a State party to the Covenant or not.  It follows that all States parties to the Covenant should take positive action to facilitate realization of and respect for the right of peoples to self</w:t>
      </w:r>
      <w:r>
        <w:noBreakHyphen/>
        <w:t>determination.  Such positive action must be consistent with the States’ obligations under the Charter of the United Nations and under international law</w:t>
      </w:r>
      <w:r>
        <w:rPr>
          <w:lang w:val="en-US"/>
        </w:rPr>
        <w:t xml:space="preserve">:  </w:t>
      </w:r>
      <w:r>
        <w:t>in particular, States must refrain from interfering in the internal affairs of other States and thereby adversely affecting the exercise of the right to self</w:t>
      </w:r>
      <w:r>
        <w:noBreakHyphen/>
        <w:t>determination.  The reports should contain information on the performance of these obligations and the measures taken to that end.</w:t>
      </w:r>
    </w:p>
    <w:p w:rsidR="00000000" w:rsidRDefault="00000000">
      <w:r>
        <w:t>7.</w:t>
      </w:r>
      <w:r>
        <w:tab/>
        <w:t>In connection with article 1 of the Covenant, the Committee refers to other international instruments concerning the right of all peoples to self</w:t>
      </w:r>
      <w:r>
        <w:noBreakHyphen/>
        <w:t>determination, in particular the Declaration on Principles of International Law concerning Friendly Relations and Cooperation among States in accordance with the Charter of the United Nations, adopted by the General Assembly on 24 October 1970 (General Assembly resolution 2625 (XXV)).</w:t>
      </w:r>
    </w:p>
    <w:p w:rsidR="00000000" w:rsidRDefault="00000000">
      <w:r>
        <w:t>8.</w:t>
      </w:r>
      <w:r>
        <w:tab/>
        <w:t>The Committee considers that history has proved that the realization of and respect for the right of self</w:t>
      </w:r>
      <w:r>
        <w:noBreakHyphen/>
        <w:t>determination of peoples contributes to the establishment of friendly relations and cooperation between States and to strengthening international peace and understanding.</w:t>
      </w:r>
    </w:p>
    <w:p w:rsidR="00000000" w:rsidRDefault="00000000">
      <w:pPr>
        <w:pStyle w:val="Heading2"/>
      </w:pPr>
      <w:r>
        <w:t>Twenty</w:t>
      </w:r>
      <w:r>
        <w:noBreakHyphen/>
        <w:t>first session (1984)</w:t>
      </w:r>
    </w:p>
    <w:p w:rsidR="00000000" w:rsidRDefault="00000000">
      <w:pPr>
        <w:pStyle w:val="Heading2"/>
      </w:pPr>
      <w:bookmarkStart w:id="119" w:name="_Toc481083391"/>
      <w:bookmarkStart w:id="120" w:name="_Toc70388990"/>
      <w:bookmarkStart w:id="121" w:name="_Toc70516966"/>
      <w:r>
        <w:t>General comment No. 13</w:t>
      </w:r>
      <w:r>
        <w:rPr>
          <w:lang w:val="en-US"/>
        </w:rPr>
        <w:t xml:space="preserve">:  </w:t>
      </w:r>
      <w:r>
        <w:t>Article 14 (Administration of justice)</w:t>
      </w:r>
      <w:bookmarkStart w:id="122" w:name="_Toc481083392"/>
      <w:bookmarkStart w:id="123" w:name="_Toc70388991"/>
      <w:bookmarkEnd w:id="119"/>
      <w:bookmarkEnd w:id="120"/>
      <w:bookmarkEnd w:id="121"/>
      <w:r>
        <w:t xml:space="preserve"> </w:t>
      </w:r>
      <w:bookmarkEnd w:id="122"/>
      <w:bookmarkEnd w:id="123"/>
    </w:p>
    <w:p w:rsidR="00000000" w:rsidRDefault="00000000">
      <w:r>
        <w:t>1.</w:t>
      </w:r>
      <w:r>
        <w:tab/>
        <w:t>The Committee notes that article 14 of the Covenant is of a complex nature and that different aspects of its provisions will need specific comments.  All of these provisions are aimed at ensuring the proper administration of justice, and to this end uphold a series of individual rights such as equality before the courts and tribunals and the right to a fair and public hearing by a competent, independent and impartial tribunal established by law.  Not all reports provided details on the legislative or other measures adopted specifically to implement each of the provisions of article 14.</w:t>
      </w:r>
    </w:p>
    <w:p w:rsidR="00000000" w:rsidRDefault="00000000">
      <w:r>
        <w:t>2.</w:t>
      </w:r>
      <w:r>
        <w:tab/>
        <w:t>In general, the reports of States parties fail to recognize that article 14 applies not only to procedures for the determination of criminal charges against individuals but also to procedures to determine their rights and obligations in a suit at law.  Laws and practices dealing with these matters vary widely from State to State.  This diversity makes it all the more necessary for States parties to provide all relevant information and to explain in greater detail how the concepts of “criminal charge” and “rights and obligations in a suit at law” are interpreted in relation to their respective legal systems.</w:t>
      </w:r>
    </w:p>
    <w:p w:rsidR="00000000" w:rsidRDefault="00000000">
      <w:r>
        <w:t>3.</w:t>
      </w:r>
      <w:r>
        <w:tab/>
        <w:t>The Committee would find it useful if, in their future reports, States parties could provide more detailed information on the steps taken to ensure that equality before the courts, including equal access to courts, fair and public hearings and competence, impartiality and independence of the judiciary are established by law and guaranteed in practice.  In particular, States parties should specify the relevant constitutional and legislative texts which provide for the establishment of the courts and ensure that they are independent, impartial and competent, in particular with regard to the manner in which judges are appointed, the qualifications for appointment, and the duration of their terms of office; the condition governing promotion, transfer and cessation of their functions and the actual independence of the judiciary from the executive branch and the legislative.</w:t>
      </w:r>
    </w:p>
    <w:p w:rsidR="00000000" w:rsidRDefault="00000000">
      <w:r>
        <w:t>4.</w:t>
      </w:r>
      <w:r>
        <w:tab/>
        <w:t>The provisions of article 14 apply to all courts and tribunals within the scope of that article whether ordinary or specialized.  The Committee notes the existence, in many countries, of military or special courts which try civilians.  This could present serious problems as far as the equitable, impartial and independent administration of justice is concerned.  Quite often the reason for the establishment of such courts is to enable exceptional procedures to be applied which do not comply with normal standards of justice.  While the Covenant does not prohibit such categories of courts, nevertheless the conditions which it lays down clearly indicate that the trying of civilians by such courts should be very exceptional and take place under conditions which genuinely afford the full guarantees stipulated in article 14.  The Committee has noted a serious lack of information in this regard in the reports of some States parties whose judicial institutions include such courts for the trying of civilians.  In some countries such military and special courts do not afford the strict guarantees of the proper administration of justice in accordance with the requirements of article 14 which are essential for the effective protection of human rights.  If States parties decide in circumstances of a public emergency as contemplated by article 4 to derogate from normal procedures required under article 14, they should ensure that such derogations do not exceed those strictly required by the exigencies of the actual situation, and respect the other conditions in paragraph 1 of article 14.</w:t>
      </w:r>
    </w:p>
    <w:p w:rsidR="00000000" w:rsidRDefault="00000000">
      <w:r>
        <w:t>5.</w:t>
      </w:r>
      <w:r>
        <w:tab/>
        <w:t>The second sentence of article 14, paragraph 1, provides that “everyone shall be entitled to a fair and public hearing”.  Paragraph 3 of the article elaborates on the requirements of a “fair hearing” in regard to the determination of criminal charges.  However, the requirements of paragraph 3 are minimum guarantees, the observance of which is not always sufficient to ensure the fairness of a hearing as required by paragraph 1.</w:t>
      </w:r>
    </w:p>
    <w:p w:rsidR="00000000" w:rsidRDefault="00000000">
      <w:r>
        <w:t>6.</w:t>
      </w:r>
      <w:r>
        <w:tab/>
        <w:t>The publicity of hearings is an important safeguard in the interest of the individual and of society at large.  At the same time article 14, paragraph 1, acknowledges that courts have the power to exclude all or part of the public for reasons spelt out in that paragraph.  It should be noted that, apart from such exceptional circumstances, the Committee considers that a hearing must be open to the public in general, including members of the press, and must not, for instance, be limited only to a particular category of persons.  It should be noted that, even in cases in which the public is excluded from the trial, the judgement must, with certain strictly defined exceptions, be made public.</w:t>
      </w:r>
    </w:p>
    <w:p w:rsidR="00000000" w:rsidRDefault="00000000">
      <w:r>
        <w:t>7.</w:t>
      </w:r>
      <w:r>
        <w:tab/>
        <w:t>The Committee has noted a lack of information regarding article 14, paragraph 2 and, in some cases, has even observed that the presumption of innocence, which is fundamental to the protection of human rights, is expressed in very ambiguous terms or entails conditions which render it ineffective.  By reason of the presumption of innocence, the burden of proof of the charge is on the prosecution and the accused has the benefit of doubt.  No guilt can be presumed until the charge has been proved beyond reasonable doubt.  Further, the presumption of innocence implies a right to be treated in accordance with this principle.  It is, therefore, a duty for all public authorities to refrain from prejudging the outcome of a trial.</w:t>
      </w:r>
    </w:p>
    <w:p w:rsidR="00000000" w:rsidRDefault="00000000">
      <w:r>
        <w:t>8.</w:t>
      </w:r>
      <w:r>
        <w:tab/>
        <w:t>Among the minimum guarantees in criminal proceedings prescribed by paragraph 3, the first concerns the right of everyone to be informed in a language which he understands of the charge against him (sub-para. (a)).  The Committee notes that State reports often do not explain how this right is respected and ensured.  Article 14 (3) (a) applies to all cases of criminal charges, including those of persons not in detention.  The Committee notes further that the right to be informed of the charge “promptly” requires that information is given in the manner described as soon as the charge is first made by a competent authority.  In the opinion of the Committee this right must arise when in the course of an investigation a court or an authority of the prosecution decides to take procedural steps against a person suspected of a crime or publicly names him as such.  The specific requirements of subparagraph 3 (a) may be met by stating the charge either orally or in writing, provided that the information indicates both the law and the alleged facts on which it is based.</w:t>
      </w:r>
    </w:p>
    <w:p w:rsidR="00000000" w:rsidRDefault="00000000">
      <w:r>
        <w:t>9.</w:t>
      </w:r>
      <w:r>
        <w:tab/>
        <w:t>Subparagraph 3 (b) provides that the accused must have adequate time and facilities for the preparation of his defence and to communicate with counsel of his own choosing.  What is “adequate time” depends on the circumstances of each case, but the facilities must include access to documents and other evidence which the accused requires to prepare his case, as well as the opportunity to engage and communicate with counsel.  When the accused does not want to defend himself in person or request a person or an association of his choice, he should be able to have recourse to a lawyer.  Furthermore, this subparagraph requires counsel to communicate with the accused in conditions giving full respect for the confidentiality of their communications.  Lawyers should be able to counsel and to represent their clients in accordance with their established professional standards and judgement without any restrictions, influences, pressures or undue interference from any quarter.</w:t>
      </w:r>
    </w:p>
    <w:p w:rsidR="00000000" w:rsidRDefault="00000000">
      <w:r>
        <w:t>10.</w:t>
      </w:r>
      <w:r>
        <w:tab/>
        <w:t>Subparagraph 3 (c) provides that the accused shall be tried without undue delay.  This guarantee relates not only to the time by which a trial should commence, but also the time by which it should end and judgement be rendered; all stages must take place “without undue delay”.  To make this right effective, a procedure must be available in order to ensure that the trial will proceed “without undue delay”, both in first instance and on appeal.</w:t>
      </w:r>
    </w:p>
    <w:p w:rsidR="00000000" w:rsidRDefault="00000000">
      <w:r>
        <w:t>11.</w:t>
      </w:r>
      <w:r>
        <w:tab/>
        <w:t>Not all reports have dealt with all aspects of the right of defence as defined in subparagraph 3 (d).  The Committee has not always received sufficient information concerning the protection of the right of the accused to be present during the determination of any charge against him nor how the legal system assures his right either to defend himself in person or to be assisted by counsel of his own choosing, or what arrangements are made if a person does not have sufficient means to pay for legal assistance.  The accused or his lawyer must have the right to act diligently and fearlessly in pursuing all available defences and the right to challenge the conduct of the case if they believe it to be unfair.  When exceptionally for justified reasons trials in absentia are held, strict observance of the rights of the defence is all the more necessary.</w:t>
      </w:r>
    </w:p>
    <w:p w:rsidR="00000000" w:rsidRDefault="00000000">
      <w:r>
        <w:t>12.</w:t>
      </w:r>
      <w:r>
        <w:tab/>
        <w:t>Subparagraph 3 (e) states that the accused shall be entitled to examine or have examined the witnesses against him and to obtain the attendance and examination of witnesses on his behalf under the same conditions as witnesses against him.  This provision is designed to guarantee to the accused the same legal powers of compelling the attendance of witnesses and of examining or cross</w:t>
      </w:r>
      <w:r>
        <w:noBreakHyphen/>
        <w:t>examining any witnesses as are available to the prosecution.</w:t>
      </w:r>
    </w:p>
    <w:p w:rsidR="00000000" w:rsidRDefault="00000000">
      <w:r>
        <w:t>13.</w:t>
      </w:r>
      <w:r>
        <w:tab/>
        <w:t>Subparagraph 3 (f) provides that if the accused cannot understand or speak the language used in court he is entitled to the assistance of an interpreter free of any charge.  This right is independent of the outcome of the proceedings and applies to aliens as well as to nationals.  It is of basic importance in cases in which ignorance of the language used by a court or difficulty in understanding may constitute a major obstacle to the right of defence.</w:t>
      </w:r>
    </w:p>
    <w:p w:rsidR="00000000" w:rsidRDefault="00000000">
      <w:r>
        <w:t>14.</w:t>
      </w:r>
      <w:r>
        <w:tab/>
        <w:t>Subparagraph 3 (g) provides that the accused may not be compelled to testify against himself or to confess guilt.  In considering this safeguard the provisions of article 7 and article 10, paragraph 1, should be borne in mind.  In order to compel the accused to confess or to testify against himself, frequently methods which violate these provisions are used.  The law should require that evidence provided by means of such methods or any other form of compulsion is wholly unacceptable.</w:t>
      </w:r>
    </w:p>
    <w:p w:rsidR="00000000" w:rsidRDefault="00000000">
      <w:r>
        <w:t>15.</w:t>
      </w:r>
      <w:r>
        <w:tab/>
        <w:t>In order to safeguard the rights of the accused under paragraphs 1 and 3 of article 14, judges should have authority to consider any allegations made of violations of the rights of the accused during any stage of the prosecution.</w:t>
      </w:r>
    </w:p>
    <w:p w:rsidR="00000000" w:rsidRDefault="00000000">
      <w:r>
        <w:t>16.</w:t>
      </w:r>
      <w:r>
        <w:tab/>
        <w:t>Article 14, paragraph 4, provides that in the case of juvenile persons, the procedure shall be such as will take account of their age and the desirability of promoting their rehabilitation.  Not many reports have furnished sufficient information concerning such relevant matters as the minimum age at which a juvenile may be charged with a criminal offence, the maximum age at which a person is still considered to be a juvenile, the existence of special courts and procedures, the laws governing procedures against juveniles and how all these special arrangements for juveniles take account of “the desirability of promoting their rehabilitation”.  Juveniles are to enjoy at least the same guarantees and protection as are accorded to adults under article 14.</w:t>
      </w:r>
    </w:p>
    <w:p w:rsidR="00000000" w:rsidRDefault="00000000">
      <w:r>
        <w:t>17.</w:t>
      </w:r>
      <w:r>
        <w:tab/>
        <w:t>Article 14, paragraph 5, provides that everyone convicted of a crime shall have the right to his conviction and sentence being reviewed by a higher tribunal according to law.  Particular attention is drawn to the other language versions of the word “crime” (“infraction”, “delito”, “prestuplenie”) which show that the guarantee is not confined only to the most serious offences.  In this connection, not enough information has been provided concerning the procedures of appeal, in particular the access to and the powers of reviewing tribunals, what requirements must be satisfied to appeal against a judgement, and the way in which the procedures before review tribunals take account of the fair and public hearing requirements of paragraph 1 of article 14.</w:t>
      </w:r>
    </w:p>
    <w:p w:rsidR="00000000" w:rsidRDefault="00000000">
      <w:r>
        <w:t>18.</w:t>
      </w:r>
      <w:r>
        <w:tab/>
        <w:t>Article 14, paragraph 6, provides for compensation according to law in certain cases of a miscarriage of justice as described therein.  It seems from many State reports that this right is often not observed or insufficiently guaranteed by domestic legislation.  States should, where necessary, supplement their legislation in this area in order to bring it into line with the provisions of the Covenant.</w:t>
      </w:r>
    </w:p>
    <w:p w:rsidR="00000000" w:rsidRDefault="00000000">
      <w:r>
        <w:t>19.</w:t>
      </w:r>
      <w:r>
        <w:tab/>
        <w:t>In considering State reports differing views have often been expressed as to the scope of paragraph 7 of article 14.  Some States parties have even felt the need to make reservations in relation to procedures for the resumption of criminal cases.  It seems to the Committee that most States parties make a clear distinction between a resumption of a trial justified by exceptional circumstances and a re</w:t>
      </w:r>
      <w:r>
        <w:noBreakHyphen/>
        <w:t>trial prohibited pursuant to the principle of ne bis in idem as contained in paragraph 7.  This understanding of the meaning of ne bis in idem may encourage States parties to reconsider their reservations to article 14, paragraph 7.</w:t>
      </w:r>
    </w:p>
    <w:p w:rsidR="00000000" w:rsidRDefault="00000000">
      <w:pPr>
        <w:pStyle w:val="Heading2"/>
      </w:pPr>
      <w:r>
        <w:t>Twenty</w:t>
      </w:r>
      <w:r>
        <w:noBreakHyphen/>
        <w:t>third session (1984)</w:t>
      </w:r>
    </w:p>
    <w:p w:rsidR="00000000" w:rsidRDefault="00000000">
      <w:pPr>
        <w:pStyle w:val="Heading2"/>
      </w:pPr>
      <w:bookmarkStart w:id="124" w:name="_Toc481083393"/>
      <w:bookmarkStart w:id="125" w:name="_Toc70388992"/>
      <w:bookmarkStart w:id="126" w:name="_Toc70516967"/>
      <w:r>
        <w:t>General comment No. 14</w:t>
      </w:r>
      <w:r>
        <w:rPr>
          <w:lang w:val="en-US"/>
        </w:rPr>
        <w:t xml:space="preserve">:  </w:t>
      </w:r>
      <w:r>
        <w:t>Article 6 (Right to life)</w:t>
      </w:r>
      <w:bookmarkStart w:id="127" w:name="_Toc481083394"/>
      <w:bookmarkStart w:id="128" w:name="_Toc70388993"/>
      <w:bookmarkEnd w:id="124"/>
      <w:bookmarkEnd w:id="125"/>
      <w:bookmarkEnd w:id="126"/>
      <w:r>
        <w:t xml:space="preserve"> </w:t>
      </w:r>
      <w:bookmarkEnd w:id="127"/>
      <w:bookmarkEnd w:id="128"/>
    </w:p>
    <w:p w:rsidR="00000000" w:rsidRDefault="00000000">
      <w:r>
        <w:t>1.</w:t>
      </w:r>
      <w:r>
        <w:tab/>
        <w:t>In its General comment No. 6 [16] adopted at its 378th meeting on 27 July 1982, the Human Rights Committee observed that the right to life enunciated in the first paragraph of article 6 of the International Covenant on Civil and Political Rights is the supreme right from which no derogation is permitted even in time of public emergency.  The same right to life is enshrined in article 3 of the Universal Declaration of Human Rights adopted by the General Assembly of the United Nations on 10 December 1948.  It is basic to all human rights.</w:t>
      </w:r>
    </w:p>
    <w:p w:rsidR="00000000" w:rsidRDefault="00000000">
      <w:r>
        <w:t>2.</w:t>
      </w:r>
      <w:r>
        <w:tab/>
        <w:t>In its previous general comment, the Committee also observed that it is the supreme duty of States to prevent wars.  War and other acts of mass violence continue to be a scourge of humanity and take the lives of thousands of innocent human beings every year.</w:t>
      </w:r>
    </w:p>
    <w:p w:rsidR="00000000" w:rsidRDefault="00000000">
      <w:r>
        <w:t>3.</w:t>
      </w:r>
      <w:r>
        <w:tab/>
        <w:t>While remaining deeply concerned by the toll of human life taken by conventional weapons in armed conflicts, the Committee has noted that, during successive sessions of the General Assembly, representatives from all geographical regions have expressed their growing concern at the development and proliferation of increasingly awesome weapons of mass destruction, which not only threaten human life but also absorb resources that could otherwise be used for vital economic and social purposes, particularly for the benefit of developing countries, and thereby for promoting and securing the enjoyment of human rights for all.</w:t>
      </w:r>
    </w:p>
    <w:p w:rsidR="00000000" w:rsidRDefault="00000000">
      <w:r>
        <w:t>4.</w:t>
      </w:r>
      <w:r>
        <w:tab/>
        <w:t>The Committee associates itself with this concern.  It is evident that the designing, testing, manufacture, possession and deployment of nuclear weapons are among the greatest threats to the right to life which confront mankind today.  This threat is compounded by the danger that the actual use of such weapons may be brought about, not only in the event of war, but even through human or mechanical error or failure.</w:t>
      </w:r>
    </w:p>
    <w:p w:rsidR="00000000" w:rsidRDefault="00000000">
      <w:r>
        <w:t>5.</w:t>
      </w:r>
      <w:r>
        <w:tab/>
        <w:t>Furthermore, the very existence and gravity of this threat generates a climate of suspicion and fear between States, which is in itself antagonistic to the promotion of universal respect for and observance of human rights and fundamental freedoms in accordance with the Charter of the United Nations and the International Covenants on Human Rights.</w:t>
      </w:r>
    </w:p>
    <w:p w:rsidR="00000000" w:rsidRDefault="00000000">
      <w:r>
        <w:t>6.</w:t>
      </w:r>
      <w:r>
        <w:tab/>
        <w:t>The production, testing, possession, deployment and use of nuclear weapons should be prohibited and recognized as crimes against humanity.</w:t>
      </w:r>
    </w:p>
    <w:p w:rsidR="00000000" w:rsidRDefault="00000000">
      <w:r>
        <w:t>7.</w:t>
      </w:r>
      <w:r>
        <w:tab/>
        <w:t>The Committee accordingly, in the interest of mankind, calls upon all States, whether Parties to the Covenant or not, to take urgent steps, unilaterally and by agreement, to rid the world of this menace.</w:t>
      </w:r>
    </w:p>
    <w:p w:rsidR="00000000" w:rsidRDefault="00000000">
      <w:pPr>
        <w:pStyle w:val="Heading2"/>
      </w:pPr>
      <w:r>
        <w:t>Twenty</w:t>
      </w:r>
      <w:r>
        <w:noBreakHyphen/>
        <w:t>seventh session (1986)</w:t>
      </w:r>
    </w:p>
    <w:p w:rsidR="00000000" w:rsidRDefault="00000000">
      <w:pPr>
        <w:pStyle w:val="Heading2"/>
      </w:pPr>
      <w:bookmarkStart w:id="129" w:name="_Toc481083395"/>
      <w:bookmarkStart w:id="130" w:name="_Toc70388994"/>
      <w:bookmarkStart w:id="131" w:name="_Toc70516968"/>
      <w:r>
        <w:t>General comment No. 15</w:t>
      </w:r>
      <w:r>
        <w:rPr>
          <w:lang w:val="en-US"/>
        </w:rPr>
        <w:t xml:space="preserve">:  </w:t>
      </w:r>
      <w:r>
        <w:t>The position of aliens under the Covenant</w:t>
      </w:r>
      <w:bookmarkStart w:id="132" w:name="_Toc481083396"/>
      <w:bookmarkStart w:id="133" w:name="_Toc70388995"/>
      <w:bookmarkEnd w:id="129"/>
      <w:bookmarkEnd w:id="130"/>
      <w:bookmarkEnd w:id="131"/>
      <w:r>
        <w:t xml:space="preserve"> </w:t>
      </w:r>
      <w:bookmarkEnd w:id="132"/>
      <w:bookmarkEnd w:id="133"/>
    </w:p>
    <w:p w:rsidR="00000000" w:rsidRDefault="00000000">
      <w:r>
        <w:t>1.</w:t>
      </w:r>
      <w:r>
        <w:tab/>
        <w:t>Reports from States parties have often failed to take into account that each State party must ensure the rights in the Covenant to “all individuals within its territory and subject to its jurisdiction” (art. 2, para. 1).  In general, the rights set forth in the Covenant apply to everyone, irrespective of reciprocity, and irrespective of his or her nationality or statelessness.</w:t>
      </w:r>
    </w:p>
    <w:p w:rsidR="00000000" w:rsidRDefault="00000000">
      <w:r>
        <w:t>2.</w:t>
      </w:r>
      <w:r>
        <w:tab/>
        <w:t>Thus, the general rule is that each one of the rights of the Covenant must be guaranteed without discrimination between citizens and aliens.  Aliens receive the benefit of the general requirement of non</w:t>
      </w:r>
      <w:r>
        <w:noBreakHyphen/>
        <w:t>discrimination in respect of the rights guaranteed in the Covenant, as provided for in article 2 thereof.  This guarantee applies to aliens and citizens alike.  Exceptionally, some of the rights recognized in the Covenant are expressly applicable only to citizens (art. 25), while article 13 applies only to aliens.  However, the Committee’s experience in examining reports shows that in a number of countries other rights that aliens should enjoy under the Covenant are denied to them or are subject to limitations that cannot always be justified under the Covenant.</w:t>
      </w:r>
    </w:p>
    <w:p w:rsidR="00000000" w:rsidRDefault="00000000">
      <w:r>
        <w:t>3.</w:t>
      </w:r>
      <w:r>
        <w:tab/>
        <w:t>A few constitutions provide for equality of aliens with citizens.  Some constitutions adopted more recently carefully distinguish fundamental rights that apply to all and those granted to citizens only, and deal with each in detail.  In many States, however, the constitutions are drafted in terms of citizens only when granting relevant rights.  Legislation and case law may also play an important part in providing for the rights of aliens.  The Committee has been informed that in some States fundamental rights, though not guaranteed to aliens by the Constitution or other legislation, will also be extended to them as required by the Covenant.  In certain cases, however, there has clearly been a failure to implement Covenant rights without discrimination in respect of aliens.</w:t>
      </w:r>
    </w:p>
    <w:p w:rsidR="00000000" w:rsidRDefault="00000000">
      <w:r>
        <w:t>4.</w:t>
      </w:r>
      <w:r>
        <w:tab/>
        <w:t>The Committee considers that in their reports States parties should give attention to the position of aliens, both under their law and in actual practice.  The Covenant gives aliens all the protection regarding rights guaranteed therein, and its requirements should be observed by States parties in their legislation and in practice as appropriate.  The position of aliens would thus be considerably improved.  States parties should ensure that the provisions of the Covenant and the rights under it are made known to aliens within their jurisdiction.</w:t>
      </w:r>
    </w:p>
    <w:p w:rsidR="00000000" w:rsidRDefault="00000000">
      <w:r>
        <w:t>5.</w:t>
      </w:r>
      <w:r>
        <w:tab/>
        <w:t>The Covenant does not recognize the right of aliens to enter or reside in the territory of a State party.  It is in principle a matter for the State to decide who it will admit to its territory.  However, in certain circumstances an alien may enjoy the protection of the Covenant even in relation to entry or residence, for example, when considerations of non</w:t>
      </w:r>
      <w:r>
        <w:noBreakHyphen/>
        <w:t>discrimination, prohibition of inhuman treatment and respect for family life arise.</w:t>
      </w:r>
    </w:p>
    <w:p w:rsidR="00000000" w:rsidRDefault="00000000">
      <w:r>
        <w:t>6.</w:t>
      </w:r>
      <w:r>
        <w:tab/>
        <w:t>Consent for entry may be given subject to conditions relating, for example, to movement, residence and employment.  A State may also impose general conditions upon an alien who is in transit.  However, once aliens are allowed to enter the territory of a State party they are entitled to the rights set out in the Covenant.</w:t>
      </w:r>
    </w:p>
    <w:p w:rsidR="00000000" w:rsidRDefault="00000000">
      <w:r>
        <w:t>7.</w:t>
      </w:r>
      <w:r>
        <w:tab/>
        <w:t>Aliens thus have an inherent right to life, protected by law, and may not be arbitrarily deprived of life.  They must not be subjected to torture or to cruel, inhuman or degrading treatment or punishment; nor may they be held in slavery or servitude.  Aliens have the full right to liberty and security of the person.  If lawfully deprived of their liberty, they shall be treated with humanity and with respect for the inherent dignity of their person.  Aliens may not be imprisoned for failure to fulfil a contractual obligation.  They have the right to liberty of movement and free choice of residence; they shall be free to leave the country.  Aliens shall be equal before the courts and tribunals, and shall be entitled to a fair and public hearing by a competent, independent and impartial tribunal established by law in the determination of any criminal charge or of rights and obligations in a suit at law.  Aliens shall not be subjected to retrospective penal legislation, and are entitled to recognition before the law.  They may not be subjected to arbitrary or unlawful interference with their privacy, family, home or correspondence.  They have the right to freedom of thought, conscience and religion, and the right to hold opinions and to express them.  Aliens receive the benefit of the right of peaceful assembly and of freedom of association.  They may marry when at marriageable age.  Their children are entitled to those measures of protection required by their status as minors.  In those cases where aliens constitute a minority within the meaning of article 27, they shall not be denied the right, in community with other members of their group, to enjoy their own culture, to profess and practise their own religion and to use their own language.  Aliens are entitled to equal protection by the law.  There shall be no discrimination between aliens and citizens in the application of these rights.  These rights of aliens may be qualified only by such limitations as may be lawfully imposed under the Covenant.</w:t>
      </w:r>
    </w:p>
    <w:p w:rsidR="00000000" w:rsidRDefault="00000000">
      <w:r>
        <w:t>8.</w:t>
      </w:r>
      <w:r>
        <w:tab/>
        <w:t>Once an alien is lawfully within a territory, his freedom of movement within the territory and his right to leave that territory may only be restricted in accordance with article 12, paragraph 3.  Differences in treatment in this regard between aliens and nationals, or between different categories of aliens, need to be justified under article 12, paragraph 3.  Since such restrictions must, inter alia, be consistent with the other rights recognized in the Covenant, a State party cannot, by restraining an alien or deporting him to a third country, arbitrarily prevent his return to his own country (art. 12, para. 4).</w:t>
      </w:r>
    </w:p>
    <w:p w:rsidR="00000000" w:rsidRDefault="00000000">
      <w:r>
        <w:t>9.</w:t>
      </w:r>
      <w:r>
        <w:tab/>
        <w:t>Many reports have given insufficient information on matters relevant to article 13.  That article is applicable to all procedures aimed at the obligatory departure of an alien, whether described in national law as expulsion or otherwise.  If such procedures entail arrest, the safeguards of the Covenant relating to deprivation of liberty (arts. 9 and 10) may also be applicable.  If the arrest is for the particular purpose of extradition, other provisions of national and international law may apply.  Normally an alien who is expelled must be allowed to leave for any country that agrees to take him.  The particular rights of article 13 only protect those aliens who are lawfully in the territory of a State party.  This means that national law concerning the requirements for entry and stay must be taken into account in determining the scope of that protection, and that illegal entrants and aliens who have stayed longer than the law or their permits allow, in particular, are not covered by its provisions.  However, if the legality of an alien’s entry or stay is in dispute, any decision on this point leading to his expulsion or deportation ought to be taken in accordance with article 13.  It is for the competent authorities of the State party, in good faith and in the exercise of their powers, to apply and interpret the domestic law, observing, however, such requirements under the Covenant as equality before the law (art. 26).</w:t>
      </w:r>
    </w:p>
    <w:p w:rsidR="00000000" w:rsidRDefault="00000000">
      <w:r>
        <w:t>10.</w:t>
      </w:r>
      <w:r>
        <w:tab/>
        <w:t>Article 13 directly regulates only the procedure and not the substantive grounds for expulsion.  However, by allowing only those carried out “in pursuance of a decision reached in accordance with law”, its purpose is clearly to prevent arbitrary expulsions.  On the other hand, it entitles each alien to a decision in his own case and, hence, article 13 would not be satisfied with laws or decisions providing for collective or mass expulsions.  This understanding, in the opinion of the Committee, is confirmed by further provisions concerning the right to submit reasons against expulsion and to have the decision reviewed by and to be represented before the competent authority or someone designated by it.  An alien must be given full facilities for pursuing his remedy against expulsion so that this right will in all the circumstances of his case be an effective one.  The principles of article 13 relating to appeal against expulsion and the entitlement to review by a competent authority may only be departed from when “compelling reasons of national security” so require.  Discrimination may not be made between different categories of aliens in the application of article 13.</w:t>
      </w:r>
    </w:p>
    <w:p w:rsidR="00000000" w:rsidRDefault="00000000">
      <w:pPr>
        <w:pStyle w:val="Heading2"/>
      </w:pPr>
      <w:r>
        <w:t>Thirty</w:t>
      </w:r>
      <w:r>
        <w:noBreakHyphen/>
        <w:t>second session (1988)</w:t>
      </w:r>
    </w:p>
    <w:p w:rsidR="00000000" w:rsidRDefault="00000000">
      <w:pPr>
        <w:pStyle w:val="Heading2"/>
      </w:pPr>
      <w:bookmarkStart w:id="134" w:name="_Toc481083397"/>
      <w:bookmarkStart w:id="135" w:name="_Toc70388996"/>
      <w:bookmarkStart w:id="136" w:name="_Toc70516969"/>
      <w:r>
        <w:t>General comment No. 16</w:t>
      </w:r>
      <w:r>
        <w:rPr>
          <w:lang w:val="en-US"/>
        </w:rPr>
        <w:t xml:space="preserve">:  </w:t>
      </w:r>
      <w:r>
        <w:t>Article 17 (Right to privacy)</w:t>
      </w:r>
      <w:bookmarkEnd w:id="134"/>
      <w:bookmarkEnd w:id="135"/>
      <w:bookmarkEnd w:id="136"/>
    </w:p>
    <w:p w:rsidR="00000000" w:rsidRDefault="00000000">
      <w:r>
        <w:t>1.</w:t>
      </w:r>
      <w:r>
        <w:tab/>
        <w:t>Article 17 provides for the right of every person to be protected against arbitrary or unlawful interference with his privacy, family, home or correspondence as well as against unlawful attacks on his honour and reputation.  In the view of the Committee this right is required to be guaranteed against all such interferences and attacks whether they emanate from State authorities or from natural or legal persons.  The obligations imposed by this article require the State to adopt legislative and other measures to give effect to the prohibition against such interferences and attacks as well as to the protection of this right.</w:t>
      </w:r>
    </w:p>
    <w:p w:rsidR="00000000" w:rsidRDefault="00000000">
      <w:r>
        <w:t>2.</w:t>
      </w:r>
      <w:r>
        <w:tab/>
        <w:t>In this connection, the Committee wishes to point out that in the reports of States parties to the Covenant the necessary attention is not being given to information concerning the manner in which respect for this right is guaranteed by legislative, administrative or judicial authorities, and in general by the competent organs established in the State.  In particular, insufficient attention is paid to the fact that article 17 of the Covenant deals with protection against both unlawful and arbitrary interference.  That means that it is precisely in State legislation above all that provision must be made for the protection of the right set forth in that article.  At present the reports either say nothing about such legislation or provide insufficient information on the subject.</w:t>
      </w:r>
    </w:p>
    <w:p w:rsidR="00000000" w:rsidRDefault="00000000">
      <w:r>
        <w:t>3.</w:t>
      </w:r>
      <w:r>
        <w:tab/>
        <w:t>The term “unlawful” means that no interference can take place except in cases envisaged by the law.  Interference authorized by States can only take place on the basis of law, which itself must comply with the provisions, aims and objectives of the Covenant.</w:t>
      </w:r>
    </w:p>
    <w:p w:rsidR="00000000" w:rsidRDefault="00000000">
      <w:r>
        <w:t>4.</w:t>
      </w:r>
      <w:r>
        <w:tab/>
        <w:t>The expression “arbitrary interference” is also relevant to the protection of the right provided for in article 17.  In the Committee’s view the expression “arbitrary interference” can also extend to interference provided for under the law.  The introduction of the concept of arbitrariness is intended to guarantee that even interference provided for by law should be in accordance with the provisions, aims and objectives of the Covenant and should be, in any event, reasonable in the particular circumstances.</w:t>
      </w:r>
    </w:p>
    <w:p w:rsidR="00000000" w:rsidRDefault="00000000">
      <w:r>
        <w:t>5.</w:t>
      </w:r>
      <w:r>
        <w:tab/>
        <w:t>Regarding the term “family”, the objectives of the Covenant require that for purposes of article 17 this term be given a broad interpretation to include all those comprising the family as understood in the society of the State party concerned.  The term “home” in English, “manzel” in Arabic, “zhùzhái” in Chinese, “domicile” in French, “zhilische” in Russian and “domicilio” in Spanish, as used in article 17 of the Covenant, is to be understood to indicate the place where a person resides or carries out his usual occupation.  In this connection, the Committee invites States to indicate in their reports the meaning given in their society to the terms “family” and “home”.</w:t>
      </w:r>
    </w:p>
    <w:p w:rsidR="00000000" w:rsidRDefault="00000000">
      <w:r>
        <w:t>6.</w:t>
      </w:r>
      <w:r>
        <w:tab/>
        <w:t>The Committee considers that the reports should include information on the authorities and organs set up within the legal system of the State which are competent to authorize interference allowed by the law.  It is also indispensable to have information on the authorities which are entitled to exercise control over such interference with strict regard for the law, and to know in what manner and through which organs persons concerned may complain of a violation of the right provided for in article 17 of the Covenant.  States should in their reports make clear the extent to which actual practice conforms to the law.  State party reports should also contain information on complaints lodged in respect of arbitrary or unlawful interference, and the number of any findings in that regard, as well as the remedies provided in such cases.</w:t>
      </w:r>
    </w:p>
    <w:p w:rsidR="00000000" w:rsidRDefault="00000000">
      <w:r>
        <w:t>7.</w:t>
      </w:r>
      <w:r>
        <w:tab/>
        <w:t>As all persons live in society, the protection of privacy is necessarily relative.  However, the competent public authorities should only be able to call for such information relating to an individual’s private life the knowledge of which is essential in the interests of society as understood under the Covenant.  Accordingly, the Committee recommends that States should indicate in their reports the laws and regulations that govern authorized interferences with private life.</w:t>
      </w:r>
    </w:p>
    <w:p w:rsidR="00000000" w:rsidRDefault="00000000">
      <w:r>
        <w:t>8.</w:t>
      </w:r>
      <w:r>
        <w:tab/>
        <w:t>Even with regard to interferences that conform to the Covenant, relevant legislation must specify in detail the precise circumstances in which such interferences may be permitted.  A decision to make use of such authorized interference must be made only by the authority designated under the law, and on a case</w:t>
      </w:r>
      <w:r>
        <w:noBreakHyphen/>
        <w:t>by</w:t>
      </w:r>
      <w:r>
        <w:noBreakHyphen/>
        <w:t>case basis.  Compliance with article 17 requires that the integrity and confidentiality of correspondence should be guaranteed de jure and de facto.  Correspondence should be delivered to the addressee without interception and without being opened or otherwise read.  Surveillance, whether electronic or otherwise, interceptions of telephonic, telegraphic and other forms of communication, wire</w:t>
      </w:r>
      <w:r>
        <w:noBreakHyphen/>
        <w:t>tapping and recording of conversations should be prohibited.  Searches of a person’s home should be restricted to a search for necessary evidence and should not be allowed to amount to harassment.  So far as personal and body search is concerned, effective measures should ensure that such searches are carried out in a manner consistent with the dignity of the person who is being searched.  Persons being subjected to body search by State officials, or medical personnel acting at the request of the State, should only be examined by persons of the same sex.</w:t>
      </w:r>
    </w:p>
    <w:p w:rsidR="00000000" w:rsidRDefault="00000000">
      <w:r>
        <w:t>9.</w:t>
      </w:r>
      <w:r>
        <w:tab/>
        <w:t>States parties are under a duty themselves not to engage in interferences inconsistent with article 17 of the Covenant and to provide the legislative framework prohibiting such acts by natural or legal persons.</w:t>
      </w:r>
    </w:p>
    <w:p w:rsidR="00000000" w:rsidRDefault="00000000">
      <w:r>
        <w:t>10.</w:t>
      </w:r>
      <w:r>
        <w:tab/>
        <w:t>The gathering and holding of personal information on computers, data banks and other devices, whether by public authorities or private individuals or bodies, must be regulated by law.  Effective measures have to be taken by States to ensure that information concerning a person’s private life does not reach the hands of persons who are not authorized by law to receive, process and use it, and is never used for purposes incompatible with the Covenant.  In order to have the most effective protection of his private life, every individual should have the right to ascertain in an intelligible form, whether, and if so, what personal data is stored in automatic data files, and for what purposes.  Every individual should also be able to ascertain which public authorities or private individuals or bodies control or may control their files.  If such files contain incorrect personal data or have been collected or processed contrary to the provisions of the law, every individual should have the right to request rectification or elimination.</w:t>
      </w:r>
    </w:p>
    <w:p w:rsidR="00000000" w:rsidRDefault="00000000">
      <w:r>
        <w:t>11.</w:t>
      </w:r>
      <w:r>
        <w:tab/>
        <w:t>Article 17 affords protection to personal honour and reputation and States are under an obligation to provide adequate legislation to that end.  Provision must also be made for everyone effectively to be able to protect himself against any unlawful attacks that do occur and to have an effective remedy against those responsible.  States parties should indicate in their reports to what extent the honour or reputation of individuals is protected by law and how this protection is achieved according to their legal system.</w:t>
      </w:r>
    </w:p>
    <w:p w:rsidR="00000000" w:rsidRDefault="00000000">
      <w:pPr>
        <w:pStyle w:val="Heading2"/>
      </w:pPr>
      <w:r>
        <w:t>Thirty</w:t>
      </w:r>
      <w:r>
        <w:noBreakHyphen/>
        <w:t>fifth session (1989)</w:t>
      </w:r>
    </w:p>
    <w:p w:rsidR="00000000" w:rsidRDefault="00000000">
      <w:pPr>
        <w:pStyle w:val="Heading2"/>
      </w:pPr>
      <w:bookmarkStart w:id="137" w:name="_Toc481083399"/>
      <w:bookmarkStart w:id="138" w:name="_Toc70388998"/>
      <w:bookmarkStart w:id="139" w:name="_Toc70516970"/>
      <w:r>
        <w:t>General comment No. 17</w:t>
      </w:r>
      <w:r>
        <w:rPr>
          <w:lang w:val="en-US"/>
        </w:rPr>
        <w:t xml:space="preserve">:  </w:t>
      </w:r>
      <w:r>
        <w:t>Article 24 (Rights of the child)</w:t>
      </w:r>
      <w:bookmarkEnd w:id="137"/>
      <w:bookmarkEnd w:id="138"/>
      <w:bookmarkEnd w:id="139"/>
    </w:p>
    <w:p w:rsidR="00000000" w:rsidRDefault="00000000">
      <w:r>
        <w:t>1.</w:t>
      </w:r>
      <w:r>
        <w:tab/>
        <w:t>Article 24 of the International Covenant on Civil and Political Rights recognizes the right of every child, without any discrimination, to receive from his family, society and the State the protection required by his status as a minor.  Consequently, the implementation of this provision entails the adoption of special measures to protect children, in addition to the measures that States are required to take under article 2 to ensure that everyone enjoys the rights provided for in the Covenant.  The reports submitted by States parties often seem to underestimate this obligation and supply inadequate information on the way in which children are afforded enjoyment of their right to a special protection.</w:t>
      </w:r>
    </w:p>
    <w:p w:rsidR="00000000" w:rsidRDefault="00000000">
      <w:r>
        <w:t>2.</w:t>
      </w:r>
      <w:r>
        <w:tab/>
        <w:t xml:space="preserve">In this connection, the Committee points out that the rights provided for in article 24 are not the only ones that the Covenant recognizes for children and that, as individuals, children benefit from all of the civil rights enunciated in the Covenant.  In enunciating a right, some provisions of the Covenant expressly indicate to States measures to be adopted with a view to affording minors greater protection than adults.  Thus, as far as the right to life is concerned, the death penalty cannot be imposed for crimes committed by persons under 18 years of age.  Similarly, if lawfully deprived of their liberty, accused juvenile persons shall be separated from adults and are entitled to be brought as speedily as possible for adjudication; in turn, convicted juvenile offenders shall be subject to a penitentiary system that involves segregation from adults and is appropriate to their age and legal status, the aim being to foster reformation and social rehabilitation.  In other instances, children are protected by the possibility of the restriction - provided that such restriction is warranted </w:t>
      </w:r>
      <w:r>
        <w:noBreakHyphen/>
        <w:t xml:space="preserve"> of a right recognized by the Covenant, such as the right to publicize a judgement in a suit at law or a criminal case, from which an exception may be made when the interest of the minor so requires.</w:t>
      </w:r>
    </w:p>
    <w:p w:rsidR="00000000" w:rsidRDefault="00000000">
      <w:r>
        <w:t>3.</w:t>
      </w:r>
      <w:r>
        <w:tab/>
        <w:t>In most cases, however, the measures to be adopted are not specified in the Covenant and it is for each State to determine them in the light of the protection needs of children in its territory and within its jurisdiction.  The Committee notes in this regard that such measures, although intended primarily to ensure that children fully enjoy the other rights enunciated in the Covenant, may also be economic, social and cultural.  For example, every possible economic and social measure should be taken to reduce infant mortality and to eradicate malnutrition among children and to prevent them from being subjected to acts of violence and cruel and inhuman treatment or from being exploited by means of forced labour or prostitution, or by their use in the illicit trafficking of narcotic drugs, or by any other means.  In the cultural field, every possible measure should be taken to foster the development of their personality and to provide them with a level of education that will enable them to enjoy the rights recognized in the Covenant, particularly the right to freedom of opinion and expression.  Moreover, the Committee wishes to draw the attention of States parties to the need to include in their reports information on measures adopted to ensure that children do not take a direct part in armed conflicts.</w:t>
      </w:r>
    </w:p>
    <w:p w:rsidR="00000000" w:rsidRDefault="00000000">
      <w:r>
        <w:t>4.</w:t>
      </w:r>
      <w:r>
        <w:tab/>
        <w:t>The right to special measures of protection belongs to every child because of his status as a minor.  Nevertheless, the Covenant does not indicate the age at which he attains his majority.  This is to be determined by each State party in the light of the relevant social and cultural conditions.  In this respect, States should indicate in their reports the age at which the child attains his majority in civil matters and assumes criminal responsibility.  States should also indicate the age at which a child is legally entitled to work and the age at which he is treated as an adult under labour law.  States should further indicate the age at which a child is considered adult for the purposes of article 10, paragraphs 2 and 3.  However, the Committee notes that the age for the above purposes should not be set unreasonably low and that in any case a State party cannot absolve itself from its obligations under the Covenant regarding persons under the age of 18, notwithstanding that they have reached the age of majority under domestic law.</w:t>
      </w:r>
    </w:p>
    <w:p w:rsidR="00000000" w:rsidRDefault="00000000">
      <w:r>
        <w:t>5.</w:t>
      </w:r>
      <w:r>
        <w:tab/>
        <w:t>The Covenant requires that children should be protected against discrimination on any grounds such as race, colour, sex, language, religion, national or social origin, property or birth.  In this connection, the Committee notes that, whereas non</w:t>
      </w:r>
      <w:r>
        <w:noBreakHyphen/>
        <w:t>discrimination in the enjoyment of the rights provided for in the Covenant also stems, in the case of children, from article 2 and their equality before the law from article 26, the non</w:t>
      </w:r>
      <w:r>
        <w:noBreakHyphen/>
        <w:t>discrimination clause contained in article 24 relates specifically to the measures of protection referred to in that provision.  Reports by States parties should indicate how legislation and practice ensure that measures of protection are aimed at removing all discrimination in every field, including inheritance, particularly as between children who are nationals and children who are aliens or as between legitimate children and children born out of wedlock.</w:t>
      </w:r>
    </w:p>
    <w:p w:rsidR="00000000" w:rsidRDefault="00000000">
      <w:r>
        <w:t>6.</w:t>
      </w:r>
      <w:r>
        <w:tab/>
        <w:t>Responsibility for guaranteeing children the necessary protection lies with the family, society and the State.  Although the Covenant does not indicate how such responsibility is to be apportioned, it is primarily incumbent on the family, which is interpreted broadly to include all persons composing it in the society of the State party concerned, and particularly on the parents, to create conditions to promote the harmonious development of the child’s personality and his enjoyment of the rights recognized in the Covenant.  However, since it is quite common for the father and mother to be gainfully employed outside the home, reports by States parties should indicate how society, social institutions and the State are discharging their responsibility to assist the family in ensuring the protection of the child.  Moreover, in cases where the parents and the family seriously fail in their duties, ill</w:t>
      </w:r>
      <w:r>
        <w:noBreakHyphen/>
        <w:t>treat or neglect the child, the State should intervene to restrict parental authority and the child may be separated from his family when circumstances so require.  If the marriage is dissolved, steps should be taken, keeping in view the paramount interest of the children, to give them necessary protection and, so far as is possible, to guarantee personal relations with both parents.  The Committee considers it useful that reports by States parties should provide information on the special measures of protection adopted to protect children who are abandoned or deprived of their family environment in order to enable them to develop in conditions that most closely resemble those characterizing the family environment.</w:t>
      </w:r>
    </w:p>
    <w:p w:rsidR="00000000" w:rsidRDefault="00000000">
      <w:r>
        <w:t>7.</w:t>
      </w:r>
      <w:r>
        <w:tab/>
        <w:t>Under article 24, paragraph 2, every child has the right to be registered immediately after birth and to have a name.  In the Committee’s opinion, this provision should be interpreted as being closely linked to the provision concerning the right to special measures of protection and it is designed to promote recognition of the child’s legal personality.  Providing for the right to have a name is of special importance in the case of children born out of wedlock.  The main purpose of the obligation to register children after birth is to reduce the danger of abduction, sale of or traffic in children, or of other types of treatment that are incompatible with the enjoyment of the rights provided for in the Covenant.  Reports by States parties should indicate in detail the measures that ensure the immediate registration of children born in their territory.</w:t>
      </w:r>
    </w:p>
    <w:p w:rsidR="00000000" w:rsidRDefault="00000000">
      <w:r>
        <w:t>8.</w:t>
      </w:r>
      <w:r>
        <w:tab/>
        <w:t>Special attention should also be paid, in the context of the protection to be granted to children, to the right of every child to acquire a nationality, as provided for in article 24, paragraph 3.  While the purpose of this provision is to prevent a child from being afforded less protection by society and the State because he is stateless, it does not necessarily make it an obligation for States to give their nationality to every child born in their territory.  However, States are required to adopt every appropriate measure, both internally and in cooperation with other States, to ensure that every child has a nationality when he is born.  In this connection, no discrimination with regard to the acquisition of nationality should be admissible under internal law as between legitimate children and children born out of wedlock or of stateless parents or based on the nationality status of one or both of the parents.  The measures adopted to ensure that children have a nationality should always be referred to in reports by States parties.</w:t>
      </w:r>
    </w:p>
    <w:p w:rsidR="00000000" w:rsidRDefault="00000000">
      <w:pPr>
        <w:pStyle w:val="Heading2"/>
      </w:pPr>
      <w:r>
        <w:t>Thirty</w:t>
      </w:r>
      <w:r>
        <w:noBreakHyphen/>
        <w:t>seventh session (1989)</w:t>
      </w:r>
    </w:p>
    <w:p w:rsidR="00000000" w:rsidRDefault="00000000">
      <w:pPr>
        <w:pStyle w:val="Heading2"/>
      </w:pPr>
      <w:bookmarkStart w:id="140" w:name="_Toc481083401"/>
      <w:bookmarkStart w:id="141" w:name="_Toc70389000"/>
      <w:bookmarkStart w:id="142" w:name="_Toc70516971"/>
      <w:r>
        <w:t>General comment No. 18</w:t>
      </w:r>
      <w:r>
        <w:rPr>
          <w:lang w:val="en-US"/>
        </w:rPr>
        <w:t xml:space="preserve">:  </w:t>
      </w:r>
      <w:r>
        <w:t>Non</w:t>
      </w:r>
      <w:r>
        <w:noBreakHyphen/>
        <w:t>discrimination</w:t>
      </w:r>
      <w:bookmarkEnd w:id="140"/>
      <w:bookmarkEnd w:id="141"/>
      <w:bookmarkEnd w:id="142"/>
    </w:p>
    <w:p w:rsidR="00000000" w:rsidRDefault="00000000">
      <w:r>
        <w:t>1.</w:t>
      </w:r>
      <w:r>
        <w:tab/>
        <w:t>Non</w:t>
      </w:r>
      <w:r>
        <w:noBreakHyphen/>
        <w:t>discrimination, together with equality before the law and equal protection of the law without any discrimination, constitute a basic and general principle relating to the protection of human rights.  Thus, article 2, paragraph 1, of the International Covenant on Civil and Political Rights obligates each State party to respect and ensure to all persons within its territory and subject to its jurisdiction the rights recognized in the Covenant without distinction of any kind, such as race, colour, sex, language, religion, political or other opinion, national or social origin, property, birth or other status.  Article 26 not only entitles all persons to equality before the law as well as equal protection of the law but also prohibits any discrimination under the law and guarantees to all persons equal and effective protection against discrimination on any ground such as race, colour, sex, language, religion, political or other opinion, national or social origin, property, birth or other status.</w:t>
      </w:r>
    </w:p>
    <w:p w:rsidR="00000000" w:rsidRDefault="00000000">
      <w:r>
        <w:t>2.</w:t>
      </w:r>
      <w:r>
        <w:tab/>
        <w:t>Indeed, the principle of non</w:t>
      </w:r>
      <w:r>
        <w:noBreakHyphen/>
        <w:t>discrimination is so basic that article 3 obligates each State party to ensure the equal right of men and women to the enjoyment of the rights set forth in the Covenant.  While article 4, paragraph 1, allows States parties to take measures derogating from certain obligations under the Covenant in time of public emergency, the same article requires, inter alia, that those measures should not involve discrimination solely on the ground of race, colour, sex, language, religion or social origin.  Furthermore, article 20, paragraph 2, obligates States parties to prohibit, by law, any advocacy of national, racial or religious hatred which constitutes incitement to discrimination.</w:t>
      </w:r>
    </w:p>
    <w:p w:rsidR="00000000" w:rsidRDefault="00000000">
      <w:r>
        <w:t>3.</w:t>
      </w:r>
      <w:r>
        <w:tab/>
        <w:t>Because of their basic and general character, the principle of non</w:t>
      </w:r>
      <w:r>
        <w:noBreakHyphen/>
        <w:t>discrimination as well as that of equality before the law and equal protection of the law are sometimes expressly referred to in articles relating to particular categories of human rights.  Article 14, paragraph 1, provides that all persons shall be equal before the courts and tribunals, and paragraph 3 of the same article provides that, in the determination of any criminal charge against him, everyone shall be entitled, in full equality, to the minimum guarantees enumerated in subparagraphs (a) to (g) of paragraph 3.  Similarly, article 25 provides for the equal participation in public life of all citizens, without any of the distinctions mentioned in article 2.</w:t>
      </w:r>
    </w:p>
    <w:p w:rsidR="00000000" w:rsidRDefault="00000000">
      <w:r>
        <w:t>4.</w:t>
      </w:r>
      <w:r>
        <w:tab/>
        <w:t>It is for the States parties to determine appropriate measures to implement the relevant provisions.  However, the Committee is to be informed about the nature of such measures and their conformity with the principles of non</w:t>
      </w:r>
      <w:r>
        <w:noBreakHyphen/>
        <w:t>discrimination and equality before the law and equal protection of the law.</w:t>
      </w:r>
    </w:p>
    <w:p w:rsidR="00000000" w:rsidRDefault="00000000">
      <w:r>
        <w:t>5.</w:t>
      </w:r>
      <w:r>
        <w:tab/>
        <w:t>The Committee wishes to draw the attention of States parties to the fact that the Covenant sometimes expressly requires them to take measures to guarantee the equality of rights of the persons concerned.  For example, article 23, paragraph 4, stipulates that States parties shall take appropriate steps to ensure equality of rights as well as responsibilities of spouses as to marriage, during marriage and at its dissolution.  Such steps may take the form of legislative, administrative or other measures, but it is a positive duty of States parties to make certain that spouses have equal rights as required by the Covenant.  In relation to children, article 24 provides that all children, without any discrimination as to race, colour, sex, language, religion, national or social origin, property or birth, have the right to such measures of protection as are required by their status as minors, on the part of their family, society and the State.</w:t>
      </w:r>
    </w:p>
    <w:p w:rsidR="00000000" w:rsidRDefault="00000000">
      <w:r>
        <w:t>6.</w:t>
      </w:r>
      <w:r>
        <w:tab/>
        <w:t>The Committee notes that the Covenant neither defines the term “discrimination” nor indicates what constitutes discrimination.  However, article 1 of the International Convention on the Elimination of All Forms of Racial Discrimination provides that the term “racial discrimination” shall mean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  Similarly, article 1 of the Convention on the Elimination of All Forms of Discrimination against Women provides that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r>
        <w:t>7.</w:t>
      </w:r>
      <w:r>
        <w:tab/>
        <w:t>While these conventions deal only with cases of discrimination on specific grounds, the Committee believes that the term “discrimination” as used in the Covenant should be understood to imply any distinction, exclusion, restriction or preference which is based on any ground such as race, colour, sex, language, religion, political or other opinion, national or social origin, property, birth or other status, and which has the purpose or effect of nullifying or impairing the recognition, enjoyment or exercise by all persons, on an equal footing, of all rights and freedoms.</w:t>
      </w:r>
    </w:p>
    <w:p w:rsidR="00000000" w:rsidRDefault="00000000">
      <w:r>
        <w:t>8.</w:t>
      </w:r>
      <w:r>
        <w:tab/>
        <w:t>The enjoyment of rights and freedoms on an equal footing, however, does not mean identical treatment in every instance.  In this connection, the provisions of the Covenant are explicit.  For example, article 6, paragraph 5, prohibits the death sentence from being imposed on persons below 18 years of age.  The same paragraph prohibits that sentence from being carried out on pregnant women.  Similarly, article 10, paragraph 3, requires the segregation of juvenile offenders from adults.  Furthermore, article 25 guarantees certain political rights, differentiating on grounds of citizenship.</w:t>
      </w:r>
    </w:p>
    <w:p w:rsidR="00000000" w:rsidRDefault="00000000">
      <w:r>
        <w:t>9.</w:t>
      </w:r>
      <w:r>
        <w:tab/>
        <w:t>Reports of many States parties contain information regarding legislative as well as administrative measures and court decisions which relate to protection against discrimination in law, but they very often lack information which would reveal discrimination in fact.  When reporting on articles 2 (1), 3 and 26 of the Covenant, States parties usually cite provisions of their constitution or equal opportunity laws with respect to equality of persons.  While such information is of course useful, the Committee wishes to know if there remain any problems of discrimination in fact, which may be practised either by public authorities, by the community, or by private persons or bodies.  The Committee wishes to be informed about legal provisions and administrative measures directed at diminishing or eliminating such discrimination.</w:t>
      </w:r>
    </w:p>
    <w:p w:rsidR="00000000" w:rsidRDefault="00000000">
      <w:r>
        <w:t>10.</w:t>
      </w:r>
      <w:r>
        <w:tab/>
        <w:t>The Committee also wishes to point out that the principle of equality sometimes requires States parties to take affirmative action in order to diminish or eliminate conditions which cause or help to perpetuate discrimination prohibited by the Covenant.  For example, in a State where the general conditions of a certain part of the population prevent or impair their enjoyment of human rights, the State should take specific action to correct those conditions.  Such action may involve granting for a time to the part of the population concerned certain preferential treatment in specific matters as compared with the rest of the population.  However, as long as such action is needed to correct discrimination in fact, it is a case of legitimate differentiation under the Covenant.</w:t>
      </w:r>
    </w:p>
    <w:p w:rsidR="00000000" w:rsidRDefault="00000000">
      <w:r>
        <w:t>11.</w:t>
      </w:r>
      <w:r>
        <w:tab/>
        <w:t>Both article 2, paragraph 1, and article 26 enumerate grounds of discrimination such as race, colour, sex, language, religion, political or other opinion, national or social origin, property, birth or other status.  The Committee has observed that in a number of constitutions and laws not all the grounds on which discrimination is prohibited, as cited in article 2, paragraph 1, are enumerated.  The Committee would therefore like to receive information from States parties as to the significance of such omissions.</w:t>
      </w:r>
    </w:p>
    <w:p w:rsidR="00000000" w:rsidRDefault="00000000">
      <w:r>
        <w:t>12.</w:t>
      </w:r>
      <w:r>
        <w:tab/>
        <w:t>While article 2 limits the scope of the rights to be protected against discrimination to those provided for in the Covenant, article 26 does not specify such limitations.  That is to say, article 26 provides that all persons are equal before the law and are entitled to equal protection of the law without discrimination, and that the law shall guarantee to all persons equal and effective protection against discrimination on any of the enumerated grounds.  In the view of the Committee, article 26 does not merely duplicate the guarantee already provided for in article 2 but provides in itself an autonomous right.  It prohibits discrimination in law or in fact in any field regulated and protected by public authorities.  Article 26 is therefore concerned with the obligations imposed on States parties in regard to their legislation and the application thereof.  Thus, when legislation is adopted by a State party, it must comply with the requirement of article 26 that its content should not be discriminatory.  In other words, the application of the principle of non</w:t>
      </w:r>
      <w:r>
        <w:noBreakHyphen/>
        <w:t>discrimination contained in article 26 is not limited to those rights which are provided for in the Covenant.</w:t>
      </w:r>
    </w:p>
    <w:p w:rsidR="00000000" w:rsidRDefault="00000000">
      <w:r>
        <w:t>13.</w:t>
      </w:r>
      <w:r>
        <w:tab/>
        <w:t>Finally, the Committee observes that not every differentiation of treatment will constitute discrimination, if the criteria for such differentiation are reasonable and objective and if the aim is to achieve a purpose which is legitimate under the Covenant.</w:t>
      </w:r>
    </w:p>
    <w:p w:rsidR="00000000" w:rsidRDefault="00000000">
      <w:pPr>
        <w:pStyle w:val="Heading2"/>
      </w:pPr>
      <w:r>
        <w:t>Thirty</w:t>
      </w:r>
      <w:r>
        <w:noBreakHyphen/>
        <w:t>ninth session (1990)</w:t>
      </w:r>
    </w:p>
    <w:p w:rsidR="00000000" w:rsidRDefault="00000000">
      <w:pPr>
        <w:pStyle w:val="Heading2"/>
      </w:pPr>
      <w:bookmarkStart w:id="143" w:name="_Toc481083403"/>
      <w:bookmarkStart w:id="144" w:name="_Toc70389002"/>
      <w:bookmarkStart w:id="145" w:name="_Toc70516972"/>
      <w:r>
        <w:t>General comment No. 19:  Article 23 (The family)</w:t>
      </w:r>
      <w:bookmarkEnd w:id="143"/>
      <w:bookmarkEnd w:id="144"/>
      <w:bookmarkEnd w:id="145"/>
    </w:p>
    <w:p w:rsidR="00000000" w:rsidRDefault="00000000">
      <w:r>
        <w:t>1.</w:t>
      </w:r>
      <w:r>
        <w:tab/>
        <w:t>Article 23 of the International Covenant on Civil and Political Rights recognizes that the family is the natural and fundamental group unit of society and is entitled to protection by society and the State.  Protection of the family and its members is also guaranteed, directly or indirectly, by other provisions of the Covenant.  Thus, article 17 establishes a prohibition on arbitrary or unlawful interference with the family.  In addition, article 24 of the Covenant specifically addresses the protection of the rights of the child, as such or as a member of a family.  In their reports, States parties often fail to give enough information on how the State and society are discharging their obligation to provide protection to the family and the persons composing it.</w:t>
      </w:r>
    </w:p>
    <w:p w:rsidR="00000000" w:rsidRDefault="00000000">
      <w:r>
        <w:t>2.</w:t>
      </w:r>
      <w:r>
        <w:tab/>
        <w:t>The Committee notes that the concept of the family may differ in some respects from State to State, and even from region to region within a State, and that it is therefore not possible to give the concept a standard definition.  However, the Committee emphasizes that, when a group of persons is regarded as a family under the legislation and practice of a State, it must be given the protection referred to in article 23.  Consequently, States parties should report on how the concept and scope of the family is construed or defined in their own society and legal system.  Where diverse concepts of the family, “nuclear” and “extended”, exist within a State, this should be indicated with an explanation of the degree of protection afforded to each.  In view of the existence of various forms of family, such as unmarried couples and their children or single parents and their children, States parties should also indicate whether and to what extent such types of family and their members are recognized and protected by domestic law and practice.</w:t>
      </w:r>
    </w:p>
    <w:p w:rsidR="00000000" w:rsidRDefault="00000000">
      <w:r>
        <w:t>3.</w:t>
      </w:r>
      <w:r>
        <w:tab/>
        <w:t>Ensuring the protection provided for under article 23 of the Covenant requires that States parties should adopt legislative, administrative or other measures.  States parties should provide detailed information concerning the nature of such measures and the means whereby their effective implementation is assured.  In fact, since the Covenant also recognizes the right of the family to protection by society, States parties’ reports should indicate how the necessary protection is granted to the family by the State and other social institutions, whether and to what extent the State gives financial or other support to the activities of such institutions, and how it ensures that these activities are compatible with the Covenant.</w:t>
      </w:r>
    </w:p>
    <w:p w:rsidR="00000000" w:rsidRDefault="00000000">
      <w:r>
        <w:t>4.</w:t>
      </w:r>
      <w:r>
        <w:tab/>
        <w:t>Article 23, paragraph 2, of the Covenant reaffirms the right of men and women of marriageable age to marry and to found a family.  Paragraph 3 of the same article provides that no marriage shall be entered into without the free and full consent of the intending spouses.  States parties’ reports should indicate whether there are restrictions or impediments to the exercise of the right to marry based on special factors such as degree of kinship or mental incapacity.  The Covenant does not establish a specific marriageable age either for men or for women, but that age should be such as to enable each of the intending spouses to give his or her free and full personal consent in a form and under conditions prescribed by law.  In this connection, the Committee wishes to note that such legal provisions must be compatible with the full exercise of the other rights guaranteed by the Covenant; thus, for instance, the right to freedom of thought, conscience and religion implies that the legislation of each State should provide for the possibility of both religious and civil marriages.  In the Committee’s view, however, for a State to require that a marriage, which is celebrated in accordance with religious rites, be conducted, affirmed or registered also under civil law is not incompatible with the Covenant.  States are also requested to include information on this subject in their reports.</w:t>
      </w:r>
    </w:p>
    <w:p w:rsidR="00000000" w:rsidRDefault="00000000">
      <w:r>
        <w:t>5.</w:t>
      </w:r>
      <w:r>
        <w:tab/>
        <w:t>The right to found a family implies, in principle, the possibility to procreate and live together.  When States parties adopt family planning policies, they should be compatible with the provisions of the Covenant and should, in particular, not be discriminatory or compulsory.  Similarly, the possibility to live together implies the adoption of appropriate measures, both at the internal level and as the case may be, in cooperation with other States, to ensure the unity or reunification of families, particularly when their members are separated for political, economic or similar reasons.</w:t>
      </w:r>
    </w:p>
    <w:p w:rsidR="00000000" w:rsidRDefault="00000000">
      <w:r>
        <w:t>6.</w:t>
      </w:r>
      <w:r>
        <w:tab/>
        <w:t>Article 23, paragraph 4, of the Covenant provides that States parties shall take appropriate steps to ensure equality of rights and responsibilities of spouses as to marriage, during marriage and at its dissolution.</w:t>
      </w:r>
    </w:p>
    <w:p w:rsidR="00000000" w:rsidRDefault="00000000">
      <w:r>
        <w:t>7.</w:t>
      </w:r>
      <w:r>
        <w:tab/>
        <w:t>With regard to equality as to marriage, the Committee wishes to note in particular that no sex</w:t>
      </w:r>
      <w:r>
        <w:noBreakHyphen/>
        <w:t>based discrimination should occur in respect of the acquisition or loss of nationality by reason of marriage.  Likewise, the right of each spouse to retain the use of his or her original family name or to participate on an equal basis in the choice of a new family name should be safeguarded.</w:t>
      </w:r>
    </w:p>
    <w:p w:rsidR="00000000" w:rsidRDefault="00000000">
      <w:r>
        <w:t>8.</w:t>
      </w:r>
      <w:r>
        <w:tab/>
        <w:t>During marriage, the spouses should have equal rights and responsibilities in the family.  This equality extends to all matters arising from their relationship, such as choice of residence, running of the household, education of the children and administration of assets.  Such equality continues to be applicable to arrangements regarding legal separation or dissolution of the marriage.</w:t>
      </w:r>
    </w:p>
    <w:p w:rsidR="00000000" w:rsidRDefault="00000000">
      <w:r>
        <w:t>9.</w:t>
      </w:r>
      <w:r>
        <w:tab/>
        <w:t>Thus, any discriminatory treatment in regard to the grounds and procedures for separation or divorce, child custody, maintenance or alimony, visiting rights or the loss or recovery of parental authority must be prohibited, bearing in mind the paramount interest of the children in this connection.  States parties should, in particular, include information in their reports concerning the provision made for the necessary protection of any children at the dissolution of a marriage or on the separation of the spouses.</w:t>
      </w:r>
    </w:p>
    <w:p w:rsidR="00000000" w:rsidRDefault="00000000">
      <w:pPr>
        <w:pStyle w:val="Heading2"/>
      </w:pPr>
      <w:r>
        <w:t>Forty</w:t>
      </w:r>
      <w:r>
        <w:noBreakHyphen/>
        <w:t>fourth session (1992)</w:t>
      </w:r>
    </w:p>
    <w:p w:rsidR="00000000" w:rsidRDefault="00000000">
      <w:pPr>
        <w:pStyle w:val="Heading2"/>
        <w:tabs>
          <w:tab w:val="left" w:pos="993"/>
        </w:tabs>
      </w:pPr>
      <w:bookmarkStart w:id="146" w:name="_Toc481083405"/>
      <w:bookmarkStart w:id="147" w:name="_Toc70389004"/>
      <w:bookmarkStart w:id="148" w:name="_Toc70516973"/>
      <w:r>
        <w:t xml:space="preserve">General comment No. 20:  Article 7 (Prohibition of torture, or other </w:t>
      </w:r>
      <w:r>
        <w:br/>
        <w:t>cruel, inhuman or degrading treatment or punishment)</w:t>
      </w:r>
      <w:bookmarkEnd w:id="146"/>
      <w:bookmarkEnd w:id="147"/>
      <w:bookmarkEnd w:id="148"/>
    </w:p>
    <w:p w:rsidR="00000000" w:rsidRDefault="00000000">
      <w:r>
        <w:t>1.</w:t>
      </w:r>
      <w:r>
        <w:tab/>
        <w:t>This general comment replaces general comment No. 7 (the sixteenth session, 1982) reflecting and further developing it.</w:t>
      </w:r>
    </w:p>
    <w:p w:rsidR="00000000" w:rsidRDefault="00000000">
      <w:r>
        <w:t>2.</w:t>
      </w:r>
      <w:r>
        <w:tab/>
        <w:t xml:space="preserve">The aim of the provisions of article 7 of the International Covenant on Civil and Political Rights is to protect both the dignity and the physical and mental integrity of the individual.  It is the duty of the State party to afford everyone protection through legislative and other measures as may be necessary against the acts prohibited by article 7, whether inflicted by people acting in their official capacity, outside their official capacity or in a private capacity.  The prohibition in </w:t>
      </w:r>
      <w:r>
        <w:br w:type="page"/>
        <w:t>article 7 is complemented by the positive requirements of article 10, paragraph 1, of the Covenant, which stipulates that “All persons deprived of their liberty shall be treated with humanity and with respect for the inherent dignity of the human person.”</w:t>
      </w:r>
    </w:p>
    <w:p w:rsidR="00000000" w:rsidRDefault="00000000">
      <w:r>
        <w:t>3.</w:t>
      </w:r>
      <w:r>
        <w:tab/>
        <w:t>The text of article 7 allows of no limitation.  The Committee also reaffirms that, even in situations of public emergency such as those referred to in article 4 of the Covenant, no derogation from the provision of article 7 is allowed and its provisions must remain in force.  The Committee likewise observes that no justification or extenuating circumstances may be invoked to excuse a violation of article 7 for any reasons, including those based on an order from a superior officer or public authority.</w:t>
      </w:r>
    </w:p>
    <w:p w:rsidR="00000000" w:rsidRDefault="00000000">
      <w:r>
        <w:t>4.</w:t>
      </w:r>
      <w:r>
        <w:tab/>
        <w:t>The Covenant does not contain any definition of the concepts covered by article 7, nor does the Committee consider it necessary to draw up a list of prohibited acts or to establish sharp distinctions between the different kinds of punishment or treatment; the distinctions depend on the nature, purpose and severity of the treatment applied.</w:t>
      </w:r>
    </w:p>
    <w:p w:rsidR="00000000" w:rsidRDefault="00000000">
      <w:r>
        <w:t>5.</w:t>
      </w:r>
      <w:r>
        <w:tab/>
        <w:t>The prohibition in article 7 relates not only to acts that cause physical pain but also to acts that cause mental suffering to the victim.  In the Committee’s view, moreover, the prohibition must extend to corporal punishment, including excessive chastisement ordered as punishment for a crime or as an educative or disciplinary measure.  It is appropriate to emphasize in this regard that article 7 protects, in particular, children, pupils and patients in teaching and medical institutions.</w:t>
      </w:r>
    </w:p>
    <w:p w:rsidR="00000000" w:rsidRDefault="00000000">
      <w:r>
        <w:t>6.</w:t>
      </w:r>
      <w:r>
        <w:tab/>
        <w:t>The Committee notes that prolonged solitary confinement of the detained or imprisoned person may amount to acts prohibited by article 7.  As the Committee has stated in its general comment No. 6 (16), article 6 of the Covenant refers generally to abolition of the death penalty in terms that strongly suggest that abolition is desirable.  Moreover, when the death penalty is applied by a State party for the most serious crimes, it must not only be strictly limited in accordance with article 6 but it must be carried out in such a way as to cause the least possible physical and mental suffering.</w:t>
      </w:r>
    </w:p>
    <w:p w:rsidR="00000000" w:rsidRDefault="00000000">
      <w:r>
        <w:t>7.</w:t>
      </w:r>
      <w:r>
        <w:tab/>
        <w:t>Article 7 expressly prohibits medical or scientific experimentation without the free consent of the person concerned.  The Committee notes that the reports of States parties generally contain little information on this point.  More attention should be given to the need and means to ensure observance of this provision.  The Committee also observes that special protection in regard to such experiments is necessary in the case of persons not capable of giving valid consent, and in particular those under any form of detention or imprisonment.  Such persons should not be subjected to any medical or scientific experimentation that may be detrimental to their health.</w:t>
      </w:r>
    </w:p>
    <w:p w:rsidR="00000000" w:rsidRDefault="00000000">
      <w:r>
        <w:t>8.</w:t>
      </w:r>
      <w:r>
        <w:tab/>
        <w:t>The Committee notes that it is not sufficient for the implementation of article 7 to prohibit such treatment or punishment or to make it a crime.  States parties should inform the Committee of the legislative, administrative, judicial and other measures they take to prevent and punish acts of torture and cruel, inhuman and degrading treatment in any territory under their jurisdiction.</w:t>
      </w:r>
    </w:p>
    <w:p w:rsidR="00000000" w:rsidRDefault="00000000">
      <w:r>
        <w:br w:type="page"/>
        <w:t>9.</w:t>
      </w:r>
      <w:r>
        <w:tab/>
        <w:t>In the view of the Committee, States parties must not expose individuals to the danger of torture or cruel, inhuman or degrading treatment or punishment upon return to another country by way of their extradition, expulsion or refoulement.  States parties should indicate in their reports what measures they have adopted to that end.</w:t>
      </w:r>
    </w:p>
    <w:p w:rsidR="00000000" w:rsidRDefault="00000000">
      <w:r>
        <w:t>10.</w:t>
      </w:r>
      <w:r>
        <w:tab/>
        <w:t>The Committee should be informed how States parties disseminate, to the population at large, relevant information concerning the ban on torture and the treatment prohibited by article 7.  Enforcement personnel, medical personnel, police officers and any other persons involved in the custody or treatment of any individual subjected to any form of arrest, detention or imprisonment must receive appropriate instruction and training.  States parties should inform the Committee of the instruction and training given and the way in which the prohibition of article 7 forms an integral part of the operational rules and ethical standards to be followed by such persons.</w:t>
      </w:r>
    </w:p>
    <w:p w:rsidR="00000000" w:rsidRDefault="00000000">
      <w:r>
        <w:t>11.</w:t>
      </w:r>
      <w:r>
        <w:tab/>
        <w:t>In addition to describing steps to provide the general protection against acts prohibited under article 7 to which anyone is entitled, the State party should provide detailed information on safeguards for the special protection of particularly vulnerable persons.  It should be noted that keeping under systematic review interrogation rules, instructions, methods and practices as well as arrangements for the custody and treatment of persons subjected to any form of arrest, detention or imprisonment is an effective means of preventing cases of torture and ill</w:t>
      </w:r>
      <w:r>
        <w:noBreakHyphen/>
        <w:t>treatment.  To guarantee the effective protection of detained persons, provisions should be made for detainees to be held in places officially recognized as places of detention and for their names and places of detention, as well as for the names of persons responsible for their detention, to be kept in registers readily available and accessible to those concerned, including relatives and friends.  To the same effect, the time and place of all interrogations should be recorded, together with the names of all those present and this information should also be available for purposes of judicial or administrative proceedings.  Provisions should also be made against incommunicado detention.  In that connection, States parties should ensure that any places of detention be free from any equipment liable to be used for inflicting torture or ill</w:t>
      </w:r>
      <w:r>
        <w:noBreakHyphen/>
        <w:t>treatment.  The protection of the detainee also requires that prompt and regular access be given to doctors and lawyers and, under appropriate supervision when the investigation so requires, to family members.</w:t>
      </w:r>
    </w:p>
    <w:p w:rsidR="00000000" w:rsidRDefault="00000000">
      <w:r>
        <w:t>12.</w:t>
      </w:r>
      <w:r>
        <w:tab/>
        <w:t>It is important for the discouragement of violations under article 7 that the law must prohibit the use of admissibility in judicial proceedings of statements or confessions obtained through torture or other prohibited treatment.</w:t>
      </w:r>
    </w:p>
    <w:p w:rsidR="00000000" w:rsidRDefault="00000000">
      <w:r>
        <w:t>13.</w:t>
      </w:r>
      <w:r>
        <w:tab/>
        <w:t>States parties should indicate when presenting their reports the provisions of their criminal law which penalize torture and cruel, inhuman and degrading treatment or punishment, specifying the penalties applicable to such acts, whether committed by public officials or other persons acting on behalf of the State, or by private persons.  Those who violate article 7, whether by encouraging, ordering, tolerating or perpetrating prohibited acts, must be held responsible.  Consequently, those who have refused to obey orders must not be punished or subjected to any adverse treatment.</w:t>
      </w:r>
    </w:p>
    <w:p w:rsidR="00000000" w:rsidRDefault="00000000">
      <w:r>
        <w:t>14.</w:t>
      </w:r>
      <w:r>
        <w:tab/>
        <w:t>Article 7 should be read in conjunction with article 2, paragraph 3, of the Covenant.  In their reports, States parties should indicate how their legal system effectively guarantees the immediate termination of all the acts prohibited by article 7 as well as appropriate redress.  The right to lodge complaints against maltreatment prohibited by article 7 must be recognized in the domestic law.  Complaints must be investigated promptly and impartially by competent authorities so as to make the remedy effective.  The reports of States parties should provide specific information on the remedies available to victims of maltreatment and the procedure that complainants must follow, and statistics on the number of complaints and how they have been dealt with.</w:t>
      </w:r>
    </w:p>
    <w:p w:rsidR="00000000" w:rsidRDefault="00000000">
      <w:r>
        <w:t>15.</w:t>
      </w:r>
      <w:r>
        <w:tab/>
        <w:t>The Committee has noted that some States have granted amnesty in respect of acts of torture.  Amnesties are generally incompatible with the duty of States to investigate such acts; to guarantee freedom from such acts within their jurisdiction; and to ensure that they do not occur in the future.  States may not deprive individuals of the right to an effective remedy, including compensation and such full rehabilitation as may be possible.</w:t>
      </w:r>
    </w:p>
    <w:p w:rsidR="00000000" w:rsidRDefault="00000000">
      <w:pPr>
        <w:pStyle w:val="Heading2"/>
      </w:pPr>
      <w:r>
        <w:t>Forty</w:t>
      </w:r>
      <w:r>
        <w:noBreakHyphen/>
        <w:t>fourth session (1992)</w:t>
      </w:r>
    </w:p>
    <w:p w:rsidR="00000000" w:rsidRDefault="00000000">
      <w:pPr>
        <w:pStyle w:val="Heading2"/>
      </w:pPr>
      <w:bookmarkStart w:id="149" w:name="_Toc481083407"/>
      <w:bookmarkStart w:id="150" w:name="_Toc70389006"/>
      <w:bookmarkStart w:id="151" w:name="_Toc70516974"/>
      <w:r>
        <w:t>General comment No. 21</w:t>
      </w:r>
      <w:r>
        <w:rPr>
          <w:lang w:val="en-US"/>
        </w:rPr>
        <w:t xml:space="preserve">:  </w:t>
      </w:r>
      <w:r>
        <w:t xml:space="preserve">Article 10 (Humane treatment of </w:t>
      </w:r>
      <w:r>
        <w:br/>
        <w:t>persons deprived of their liberty)</w:t>
      </w:r>
      <w:bookmarkEnd w:id="149"/>
      <w:bookmarkEnd w:id="150"/>
      <w:bookmarkEnd w:id="151"/>
    </w:p>
    <w:p w:rsidR="00000000" w:rsidRDefault="00000000">
      <w:r>
        <w:t>1.</w:t>
      </w:r>
      <w:r>
        <w:tab/>
        <w:t>This general comment replaces general comment No. 9 (the sixteenth session, 1982) reflecting and further developing it.</w:t>
      </w:r>
    </w:p>
    <w:p w:rsidR="00000000" w:rsidRDefault="00000000">
      <w:r>
        <w:t>2.</w:t>
      </w:r>
      <w:r>
        <w:tab/>
        <w:t xml:space="preserve">Article 10, paragraph 1, of the International Covenant on Civil and Political Rights applies to any one deprived of liberty under the laws and authority of the State who is held in prisons, hospitals </w:t>
      </w:r>
      <w:r>
        <w:noBreakHyphen/>
        <w:t xml:space="preserve"> particularly psychiatric hospitals </w:t>
      </w:r>
      <w:r>
        <w:noBreakHyphen/>
        <w:t xml:space="preserve"> detention camps or correctional institutions or elsewhere.  States parties should ensure that the principle stipulated therein is observed in all institutions and establishments within their jurisdiction where persons are being held.</w:t>
      </w:r>
    </w:p>
    <w:p w:rsidR="00000000" w:rsidRDefault="00000000">
      <w:r>
        <w:t>3.</w:t>
      </w:r>
      <w:r>
        <w:tab/>
        <w:t>Article 10, paragraph 1, imposes on States parties a positive obligation towards persons who are particularly vulnerable because of their status as persons deprived of liberty, and complements for them the ban on torture or other cruel, inhuman or degrading treatment or punishment contained in article 7 of the Covenant.  Thus, not only may persons deprived of their liberty not be subjected to treatment that is contrary to article 7, including medical or scientific experimentation, but neither may they be subjected to any hardship or constraint other than that resulting from the deprivation of liberty; respect for the dignity of such persons must be guaranteed under the same conditions as for that of free persons.  Persons deprived of their liberty enjoy all the rights set forth in the Covenant, subject to the restrictions that are unavoidable in a closed environment.</w:t>
      </w:r>
    </w:p>
    <w:p w:rsidR="00000000" w:rsidRDefault="00000000">
      <w:r>
        <w:t>4.</w:t>
      </w:r>
      <w:r>
        <w:tab/>
        <w:t>Treating all persons deprived of their liberty with humanity and with respect for their dignity is a fundamental and universally applicable rule.  Consequently, the application of this rule, as a minimum, cannot be dependent on the material resources available in the State party.  This rule must be applied without distinction of any kind, such as race, colour, sex, language, religion, political or other opinion, national or social origin, property, birth or other status.</w:t>
      </w:r>
    </w:p>
    <w:p w:rsidR="00000000" w:rsidRDefault="00000000">
      <w:r>
        <w:t>5.</w:t>
      </w:r>
      <w:r>
        <w:tab/>
        <w:t>States parties are invited to indicate in their reports to what extent they are applying the relevant United Nations standards applicable to the treatment of prisoners</w:t>
      </w:r>
      <w:r>
        <w:rPr>
          <w:lang w:val="en-US"/>
        </w:rPr>
        <w:t xml:space="preserve">:  </w:t>
      </w:r>
      <w:r>
        <w:t xml:space="preserve">the Standard Minimum Rules for the Treatment of Prisoners (1957), the Body of Principles for the Protection of All Persons under Any Form of Detention or Imprisonment (1988), the Code of Conduct for </w:t>
      </w:r>
      <w:r>
        <w:br w:type="page"/>
        <w:t>Law Enforcement Officials (1978) and the Principles of Medical Ethics relevant to the Role of Health Personnel, particularly Physicians, in the Protection of Prisoners and Detainees against Torture and Other Cruel, Inhuman or Degrading Treatment or Punishment (1982).</w:t>
      </w:r>
    </w:p>
    <w:p w:rsidR="00000000" w:rsidRDefault="00000000">
      <w:r>
        <w:t>6.</w:t>
      </w:r>
      <w:r>
        <w:tab/>
        <w:t>The Committee recalls that reports should provide detailed information on national legislative and administrative provisions that have a bearing on the right provided for in article 10, paragraph 1.  The Committee also considers that it is necessary for reports to specify what concrete measures have been taken by the competent authorities to monitor the effective application of the rules regarding the treatment of persons deprived of their liberty.  States parties should include in their reports information concerning the system for supervising penitentiary establishments, the specific measures to prevent torture and cruel, inhuman or degrading treatment, and how impartial supervision is ensured.</w:t>
      </w:r>
    </w:p>
    <w:p w:rsidR="00000000" w:rsidRDefault="00000000">
      <w:r>
        <w:t>7.</w:t>
      </w:r>
      <w:r>
        <w:tab/>
        <w:t>Furthermore, the Committee recalls that reports should indicate whether the various applicable provisions form an integral part of the instruction and training of the personnel who have authority over persons deprived of their liberty and whether they are strictly adhered to by such personnel in the discharge of their duties.  It would also be appropriate to specify whether arrested or detained persons have access to such information and have effective legal means enabling them to ensure that those rules are respected, to complain if the rules are ignored and to obtain adequate compensation in the event of a violation.</w:t>
      </w:r>
    </w:p>
    <w:p w:rsidR="00000000" w:rsidRDefault="00000000">
      <w:r>
        <w:t>8.</w:t>
      </w:r>
      <w:r>
        <w:tab/>
        <w:t>The Committee recalls that the principle set forth in article 10, paragraph 1, constitutes the basis for the more specific obligations of States parties in respect of criminal justice, which are set forth in article 10, paragraphs 2 and 3.</w:t>
      </w:r>
    </w:p>
    <w:p w:rsidR="00000000" w:rsidRDefault="00000000">
      <w:r>
        <w:t>9.</w:t>
      </w:r>
      <w:r>
        <w:tab/>
        <w:t>Article 10, paragraph 2 (a), provides for the segregation, save in exceptional circumstances, of accused persons from convicted ones.  Such segregation is required in order to emphasize their status as unconvicted persons who at the same time enjoy the right to be presumed innocent as stated in article 14, paragraph 2.  The reports of States parties should indicate how the separation of accused persons from convicted persons is effected and explain how the treatment of accused persons differs from that of convicted persons.</w:t>
      </w:r>
    </w:p>
    <w:p w:rsidR="00000000" w:rsidRDefault="00000000">
      <w:r>
        <w:t>10.</w:t>
      </w:r>
      <w:r>
        <w:tab/>
        <w:t>As to article 10, paragraph 3, which concerns convicted persons, the Committee wishes to have detailed information on the operation of the penitentiary system of the State party.  No penitentiary system should be only retributory; it should essentially seek the reformation and social rehabilitation of the prisoner.  States parties are invited to specify whether they have a system to provide assistance after release and to give information as to its success.</w:t>
      </w:r>
    </w:p>
    <w:p w:rsidR="00000000" w:rsidRDefault="00000000">
      <w:r>
        <w:t>11.</w:t>
      </w:r>
      <w:r>
        <w:tab/>
        <w:t>In a number of cases, the information furnished by the State party contains no specific reference either to legislative or administrative provisions or to practical measures to ensure the re</w:t>
      </w:r>
      <w:r>
        <w:noBreakHyphen/>
        <w:t>education of convicted persons.  The Committee requests specific information concerning the measures taken to provide teaching, education and re</w:t>
      </w:r>
      <w:r>
        <w:noBreakHyphen/>
        <w:t>education, vocational guidance and training and also concerning work programmes for prisoners inside the penitentiary establishment as well as outside.</w:t>
      </w:r>
    </w:p>
    <w:p w:rsidR="00000000" w:rsidRDefault="00000000">
      <w:r>
        <w:t>12.</w:t>
      </w:r>
      <w:r>
        <w:tab/>
        <w:t>In order to determine whether the principle set forth in article 10, paragraph 3, is being fully respected, the Committee also requests information on the specific measures applied during detention, e.g., how convicted persons are dealt with individually and how they are categorized, the disciplinary system, solitary confinement and high</w:t>
      </w:r>
      <w:r>
        <w:noBreakHyphen/>
        <w:t>security detention and the conditions under which contacts are ensured with the outside world (family, lawyer, social and medical services, non</w:t>
      </w:r>
      <w:r>
        <w:noBreakHyphen/>
        <w:t>governmental organizations).</w:t>
      </w:r>
    </w:p>
    <w:p w:rsidR="00000000" w:rsidRDefault="00000000">
      <w:r>
        <w:t>13.</w:t>
      </w:r>
      <w:r>
        <w:tab/>
        <w:t>Moreover, the Committee notes that in the reports of some States parties no information has been provided concerning the treatment accorded to accused juvenile persons and juvenile offenders.  Article 10, paragraph 2 (b), provides that accused juvenile persons shall be separated from adults.  The information given in reports shows that some States parties are not paying the necessary attention to the fact that this is a mandatory provision of the Covenant.  The text also provides that cases involving juveniles must be considered as speedily as possible.  Reports should specify the measures taken by States parties to give effect to that provision.  Lastly, under article 10, paragraph 3, juvenile offenders shall be segregated from adults and be accorded treatment appropriate to their age and legal status insofar as conditions of detention are concerned, such as shorter working hours and contact with relatives, with the aim of furthering their reformation and rehabilitation.  Article 10 does not indicate any limits of juvenile age.  While this is to be determined by each State party in the light of relevant social, cultural and other conditions, the Committee is of the opinion that article 6, paragraph 5, suggests that all persons under the age of 18 should be treated as juveniles, at least in matters relating to criminal justice.  States should give relevant information about the age groups of persons treated as juveniles.  In that regard, States parties are invited to indicate whether they are applying the United Nations Standard Minimum Rules for the Administration of Juvenile Justice, known as the Beijing Rules (1987).</w:t>
      </w:r>
    </w:p>
    <w:p w:rsidR="00000000" w:rsidRDefault="00000000">
      <w:pPr>
        <w:pStyle w:val="Heading2"/>
      </w:pPr>
      <w:r>
        <w:t>Forty</w:t>
      </w:r>
      <w:r>
        <w:noBreakHyphen/>
        <w:t>eighth session (1993)</w:t>
      </w:r>
    </w:p>
    <w:p w:rsidR="00000000" w:rsidRDefault="00000000">
      <w:pPr>
        <w:pStyle w:val="Heading2"/>
      </w:pPr>
      <w:bookmarkStart w:id="152" w:name="_Toc481083409"/>
      <w:bookmarkStart w:id="153" w:name="_Toc70389008"/>
      <w:bookmarkStart w:id="154" w:name="_Toc70516975"/>
      <w:r>
        <w:t>General comment No. 22</w:t>
      </w:r>
      <w:r>
        <w:rPr>
          <w:lang w:val="en-US"/>
        </w:rPr>
        <w:t xml:space="preserve">:  </w:t>
      </w:r>
      <w:r>
        <w:t xml:space="preserve">Article 18 (Freedom of thought, </w:t>
      </w:r>
      <w:r>
        <w:br/>
        <w:t>conscience or religion)</w:t>
      </w:r>
      <w:bookmarkEnd w:id="152"/>
      <w:bookmarkEnd w:id="153"/>
      <w:bookmarkEnd w:id="154"/>
    </w:p>
    <w:p w:rsidR="00000000" w:rsidRDefault="00000000">
      <w:r>
        <w:t>1.</w:t>
      </w:r>
      <w:r>
        <w:tab/>
        <w:t>The right to freedom of thought, conscience and religion (which includes the freedom to hold beliefs) in article 18.1 is far</w:t>
      </w:r>
      <w:r>
        <w:noBreakHyphen/>
        <w:t>reaching and profound; it encompasses freedom of thought on all matters, personal conviction and the commitment to religion or belief, whether manifested individually or in community with others.  The Committee draws the attention of States parties to the fact that the freedom of thought and the freedom of conscience are protected equally with the freedom of religion and belief.  The fundamental character of these freedoms is also reflected in the fact that this provision cannot be derogated from, even in time of public emergency, as stated in article 4.2 of the Covenant.</w:t>
      </w:r>
    </w:p>
    <w:p w:rsidR="00000000" w:rsidRDefault="00000000">
      <w:r>
        <w:t>2.</w:t>
      </w:r>
      <w:r>
        <w:tab/>
        <w:t>Article 18 protects theistic, non</w:t>
      </w:r>
      <w:r>
        <w:noBreakHyphen/>
        <w:t>theistic and atheistic beliefs, as well as the right not to profess any religion or belief.  The terms “belief” and “religion” are to be broadly construed.  Article 18 is not limited in its application to traditional religions or to religions and beliefs with institutional characteristics or practices analogous to those of traditional religions.  The Committee therefore views with concern any tendency to discriminate against any religion or belief for any reason, including the fact that they are newly established, or represent religious minorities that may be the subject of hostility on the part of a predominant religious community.</w:t>
      </w:r>
    </w:p>
    <w:p w:rsidR="00000000" w:rsidRDefault="00000000">
      <w:r>
        <w:t>3.</w:t>
      </w:r>
      <w:r>
        <w:tab/>
        <w:t xml:space="preserve">Article 18 distinguishes the freedom of thought, conscience, religion or belief from the freedom to manifest religion or belief.  It does not permit any limitations whatsoever on the freedom of thought and conscience or on the freedom to have or adopt a religion or belief of </w:t>
      </w:r>
    </w:p>
    <w:p w:rsidR="00000000" w:rsidRDefault="00000000">
      <w:r>
        <w:br w:type="page"/>
        <w:t>one’s choice.  These freedoms are protected unconditionally, as is the right of everyone to hold opinions without interference in article 19.1.  In accordance with articles 18.2 and 17, no one can be compelled to reveal his thoughts or adherence to a religion or belief.</w:t>
      </w:r>
    </w:p>
    <w:p w:rsidR="00000000" w:rsidRDefault="00000000">
      <w:r>
        <w:t>4.</w:t>
      </w:r>
      <w:r>
        <w:tab/>
        <w:t>The freedom to manifest religion or belief may be exercised “either individually or in community with others and in public or private”.  The freedom to manifest religion or belief in worship, observance, practice and teaching encompasses a broad range of acts.  The concept of worship extends to ritual and ceremonial acts giving direct expression to belief, as well as various practices integral to such acts, including the building of places of worship, the use of ritual formulae and objects, the display of symbols, and the observance of holidays and days of rest.  The observance and practice of religion or belief may include not only ceremonial acts but also such customs as the observance of dietary regulations, the wearing of distinctive clothing or head coverings, participation in rituals associated with certain stages of life, and the use of a particular language customarily spoken by a group.  In addition, the practice and teaching of religion or belief includes acts integral to the conduct by religious groups of their basic affairs, such as the freedom to choose their religious leaders, priests and teachers, the freedom to establish seminaries or religious schools and the freedom to prepare and distribute religious texts or publications.</w:t>
      </w:r>
    </w:p>
    <w:p w:rsidR="00000000" w:rsidRDefault="00000000">
      <w:r>
        <w:t>5.</w:t>
      </w:r>
      <w:r>
        <w:tab/>
        <w:t>The Committee observes that the freedom to “have or to adopt” a religion or belief necessarily entails the freedom to choose a religion or belief, including the right to replace one’s current religion or belief with another or to adopt atheistic views, as well as the right to retain one’s religion or belief.  Article 18.2 bars coercion that would impair the right to have or adopt a religion or belief, including the use of threat of physical force or penal sanctions to compel believers or non</w:t>
      </w:r>
      <w:r>
        <w:noBreakHyphen/>
        <w:t>believers to adhere to their religious beliefs and congregations, to recant their religion or belief or to convert.  Policies or practices having the same intention or effect, such as, for example, those restricting access to education, medical care, employment or the rights guaranteed by article 25 and other provisions of the Covenant, are similarly inconsistent with article 18.2.  The same protection is enjoyed by holders of all beliefs of a non</w:t>
      </w:r>
      <w:r>
        <w:noBreakHyphen/>
        <w:t>religious nature.</w:t>
      </w:r>
    </w:p>
    <w:p w:rsidR="00000000" w:rsidRDefault="00000000">
      <w:r>
        <w:t>6.</w:t>
      </w:r>
      <w:r>
        <w:tab/>
        <w:t>The Committee is of the view that article 18.4 permits public school instruction in subjects such as the general history of religions and ethics if it is given in a neutral and objective way.  The liberty of parents or legal guardians to ensure that their children receive a religious and moral education in conformity with their own convictions, set forth in article 18.4, is related to the guarantees of the freedom to teach a religion or belief stated in article 18.1.  The Committee notes that public education that includes instruction in a particular religion or belief is inconsistent with article 18.4 unless provision is made for non</w:t>
      </w:r>
      <w:r>
        <w:noBreakHyphen/>
        <w:t>discriminatory exemptions or alternatives that would accommodate the wishes of parents and guardians.</w:t>
      </w:r>
    </w:p>
    <w:p w:rsidR="00000000" w:rsidRDefault="00000000">
      <w:r>
        <w:t>7.</w:t>
      </w:r>
      <w:r>
        <w:tab/>
        <w:t>In accordance with article 20, no manifestation of religion or belief may amount to propaganda for war or advocacy of national, racial or religious hatred that constitutes incitement to discrimination, hostility or violence.  As stated by the Committee in its general comment No. 11 [19], States parties are under the obligation to enact laws to prohibit such acts.</w:t>
      </w:r>
    </w:p>
    <w:p w:rsidR="00000000" w:rsidRDefault="00000000">
      <w:r>
        <w:t>8.</w:t>
      </w:r>
      <w:r>
        <w:tab/>
        <w:t>Article 18.3 permits restrictions on the freedom to manifest religion or belief only if limitations are prescribed by law and are necessary to protect public safety, order, health or morals, or the fundamental rights and freedoms of others.  The freedom from coercion to have or to adopt a religion or belief and the liberty of parents and guardians to ensure religious and moral education cannot be restricted.  In interpreting the scope of permissible limitation clauses, States parties should proceed from the need to protect the rights guaranteed under the Covenant, including the right to equality and non</w:t>
      </w:r>
      <w:r>
        <w:noBreakHyphen/>
        <w:t>discrimination on all grounds specified in articles 2, 3 and 26.  Limitations imposed must be established by law and must not be applied in a manner that would vitiate the rights guaranteed in article 18.  The Committee observes that paragraph 3 of article 18 is to be strictly interpreted</w:t>
      </w:r>
      <w:r>
        <w:rPr>
          <w:lang w:val="en-US"/>
        </w:rPr>
        <w:t xml:space="preserve">:  </w:t>
      </w:r>
      <w:r>
        <w:t>restrictions are not allowed on grounds not specified there, even if they would be allowed as restrictions to other rights protected in the Covenant, such as national security.  Limitations may be applied only for those purposes for which they were prescribed and must be directly related and proportionate to the specific need on which they are predicated.  Restrictions may not be imposed for discriminatory purposes or applied in a discriminatory manner.  The Committee observes that the concept of morals derives from many social, philosophical and religious traditions; consequently, limitations on the freedom to manifest a religion or belief for the purpose of protecting morals must be based on principles not deriving exclusively from a single tradition.  Persons already subject to certain legitimate constraints, such as prisoners, continue to enjoy their rights to manifest their religion or belief to the fullest extent compatible with the specific nature of the constraint.  States parties’ reports should provide information on the full scope and effects of limitations under article 18.3, both as a matter of law and of their application in specific circumstances.</w:t>
      </w:r>
    </w:p>
    <w:p w:rsidR="00000000" w:rsidRDefault="00000000">
      <w:r>
        <w:t>9.</w:t>
      </w:r>
      <w:r>
        <w:tab/>
        <w:t>The fact that a religion is recognized as a State religion or that it is established as official or traditional or that its followers comprise the majority of the population, shall not result in any impairment of the enjoyment of any of the rights under the Covenant, including articles 18 and 27, nor in any discrimination against adherents to other religions or non</w:t>
      </w:r>
      <w:r>
        <w:noBreakHyphen/>
        <w:t>believers.  In particular, certain measures discriminating against the latter, such as measures restricting eligibility for government service to members of the predominant religion or giving economic privileges to them or imposing special restrictions on the practice of other faiths, are not in accordance with the prohibition of discrimination based on religion or belief and the guarantee of equal protection under article 26.  The measures contemplated by article 20, paragraph 2 of the Covenant constitute important safeguards against infringement of the rights of religious minorities and of other religious groups to exercise the rights guaranteed by articles 18 and 27, and against acts of violence or persecution directed towards those groups.  The Committee wishes to be informed of measures taken by States parties concerned to protect the practices of all religions or beliefs from infringement and to protect their followers from discrimination.  Similarly, information as to respect for the rights of religious minorities under article 27 is necessary for the Committee to assess the extent to which the right to freedom of thought, conscience, religion and belief has been implemented by States parties.  States parties concerned should also include in their reports information relating to practices considered by their laws and jurisprudence to be punishable as blasphemous.</w:t>
      </w:r>
    </w:p>
    <w:p w:rsidR="00000000" w:rsidRDefault="00000000">
      <w:r>
        <w:t>10.</w:t>
      </w:r>
      <w:r>
        <w:tab/>
        <w:t>If a set of beliefs is treated as official ideology in constitutions, statutes, proclamations of ruling parties, etc., or in actual practice, this shall not result in any impairment of the freedoms under article 18 or any other rights recognized under the Covenant nor in any discrimination against persons who do not accept the official ideology or who oppose it.</w:t>
      </w:r>
    </w:p>
    <w:p w:rsidR="00000000" w:rsidRDefault="00000000">
      <w:r>
        <w:t>11.</w:t>
      </w:r>
      <w:r>
        <w:tab/>
        <w:t>Many individuals have claimed the right to refuse to perform military service (conscientious objection) on the basis that such right derives from their freedoms under article 18.  In response to such claims, a growing number of States have in their laws exempted from compulsory military service citizens who genuinely hold religious or other beliefs that forbid the performance of military service and replaced it with alternative national service.  The Covenant does not explicitly refer to a right to conscientious objection, but the Committee believes that such a right can be derived from article 18, inasmuch as the obligation to use lethal force may seriously conflict with the freedom of conscience and the right to manifest one’s religion or belief.  When this right is recognized by law or practice, there shall be no differentiation among conscientious objectors on the basis of the nature of their particular beliefs; likewise, there shall be no discrimination against conscientious objectors because they have failed to perform military service.  The Committee invites States parties to report on the conditions under which persons can be exempted from military service on the basis of their rights under article 18 and on the nature and length of alternative national service.</w:t>
      </w:r>
    </w:p>
    <w:p w:rsidR="00000000" w:rsidRDefault="00000000">
      <w:pPr>
        <w:pStyle w:val="Heading2"/>
      </w:pPr>
      <w:r>
        <w:t>Fiftieth session (1994)</w:t>
      </w:r>
    </w:p>
    <w:p w:rsidR="00000000" w:rsidRDefault="00000000">
      <w:pPr>
        <w:pStyle w:val="Heading2"/>
      </w:pPr>
      <w:bookmarkStart w:id="155" w:name="_Toc481083411"/>
      <w:bookmarkStart w:id="156" w:name="_Toc70389010"/>
      <w:bookmarkStart w:id="157" w:name="_Toc70516976"/>
      <w:r>
        <w:t>General comment No. 23</w:t>
      </w:r>
      <w:r>
        <w:rPr>
          <w:lang w:val="en-US"/>
        </w:rPr>
        <w:t xml:space="preserve">:  </w:t>
      </w:r>
      <w:r>
        <w:t>Article 27 (Rights of minorities)</w:t>
      </w:r>
      <w:bookmarkEnd w:id="155"/>
      <w:bookmarkEnd w:id="156"/>
      <w:bookmarkEnd w:id="157"/>
    </w:p>
    <w:p w:rsidR="00000000" w:rsidRDefault="00000000">
      <w:r>
        <w:t>1.</w:t>
      </w:r>
      <w:r>
        <w:tab/>
        <w:t>Article 27 of the Covenant provides that, in those States in which ethnic, religious or linguistic minorities exist, persons belonging to these minorities shall not be denied the right, in community with the other members of their group, to enjoy their own culture, to profess and practise their own religion, or to use their own language.  The Committee observes that this article establishes and recognizes a right which is conferred on individuals belonging to minority groups and which is distinct from, and additional to, all the other rights which, as individuals in common with everyone else, they are already entitled to enjoy under the Covenant.</w:t>
      </w:r>
    </w:p>
    <w:p w:rsidR="00000000" w:rsidRDefault="00000000">
      <w:r>
        <w:t>2.</w:t>
      </w:r>
      <w:r>
        <w:tab/>
        <w:t>In some communications submitted to the Committee under the Optional Protocol, the right protected under article 27 has been confused with the right of peoples to self-determination proclaimed in article 1 of the Covenant.  Further, in reports submitted by States parties under article 40 of the Covenant, the obligations placed upon States parties under article 27 have sometimes been confused with their duty under article 2.1 to ensure the enjoyment of the rights guaranteed under the Covenant without discrimination and also with equality before the law and equal protection of the law under article 26.</w:t>
      </w:r>
    </w:p>
    <w:p w:rsidR="00000000" w:rsidRDefault="00000000">
      <w:r>
        <w:t>3.1.</w:t>
      </w:r>
      <w:r>
        <w:tab/>
        <w:t>The Covenant draws a distinction between the right to self-determination and the rights protected under article 27.  The former is expressed to be a right belonging to peoples and is dealt with in a separate part (Part I) of the Covenant.  Self</w:t>
      </w:r>
      <w:r>
        <w:noBreakHyphen/>
        <w:t>determination is not a right cognizable under the Optional Protocol.  Article 27, on the other hand, relates to rights conferred on individuals as such and is included, like the articles relating to other personal rights conferred on individuals, in Part III of the Covenant and is cognizable under the Optional Protocol.</w:t>
      </w:r>
      <w:r>
        <w:rPr>
          <w:rStyle w:val="EndnoteReference"/>
        </w:rPr>
        <w:endnoteReference w:id="161"/>
      </w:r>
    </w:p>
    <w:p w:rsidR="00000000" w:rsidRDefault="00000000">
      <w:r>
        <w:t>3.2.</w:t>
      </w:r>
      <w:r>
        <w:tab/>
        <w:t xml:space="preserve">The enjoyment of the rights to which article 27 relates does not prejudice the sovereignty and territorial integrity of a State party.  At the same time, one or other aspect of the rights of individuals protected under that article </w:t>
      </w:r>
      <w:r>
        <w:noBreakHyphen/>
        <w:t xml:space="preserve"> for example, to enjoy a particular culture </w:t>
      </w:r>
      <w:r>
        <w:noBreakHyphen/>
        <w:t xml:space="preserve"> may consist in a way of life which is closely associated with territory and use of its resources.</w:t>
      </w:r>
      <w:r>
        <w:rPr>
          <w:rStyle w:val="EndnoteReference"/>
        </w:rPr>
        <w:endnoteReference w:id="162"/>
      </w:r>
      <w:r>
        <w:t xml:space="preserve"> This may particularly be true of members of indigenous communities constituting a minority.  </w:t>
      </w:r>
    </w:p>
    <w:p w:rsidR="00000000" w:rsidRDefault="00000000">
      <w:r>
        <w:t>4.</w:t>
      </w:r>
      <w:r>
        <w:tab/>
        <w:t>The Covenant also distinguishes the rights protected under article 27 from the guarantees under articles 2.1 and 26.  The entitlement, under article 2.1, to enjoy the rights under the Covenant without discrimination applies to all individuals within the territory or under the jurisdiction of the State whether or not those persons belong to a minority.  In addition, there is a distinct right provided under article 26 for equality before the law, equal protection of the law, and non</w:t>
      </w:r>
      <w:r>
        <w:noBreakHyphen/>
        <w:t>discrimination in respect of rights granted and obligations imposed by the States.  It governs the exercise of all rights, whether protected under the Covenant or not, which the State party confers by law on individuals within its territory or under its jurisdiction, irrespective of whether they belong to the minorities specified in article 27 or not.</w:t>
      </w:r>
      <w:r>
        <w:rPr>
          <w:rStyle w:val="EndnoteReference"/>
        </w:rPr>
        <w:endnoteReference w:id="163"/>
      </w:r>
      <w:r>
        <w:t xml:space="preserve"> Some States parties who claim that they do not discriminate on grounds of ethnicity, language or religion, wrongly contend, on that basis alone, that they have no minorities.</w:t>
      </w:r>
    </w:p>
    <w:p w:rsidR="00000000" w:rsidRDefault="00000000">
      <w:r>
        <w:t>5.1.</w:t>
      </w:r>
      <w:r>
        <w:tab/>
        <w:t>The terms used in article 27 indicate that the persons designed to be protected are those who belong to a group and who share in common a culture, a religion and/or a language.  Those terms also indicate that the individuals designed to be protected need not be citizens of the State party.  In this regard, the obligations deriving from article 2.1 are also relevant, since a State party is required under that article to ensure that the rights protected under the Covenant are available to all individuals within its territory and subject to its jurisdiction, except rights which are expressly made to apply to citizens, for example, political rights under article 25.  A State party may not, therefore, restrict the rights under article 27 to its citizens alone.</w:t>
      </w:r>
    </w:p>
    <w:p w:rsidR="00000000" w:rsidRDefault="00000000">
      <w:r>
        <w:t>5.2.</w:t>
      </w:r>
      <w:r>
        <w:tab/>
        <w:t>Article 27 confers rights on persons belonging to minorities which “exist” in a State party.  Given the nature and scope of the rights envisaged under that article, it is not relevant to determine the degree of permanence that the term “exist” connotes.  Those rights simply are that individuals belonging to those minorities should not be denied the right, in community with members of their group, to enjoy their own culture, to practise their religion and speak their language.  Just as they need not be nationals or citizens, they need not be permanent residents.  Thus, migrant workers or even visitors in a State party constituting such minorities are entitled not to be denied the exercise of those rights.  As any other individual in the territory of the State party, they would, also for this purpose, have the general rights, for example, to freedom of association, of assembly, and of expression.  The existence of an ethnic, religious or linguistic minority in a given State party does not depend upon a decision by that State party but requires to be established by objective criteria.</w:t>
      </w:r>
    </w:p>
    <w:p w:rsidR="00000000" w:rsidRDefault="00000000">
      <w:r>
        <w:t>5.3.</w:t>
      </w:r>
      <w:r>
        <w:tab/>
        <w:t>The right of individuals belonging to a linguistic minority to use their language among themselves, in private or in public, is distinct from other language rights protected under the Covenant.  In particular, it should be distinguished from the general right to freedom of expression protected under article 19.  The latter right is available to all persons, irrespective of whether they belong to minorities or not.  Further, the right protected under article 27 should be distinguished from the particular right which article 14.3 (f) of the Covenant confers on accused persons to interpretation where they cannot understand or speak the language used in the courts.  Article 14.3 (f) does not, in any other circumstances, confer on accused persons the right to use or speak the language of their choice in court proceedings.</w:t>
      </w:r>
      <w:r>
        <w:rPr>
          <w:rStyle w:val="EndnoteReference"/>
        </w:rPr>
        <w:endnoteReference w:id="164"/>
      </w:r>
    </w:p>
    <w:p w:rsidR="00000000" w:rsidRDefault="00000000">
      <w:r>
        <w:t>6.1.</w:t>
      </w:r>
      <w:r>
        <w:tab/>
        <w:t xml:space="preserve">Although article 27 is expressed in negative terms, that article, nevertheless, does recognize the existence of a “right” and requires that it shall not be denied.  Consequently, a State party is under an obligation to ensure that the existence and the exercise of this right are protected against their denial or violation.  Positive measures of protection are, therefore, required not only against the acts of the State party itself, whether through its legislative, judicial or administrative authorities, but also against the acts of other persons within the State party.  </w:t>
      </w:r>
    </w:p>
    <w:p w:rsidR="00000000" w:rsidRDefault="00000000">
      <w:r>
        <w:t>6.2.</w:t>
      </w:r>
      <w:r>
        <w:tab/>
        <w:t>Although the rights protected under article 27 are individual rights, they depend in turn on the ability of the minority group to maintain its culture, language or religion.  Accordingly, positive measures by States may also be necessary to protect the identity of a minority and the rights of its members to enjoy and develop their culture and language and to practise their religion, in community with the other members of the group.  In this connection, it has to be observed that such positive measures must respect the provisions of articles 2.1 and 26 of the Covenant both as regards the treatment between different minorities and the treatment between the persons belonging to them and the remaining part of the population.  However, as long as those measures are aimed at correcting conditions which prevent or impair the enjoyment of the rights guaranteed under article 27, they may constitute a legitimate differentiation under the Covenant, provided that they are based on reasonable and objective criteria.</w:t>
      </w:r>
    </w:p>
    <w:p w:rsidR="00000000" w:rsidRDefault="00000000">
      <w:r>
        <w:t>7.</w:t>
      </w:r>
      <w:r>
        <w:tab/>
        <w:t>With regard to the exercise of the cultural rights protected under article 27, the Committee observes that culture manifests itself in many forms, including a particular way of life associated with the use of land resources, especially in the case of indigenous peoples.  That right may include such traditional activities as fishing or hunting and the right to live in reserves protected by law.</w:t>
      </w:r>
      <w:r>
        <w:rPr>
          <w:rStyle w:val="EndnoteReference"/>
        </w:rPr>
        <w:endnoteReference w:id="165"/>
      </w:r>
      <w:r>
        <w:t xml:space="preserve"> The enjoyment of those rights may require positive legal measures of protection and measures to ensure the effective participation of members of minority communities in decisions which affect them.</w:t>
      </w:r>
    </w:p>
    <w:p w:rsidR="00000000" w:rsidRDefault="00000000">
      <w:r>
        <w:t>8.</w:t>
      </w:r>
      <w:r>
        <w:tab/>
        <w:t>The Committee observes that none of the rights protected under article 27 of the Covenant may be legitimately exercised in a manner or to an extent inconsistent with the other provisions of the Covenant.</w:t>
      </w:r>
    </w:p>
    <w:p w:rsidR="00000000" w:rsidRDefault="00000000">
      <w:r>
        <w:t>9.</w:t>
      </w:r>
      <w:r>
        <w:tab/>
        <w:t>The Committee concludes that article 27 relates to rights whose protection imposes specific obligations on States parties.  The protection of these rights is directed towards ensuring the survival and continued development of the cultural, religious and social identity of the minorities concerned, thus enriching the fabric of society as a whole.  Accordingly, the Committee observes that these rights must be protected as such and should not be confused with other personal rights conferred on one and all under the Covenant.  States parties, therefore, have an obligation to ensure that the exercise of these rights is fully protected and they should indicate in their reports the measures they have adopted to this end.</w:t>
      </w:r>
    </w:p>
    <w:p w:rsidR="00000000" w:rsidRDefault="00000000">
      <w:pPr>
        <w:pStyle w:val="Heading5"/>
        <w:keepNext w:val="0"/>
        <w:spacing w:after="0"/>
        <w:jc w:val="center"/>
        <w:rPr>
          <w:i w:val="0"/>
          <w:iCs/>
        </w:rPr>
        <w:sectPr w:rsidR="00000000">
          <w:headerReference w:type="even" r:id="rId39"/>
          <w:headerReference w:type="default" r:id="rId40"/>
          <w:footerReference w:type="default" r:id="rId41"/>
          <w:endnotePr>
            <w:numFmt w:val="decimal"/>
            <w:numRestart w:val="eachSect"/>
          </w:endnotePr>
          <w:pgSz w:w="11907" w:h="16840" w:code="9"/>
          <w:pgMar w:top="567" w:right="851" w:bottom="1701" w:left="1701" w:header="851" w:footer="1496" w:gutter="0"/>
          <w:paperSrc w:first="84" w:other="84"/>
          <w:cols w:space="720"/>
        </w:sectPr>
      </w:pPr>
      <w:r>
        <w:rPr>
          <w:i w:val="0"/>
          <w:iCs/>
        </w:rPr>
        <w:t>Notes</w:t>
      </w:r>
    </w:p>
    <w:p w:rsidR="00000000" w:rsidRDefault="00000000">
      <w:pPr>
        <w:pStyle w:val="Heading5"/>
        <w:keepNext w:val="0"/>
        <w:spacing w:after="0"/>
        <w:jc w:val="center"/>
        <w:rPr>
          <w:i w:val="0"/>
          <w:iCs/>
        </w:rPr>
      </w:pPr>
      <w:r>
        <w:rPr>
          <w:i w:val="0"/>
          <w:iCs/>
        </w:rPr>
        <w:t>Fifty</w:t>
      </w:r>
      <w:r>
        <w:rPr>
          <w:i w:val="0"/>
          <w:iCs/>
        </w:rPr>
        <w:noBreakHyphen/>
        <w:t>second session (1994)</w:t>
      </w:r>
      <w:r>
        <w:rPr>
          <w:i w:val="0"/>
          <w:iCs/>
        </w:rPr>
        <w:br/>
      </w:r>
    </w:p>
    <w:p w:rsidR="00000000" w:rsidRDefault="00000000">
      <w:pPr>
        <w:pStyle w:val="Heading2"/>
      </w:pPr>
      <w:bookmarkStart w:id="158" w:name="_Toc481083413"/>
      <w:bookmarkStart w:id="159" w:name="_Toc70389012"/>
      <w:bookmarkStart w:id="160" w:name="_Toc70516977"/>
      <w:r>
        <w:t>General comment No. 24</w:t>
      </w:r>
      <w:r>
        <w:rPr>
          <w:lang w:val="en-US"/>
        </w:rPr>
        <w:t xml:space="preserve">:  </w:t>
      </w:r>
      <w:r>
        <w:t>Issues relating to reservations made upon ratification</w:t>
      </w:r>
      <w:r>
        <w:br/>
        <w:t>or accession to the Covenant or the Optional Protocols thereto, or in relation to declarations under article 41 of the Covenant</w:t>
      </w:r>
      <w:bookmarkEnd w:id="158"/>
      <w:bookmarkEnd w:id="159"/>
      <w:bookmarkEnd w:id="160"/>
    </w:p>
    <w:p w:rsidR="00000000" w:rsidRDefault="00000000">
      <w:r>
        <w:t>1.</w:t>
      </w:r>
      <w:r>
        <w:tab/>
        <w:t>As of 1 November 1994, 46 of the 127 States parties to the International Covenant on Civil and Political Rights had, between them, entered 150 reservations of varying significance to their acceptance of the obligations of the Covenant.  Some of these reservations exclude the duty to provide and guarantee particular rights in the Covenant.  Others are couched in more general terms, often directed to ensuring the continued paramountcy of certain domestic legal provisions.  Still others are directed at the competence of the Committee.  The number of reservations, their content and their scope may undermine the effective implementation of the Covenant and tend to weaken respect for the obligations of States parties.  It is important for States parties to know exactly what obligations they, and other States parties, have in fact undertaken.  And the Committee, in the performance of its duties under either article 40 of the Covenant or under the Optional Protocols, must know whether a State is bound by a particular obligation or to what extent.  This will require a determination as to whether a unilateral statement is a reservation or an interpretative declaration and a determination of its acceptability and effects.</w:t>
      </w:r>
    </w:p>
    <w:p w:rsidR="00000000" w:rsidRDefault="00000000">
      <w:r>
        <w:t>2.</w:t>
      </w:r>
      <w:r>
        <w:tab/>
        <w:t>For these reasons the Committee has deemed it useful to address in a general comment the issues of international law and human rights policy that arise.  The general comment identifies the principles of international law that apply to the making of reservations and by reference to which their acceptability is to be tested and their purport to be interpreted.  It addresses the role of States parties in relation to the reservations of others.  It further addresses the role of the Committee itself in relation to reservations.  And it makes certain recommendations to present States parties for a reviewing of reservations and to those States that are not yet parties about legal and human rights policy considerations to be borne in mind should they consider ratifying or acceding with particular reservations.</w:t>
      </w:r>
    </w:p>
    <w:p w:rsidR="00000000" w:rsidRDefault="00000000">
      <w:r>
        <w:t>3.</w:t>
      </w:r>
      <w:r>
        <w:tab/>
        <w:t>It is not always easy to distinguish a reservation from a declaration as to a State’s understanding of the interpretation of a provision, or from a statement of policy.  Regard will be had to the intention of the State, rather than the form of the instrument.  If a statement, irrespective of its name or title, purports to exclude or modify the legal effect of a treaty in its application to the State, it constitutes a reservation.</w:t>
      </w:r>
      <w:r>
        <w:rPr>
          <w:rStyle w:val="EndnoteReference"/>
        </w:rPr>
        <w:endnoteReference w:id="166"/>
      </w:r>
      <w:r>
        <w:t xml:space="preserve"> Conversely, if a so</w:t>
      </w:r>
      <w:r>
        <w:noBreakHyphen/>
        <w:t>called reservation merely offers a State’s understanding of a provision but does not exclude or modify that provision in its application to that State, it is, in reality, not a reservation.</w:t>
      </w:r>
    </w:p>
    <w:p w:rsidR="00000000" w:rsidRDefault="00000000">
      <w:r>
        <w:t>4.</w:t>
      </w:r>
      <w:r>
        <w:tab/>
        <w:t>The possibility of entering reservations may encourage States which consider that they have difficulties in guaranteeing all the rights in the Covenant nonetheless to accept the generality of obligations in that instrument.  Reservations may serve a useful function to enable States to adapt specific elements in their laws to the inherent rights of each person as articulated in the Covenant.  However, it is desirable in principle that States accept the full range of obligations, because the human rights norms are the legal expression of the essential rights that every person is entitled to as a human being.</w:t>
      </w:r>
    </w:p>
    <w:p w:rsidR="00000000" w:rsidRDefault="00000000">
      <w:r>
        <w:t>5.</w:t>
      </w:r>
      <w:r>
        <w:tab/>
        <w:t>The Covenant neither prohibits reservations nor mentions any type of permitted reservation.  The same is true of the first Optional Protocol.  The Second Optional Protocol provides, in article 2, paragraph 1, that “No reservation is admissible to the present Protocol, except for a reservation made at the time of ratification or accession that provides for the application of the death penalty in time of war pursuant to a conviction for a most serious crime of a military nature committed during wartime.” Paragraphs 2 and 3 provide for certain procedural obligations.</w:t>
      </w:r>
    </w:p>
    <w:p w:rsidR="00000000" w:rsidRDefault="00000000">
      <w:r>
        <w:t>6.</w:t>
      </w:r>
      <w:r>
        <w:tab/>
        <w:t>The absence of a prohibition on reservations does not mean that any reservation is permitted.  The matter of reservations under the Covenant and the first Optional Protocol is governed by international law.  Article 19 (3) of the Vienna Convention on the Law of Treaties provides relevant guidance.</w:t>
      </w:r>
      <w:r>
        <w:rPr>
          <w:rStyle w:val="EndnoteReference"/>
        </w:rPr>
        <w:endnoteReference w:id="167"/>
      </w:r>
      <w:r>
        <w:t xml:space="preserve"> It stipulates that where a reservation is not prohibited by the treaty or falls within the specified permitted categories, a State may make a reservation provided it is not incompatible with the object and purpose of the treaty.  Even though, unlike some other human rights treaties, the Covenant does not incorporate a specific reference to the object and purpose test, that test governs the matter of interpretation and acceptability of reservations.</w:t>
      </w:r>
    </w:p>
    <w:p w:rsidR="00000000" w:rsidRDefault="00000000">
      <w:r>
        <w:t>7.</w:t>
      </w:r>
      <w:r>
        <w:tab/>
        <w:t>In an instrument which articulates very many civil and political rights, each of the many articles, and indeed their interplay, secures the objectives of the Covenant.  The object and purpose of the Covenant is to create legally binding standards for human rights by defining certain civil and political rights and placing them in a framework of obligations which are legally binding for those States which ratify; and to provide an efficacious supervisory machinery for the obligations undertaken.</w:t>
      </w:r>
    </w:p>
    <w:p w:rsidR="00000000" w:rsidRDefault="00000000">
      <w:r>
        <w:t>8.</w:t>
      </w:r>
      <w:r>
        <w:tab/>
        <w:t>Reservations that offend peremptory norms would not be compatible with the object and purpose of the Covenant.  Although treaties that are mere exchanges of obligations between States allow them to reserve inter se application of rules of general international law, it is otherwise in human rights treaties, which are for the benefit of persons within their jurisdiction.  Accordingly, provisions in the Covenant that represent customary international law (and a fortiori when they have the character of peremptory norms) may not be the subject of reservations.  Accordingly, a State may not reserve the right to engage in slavery, to torture, to subject persons to cruel, inhuman or degrading treatment or punishment, to arbitrarily deprive persons of their lives, to arbitrarily arrest and detain persons, to deny freedom of thought, conscience and religion, to presume a person guilty unless he proves his innocence, to execute pregnant women or children, to permit the advocacy of national, racial or religious hatred, to deny to persons of marriageable age the right to marry, or to deny to minorities the right to enjoy their own culture, profess their own religion, or use their own language.  And while reservations to particular clauses of article 14 may be acceptable, a general reservation to the right to a fair trial would not be.</w:t>
      </w:r>
    </w:p>
    <w:p w:rsidR="00000000" w:rsidRDefault="00000000">
      <w:r>
        <w:t>9.</w:t>
      </w:r>
      <w:r>
        <w:tab/>
        <w:t>Applying more generally the object and purpose test to the Covenant, the Committee notes that, for example, reservation to article 1 denying peoples the right to determine their own political status and to pursue their economic, social and cultural development, would be incompatible with the object and purpose of the Covenant.  Equally, a reservation to the obligation to respect and ensure the rights, and to do so on a non</w:t>
      </w:r>
      <w:r>
        <w:noBreakHyphen/>
        <w:t>discriminatory basis (art. 2 (1)) would not be acceptable.  Nor may a State reserve an entitlement not to take the necessary steps at the domestic level to give effect to the rights of the Covenant (art. 2 (2)).</w:t>
      </w:r>
    </w:p>
    <w:p w:rsidR="00000000" w:rsidRDefault="00000000">
      <w:r>
        <w:t>10.</w:t>
      </w:r>
      <w:r>
        <w:tab/>
        <w:t>The Committee has further examined whether categories of reservations may offend the “object and purpose” test.  In particular, it falls for consideration as to whether reservations to the non</w:t>
      </w:r>
      <w:r>
        <w:noBreakHyphen/>
        <w:t>derogable provisions of the Covenant are compatible with its object and purpose.  While there is no hierarchy of importance of rights under the Covenant, the operation of certain rights may not be suspended, even in times of national emergency.  This underlines the great importance of non</w:t>
      </w:r>
      <w:r>
        <w:noBreakHyphen/>
        <w:t>derogable rights.  But not all rights of profound importance, such as articles 9 and 27 of the Covenant, have in fact been made non</w:t>
      </w:r>
      <w:r>
        <w:noBreakHyphen/>
        <w:t>derogable.  One reason for certain rights being made non</w:t>
      </w:r>
      <w:r>
        <w:noBreakHyphen/>
        <w:t>derogable is because their suspension is irrelevant to the legitimate control of the state of national emergency (for example, no imprisonment for debt, in article 11).  Another reason is that derogation may indeed be impossible (as, for example, freedom of conscience).  At the same time, some provisions are non</w:t>
      </w:r>
      <w:r>
        <w:noBreakHyphen/>
        <w:t>derogable exactly because without them there would be no rule of law.  A reservation to the provisions of article 4 itself, which precisely stipulates the balance to be struck between the interests of the State and the rights of the individual in times of emergency, would fall in this category.  And some non</w:t>
      </w:r>
      <w:r>
        <w:noBreakHyphen/>
        <w:t xml:space="preserve">derogable rights, which in any event cannot be reserved because of their status as peremptory norms, are also of this character </w:t>
      </w:r>
      <w:r>
        <w:noBreakHyphen/>
        <w:t xml:space="preserve"> the prohibition of torture and arbitrary deprivation of life are examples.</w:t>
      </w:r>
      <w:r>
        <w:rPr>
          <w:rStyle w:val="EndnoteReference"/>
        </w:rPr>
        <w:endnoteReference w:id="168"/>
      </w:r>
      <w:r>
        <w:t xml:space="preserve"> While there is no automatic correlation between reservations to non</w:t>
      </w:r>
      <w:r>
        <w:noBreakHyphen/>
        <w:t xml:space="preserve">derogable provisions, and reservations which offend against the object and purpose of the Covenant, a State has a heavy onus to justify such a reservation.  </w:t>
      </w:r>
    </w:p>
    <w:p w:rsidR="00000000" w:rsidRDefault="00000000">
      <w:r>
        <w:t>11.</w:t>
      </w:r>
      <w:r>
        <w:tab/>
        <w:t>The Covenant consists not just of the specified rights, but of important supportive guarantees.  These guarantees provide the necessary framework for securing the rights in the Covenant and are thus essential to its object and purpose.  Some operate at the national level and some at the international level.  Reservations designed to remove these guarantees are thus not acceptable.  Thus, a State could not make a reservation to article 2, paragraph 3, of the Covenant, indicating that it intends to provide no remedies for human rights violations.  Guarantees such as these are an integral part of the structure of the Covenant and underpin its efficacy.  The Covenant also envisages, for the better attainment of its stated objectives, a monitoring role for the Committee.  Reservations that purport to evade that essential element in the design of the Covenant, which is also directed to securing the enjoyment of the rights, are also incompatible with its object and purpose.  A State may not reserve the right not to present a report and have it considered by the Committee.  The Committee’s role under the Covenant, whether under article 40 or under the Optional Protocols, necessarily entails interpreting the provisions of the Covenant and the development of a jurisprudence.  Accordingly, a reservation that rejects the Committee’s competence to interpret the requirements of any provisions of the Covenant would also be contrary to the object and purpose of that treaty.</w:t>
      </w:r>
    </w:p>
    <w:p w:rsidR="00000000" w:rsidRDefault="00000000">
      <w:r>
        <w:t>12.</w:t>
      </w:r>
      <w:r>
        <w:tab/>
        <w:t xml:space="preserve">The intention of the Covenant is that the rights contained therein should be ensured to all those under a State party’s jurisdiction.  To this end certain attendant requirements are likely to be necessary.  Domestic laws may need to be altered properly to reflect the requirements of the Covenant; and mechanisms at the domestic level will be needed to allow the Covenant rights to be enforceable at the local level.  Reservations often reveal a tendency of States not to want to change a particular law.  And sometimes that tendency is elevated to a general policy.  Of particular concern are widely formulated reservations which essentially render ineffective all Covenant rights which would require any change in national law to ensure compliance with Covenant obligations.  No real international rights or obligations have thus been accepted.  And when there is an absence of provisions to ensure that Covenant rights may be sued on in domestic courts, and, further, a failure to allow individual complaints to be brought to the Committee under the first Optional Protocol, all the essential elements of the Covenant guarantees have been removed.  </w:t>
      </w:r>
    </w:p>
    <w:p w:rsidR="00000000" w:rsidRDefault="00000000">
      <w:r>
        <w:t>13.</w:t>
      </w:r>
      <w:r>
        <w:tab/>
        <w:t>The issue arises as to whether reservations are permissible under the first Optional Protocol and, if so, whether any such reservation might be contrary to the object and purpose of the Covenant or of the first Optional Protocol itself.  It is clear that the first Optional Protocol is itself an international treaty, distinct from the Covenant but closely related to it.  Its object and purpose is to recognize the competence of the Committee to receive and consider communications from individuals who claim to be victims of a violation by a State party of any of the rights in the Covenant.  States accept the substantive rights of individuals by reference to the Covenant, and not the first Optional Protocol.  The function of the first Optional Protocol is to allow claims in respect of those rights to be tested before the Committee.  Accordingly, a reservation to an obligation of a State to respect and ensure a right contained in the Covenant, made under the first Optional Protocol when it has not previously been made in respect of the same rights under the Covenant, does not affect the State’s duty to comply with its substantive obligation.  A reservation cannot be made to the Covenant through the vehicle of the Optional Protocol but such a reservation would operate to ensure that the State’s compliance with that obligation may not be tested by the Committee under the first Optional Protocol.  And because the object and purpose of the first Optional Protocol is to allow the rights obligatory for a State under the Covenant to be tested before the Committee, a reservation that seeks to preclude this would be contrary to the object and purpose of the first Optional Protocol, even if not of the Covenant.  A reservation to a substantive obligation made for the first time under the first Optional Protocol would seem to reflect an intention by the State concerned to prevent the Committee from expressing its views relating to a particular article of the Covenant in an individual case.</w:t>
      </w:r>
    </w:p>
    <w:p w:rsidR="00000000" w:rsidRDefault="00000000">
      <w:r>
        <w:t>14.</w:t>
      </w:r>
      <w:r>
        <w:tab/>
        <w:t xml:space="preserve">The Committee considers that reservations relating to the required procedures under the first Optional Protocol would not be compatible with its object and purpose.  The Committee must control its own procedures as specified by the Optional Protocol and its rules of procedure.  Reservations have, however, purported to limit the competence of the Committee to acts and events occurring after entry into force for the State concerned of the first Optional Protocol.  In the view of the Committee this is not a reservation but, most usually, a statement consistent with its normal competence ratione temporis.  At the same time, the Committee has insisted upon its competence, even in the face of such statements or observations, when events or acts occurring before the date of entry into force of the first Optional Protocol have continued to have an effect on the rights of a victim subsequent to that date.  Reservations have been entered which effectively add an additional ground of inadmissibility under article 5, paragraph 2, by precluding examination of a communication when the same matter has already been examined by another comparable procedure.  Insofar as the most basic obligation has been to secure independent third party review of the human rights of individuals, the Committee has, where the </w:t>
      </w:r>
    </w:p>
    <w:p w:rsidR="00000000" w:rsidRDefault="00000000">
      <w:r>
        <w:br w:type="page"/>
        <w:t>legal right and the subject</w:t>
      </w:r>
      <w:r>
        <w:noBreakHyphen/>
        <w:t>matter are identical under the Covenant and under another international instrument, viewed such a reservation as not violating the object and purpose of the first Optional Protocol.</w:t>
      </w:r>
    </w:p>
    <w:p w:rsidR="00000000" w:rsidRDefault="00000000">
      <w:r>
        <w:t>15.</w:t>
      </w:r>
      <w:r>
        <w:tab/>
        <w:t>The primary purpose of the Second Optional Protocol is to extend the scope of the substantive obligations undertaken under the Covenant, as they relate to the right to life, by prohibiting execution and abolishing the death penalty.</w:t>
      </w:r>
      <w:r>
        <w:rPr>
          <w:rStyle w:val="EndnoteReference"/>
        </w:rPr>
        <w:endnoteReference w:id="169"/>
      </w:r>
      <w:r>
        <w:t xml:space="preserve"> It has its own provision concerning reservations, which is determinative of what is permitted.  Article 2, paragraph 1, provides that only one category of reservation is permitted, namely one that reserves the right to apply the death penalty in time of war pursuant to a conviction for a most serious crime of a military nature committed during wartime.  Two procedural obligations are incumbent upon States parties wishing to avail themselves of such a reservation.  Article 2, paragraph 1, obliges such a State to inform the Secretary</w:t>
      </w:r>
      <w:r>
        <w:noBreakHyphen/>
        <w:t>General, at the time of ratification or accession, of the relevant provisions of its national legislation during warfare.  This is clearly directed towards the objectives of specificity and transparency and in the view of the Committee a purported reservation unaccompanied by such information is without legal effect.  Article 2, paragraph 3, requires a State making such a reservation to notify the Secretary</w:t>
      </w:r>
      <w:r>
        <w:noBreakHyphen/>
        <w:t xml:space="preserve">General of the beginning or ending of a state of war applicable to its territory.  In the view of the Committee, no State may seek to avail itself of its reservation (that is, have execution in time of war regarded as lawful) unless it has complied with the procedural requirement of article 2, paragraph 3.  </w:t>
      </w:r>
    </w:p>
    <w:p w:rsidR="00000000" w:rsidRDefault="00000000">
      <w:r>
        <w:t>16.</w:t>
      </w:r>
      <w:r>
        <w:tab/>
        <w:t>The Committee finds it important to address which body has the legal authority to make determinations as to whether specific reservations are compatible with the object and purpose of the Covenant.  As for international treaties in general, the International Court of Justice has indicated in the Reservations to the Genocide Convention Case (1951) that a State which objected to a reservation on the grounds of incompatibility with the object and purpose of a treaty could, through objecting, regard the treaty as not in effect as between itself and the reserving State.  Article 20, paragraph 4, of the Vienna Convention on the Law of Treaties 1969 contains provisions most relevant to the present case on acceptance of and objection to reservations.  This provides for the possibility of a State to object to a reservation made by another State.  Article 21 deals with the legal effects of objections by States to reservations made by other States.  Essentially, a reservation precludes the operation, as between the reserving and other States, of the provision reserved; and an objection thereto leads to the reservation being in operation as between the reserving and objecting State only to the extent that it has not been objected to.</w:t>
      </w:r>
    </w:p>
    <w:p w:rsidR="00000000" w:rsidRDefault="00000000">
      <w:r>
        <w:t>17.</w:t>
      </w:r>
      <w:r>
        <w:tab/>
        <w:t>As indicated above, it is the Vienna Convention on the Law of Treaties that provides the definition of reservations and also the application of the object and purpose test in the absence of other specific provisions.  But the Committee believes that its provisions on the role of State objections in relation to reservations are inappropriate to address the problem of reservations to human rights treaties.  Such treaties, and the Covenant specifically, are not a web of inter</w:t>
      </w:r>
      <w:r>
        <w:noBreakHyphen/>
        <w:t>State exchanges of mutual obligations.  They concern the endowment of individuals with rights.  The principle of inter</w:t>
      </w:r>
      <w:r>
        <w:noBreakHyphen/>
        <w:t>State reciprocity has no place, save perhaps in the limited context of reservations to declarations on the Committee’s competence under article 41.  And because the operation of the classic rules on reservations is so inadequate for the Covenant, States have often not seen any legal interest in or need to object to reservations.  The absence of protest by States cannot imply that a reservation is either compatible or incompatible with the object and purpose of the Covenant.  Objections have been occasional, made by some States but not others, and on grounds not always specified; when an objection is made, it often does not specify a legal consequence, or sometimes even indicates that the objecting party nonetheless does not regard the Covenant as not in effect as between the parties concerned.  In short, the pattern is so unclear that it is not safe to assume that a non</w:t>
      </w:r>
      <w:r>
        <w:noBreakHyphen/>
        <w:t>objecting State thinks that a particular reservation is acceptable.  In the view of the Committee, because of the special characteristics of the Covenant as a human rights treaty, it is open to question what effect objections have between States inter se.  However, an objection to a reservation made by States may provide some guidance to the Committee in its interpretation as to its compatibility with the object and purpose of the Covenant.</w:t>
      </w:r>
    </w:p>
    <w:p w:rsidR="00000000" w:rsidRDefault="00000000">
      <w:r>
        <w:t>18.</w:t>
      </w:r>
      <w:r>
        <w:tab/>
        <w:t>It necessarily falls to the Committee to determine whether a specific reservation is compatible with the object and purpose of the Covenant.  This is in part because, as indicated above, it is an inappropriate task for States parties in relation to human rights treaties, and in part because it is a task that the Committee cannot avoid in the performance of its functions.  In order to know the scope of its duty to examine a State’s compliance under article 40 or a communication under the first Optional Protocol, the Committee has necessarily to take a view on the compatibility of a reservation with the object and purpose of the Covenant and with general international law.  Because of the special character of a human rights treaty, the compatibility of a reservation with the object and purpose of the Covenant must be established objectively, by reference to legal principles, and the Committee is particularly well placed to perform this task.  The normal consequence of an unacceptable reservation is not that the Covenant will not be in effect at all for a reserving party.  Rather, such a reservation will generally be severable, in the sense that the Covenant will be operative for the reserving party without benefit of the reservation.</w:t>
      </w:r>
    </w:p>
    <w:p w:rsidR="00000000" w:rsidRDefault="00000000">
      <w:r>
        <w:t>19.</w:t>
      </w:r>
      <w:r>
        <w:tab/>
        <w:t>Reservations must be specific and transparent, so that the Committee, those under the jurisdiction of the reserving State and other States parties may be clear as to what obligations of human rights compliance have or have not been undertaken.  Reservations may thus not be general, but must refer to a particular provision of the Covenant and indicate in precise terms its scope in relation thereto.  When considering the compatibility of possible reservations with the object and purpose of the Covenant, States should also take into consideration the overall effect of a group of reservations, as well as the effect of each reservation on the integrity of the Covenant, which remains an essential consideration.  States should not enter so many reservations that they are in effect accepting a limited number of human rights obligations, and not the Covenant as such.  So that reservations do not lead to a perpetual non</w:t>
      </w:r>
      <w:r>
        <w:noBreakHyphen/>
        <w:t>attainment of international human rights standards, reservations should not systematically reduce the obligations undertaken only to those presently existing in less demanding standards of domestic law.  Nor should interpretative declarations or reservations seek to remove an autonomous meaning to Covenant obligations, by pronouncing them to be identical, or to be accepted only insofar as they are identical, with existing provisions of domestic law.  States should not seek through reservations or interpretative declarations to determine that the meaning of a provision of the Covenant is the same as that given by an organ of any other international treaty body.</w:t>
      </w:r>
    </w:p>
    <w:p w:rsidR="00000000" w:rsidRDefault="00000000">
      <w:r>
        <w:t>20.</w:t>
      </w:r>
      <w:r>
        <w:tab/>
        <w:t>States should institute procedures to ensure that each and every proposed reservation is compatible with the object and purpose of the Covenant.  It is desirable for a State entering a reservation to indicate in precise terms the domestic legislation or practices which it believes to be incompatible with the Covenant obligation reserved; and to explain the time period it requires to render its own laws and practices compatible with the Covenant, or why it is unable to render its own laws and practices compatible with the Covenant.  States should also ensure that the necessity for maintaining reservations is periodically reviewed, taking into account any observations and recommendations made by the Committee during examination of their reports.  Reservations should be withdrawn at the earliest possible moment.  Reports to the Committee should contain information on what action has been taken to review, reconsider or withdraw reservations.</w:t>
      </w:r>
    </w:p>
    <w:p w:rsidR="00000000" w:rsidRDefault="00000000">
      <w:pPr>
        <w:pStyle w:val="Heading5"/>
        <w:spacing w:after="0"/>
        <w:jc w:val="center"/>
        <w:rPr>
          <w:i w:val="0"/>
          <w:iCs/>
        </w:rPr>
        <w:sectPr w:rsidR="00000000">
          <w:headerReference w:type="even" r:id="rId42"/>
          <w:headerReference w:type="default" r:id="rId43"/>
          <w:footerReference w:type="even" r:id="rId44"/>
          <w:endnotePr>
            <w:numFmt w:val="decimal"/>
            <w:numRestart w:val="eachSect"/>
          </w:endnotePr>
          <w:type w:val="continuous"/>
          <w:pgSz w:w="11907" w:h="16840" w:code="9"/>
          <w:pgMar w:top="567" w:right="851" w:bottom="1701" w:left="1701" w:header="851" w:footer="1496" w:gutter="0"/>
          <w:paperSrc w:first="84" w:other="84"/>
          <w:cols w:space="720"/>
        </w:sectPr>
      </w:pPr>
      <w:r>
        <w:rPr>
          <w:i w:val="0"/>
          <w:iCs/>
        </w:rPr>
        <w:t>Notes</w:t>
      </w:r>
    </w:p>
    <w:p w:rsidR="00000000" w:rsidRDefault="00000000">
      <w:pPr>
        <w:pStyle w:val="Heading5"/>
        <w:spacing w:after="0"/>
        <w:jc w:val="center"/>
        <w:rPr>
          <w:i w:val="0"/>
          <w:iCs/>
        </w:rPr>
      </w:pPr>
      <w:r>
        <w:rPr>
          <w:i w:val="0"/>
          <w:iCs/>
        </w:rPr>
        <w:t>Fifty-seventh session (1996)</w:t>
      </w:r>
      <w:r>
        <w:rPr>
          <w:rStyle w:val="EndnoteReference"/>
          <w:b/>
          <w:i w:val="0"/>
          <w:iCs/>
        </w:rPr>
        <w:endnoteReference w:id="170"/>
      </w:r>
      <w:r>
        <w:rPr>
          <w:b w:val="0"/>
          <w:i w:val="0"/>
          <w:iCs/>
          <w:vertAlign w:val="superscript"/>
        </w:rPr>
        <w:t xml:space="preserve">, </w:t>
      </w:r>
      <w:r>
        <w:rPr>
          <w:rStyle w:val="EndnoteReference"/>
          <w:b/>
          <w:i w:val="0"/>
          <w:iCs/>
        </w:rPr>
        <w:endnoteReference w:id="171"/>
      </w:r>
      <w:r>
        <w:rPr>
          <w:bCs/>
          <w:i w:val="0"/>
          <w:iCs/>
          <w:vertAlign w:val="superscript"/>
        </w:rPr>
        <w:br/>
      </w:r>
    </w:p>
    <w:p w:rsidR="00000000" w:rsidRDefault="00000000">
      <w:pPr>
        <w:pStyle w:val="Heading2"/>
      </w:pPr>
      <w:bookmarkStart w:id="161" w:name="_Toc481083415"/>
      <w:bookmarkStart w:id="162" w:name="_Toc70389014"/>
      <w:bookmarkStart w:id="163" w:name="_Toc70516978"/>
      <w:r>
        <w:t>General comment No. 25</w:t>
      </w:r>
      <w:r>
        <w:rPr>
          <w:lang w:val="en-US"/>
        </w:rPr>
        <w:t xml:space="preserve">:  </w:t>
      </w:r>
      <w:r>
        <w:t xml:space="preserve">Article 25 (Participation in public </w:t>
      </w:r>
      <w:r>
        <w:br/>
        <w:t>affairs and the right to vote)</w:t>
      </w:r>
      <w:bookmarkEnd w:id="161"/>
      <w:bookmarkEnd w:id="162"/>
      <w:bookmarkEnd w:id="163"/>
    </w:p>
    <w:p w:rsidR="00000000" w:rsidRDefault="00000000">
      <w:r>
        <w:t>1.</w:t>
      </w:r>
      <w:r>
        <w:tab/>
        <w:t>Article 25 of the Covenant recognizes and protects the right of every citizen to take part in the conduct of public affairs, the right to vote and to be elected and the right to have access to public service.  Whatever form of constitution or government is in force, the Covenant requires States to adopt such legislative and other measures as may be necessary to ensure that citizens have an effective opportunity to enjoy the rights it protects.  Article 25 lies at the core of democratic government based on the consent of the people and in conformity with the principles of the Covenant.</w:t>
      </w:r>
    </w:p>
    <w:p w:rsidR="00000000" w:rsidRDefault="00000000">
      <w:r>
        <w:t>2.</w:t>
      </w:r>
      <w:r>
        <w:tab/>
        <w:t>The rights under article 25 are related to, but distinct from, the right of peoples to self</w:t>
      </w:r>
      <w:r>
        <w:noBreakHyphen/>
        <w:t>determination.  By virtue of the rights covered by article 1 (1), peoples have the right to freely determine their political status and to enjoy the right to choose the form of their constitution or government.  Article 25 deals with the right of individuals to participate in those processes which constitute the conduct of public affairs.  Those rights, as individual rights, can give rise to claims under the first Optional Protocol.</w:t>
      </w:r>
    </w:p>
    <w:p w:rsidR="00000000" w:rsidRDefault="00000000">
      <w:r>
        <w:t>3.</w:t>
      </w:r>
      <w:r>
        <w:tab/>
        <w:t>In contrast with other rights and freedoms recognized by the Covenant (which are ensured to all individuals within the territory and subject to the jurisdiction of the State), article 25 protects the rights of “every citizen”.  State reports should outline the legal provisions which define citizenship in the context of the rights protected by article 25.  No distinctions are permitted between citizens in the enjoyment of these rights on the grounds of race, colour, sex, language, religion, political or other opinion, national or social origin, property, birth or other status.  Distinctions between those who are entitled to citizenship by birth and those who acquire it by naturalization may raise questions of compatibility with article 25.  State reports should indicate whether any groups, such as permanent residents, enjoy these rights on a limited basis, for example, by having the right to vote in local elections or to hold particular public service positions.</w:t>
      </w:r>
    </w:p>
    <w:p w:rsidR="00000000" w:rsidRDefault="00000000">
      <w:r>
        <w:t>4.</w:t>
      </w:r>
      <w:r>
        <w:tab/>
        <w:t>Any conditions which apply to the exercise of the rights protected by article 25 should be based on objective and reasonable criteria.  For example, it may be reasonable to require a higher age for election or appointment to particular offices than for exercising the right to vote, which should be available to every adult citizen.  The exercise of these rights by citizens may not be suspended or excluded except on grounds which are established by law and which are objective and reasonable.  For example, established mental incapacity may be a ground for denying a person the right to vote or to hold office.</w:t>
      </w:r>
    </w:p>
    <w:p w:rsidR="00000000" w:rsidRDefault="00000000">
      <w:r>
        <w:t>5.</w:t>
      </w:r>
      <w:r>
        <w:tab/>
        <w:t>The conduct of public affairs, referred to in paragraph (a), is a broad concept which relates to the exercise of political power, in particular the exercise of legislative, executive and administrative powers.  It covers all aspects of public administration, and the formulation and implementation of policy at international, national, regional and local levels.  The allocation of powers and the means by which individual citizens exercise the right to participate in the conduct of public affairs protected by article 25 should be established by the constitution and other laws.</w:t>
      </w:r>
    </w:p>
    <w:p w:rsidR="00000000" w:rsidRDefault="00000000">
      <w:r>
        <w:t>6.</w:t>
      </w:r>
      <w:r>
        <w:tab/>
        <w:t>Citizens participate directly in the conduct of public affairs when they exercise power as members of legislative bodies or by holding executive office.  This right of direct participation is supported by paragraph (b).  Citizens also participate directly in the conduct of public affairs when they choose or change their constitution or decide public issues through a referendum or other electoral process conducted in accordance with paragraph (b).  Citizens may participate directly by taking part in popular assemblies which have the power to make decisions about local issues or about the affairs of a particular community and in bodies established to represent citizens in consultation with government.  Where a mode of direct participation by citizens is established, no distinction should be made between citizens as regards their participation on the grounds mentioned in article 2, paragraph 1, and no unreasonable restrictions should be imposed.</w:t>
      </w:r>
    </w:p>
    <w:p w:rsidR="00000000" w:rsidRDefault="00000000">
      <w:r>
        <w:t>7.</w:t>
      </w:r>
      <w:r>
        <w:tab/>
        <w:t>Where citizens participate in the conduct of public affairs through freely chosen representatives, it is implicit in article 25 that those representatives do in fact exercise governmental power and that they are accountable through the electoral process for their exercise of that power.  It is also implicit that the representatives exercise only those powers which are allocated to them in accordance with constitutional provisions.  Participation through freely chosen representatives is exercised through voting processes which must be established by laws that are in accordance with paragraph (b).</w:t>
      </w:r>
    </w:p>
    <w:p w:rsidR="00000000" w:rsidRDefault="00000000">
      <w:r>
        <w:t>8.</w:t>
      </w:r>
      <w:r>
        <w:tab/>
        <w:t>Citizens also take part in the conduct of public affairs by exerting influence through public debate and dialogue with their representatives or through their capacity to organize themselves.  This participation is supported by ensuring freedom of expression, assembly and association.</w:t>
      </w:r>
    </w:p>
    <w:p w:rsidR="00000000" w:rsidRDefault="00000000">
      <w:r>
        <w:t>9.</w:t>
      </w:r>
      <w:r>
        <w:tab/>
        <w:t>Paragraph (b) of article 25 sets out specific provisions dealing with the right of citizens to take part in the conduct of public affairs as voters or as candidates for election.  Genuine periodic elections in accordance with paragraph (b) are essential to ensure the accountability of representatives for the exercise of the legislative or executive powers vested in them.  Such elections must be held at intervals which are not unduly long and which ensure that the authority of government continues to be based on the free expression of the will of electors.  The rights and obligations provided for in paragraph (b) should be guaranteed by law.</w:t>
      </w:r>
    </w:p>
    <w:p w:rsidR="00000000" w:rsidRDefault="00000000">
      <w:r>
        <w:t>10.</w:t>
      </w:r>
      <w:r>
        <w:tab/>
        <w:t>The right to vote at elections and referendums must be established by law and may be subject only to reasonable restrictions, such as setting a minimum age limit for the right to vote.  It is unreasonable to restrict the right to vote on the ground of physical disability or to impose literacy, educational or property requirements.  Party membership should not be a condition of eligibility to vote, nor a ground of disqualification.</w:t>
      </w:r>
    </w:p>
    <w:p w:rsidR="00000000" w:rsidRDefault="00000000">
      <w:r>
        <w:t>11.</w:t>
      </w:r>
      <w:r>
        <w:tab/>
        <w:t>States must take effective measures to ensure that all persons entitled to vote are able to exercise that right.  Where registration of voters is required, it should be facilitated and obstacles to such registration should not be imposed.  If residence requirements apply to registration, they must be reasonable, and should not be imposed in such a way as to exclude the homeless from the right to vote.  Any abusive interference with registration or voting as well as intimidation or coercion of voters should be prohibited by penal laws and those laws should be strictly enforced.  Voter education and registration campaigns are necessary to ensure the effective exercise of article 25 rights by an informed community.</w:t>
      </w:r>
    </w:p>
    <w:p w:rsidR="00000000" w:rsidRDefault="00000000">
      <w:r>
        <w:t>12.</w:t>
      </w:r>
      <w:r>
        <w:tab/>
        <w:t>Freedom of expression, assembly and association are essential conditions for the effective exercise of the right to vote and must be fully protected.  Positive measures should be taken to overcome specific difficulties, such as illiteracy, language barriers, poverty, or impediments to freedom of movement which prevent persons entitled to vote from exercising their rights effectively.  Information and materials about voting should be available in minority languages.  Specific methods, such as photographs and symbols, should be adopted to ensure that illiterate voters have adequate information on which to base their choice.  States parties should indicate in their reports the manner in which the difficulties highlighted in this paragraph are dealt with.</w:t>
      </w:r>
    </w:p>
    <w:p w:rsidR="00000000" w:rsidRDefault="00000000">
      <w:r>
        <w:t>13.</w:t>
      </w:r>
      <w:r>
        <w:tab/>
        <w:t>State reports should describe the rules governing the right to vote, and the application of those rules in the period covered by the report.  State reports should also describe factors which impede citizens from exercising the right to vote and the positive measures which have been adopted to overcome these factors.</w:t>
      </w:r>
    </w:p>
    <w:p w:rsidR="00000000" w:rsidRDefault="00000000">
      <w:r>
        <w:t>14.</w:t>
      </w:r>
      <w:r>
        <w:tab/>
        <w:t>In their reports, States parties should indicate and explain the legislative provisions which would deprive citizens of their right to vote.  The grounds for such deprivation should be objective and reasonable.  If conviction for an offence is a basis for suspending the right to vote, the period of such suspension should be proportionate to the offence and the sentence.  Persons who are deprived of liberty but who have not been convicted should not be excluded from exercising the right to vote.</w:t>
      </w:r>
    </w:p>
    <w:p w:rsidR="00000000" w:rsidRDefault="00000000">
      <w:r>
        <w:t>15.</w:t>
      </w:r>
      <w:r>
        <w:tab/>
        <w:t>The effective implementation of the right and the opportunity to stand for elective office ensures that persons entitled to vote have a free choice of candidates.  Any restrictions on the right to stand for election, such as minimum age, must be justifiable on objective and reasonable criteria.  Persons who are otherwise eligible to stand for election should not be excluded by unreasonable or discriminatory requirements such as education, residence or descent, or by reason of political affiliation.  No person should suffer discrimination or disadvantage of any kind because of that person’s candidacy.  States parties should indicate and explain the legislative provisions which exclude any group or category of persons from elective office.</w:t>
      </w:r>
    </w:p>
    <w:p w:rsidR="00000000" w:rsidRDefault="00000000">
      <w:r>
        <w:t>16.</w:t>
      </w:r>
      <w:r>
        <w:tab/>
        <w:t>Conditions relating to nomination dates, fees or deposits should be reasonable and not discriminatory.  If there are reasonable grounds for regarding certain elective offices as incompatible with tenure of specific positions (e.g. the judiciary, high-ranking military office, public service), measures to avoid any conflicts of interest should not unduly limit the rights protected by paragraph (b).  The grounds for the removal of elected office holders should be established by laws based on objective and reasonable criteria and incorporating fair procedures.</w:t>
      </w:r>
    </w:p>
    <w:p w:rsidR="00000000" w:rsidRDefault="00000000">
      <w:r>
        <w:t>17.</w:t>
      </w:r>
      <w:r>
        <w:tab/>
        <w:t>The right of persons to stand for election should not be limited unreasonably by requiring candidates to be members of parties or of specific parties.  If a candidate is required to have a minimum number of supporters for nomination this requirement should be reasonable and not act as a barrier to candidacy.  Without prejudice to paragraph (1) of article 5 of the Covenant, political opinion may not be used as a ground to deprive any person of the right to stand for election.</w:t>
      </w:r>
    </w:p>
    <w:p w:rsidR="00000000" w:rsidRDefault="00000000">
      <w:r>
        <w:t>18.</w:t>
      </w:r>
      <w:r>
        <w:tab/>
        <w:t>State reports should describe the legal provisions which establish the conditions for holding elective public office, and any limitations and qualifications which apply to particular offices.  Reports should describe conditions for nomination, e.g. age limits, and any other qualifications or restrictions.  State reports should indicate whether there are restrictions which preclude persons in public-service positions (including positions in the police or armed services) from being elected to particular public offices.  The legal grounds and procedures for the removal of elected office holders should be described.</w:t>
      </w:r>
    </w:p>
    <w:p w:rsidR="00000000" w:rsidRDefault="00000000">
      <w:r>
        <w:t>19.</w:t>
      </w:r>
      <w:r>
        <w:tab/>
        <w:t>In conformity with paragraph (b), elections must be conducted fairly and freely on a periodic basis within a framework of laws guaranteeing the effective exercise of voting rights.  Persons entitled to vote must be free to vote for any candidate for election and for or against any proposal submitted to referendum or plebiscite, and free to support or to oppose government, without undue influence or coercion of any kind which may distort or inhibit the free expression of the elector’s will.  Voters should be able to form opinions independently, free of violence or threat of violence, compulsion, inducement or manipulative interference of any kind.  Reasonable limitations on campaign expenditure may be justified where this is necessary to ensure that the free choice of voters is not undermined or the democratic process distorted by the disproportionate expenditure on behalf of any candidate or party.  The results of genuine elections should be respected and implemented.</w:t>
      </w:r>
    </w:p>
    <w:p w:rsidR="00000000" w:rsidRDefault="00000000">
      <w:r>
        <w:t>20.</w:t>
      </w:r>
      <w:r>
        <w:tab/>
        <w:t>An independent electoral authority should be established to supervise the electoral process and to ensure that it is conducted fairly, impartially and in accordance with established laws which are compatible with the Covenant.  States should take measures to guarantee the requirement of the secrecy of the vote during elections, including absentee voting, where such a system exists.  This implies that voters should be protected from any form of coercion or compulsion to disclose how they intend to vote or how they voted, and from any unlawful or arbitrary interference with the voting process.  Waiver of these rights is incompatible with article 25 of the Covenant.  The security of ballot boxes must be guaranteed and votes should be counted in the presence of the candidates or their agents.  There should be independent scrutiny of the voting and counting process and access to judicial review or other equivalent process so that electors have confidence in the security of the ballot and the counting of the votes.  Assistance provided to the disabled, blind or illiterate should be independent.  Electors should be fully informed of these guarantees.</w:t>
      </w:r>
    </w:p>
    <w:p w:rsidR="00000000" w:rsidRDefault="00000000">
      <w:r>
        <w:t>21.</w:t>
      </w:r>
      <w:r>
        <w:tab/>
        <w:t>Although the Covenant does not impose any particular electoral system, any system operating in a State party must be compatible with the rights protected by article 25 and must guarantee and give effect to the free expression of the will of the electors.  The principle of one person, one vote, must apply, and within the framework of each State’s electoral system, the vote of one elector should be equal to the vote of another.  The drawing of electoral boundaries and the method of allocating votes should not distort the distribution of voters or discriminate against any group and should not exclude or restrict unreasonably the right of citizens to choose their representatives freely.</w:t>
      </w:r>
    </w:p>
    <w:p w:rsidR="00000000" w:rsidRDefault="00000000">
      <w:r>
        <w:t>22.</w:t>
      </w:r>
      <w:r>
        <w:tab/>
        <w:t>State reports should indicate what measures they have adopted to guarantee genuine, free and periodic elections and how their electoral system or systems guarantee and give effect to the free expression of the will of the electors.  Reports should describe the electoral system and explain how the different political views in the community are represented in elected bodies.  Reports should also describe the laws and procedures which ensure that the right to vote can in fact be freely exercised by all citizens and indicate how the secrecy, security and validity of the voting process are guaranteed by law.  The practical implementation of these guarantees in the period covered by the report should be explained.</w:t>
      </w:r>
    </w:p>
    <w:p w:rsidR="00000000" w:rsidRDefault="00000000">
      <w:r>
        <w:t>23.</w:t>
      </w:r>
      <w:r>
        <w:tab/>
        <w:t>Subparagraph (c) of article 25 deals with the right and the opportunity of citizens to have access on general terms of equality to public service positions.  To ensure access on general terms of equality, the criteria and processes for appointment, promotion, suspension and dismissal must be objective and reasonable.  Affirmative measures may be taken in appropriate cases to ensure that there is equal access to public service for all citizens.  Basing access to public service on equal opportunity and general principles of merit, and providing secured tenure, ensures that persons holding public service positions are free from political interference or pressures.  It is of particular importance to ensure that persons do not suffer discrimination in the exercise of their rights under article 25, subparagraph (c), on any of the grounds set out in article 2, paragraph 1.</w:t>
      </w:r>
    </w:p>
    <w:p w:rsidR="00000000" w:rsidRDefault="00000000">
      <w:r>
        <w:t>24.</w:t>
      </w:r>
      <w:r>
        <w:tab/>
        <w:t>State reports should describe the conditions for access to public service positions, any restrictions which apply and the processes for appointment, promotion, suspension and dismissal or removal from office as well as the judicial or other review mechanisms which apply to these processes.  Reports should also indicate how the requirement for equal access is met, and whether affirmative measures have been introduced and, if so, to what extent.</w:t>
      </w:r>
    </w:p>
    <w:p w:rsidR="00000000" w:rsidRDefault="00000000">
      <w:r>
        <w:t>25.</w:t>
      </w:r>
      <w:r>
        <w:tab/>
        <w:t>In order to ensure the full enjoyment of rights protected by article 25, the free communication of information and ideas about public and political issues between citizens, candidates and elected representatives is essential.  This implies a free press and other media able to comment on public issues without censorship or restraint and to inform public opinion.  It requires the full enjoyment and respect for the rights guaranteed in articles 19, 21 and 22 of the Covenant, including freedom to engage in political activity individually or through political parties and other organizations, freedom to debate public affairs, to hold peaceful demonstrations and meetings, to criticize and oppose, to publish political material, to campaign for election and to advertise political ideas.</w:t>
      </w:r>
    </w:p>
    <w:p w:rsidR="00000000" w:rsidRDefault="00000000">
      <w:r>
        <w:t>26.</w:t>
      </w:r>
      <w:r>
        <w:tab/>
        <w:t>The right to freedom of association, including the right to form and join organizations and associations concerned with political and public affairs, is an essential adjunct to the rights protected by article 25.  Political parties and membership in parties play a significant role in the conduct of public affairs and the election process.  States should ensure that, in their internal management, political parties respect the applicable provisions of article 25 in order to enable citizens to exercise their rights thereunder.</w:t>
      </w:r>
    </w:p>
    <w:p w:rsidR="00000000" w:rsidRDefault="00000000">
      <w:r>
        <w:t>27.</w:t>
      </w:r>
      <w:r>
        <w:tab/>
        <w:t>Having regard to the provision of article 5, paragraph 1, of the Covenant, any rights recognized and protected by article 25 may not be interpreted as implying a right to act or as validating any act aimed at the destruction or limitation of the rights and freedoms protected by the Covenant to a greater extent than what is provided for in the present Covenant.</w:t>
      </w:r>
    </w:p>
    <w:p w:rsidR="00000000" w:rsidRDefault="00000000">
      <w:pPr>
        <w:pStyle w:val="Heading5"/>
        <w:spacing w:after="0"/>
        <w:jc w:val="center"/>
        <w:rPr>
          <w:i w:val="0"/>
          <w:iCs/>
        </w:rPr>
        <w:sectPr w:rsidR="00000000">
          <w:headerReference w:type="even" r:id="rId45"/>
          <w:headerReference w:type="default" r:id="rId46"/>
          <w:footerReference w:type="default" r:id="rId47"/>
          <w:endnotePr>
            <w:numFmt w:val="decimal"/>
            <w:numRestart w:val="eachSect"/>
          </w:endnotePr>
          <w:type w:val="continuous"/>
          <w:pgSz w:w="11907" w:h="16840" w:code="9"/>
          <w:pgMar w:top="567" w:right="851" w:bottom="1701" w:left="1701" w:header="851" w:footer="1496" w:gutter="0"/>
          <w:paperSrc w:first="84" w:other="84"/>
          <w:cols w:space="720"/>
        </w:sectPr>
      </w:pPr>
      <w:r>
        <w:rPr>
          <w:i w:val="0"/>
          <w:iCs/>
        </w:rPr>
        <w:t>Notes</w:t>
      </w:r>
    </w:p>
    <w:p w:rsidR="00000000" w:rsidRDefault="00000000">
      <w:pPr>
        <w:pStyle w:val="Heading5"/>
        <w:spacing w:after="0"/>
        <w:jc w:val="center"/>
        <w:rPr>
          <w:i w:val="0"/>
          <w:iCs/>
        </w:rPr>
      </w:pPr>
      <w:r>
        <w:rPr>
          <w:i w:val="0"/>
          <w:iCs/>
        </w:rPr>
        <w:t>Sixty-first session (1997)</w:t>
      </w:r>
      <w:r>
        <w:rPr>
          <w:rStyle w:val="FootnoteReference"/>
          <w:i w:val="0"/>
          <w:iCs/>
          <w:vertAlign w:val="baseline"/>
        </w:rPr>
        <w:footnoteReference w:customMarkFollows="1" w:id="19"/>
        <w:t>*</w:t>
      </w:r>
      <w:r>
        <w:rPr>
          <w:i w:val="0"/>
          <w:iCs/>
        </w:rPr>
        <w:br/>
      </w:r>
    </w:p>
    <w:p w:rsidR="00000000" w:rsidRDefault="00000000">
      <w:pPr>
        <w:pStyle w:val="Heading2"/>
      </w:pPr>
      <w:bookmarkStart w:id="164" w:name="_Toc481083417"/>
      <w:bookmarkStart w:id="165" w:name="_Toc70389016"/>
      <w:bookmarkStart w:id="166" w:name="_Toc70516979"/>
      <w:r>
        <w:t>General comment No. 26</w:t>
      </w:r>
      <w:r>
        <w:rPr>
          <w:lang w:val="en-US"/>
        </w:rPr>
        <w:t xml:space="preserve">:  </w:t>
      </w:r>
      <w:r>
        <w:t>Continuity of obligations</w:t>
      </w:r>
      <w:bookmarkEnd w:id="164"/>
      <w:bookmarkEnd w:id="165"/>
      <w:bookmarkEnd w:id="166"/>
    </w:p>
    <w:p w:rsidR="00000000" w:rsidRDefault="00000000">
      <w:r>
        <w:t>1.</w:t>
      </w:r>
      <w:r>
        <w:tab/>
        <w:t>The International Covenant on Civil and Political Rights does not contain any provision regarding its termination and does not provide for denunciation or withdrawal.  Consequently, the possibility of termination, denunciation or withdrawal must be considered in the light of applicable rules of customary international law which are reflected in the Vienna Convention on the Law of Treaties.  On this basis, the Covenant is not subject to denunciation or withdrawal unless it is established that the parties intended to admit the possibility of denunciation or withdrawal or a right to do so is implied from the nature of the treaty.</w:t>
      </w:r>
    </w:p>
    <w:p w:rsidR="00000000" w:rsidRDefault="00000000">
      <w:r>
        <w:t>2.</w:t>
      </w:r>
      <w:r>
        <w:tab/>
        <w:t>That the parties to the Covenant did not admit the possibility of denunciation and that it was not a mere oversight on their part to omit reference to denunciation is demonstrated by the fact that article 41 (2) of the Covenant does permit a State party to withdraw its acceptance of the competence of the Committee to examine inter</w:t>
      </w:r>
      <w:r>
        <w:noBreakHyphen/>
        <w:t>State communications by filing an appropriate notice to that effect while there is no such provision for denunciation of or withdrawal from the Covenant itself.  Moreover, the Optional Protocol to the Covenant, negotiated and adopted contemporaneously with it, permits States parties to denounce it.  Additionally, by way of comparison, the International Convention on the Elimination of All Forms of Racial Discrimination, which was adopted one year prior to the Covenant, expressly permits denunciation.  It can therefore be concluded that the drafters of the Covenant deliberately intended to exclude the possibility of denunciation.  The same conclusion applies to the Second Optional Protocol in the drafting of which a denunciation clause was deliberately omitted.</w:t>
      </w:r>
    </w:p>
    <w:p w:rsidR="00000000" w:rsidRDefault="00000000">
      <w:r>
        <w:t>3.</w:t>
      </w:r>
      <w:r>
        <w:tab/>
        <w:t>Furthermore, it is clear that the Covenant is not the type of treaty which, by its nature, implies a right of denunciation.  Together with the simultaneously prepared and adopted International Covenant on Economic, Social and Cultural Rights, the Covenant codifies in treaty form the universal human rights enshrined in the Universal Declaration of Human Rights, the three instruments together often being referred to as the “International Bill of Human Rights”.  As such, the Covenant does not have a temporary character typical of treaties where a right of denunciation is deemed to be admitted, notwithstanding the absence of a specific provision to that effect.</w:t>
      </w:r>
    </w:p>
    <w:p w:rsidR="00000000" w:rsidRDefault="00000000">
      <w:r>
        <w:t>4.</w:t>
      </w:r>
      <w:r>
        <w:tab/>
        <w:t>The rights enshrined in the Covenant belong to the people living in the territory of the State party.  The Human Rights Committee has consistently taken the view, as evidenced by its long</w:t>
      </w:r>
      <w:r>
        <w:noBreakHyphen/>
        <w:t>standing practice, that once the people are accorded the protection of the rights under the Covenant, such protection devolves with territory and continues to belong to them, notwithstanding change in government of the State party, including dismemberment in more than one State or State succession or any subsequent action of the State party designed to divest them of the rights guaranteed by the Covenant.</w:t>
      </w:r>
    </w:p>
    <w:p w:rsidR="00000000" w:rsidRDefault="00000000">
      <w:r>
        <w:t>5.</w:t>
      </w:r>
      <w:r>
        <w:tab/>
        <w:t>The Committee is therefore firmly of the view that international law does not permit a State which has ratified or acceded or succeeded to the Covenant to denounce it or withdraw from it.</w:t>
      </w:r>
    </w:p>
    <w:p w:rsidR="00000000" w:rsidRDefault="00000000">
      <w:pPr>
        <w:pStyle w:val="Heading2"/>
      </w:pPr>
      <w:r>
        <w:t>Sixty</w:t>
      </w:r>
      <w:r>
        <w:noBreakHyphen/>
        <w:t>seventh session (1999)</w:t>
      </w:r>
      <w:r>
        <w:rPr>
          <w:rStyle w:val="FootnoteReference"/>
          <w:i/>
          <w:vertAlign w:val="baseline"/>
        </w:rPr>
        <w:footnoteReference w:customMarkFollows="1" w:id="20"/>
        <w:t>*</w:t>
      </w:r>
    </w:p>
    <w:p w:rsidR="00000000" w:rsidRDefault="00000000">
      <w:pPr>
        <w:pStyle w:val="Heading2"/>
      </w:pPr>
      <w:bookmarkStart w:id="167" w:name="_Toc481083419"/>
      <w:bookmarkStart w:id="168" w:name="_Toc70389018"/>
      <w:bookmarkStart w:id="169" w:name="_Toc70516980"/>
      <w:r>
        <w:t>General comment No. 27</w:t>
      </w:r>
      <w:r>
        <w:rPr>
          <w:lang w:val="en-US"/>
        </w:rPr>
        <w:t xml:space="preserve">:  </w:t>
      </w:r>
      <w:r>
        <w:t>Article 12 (Freedom of movement)</w:t>
      </w:r>
      <w:bookmarkEnd w:id="167"/>
      <w:bookmarkEnd w:id="168"/>
      <w:bookmarkEnd w:id="169"/>
    </w:p>
    <w:p w:rsidR="00000000" w:rsidRDefault="00000000">
      <w:r>
        <w:t>1.</w:t>
      </w:r>
      <w:r>
        <w:tab/>
        <w:t>Liberty of movement is an indispensable condition for the free development of a person.  It interacts with several other rights enshrined in the Covenant, as is often shown in the Committee’s practice in considering reports from States parties and communications from individuals.  Moreover, the Committee in its general comment No. 15 (“The position of aliens under the Covenant”, 1986) referred to the special link between articles 12 and 13.</w:t>
      </w:r>
      <w:r>
        <w:rPr>
          <w:rStyle w:val="EndnoteReference"/>
        </w:rPr>
        <w:endnoteReference w:id="172"/>
      </w:r>
    </w:p>
    <w:p w:rsidR="00000000" w:rsidRDefault="00000000">
      <w:r>
        <w:t>2.</w:t>
      </w:r>
      <w:r>
        <w:tab/>
        <w:t>The permissible limitations which may be imposed on the rights protected under article 12 must not nullify the principle of liberty of movement, and are governed by the requirement of necessity provided for in article 12, paragraph 3, and by the need for consistency with the other rights recognized in the Covenant.</w:t>
      </w:r>
    </w:p>
    <w:p w:rsidR="00000000" w:rsidRDefault="00000000">
      <w:r>
        <w:t>3.</w:t>
      </w:r>
      <w:r>
        <w:tab/>
        <w:t>States parties should provide the Committee in their reports with the relevant domestic legal rules and administrative and judicial practices relating to the rights protected by article 12, taking into account the issues discussed in the present general comment.  They must also include information on remedies available if these rights are restricted.</w:t>
      </w:r>
    </w:p>
    <w:p w:rsidR="00000000" w:rsidRDefault="00000000">
      <w:pPr>
        <w:pStyle w:val="Heading2"/>
      </w:pPr>
      <w:r>
        <w:t>Liberty of movement and freedom to choose residence (para. 1)</w:t>
      </w:r>
    </w:p>
    <w:p w:rsidR="00000000" w:rsidRDefault="00000000">
      <w:r>
        <w:t>4.</w:t>
      </w:r>
      <w:r>
        <w:tab/>
        <w:t>Everyone lawfully within the territory of a State enjoys, within that territory, the right to move freely and to choose his or her place of residence.  In principle, citizens of a State are always lawfully within the territory of that State.  The question whether an alien is “lawfully” within the territory of a State is a matter governed by domestic law, which may subject the entry of an alien to the territory of a State to restrictions, provided they are in compliance with the State’s international obligations.  In that connection, the Committee has held that an alien who entered the State illegally, but whose status has been regularized, must be considered to be lawfully within the territory for the purposes of article 12.</w:t>
      </w:r>
      <w:r>
        <w:rPr>
          <w:rStyle w:val="EndnoteReference"/>
        </w:rPr>
        <w:endnoteReference w:id="173"/>
      </w:r>
      <w:r>
        <w:t xml:space="preserve"> Once a person is lawfully within a State, any restrictions on his or her rights guaranteed by article 12, paragraphs 1 and 2, as well as any treatment different from that accorded to nationals, have to be justified under the rules provided for by article 12, paragraph 3.</w:t>
      </w:r>
      <w:r>
        <w:rPr>
          <w:rStyle w:val="EndnoteReference"/>
        </w:rPr>
        <w:endnoteReference w:id="174"/>
      </w:r>
      <w:r>
        <w:t xml:space="preserve"> It is, therefore, important that States parties indicate in their reports the circumstances in which they treat aliens differently from their nationals in this regard and how they justify this difference in treatment.</w:t>
      </w:r>
    </w:p>
    <w:p w:rsidR="00000000" w:rsidRDefault="00000000">
      <w:r>
        <w:t>5.</w:t>
      </w:r>
      <w:r>
        <w:tab/>
        <w:t>The right to move freely relates to the whole territory of a State, including all parts of federal States.  According to article 12, paragraph 1, persons are entitled to move from one place to another and to establish themselves in a place of their choice.  The enjoyment of this right must not be made dependent on any particular purpose or reason for the person wanting to move or to stay in a place.  Any restrictions must be in conformity with paragraph 3.</w:t>
      </w:r>
    </w:p>
    <w:p w:rsidR="00000000" w:rsidRDefault="00000000">
      <w:r>
        <w:t>6.</w:t>
      </w:r>
      <w:r>
        <w:tab/>
        <w:t>The State party must ensure that the rights guaranteed in article 12 are protected not only from public but also from private interference.  In the case of women, this obligation to protect is particularly pertinent.  For example, it is incompatible with article 12, paragraph 1, that the right of a woman to move freely and to choose her residence be made subject, by law or practice, to the decision of another person, including a relative.</w:t>
      </w:r>
    </w:p>
    <w:p w:rsidR="00000000" w:rsidRDefault="00000000">
      <w:r>
        <w:t>7.</w:t>
      </w:r>
      <w:r>
        <w:tab/>
        <w:t>Subject to the provisions of article 12, paragraph 3, the right to reside in a place of one’s choice within the territory includes protection against all forms of forced internal displacement.  It also precludes preventing the entry or stay of persons in a defined part of the territory.  Lawful detention, however, affects more specifically the right to personal liberty and is covered by article 9 of the Covenant.  In some circumstances, articles 12 and 9 may come into play together.</w:t>
      </w:r>
      <w:r>
        <w:rPr>
          <w:rStyle w:val="EndnoteReference"/>
        </w:rPr>
        <w:endnoteReference w:id="175"/>
      </w:r>
    </w:p>
    <w:p w:rsidR="00000000" w:rsidRDefault="00000000">
      <w:pPr>
        <w:pStyle w:val="Heading2"/>
      </w:pPr>
      <w:r>
        <w:t>Freedom to leave any country, including one’s own (para. 2)</w:t>
      </w:r>
    </w:p>
    <w:p w:rsidR="00000000" w:rsidRDefault="00000000">
      <w:r>
        <w:t>8.</w:t>
      </w:r>
      <w:r>
        <w:tab/>
        <w:t>Freedom to leave the territory of a State may not be made dependent on any specific purpose or on the period of time the individual chooses to stay outside the country.  Thus travelling abroad is covered, as well as departure for permanent emigration.  Likewise, the right of the individual to determine the State of destination is part of the legal guarantee.  As the scope of article 12, paragraph 2, is not restricted to persons lawfully within the territory of a State, an alien being legally expelled from the country is likewise entitled to elect the State of destination, subject to the agreement of that State.</w:t>
      </w:r>
      <w:r>
        <w:rPr>
          <w:rStyle w:val="EndnoteReference"/>
        </w:rPr>
        <w:endnoteReference w:id="176"/>
      </w:r>
    </w:p>
    <w:p w:rsidR="00000000" w:rsidRDefault="00000000">
      <w:r>
        <w:t>9.</w:t>
      </w:r>
      <w:r>
        <w:tab/>
        <w:t>In order to enable the individual to enjoy the rights guaranteed by article 12, paragraph 2, obligations are imposed both on the State of residence and on the State of nationality.</w:t>
      </w:r>
      <w:r>
        <w:rPr>
          <w:rStyle w:val="EndnoteReference"/>
        </w:rPr>
        <w:endnoteReference w:id="177"/>
      </w:r>
      <w:r>
        <w:t xml:space="preserve">  Since international travel usually requires appropriate documents, in particular a passport, the right to leave a country must include the right to obtain the necessary travel documents.  The issuing of passports is normally incumbent on the State of nationality of the individual.  The refusal by a State to issue a passport or prolong its validity for a national residing abroad may deprive this </w:t>
      </w:r>
      <w:r>
        <w:br w:type="page"/>
        <w:t>person of the right to leave the country of residence and to travel elsewhere.</w:t>
      </w:r>
      <w:r>
        <w:rPr>
          <w:rStyle w:val="EndnoteReference"/>
        </w:rPr>
        <w:endnoteReference w:id="178"/>
      </w:r>
      <w:r>
        <w:t xml:space="preserve">  It is no justification for the State to claim that its national would be able to return to its territory without a passport.</w:t>
      </w:r>
    </w:p>
    <w:p w:rsidR="00000000" w:rsidRDefault="00000000">
      <w:r>
        <w:t>10.</w:t>
      </w:r>
      <w:r>
        <w:tab/>
        <w:t>The practice of States often shows that legal rules and administrative measures adversely affect the right to leave, in particular, a person’s own country.  It is therefore of the utmost importance that States parties report on all legal and practical restrictions on the right to leave which they apply both to nationals and to foreigners, in order to enable the Committee to assess the conformity of these rules and practices with article 12, paragraph 3.  States parties should also include information in their reports on measures that impose sanctions on international carriers which bring to their territory persons without required documents, where those measures affect the right to leave another country.</w:t>
      </w:r>
    </w:p>
    <w:p w:rsidR="00000000" w:rsidRDefault="00000000">
      <w:pPr>
        <w:pStyle w:val="Heading2"/>
      </w:pPr>
      <w:r>
        <w:t>Restrictions (para. 3)</w:t>
      </w:r>
    </w:p>
    <w:p w:rsidR="00000000" w:rsidRDefault="00000000">
      <w:r>
        <w:t>11.</w:t>
      </w:r>
      <w:r>
        <w:tab/>
        <w:t>Article 12, paragraph 3, provides for exceptional circumstances in which rights under paragraphs 1 and 2 may be restricted.  This provision authorizes the State to restrict these rights only to protect national security, public order (</w:t>
      </w:r>
      <w:r>
        <w:rPr>
          <w:i/>
        </w:rPr>
        <w:t>ordre public</w:t>
      </w:r>
      <w:r>
        <w:t>), public health or morals and the rights and freedoms of others.  To be permissible, restrictions must be provided by law, must be necessary in a democratic society for the protection of these purposes and must be consistent with all other rights recognized in the Covenant (see paragraph 18 below).</w:t>
      </w:r>
    </w:p>
    <w:p w:rsidR="00000000" w:rsidRDefault="00000000">
      <w:r>
        <w:t>12.</w:t>
      </w:r>
      <w:r>
        <w:tab/>
        <w:t>The law itself has to establish the conditions under which the rights may be limited.  State reports should therefore specify the legal norms upon which restrictions are founded.  Restrictions which are not provided for in the law or are not in conformity with the requirements of article 12, paragraph 3, would violate the rights guaranteed by paragraphs 1 and 2.</w:t>
      </w:r>
    </w:p>
    <w:p w:rsidR="00000000" w:rsidRDefault="00000000">
      <w:r>
        <w:t>13.</w:t>
      </w:r>
      <w:r>
        <w:tab/>
        <w:t>In adopting laws providing for restrictions permitted by article 12, paragraph 3, States should always be guided by the principle that the restrictions must not impair the essence of the right (cf. article 5, paragraph 1); the relation between right and restriction, between norm and exception, must not be reversed.  The laws authorizing the application of restrictions should use precise criteria and may not confer unfettered discretion on those charged with their execution.</w:t>
      </w:r>
    </w:p>
    <w:p w:rsidR="00000000" w:rsidRDefault="00000000">
      <w:r>
        <w:t>14.</w:t>
      </w:r>
      <w:r>
        <w:tab/>
        <w:t>Article 12, paragraph 3, clearly indicates that it is not sufficient that the restrictions serve the permissible purposes; they must also be necessary to protect them.  Restrictive measures must conform to the principle of proportionality; they must be appropriate to achieve their protective function; they must be the least intrusive instrument amongst those which might achieve the desired result; and they must be proportionate to the interest to be protected.</w:t>
      </w:r>
    </w:p>
    <w:p w:rsidR="00000000" w:rsidRDefault="00000000">
      <w:r>
        <w:t>15.</w:t>
      </w:r>
      <w:r>
        <w:tab/>
        <w:t>The principle of proportionality has to be respected not only in the law that frames the restrictions, but also by the administrative and judicial authorities in applying the law.  States should ensure that any proceedings relating to the exercise or restriction of these rights are expeditious and that reasons for the application of restrictive measures are provided.</w:t>
      </w:r>
    </w:p>
    <w:p w:rsidR="00000000" w:rsidRDefault="00000000">
      <w:r>
        <w:t>16.</w:t>
      </w:r>
      <w:r>
        <w:tab/>
        <w:t>States have often failed to show that the application of their laws restricting the rights enshrined in article 12, paragraphs 1 and 2, are in conformity with all requirements referred to in article 12, paragraph 3.  The application of restrictions in any individual case must be based on clear legal grounds and meet the test of necessity and the requirements of proportionality.  These conditions would not be met, for example, if an individual were prevented from leaving a country merely on the ground that he or she is the holder of “State secrets”, or if an individual were prevented from travelling internally without a specific permit.  On the other hand, the conditions could be met by restrictions on access to military zones on national security grounds, or limitations on the freedom to settle in areas inhabited by indigenous or minorities communities.</w:t>
      </w:r>
      <w:r>
        <w:rPr>
          <w:rStyle w:val="EndnoteReference"/>
        </w:rPr>
        <w:endnoteReference w:id="179"/>
      </w:r>
    </w:p>
    <w:p w:rsidR="00000000" w:rsidRDefault="00000000">
      <w:r>
        <w:t>17.</w:t>
      </w:r>
      <w:r>
        <w:tab/>
        <w:t>A major source of concern is the manifold legal and bureaucratic barriers unnecessarily affecting the full enjoyment of the rights of the individuals to move freely, to leave a country, including their own, and to take up residence.  Regarding the right to movement within a country, the Committee has criticized provisions requiring individuals to apply for permission to change their residence or to seek the approval of the local authorities of the place of destination, as well as delays in processing such written applications.  States’ practice presents an even richer array of obstacles making it more difficult to leave the country, in particular for their own nationals.  These rules and practices include, inter alia, lack of access for applicants to the competent authorities and lack of information regarding requirements; the requirement to apply for special forms through which the proper application documents for the issuance of a passport can be obtained; the need for supportive statements from employers or family members; exact description of the travel route; issuance of passports only on payment of high fees substantially exceeding the cost of the service rendered by the administration; unreasonable delays in the issuance of travel documents; restrictions on family members travelling together; requirement of a repatriation deposit or a return ticket; requirement of an invitation from the State of destination or from people living there; harassment of applicants, for example by physical intimidation, arrest, loss of employment or expulsion of their children from school or university; refusal to issue a passport because the applicant is said to harm the good name of the country.  In the light of these practices, States parties should make sure that all restrictions imposed by them are in full compliance with article 12, paragraph 3.</w:t>
      </w:r>
    </w:p>
    <w:p w:rsidR="00000000" w:rsidRDefault="00000000">
      <w:r>
        <w:t>18.</w:t>
      </w:r>
      <w:r>
        <w:tab/>
        <w:t>The application of the restrictions permissible under article 12, paragraph 3, needs to be consistent with the other rights guaranteed in the Covenant and with the fundamental principles of equality and non-discrimination.  Thus, it would be a clear violation of the Covenant if the rights enshrined in article 12, paragraphs 1 and 2, were restricted by making distinctions of any kind, such as on the basis of race, colour, sex, language, religion, political or other opinion, national or social origin, property, birth or other status.  In examining State reports, the Committee has on several occasions found that measures preventing women from moving freely or from leaving the country by requiring them to have the consent or the escort of a male person constitute a violation of article 12.</w:t>
      </w:r>
    </w:p>
    <w:p w:rsidR="00000000" w:rsidRDefault="00000000">
      <w:pPr>
        <w:pStyle w:val="Heading2"/>
      </w:pPr>
      <w:r>
        <w:t>The right to enter one’s own country (para. 4)</w:t>
      </w:r>
    </w:p>
    <w:p w:rsidR="00000000" w:rsidRDefault="00000000">
      <w:r>
        <w:t>19.</w:t>
      </w:r>
      <w:r>
        <w:tab/>
        <w:t>The right of a person to enter his or her own country recognizes the special relationship of a person to that country.  The right has various facets.  It implies the right to remain in one’s own country.  It includes not only the right to return after having left one’s own country; it may also entitle a person to come to the country for the first time if he or she was born outside the country (for example, if that country is the person’s State of nationality).  The right to return is of the utmost importance for refugees seeking voluntary repatriation.  It also implies prohibition of enforced population transfers or mass expulsions to other countries.</w:t>
      </w:r>
    </w:p>
    <w:p w:rsidR="00000000" w:rsidRDefault="00000000">
      <w:r>
        <w:t>20.</w:t>
      </w:r>
      <w:r>
        <w:tab/>
        <w:t>The wording of article 12, paragraph 4, does not distinguish between nationals and aliens (“no one”).  Thus, the persons entitled to exercise this right can be identified only by interpreting the meaning of the phrase “his own country”.</w:t>
      </w:r>
      <w:r>
        <w:rPr>
          <w:rStyle w:val="EndnoteReference"/>
        </w:rPr>
        <w:endnoteReference w:id="180"/>
      </w:r>
      <w:r>
        <w:t xml:space="preserve"> The scope of “his own country” is broader than the concept “country of his nationality”.  It is not limited to nationality in a formal sense, that is, nationality acquired at birth or by conferral; it embraces, at the very least, an individual who, because of his or her special ties to or claims in relation to a given country, cannot be considered to be a mere alien.  This would be the case, for example, of nationals of a country who have there been stripped of their nationality in violation of international law, and of individuals whose country of nationality has been incorporated in or transferred to another national entity, whose nationality is being denied them.  The language of article 12, paragraph 4, moreover, permits a broader interpretation that might embrace other categories of long-term residents, including but not limited to stateless persons arbitrarily deprived of the right to acquire the nationality of the country of such residence.  Since other factors may in certain circumstances result in the establishment of close and enduring connections between a person and a country, States parties should include in their reports information on the rights of permanent residents to return to their country of residence.</w:t>
      </w:r>
    </w:p>
    <w:p w:rsidR="00000000" w:rsidRDefault="00000000">
      <w:r>
        <w:t>21.</w:t>
      </w:r>
      <w:r>
        <w:tab/>
        <w:t>In no case may a person be arbitrarily deprived of the right to enter his or her own country.  The reference to the concept of arbitrariness in this context is intended to emphasize that it applies to all State action, legislative, administrative and judicial; it guarantees that even interference provided for by law should be in accordance with the provisions, aims and objectives of the Covenant and should be, in any event, reasonable in the particular circumstances.  The Committee considers that there are few, if any, circumstances in which deprivation of the right to enter one’s own country could be reasonable.  A State party must not, by stripping a person of nationality or by expelling an individual to a third country, arbitrarily prevent this person from returning to his or her own country.</w:t>
      </w:r>
    </w:p>
    <w:p w:rsidR="00000000" w:rsidRDefault="00000000">
      <w:pPr>
        <w:pStyle w:val="Heading5"/>
        <w:spacing w:after="0"/>
        <w:jc w:val="center"/>
        <w:rPr>
          <w:i w:val="0"/>
          <w:iCs/>
        </w:rPr>
        <w:sectPr w:rsidR="00000000">
          <w:headerReference w:type="even" r:id="rId48"/>
          <w:headerReference w:type="default" r:id="rId49"/>
          <w:footerReference w:type="even" r:id="rId50"/>
          <w:endnotePr>
            <w:numFmt w:val="decimal"/>
            <w:numRestart w:val="eachSect"/>
          </w:endnotePr>
          <w:type w:val="continuous"/>
          <w:pgSz w:w="11907" w:h="16840" w:code="9"/>
          <w:pgMar w:top="567" w:right="851" w:bottom="1701" w:left="1701" w:header="851" w:footer="1496" w:gutter="0"/>
          <w:paperSrc w:first="84" w:other="84"/>
          <w:cols w:space="720"/>
        </w:sectPr>
      </w:pPr>
      <w:r>
        <w:rPr>
          <w:i w:val="0"/>
          <w:iCs/>
        </w:rPr>
        <w:t>Notes</w:t>
      </w:r>
    </w:p>
    <w:p w:rsidR="00000000" w:rsidRDefault="00000000">
      <w:pPr>
        <w:pStyle w:val="Heading5"/>
        <w:jc w:val="center"/>
        <w:rPr>
          <w:i w:val="0"/>
          <w:iCs/>
        </w:rPr>
      </w:pPr>
      <w:r>
        <w:rPr>
          <w:i w:val="0"/>
          <w:iCs/>
        </w:rPr>
        <w:t>Sixty-eighth session (2000)</w:t>
      </w:r>
    </w:p>
    <w:p w:rsidR="00000000" w:rsidRDefault="00000000">
      <w:pPr>
        <w:pStyle w:val="Heading2"/>
      </w:pPr>
      <w:bookmarkStart w:id="170" w:name="_Toc481083421"/>
      <w:bookmarkStart w:id="171" w:name="_Toc70389020"/>
      <w:bookmarkStart w:id="172" w:name="_Toc70516981"/>
      <w:r>
        <w:t>General comment No. 28</w:t>
      </w:r>
      <w:r>
        <w:rPr>
          <w:lang w:val="en-US"/>
        </w:rPr>
        <w:t xml:space="preserve">:  </w:t>
      </w:r>
      <w:r>
        <w:t>Article 3 (The equality of rights between men and women)</w:t>
      </w:r>
      <w:r>
        <w:rPr>
          <w:rStyle w:val="EndnoteReference"/>
          <w:b/>
        </w:rPr>
        <w:endnoteReference w:id="181"/>
      </w:r>
      <w:bookmarkEnd w:id="170"/>
      <w:bookmarkEnd w:id="171"/>
      <w:bookmarkEnd w:id="172"/>
    </w:p>
    <w:p w:rsidR="00000000" w:rsidRDefault="00000000">
      <w:r>
        <w:t>1.</w:t>
      </w:r>
      <w:r>
        <w:tab/>
        <w:t>The Committee has decided to update its general comment on article 3 of the Covenant and to replace general comment No. 4 (thirteenth session, 1981), in the light of the experience it has gathered in its activities over the last 20 years.  The present revision seeks to take account of the important impact of this article on the enjoyment by women of the human rights protected under the Covenant.</w:t>
      </w:r>
    </w:p>
    <w:p w:rsidR="00000000" w:rsidRDefault="00000000">
      <w:r>
        <w:t>2.</w:t>
      </w:r>
      <w:r>
        <w:tab/>
        <w:t>Article 3 implies that all human beings should enjoy the rights provided for in the Covenant, on an equal basis and in their totality.  The full effect of this provision is impaired whenever any person is denied the full and equal enjoyment of any right.  Consequently, States should ensure to men and women equally the enjoyment of all rights provided for in the Covenant.</w:t>
      </w:r>
    </w:p>
    <w:p w:rsidR="00000000" w:rsidRDefault="00000000">
      <w:r>
        <w:t>3.</w:t>
      </w:r>
      <w:r>
        <w:tab/>
        <w:t>The obligation to ensure to all individuals the rights recognized in the Covenant, established in articles 2 and 3 of the Covenant, requires that States parties take all necessary steps to enable every person to enjoy those rights.  These steps include the removal of obstacles to the equal enjoyment of such rights, the education of the population and of State officials in human rights, and the adjustment of domestic legislation so as to give effect to the undertakings set forth in the Covenant.  The State party must not only adopt measures of protection, but also positive measures in all areas so as to achieve the effective and equal empowerment of women.  States parties must provide information regarding the actual role of women in society so that the Committee may ascertain what measures, in addition to legislative provisions, have been or should be taken to give effect to these obligations, what progress has been made, what difficulties are encountered and what steps are being taken to overcome them.</w:t>
      </w:r>
    </w:p>
    <w:p w:rsidR="00000000" w:rsidRDefault="00000000">
      <w:r>
        <w:t>4.</w:t>
      </w:r>
      <w:r>
        <w:tab/>
        <w:t>States parties are responsible for ensuring the equal enjoyment of rights without any discrimination.  Articles 2 and 3 mandate States parties to take all steps necessary, including the prohibition of discrimination on the ground of sex, to put an end to discriminatory actions, both in the public and the private sector, which impair the equal enjoyment of rights.</w:t>
      </w:r>
    </w:p>
    <w:p w:rsidR="00000000" w:rsidRDefault="00000000">
      <w:r>
        <w:t>5.</w:t>
      </w:r>
      <w:r>
        <w:tab/>
        <w:t>Inequality in the enjoyment of rights by women throughout the world is deeply embedded in tradition, history and culture, including religious attitudes.  The subordinate role of women in some countries is illustrated by the high incidence of prenatal sex selection and abortion of female foetuses.  States parties should ensure that traditional, historical, religious or cultural attitudes are not used to justify violations of women’s right to equality before the law and to equal enjoyment of all Covenant rights.  States parties should furnish appropriate information on those aspects of tradition, history, cultural practices and religious attitudes which jeopardize, or may jeopardize, compliance with article 3, and indicate what measures they have taken or intend to take to overcome such factors.</w:t>
      </w:r>
    </w:p>
    <w:p w:rsidR="00000000" w:rsidRDefault="00000000">
      <w:r>
        <w:t>6.</w:t>
      </w:r>
      <w:r>
        <w:tab/>
        <w:t xml:space="preserve">In order to fulfil the obligation set forth in article 3, States parties should take account of the factors which impede the equal enjoyment by women and men of each right specified in the Covenant.  To enable the Committee to obtain a complete picture of the situation of women in each State party as regards the implementation of the rights in the Covenant, this general </w:t>
      </w:r>
      <w:r>
        <w:br w:type="page"/>
        <w:t>comment identifies some of the factors affecting the equal enjoyment by women of the rights under the Covenant and spells out the type of information that is required with regard to these rights.</w:t>
      </w:r>
    </w:p>
    <w:p w:rsidR="00000000" w:rsidRDefault="00000000">
      <w:r>
        <w:t>7.</w:t>
      </w:r>
      <w:r>
        <w:tab/>
        <w:t>The equal enjoyment of human rights by women must be protected during a state of emergency (art. 4).  States parties which take measures derogating from their obligations under the Covenant in time of public emergency, as provided in article 4, should provide information to the Committee with respect to the impact on the situation of women of such measures and should demonstrate that they are non</w:t>
      </w:r>
      <w:r>
        <w:noBreakHyphen/>
        <w:t>discriminatory.</w:t>
      </w:r>
    </w:p>
    <w:p w:rsidR="00000000" w:rsidRDefault="00000000">
      <w:r>
        <w:t>8.</w:t>
      </w:r>
      <w:r>
        <w:tab/>
        <w:t>Women are particularly vulnerable in times of internal or international armed conflicts.  States parties should inform the Committee of all measures taken during these situations to protect women from rape, abduction and other forms of gender</w:t>
      </w:r>
      <w:r>
        <w:noBreakHyphen/>
        <w:t>based violence.</w:t>
      </w:r>
    </w:p>
    <w:p w:rsidR="00000000" w:rsidRDefault="00000000">
      <w:r>
        <w:t>9.</w:t>
      </w:r>
      <w:r>
        <w:tab/>
        <w:t>In becoming parties to the Covenant, States undertake, in accordance with article 3, to ensure the equal right of men and women to the enjoyment of all civil and political rights set forth in the Covenant, and in accordance with article 5, nothing in the Covenant may be interpreted as implying for any State, group or person any right to engage in any activity or perform any act aimed at the destruction of any of the rights provided for in article 3, or at limitations not covered by the Covenant.  Moreover, there shall be no restriction upon or derogation from the equal enjoyment by women of all fundamental human rights recognized or existing pursuant to law, conventions, regulations or customs, on the pretext that the Covenant does not recognize such rights or that it recognizes them to a lesser extent.</w:t>
      </w:r>
    </w:p>
    <w:p w:rsidR="00000000" w:rsidRDefault="00000000">
      <w:r>
        <w:t>10.</w:t>
      </w:r>
      <w:r>
        <w:tab/>
        <w:t>When reporting on the right to life protected by article 6, States parties should provide data on birth rates and on pregnancy</w:t>
      </w:r>
      <w:r>
        <w:noBreakHyphen/>
        <w:t xml:space="preserve"> and childbirth</w:t>
      </w:r>
      <w:r>
        <w:noBreakHyphen/>
        <w:t>related deaths of women.  Gender</w:t>
      </w:r>
      <w:r>
        <w:noBreakHyphen/>
        <w:t>disaggregated data should be provided on infant mortality rates.  States parties should give information on any measures taken by the State to help women prevent unwanted pregnancies, and to ensure that they do not have to undergo life</w:t>
      </w:r>
      <w:r>
        <w:noBreakHyphen/>
        <w:t>threatening clandestine abortions.  States parties should also report on measures to protect women from practices that violate their right to life, such as female infanticide, the burning of widows and dowry killings.  The Committee also wishes to have information on the particular impact on women of poverty and deprivation that may pose a threat to their lives.</w:t>
      </w:r>
    </w:p>
    <w:p w:rsidR="00000000" w:rsidRDefault="00000000">
      <w:r>
        <w:t>11.</w:t>
      </w:r>
      <w:r>
        <w:tab/>
        <w:t>To assess compliance with article 7 of the Covenant, as well as with article 24, which mandates special protection for children, the Committee needs to be provided information on national laws and practice with regard to domestic and other types of violence against women, including rape.  It also needs to know whether the State party gives access to safe abortion to women who have become pregnant as a result of rape.  The States parties should also provide the Committee with information on measures to prevent forced abortion or forced sterilization.  In States parties where the practice of genital mutilation exists information on its extent and on measures to eliminate it should be provided.  The information provided by States parties on all these issues should include measures of protection, including legal remedies, for women whose rights under article 7 have been violated.</w:t>
      </w:r>
    </w:p>
    <w:p w:rsidR="00000000" w:rsidRDefault="00000000">
      <w:r>
        <w:t>12.</w:t>
      </w:r>
      <w:r>
        <w:tab/>
        <w:t>Having regard to their obligations under article 8, States parties should inform the Committee of measures taken to eliminate trafficking of women and children, within the country or across borders, and forced prostitution.  They must also provide information on measures taken to protect women and children, including foreign women and children, from slavery, disguised, inter alia, as domestic or other kinds of personal service.  States parties where women and children are recruited, and from which they are taken, and States parties where they are received should provide information on measures, national or international, which have been taken in order to prevent the violation of women’s and children’s rights.</w:t>
      </w:r>
    </w:p>
    <w:p w:rsidR="00000000" w:rsidRDefault="00000000">
      <w:r>
        <w:t>13.</w:t>
      </w:r>
      <w:r>
        <w:tab/>
        <w:t>States parties should provide information on any specific regulation of clothing to be worn by women in public.  The Committee stresses that such regulations may involve a violation of a number of rights guaranteed by the Covenant, such as</w:t>
      </w:r>
      <w:r>
        <w:rPr>
          <w:lang w:val="en-US"/>
        </w:rPr>
        <w:t xml:space="preserve">:  </w:t>
      </w:r>
      <w:r>
        <w:t>article 26, on non</w:t>
      </w:r>
      <w:r>
        <w:noBreakHyphen/>
        <w:t>discrimination; article 7, if corporal punishment is imposed in order to enforce such a regulation; article 9, when failure to comply with the regulation is punished by arrest; article 12, if liberty of movement is subject to such a constraint; article 17, which guarantees all persons the right to privacy without arbitrary or unlawful interference; articles 18 and 19, when women are subjected to clothing requirements that are not in keeping with their religion or their right of self</w:t>
      </w:r>
      <w:r>
        <w:noBreakHyphen/>
        <w:t>expression; and, lastly, article 27, when the clothing requirements conflict with the culture to which the woman can lay a claim.</w:t>
      </w:r>
    </w:p>
    <w:p w:rsidR="00000000" w:rsidRDefault="00000000">
      <w:r>
        <w:t>14.</w:t>
      </w:r>
      <w:r>
        <w:tab/>
        <w:t>With regard to article 9, States parties should provide information on any laws or practices which may deprive women of their liberty on an arbitrary or unequal basis, such as by confinement within the house (see general comment No. 8, paragraph 1).</w:t>
      </w:r>
    </w:p>
    <w:p w:rsidR="00000000" w:rsidRDefault="00000000">
      <w:r>
        <w:t>15.</w:t>
      </w:r>
      <w:r>
        <w:tab/>
        <w:t>As regards articles 7 and 10, States parties must provide all information relevant to ensuring that the rights of persons deprived of their liberty are protected on equal terms for men and women.  In particular, States parties should report on whether men and women are separated in prisons and whether women are guarded only by female guards.  States parties should also report about compliance with the rule that accused juvenile females shall be separated from adults and on any difference in treatment between male and female persons deprived of liberty, such as access to rehabilitation and education programmes and to conjugal and family visits.  Pregnant women who are deprived of their liberty should receive humane treatment and respect for their inherent dignity at all times, and in particular during the birth and while caring for their newborn children; States parties should report on facilities to ensure this and on medical and health care for such mothers and their babies.</w:t>
      </w:r>
    </w:p>
    <w:p w:rsidR="00000000" w:rsidRDefault="00000000">
      <w:r>
        <w:t>16.</w:t>
      </w:r>
      <w:r>
        <w:tab/>
        <w:t>As regards article 12, States parties should provide information on any legal provision or any practice which restricts women’s right to freedom of movement, for example the exercise of marital powers over the wife or of parental powers over adult daughters; legal or de facto requirements which prevent women from travelling, such as the requirement of consent of a third party to the issuance of a passport or other type of travel documents to an adult woman.  States parties should also report on measures taken to eliminate such laws and practices and to protect women against them, including reference to available domestic remedies (see general comment No. 27, paragraphs 6 and 18).</w:t>
      </w:r>
    </w:p>
    <w:p w:rsidR="00000000" w:rsidRDefault="00000000">
      <w:r>
        <w:t>17.</w:t>
      </w:r>
      <w:r>
        <w:tab/>
        <w:t>States parties should ensure that alien women are accorded on an equal basis the right to submit arguments against their expulsion and to have their case reviewed, as provided in article 13.  In this regard, they should be entitled to submit arguments based on gender</w:t>
      </w:r>
      <w:r>
        <w:noBreakHyphen/>
        <w:t>specific violations of the Covenant such as those mentioned in paragraphs 10 and 11 above.</w:t>
      </w:r>
    </w:p>
    <w:p w:rsidR="00000000" w:rsidRDefault="00000000">
      <w:r>
        <w:t>18.</w:t>
      </w:r>
      <w:r>
        <w:tab/>
        <w:t>States parties should provide information to enable the Committee to ascertain whether access to justice and the right to a fair trial, provided for in article 14, are enjoyed by women on equal terms with men.  In particular, States parties should inform the Committee whether there are legal provisions preventing women from direct and autonomous access to the courts (see communication No. 202/1986, Ato del Avellanal v. Peru, Views of 28 October 1988); whether women may give evidence as witnesses on the same terms as men; and whether measures are taken to ensure women equal access to legal aid, in particular in family matters.  States parties should report on whether certain categories of women are denied the enjoyment of the presumption of innocence under article 14, paragraph 2, and on the measures which have been taken to put an end to this situation.</w:t>
      </w:r>
    </w:p>
    <w:p w:rsidR="00000000" w:rsidRDefault="00000000">
      <w:r>
        <w:t>19.</w:t>
      </w:r>
      <w:r>
        <w:tab/>
        <w:t>The right of everyone under article 16 to be recognized everywhere as a person before the law is particularly pertinent for women, who often see it curtailed by reason of sex or marital status.  This right implies that the capacity of women to own property, to enter into a contract or to exercise other civil rights may not be restricted on the basis of marital status or any other discriminatory ground.  It also implies that women may not be treated as objects to be given, together with the property of the deceased husband, to his family.  States must provide information on laws or practices that prevent women from being treated or from functioning as full legal persons and the measures taken to eradicate laws or practices that allow such treatment.</w:t>
      </w:r>
    </w:p>
    <w:p w:rsidR="00000000" w:rsidRDefault="00000000">
      <w:r>
        <w:t>20.</w:t>
      </w:r>
      <w:r>
        <w:tab/>
        <w:t>States parties must provide information to enable the Committee to assess the effect of any laws and practices that may interfere with women’s right to enjoy privacy and other rights protected by article 17 on the basis of equality with men.  An example of such interference arises where the sexual life of a woman is taken into consideration in deciding the extent of her legal rights and protections, including protection against rape.  Another area where States may fail to respect women’s privacy relates to their reproductive functions, for example, where there is a requirement for the husband’s authorization to make a decision in regard to sterilization; where general requirements are imposed for the sterilization of women, such as having a certain number of children or being of a certain age, or where States impose a legal duty upon doctors and other health personnel to report cases of women who have undergone abortion.  In these instances, other rights in the Covenant, such as those of articles 6 and 7, might also be at stake.  Women’s privacy may also be interfered with by private actors, such as employers who request a pregnancy test before hiring a woman.  States parties should report on any laws and public or private actions that interfere with the equal enjoyment by women of the rights under article 17, and on the measures taken to eliminate such interference and to afford women protection from any such interference.</w:t>
      </w:r>
    </w:p>
    <w:p w:rsidR="00000000" w:rsidRDefault="00000000">
      <w:r>
        <w:t>21.</w:t>
      </w:r>
      <w:r>
        <w:tab/>
        <w:t>States parties must take measures to ensure that freedom of thought, conscience and religion, and the freedom to adopt the religion or belief of one’s choice - including the freedom to change religion or belief and to express one’s religion or belief - will be guaranteed and protected in law and in practice for both men and women, on the same terms and without discrimination.  These freedoms, protected by article 18, must not be subject to restrictions other than those authorized by the Covenant and must not be constrained by, inter alia, rules requiring permission from third parties, or by interference from fathers, husbands, brothers or others.  Article 18 may not be relied upon to justify discrimination against women by reference to freedom of thought, conscience and religion; States parties should therefore provide information on the status of women as regards their freedom of thought, conscience and religion, and indicate what steps they have taken or intend to take both to eliminate and prevent infringements of these freedoms in respect of women and to protect their right not to be discriminated against.</w:t>
      </w:r>
    </w:p>
    <w:p w:rsidR="00000000" w:rsidRDefault="00000000">
      <w:r>
        <w:t>22.</w:t>
      </w:r>
      <w:r>
        <w:tab/>
        <w:t>In relation to article 19, States parties should inform the Committee of any laws or other factors which may impede women from exercising the rights protected under this provision on an equal basis.  As the publication and dissemination of obscene and pornographic material which portrays women and girls as objects of violence or degrading or inhuman treatment is likely to promote these kinds of treatment of women and girls, States parties should provide information about legal measures to restrict the publication or dissemination of such material.</w:t>
      </w:r>
    </w:p>
    <w:p w:rsidR="00000000" w:rsidRDefault="00000000">
      <w:r>
        <w:t>23.</w:t>
      </w:r>
      <w:r>
        <w:tab/>
        <w:t>States are required to treat men and women equally in regard to marriage in accordance with article 23, which has been elaborated further by general comment No. 19 (1990).  Men and women have the right to enter into marriage only with their free and full consent, and States have an obligation to protect the enjoyment of this right on an equal basis.  Many factors may prevent women from being able to make the decision to marry freely.  One factor relates to the minimum age for marriage.  That age should be set by the State on the basis of equal criteria for men and women.  These criteria should ensure women’s capacity to make an informed and uncoerced decision.  A second factor in some States may be that either by statutory or customary law a guardian, who is generally male, consents to the marriage instead of the woman herself, thereby preventing women from exercising a free choice.</w:t>
      </w:r>
    </w:p>
    <w:p w:rsidR="00000000" w:rsidRDefault="00000000">
      <w:r>
        <w:t>24.</w:t>
      </w:r>
      <w:r>
        <w:tab/>
        <w:t>Another factor that may affect women’s right to marry only when they have given free and full consent is the existence of social attitudes which tend to marginalize women victims of rape and put pressure on them to agree to marriage.  A woman’s free and full consent to marriage may also be undermined by laws which allow the rapist to have his criminal responsibility extinguished or mitigated if he marries the victim.  States parties should indicate whether marrying the victim extinguishes or mitigates criminal responsibility and, in the case in which the victim is a minor, whether the rape reduces the marriageable age of the victim, particularly in societies where rape victims have to endure marginalization from society.  A different aspect of the right to marry may be affected when States impose restrictions on remarriage by women that are not imposed on men.  Also, the right to choose one’s spouse may be restricted by laws or practices that prevent the marriage of a woman of a particular religion to a man who professes no religion or a different religion.  States should provide information on these laws and practices and on the measures taken to abolish the laws and eradicate the practices which undermine the right of women to marry only when they have given free and full consent.  It should also be noted that equality of treatment with regard to the right to marry implies that polygamy is incompatible with this principle.  Polygamy violates the dignity of women.  It is an inadmissible discrimination against women.  Consequently, it should be definitely abolished wherever it continues to exist.</w:t>
      </w:r>
    </w:p>
    <w:p w:rsidR="00000000" w:rsidRDefault="00000000">
      <w:r>
        <w:t>25.</w:t>
      </w:r>
      <w:r>
        <w:tab/>
        <w:t>To fulfil their obligations under article 23, paragraph 4, States parties must ensure that the matrimonial regime contains equal rights and obligations for both spouses with regard to the custody and care of children, the children’s religious and moral education, the capacity to transmit to children the parent’s nationality, and the ownership or administration of property, whether common property or property in the sole ownership of either spouse.  States parties should review their legislation to ensure that married women have equal rights in regard to the ownership and administration of such property, where necessary.  Also, States parties should ensure that no sex</w:t>
      </w:r>
      <w:r>
        <w:noBreakHyphen/>
        <w:t>based discrimination occurs in respect of the acquisition or loss of nationality by reason of marriage, of residence rights, and of the right of each spouse to retain the use of his or her original family name or to participate on an equal basis in the choice of a new family name.  Equality during marriage implies that husband and wife should participate equally in responsibility and authority within the family.</w:t>
      </w:r>
    </w:p>
    <w:p w:rsidR="00000000" w:rsidRDefault="00000000">
      <w:r>
        <w:t>26.</w:t>
      </w:r>
      <w:r>
        <w:tab/>
        <w:t>States parties must also ensure equality in regard to the dissolution of marriage, which excludes the possibility of repudiation.  The grounds for divorce and annulment should be the same for men and women, as well as decisions with regard to property distribution, alimony and the custody of children.  Determination of the need to maintain contact between children and the non</w:t>
      </w:r>
      <w:r>
        <w:noBreakHyphen/>
        <w:t>custodial parent should be based on equal considerations.  Women should also have equal inheritance rights to those of men when the dissolution of marriage is caused by the death of one of the spouses.</w:t>
      </w:r>
    </w:p>
    <w:p w:rsidR="00000000" w:rsidRDefault="00000000">
      <w:r>
        <w:t>27.</w:t>
      </w:r>
      <w:r>
        <w:tab/>
        <w:t>In giving effect to recognition of the family in the context of article 23, it is important to accept the concept of the various forms of family, including unmarried couples and their children and single parents and their children, and to ensure the equal treatment of women in these contexts (see general comment No. 19, paragraph 2).  Single</w:t>
      </w:r>
      <w:r>
        <w:noBreakHyphen/>
        <w:t>parent families frequently consist of a single woman caring for one or more children, and States parties should describe what measures of support are in place to enable her to discharge her parental functions on the basis of equality with a man in a similar position.</w:t>
      </w:r>
    </w:p>
    <w:p w:rsidR="00000000" w:rsidRDefault="00000000">
      <w:r>
        <w:t>28.</w:t>
      </w:r>
      <w:r>
        <w:tab/>
        <w:t>The obligation of States parties to protect children (art. 24) should be carried out equally for boys and girls.  States parties should report on measures taken to ensure that girls are treated equally to boys in education, in feeding and in health care, and provide the Committee with disaggregated data in this respect.  States parties should eradicate, both through legislation and any other appropriate measures, all cultural or religious practices which jeopardize the freedom and well</w:t>
      </w:r>
      <w:r>
        <w:noBreakHyphen/>
        <w:t>being of female children.</w:t>
      </w:r>
    </w:p>
    <w:p w:rsidR="00000000" w:rsidRDefault="00000000">
      <w:r>
        <w:t>29.</w:t>
      </w:r>
      <w:r>
        <w:tab/>
        <w:t>The right to participate in the conduct of public affairs is not fully implemented everywhere on an equal basis.  States parties must ensure that the law guarantees to women the rights contained in article 25 on equal terms with men and take effective and positive measures to promote and ensure women’s participation in the conduct of public affairs and in public office, including appropriate affirmative action.  Effective measures taken by States parties to ensure that all persons entitled to vote are able to exercise that right should not be discriminatory on the grounds of sex.  The Committee requires States parties to provide statistical information on the percentage of women in publicly elected office, including the legislature, as well as in high</w:t>
      </w:r>
      <w:r>
        <w:noBreakHyphen/>
        <w:t>ranking civil service positions and the judiciary.</w:t>
      </w:r>
    </w:p>
    <w:p w:rsidR="00000000" w:rsidRDefault="00000000">
      <w:r>
        <w:t>30.</w:t>
      </w:r>
      <w:r>
        <w:tab/>
        <w:t>Discrimination against women is often intertwined with discrimination on other grounds such as race, colour, language, religion, political or other opinion, national or social origin, property, birth or other status.  States parties should address the ways in which any instances of discrimination on other grounds affect women in a particular way, and include information on the measures taken to counter these effects.</w:t>
      </w:r>
    </w:p>
    <w:p w:rsidR="00000000" w:rsidRDefault="00000000">
      <w:r>
        <w:t>31.</w:t>
      </w:r>
      <w:r>
        <w:tab/>
        <w:t xml:space="preserve">The right to equality before the law and freedom from discrimination, protected by article 26, requires States to act against discrimination by public and private agencies in all fields.  Discrimination against women in areas such as social security laws (communications Nos. 172/84, </w:t>
      </w:r>
      <w:r>
        <w:rPr>
          <w:i/>
          <w:iCs/>
        </w:rPr>
        <w:t>Broeks v.  Netherlands</w:t>
      </w:r>
      <w:r>
        <w:t xml:space="preserve">, Views of 9 April 1987; 182/84, </w:t>
      </w:r>
      <w:r>
        <w:rPr>
          <w:i/>
          <w:iCs/>
        </w:rPr>
        <w:t>Zwaan de Vries v. the Netherlands</w:t>
      </w:r>
      <w:r>
        <w:t xml:space="preserve">, Views of 9 April 1987; 218/1986, </w:t>
      </w:r>
      <w:r>
        <w:rPr>
          <w:i/>
          <w:iCs/>
        </w:rPr>
        <w:t>Vos v. the Netherlands</w:t>
      </w:r>
      <w:r>
        <w:t>, Views of 29 March 1989) as well as in the area of citizenship or rights of non</w:t>
      </w:r>
      <w:r>
        <w:noBreakHyphen/>
        <w:t xml:space="preserve">citizens in a country (communication No. 035/1978, </w:t>
      </w:r>
      <w:r>
        <w:rPr>
          <w:i/>
          <w:iCs/>
        </w:rPr>
        <w:t>Aumeeruddy</w:t>
      </w:r>
      <w:r>
        <w:rPr>
          <w:i/>
          <w:iCs/>
        </w:rPr>
        <w:noBreakHyphen/>
        <w:t>Cziffra et al. v. Mauritius</w:t>
      </w:r>
      <w:r>
        <w:t>, Views adopted 9 April 1981) violates article 26.  The commission of so</w:t>
      </w:r>
      <w:r>
        <w:noBreakHyphen/>
        <w:t>called “honour crimes” which remain unpunished constitutes a serious violation of the Covenant and in particular of articles 6, 14 and 26.  Laws which impose more severe penalties on women than on men for adultery or other offences also violate the requirement of equal treatment.  The Committee has also often observed in reviewing States parties’ reports that a large proportion of women are employed in areas which are not protected by labour laws and that prevailing customs and traditions discriminate against women, particularly with regard to access to better paid employment and to equal pay for work of equal value.  States parties should review their legislation and practices and take the lead in implementing all measures necessary to eliminate discrimination against women in all fields, for example by prohibiting discrimination by private actors in areas such as employment, education, political activities and the provision of accommodation, goods and services.  States parties should report on all these measures and provide information on the remedies available to victims of such discrimination.</w:t>
      </w:r>
    </w:p>
    <w:p w:rsidR="00000000" w:rsidRDefault="00000000">
      <w:r>
        <w:t>32.</w:t>
      </w:r>
      <w:r>
        <w:tab/>
        <w:t>The rights which persons belonging to minorities enjoy under article 27 of the Covenant in respect of their language, culture and religion do not authorize any State, group or person to violate the right to the equal enjoyment by women of any Covenant rights, including the right to equal protection of the law.  States should report on any legislation or administrative practices related to membership in a minority community that might constitute an infringement of the equal rights of women under the Covenant (communication No. 24/1977, Lovelace v.  Canada, Views adopted July 1981) and on measures taken or envisaged to ensure the equal right of men and women to enjoy all civil and political rights in the Covenant.  Likewise, States should report on measures taken to discharge their responsibilities in relation to cultural or religious practices within minority communities that affect the rights of women.  In their reports, States parties should pay attention to the contribution made by women to the cultural life of their communities.</w:t>
      </w:r>
    </w:p>
    <w:p w:rsidR="00000000" w:rsidRDefault="00000000">
      <w:pPr>
        <w:pStyle w:val="Heading5"/>
        <w:spacing w:after="0"/>
        <w:jc w:val="center"/>
        <w:rPr>
          <w:i w:val="0"/>
          <w:iCs/>
        </w:rPr>
        <w:sectPr w:rsidR="00000000">
          <w:headerReference w:type="even" r:id="rId51"/>
          <w:headerReference w:type="default" r:id="rId52"/>
          <w:endnotePr>
            <w:numFmt w:val="decimal"/>
            <w:numRestart w:val="eachSect"/>
          </w:endnotePr>
          <w:type w:val="continuous"/>
          <w:pgSz w:w="11907" w:h="16840" w:code="9"/>
          <w:pgMar w:top="567" w:right="851" w:bottom="1701" w:left="1701" w:header="851" w:footer="1496" w:gutter="0"/>
          <w:paperSrc w:first="84" w:other="84"/>
          <w:cols w:space="720"/>
        </w:sectPr>
      </w:pPr>
      <w:r>
        <w:rPr>
          <w:i w:val="0"/>
          <w:iCs/>
        </w:rPr>
        <w:t>Note</w:t>
      </w:r>
    </w:p>
    <w:p w:rsidR="00000000" w:rsidRDefault="00000000">
      <w:pPr>
        <w:pStyle w:val="Heading5"/>
        <w:jc w:val="center"/>
        <w:rPr>
          <w:i w:val="0"/>
          <w:iCs/>
        </w:rPr>
      </w:pPr>
      <w:r>
        <w:rPr>
          <w:i w:val="0"/>
          <w:iCs/>
        </w:rPr>
        <w:t>Seventy-second session (2001)</w:t>
      </w:r>
    </w:p>
    <w:p w:rsidR="00000000" w:rsidRDefault="00000000">
      <w:pPr>
        <w:pStyle w:val="Heading2"/>
      </w:pPr>
      <w:bookmarkStart w:id="173" w:name="_Toc481083423"/>
      <w:bookmarkStart w:id="174" w:name="_Toc70389022"/>
      <w:bookmarkStart w:id="175" w:name="_Toc70516982"/>
      <w:r>
        <w:t>General comment No. 29: Article 4:  Derogations during a state of emergency</w:t>
      </w:r>
      <w:r>
        <w:rPr>
          <w:rStyle w:val="FootnoteReference"/>
          <w:vertAlign w:val="baseline"/>
        </w:rPr>
        <w:footnoteReference w:customMarkFollows="1" w:id="21"/>
        <w:t>*</w:t>
      </w:r>
      <w:bookmarkEnd w:id="173"/>
      <w:bookmarkEnd w:id="174"/>
      <w:bookmarkEnd w:id="175"/>
    </w:p>
    <w:p w:rsidR="00000000" w:rsidRDefault="00000000">
      <w:r>
        <w:t>1.</w:t>
      </w:r>
      <w:r>
        <w:tab/>
        <w:t>Article 4 of the Covenant is of paramount importance for the system of protection for human rights under the Covenant.  On the one hand, it allows for a State party unilaterally to derogate temporarily from a part of its obligations under the Covenant.  On the other hand, article 4 subjects both this very measure of derogation, as well as its material consequences, to a specific regime of safeguards.  The restoration of a state of normalcy where full respect for the Covenant can again be secured must be the predominant objective of a State party derogating from the Covenant.  In this general comment, replacing its general comment No. 5, adopted at the thirteenth session (1981), the Committee seeks to assist States parties to meet the requirements of article 4.</w:t>
      </w:r>
    </w:p>
    <w:p w:rsidR="00000000" w:rsidRDefault="00000000">
      <w:r>
        <w:t>2.</w:t>
      </w:r>
      <w:r>
        <w:tab/>
        <w:t>Measures derogating from the provisions of the Covenant must be of an exceptional and temporary nature.  Before a State moves to invoke article 4, two fundamental conditions must be met: the situation must amount to a public emergency which threatens the life of the nation, and the State party must have officially proclaimed a state of emergency.  The latter requirement is essential for the maintenance of the principles of legality and rule of law at times when they are most needed.  When proclaiming a state of emergency with consequences that could entail derogation from any provision of the Covenant, States must act within their constitutional and other provisions of law that govern such proclamation and the exercise of emergency powers; it is the task of the Committee to monitor the laws in question with respect to whether they enable and secure compliance with article 4.  In order that the Committee can perform its task, States parties to the Covenant should include in their reports submitted under article 40 sufficient and precise information about their law and practice in the field of emergency powers.</w:t>
      </w:r>
    </w:p>
    <w:p w:rsidR="00000000" w:rsidRDefault="00000000">
      <w:pPr>
        <w:rPr>
          <w:i/>
          <w:iCs/>
        </w:rPr>
      </w:pPr>
      <w:r>
        <w:t>3.</w:t>
      </w:r>
      <w:r>
        <w:tab/>
        <w:t>Not every disturbance or catastrophe qualifies as a public emergency which threatens the life of the nation, as required by article 4, paragraph 1.  During armed conflict, whether international or non-international, rules of international humanitarian law become applicable and help, in addition to the provisions in article 4 and article 5, paragraph 1, of the Covenant, to prevent the abuse of a State’s emergency powers.  The Covenant requires that even during an armed conflict measures derogating from the Covenant are allowed only if and to the extent that the situation constitutes a threat to the life of the nation.  If States parties consider invoking article 4 in other situations than an armed conflict, they should carefully consider the justification and why such a measure is necessary and legitimate in the circumstances.  On a number of occasions the Committee has expressed its concern over States parties that appear to have derogated from rights protected by the Covenant, or whose domestic law appears to allow such derogation in situations not covered by article 4</w:t>
      </w:r>
      <w:r>
        <w:rPr>
          <w:i/>
          <w:iCs/>
        </w:rPr>
        <w:t>.</w:t>
      </w:r>
      <w:r>
        <w:rPr>
          <w:rStyle w:val="EndnoteReference"/>
          <w:i/>
          <w:iCs/>
        </w:rPr>
        <w:endnoteReference w:id="182"/>
      </w:r>
    </w:p>
    <w:p w:rsidR="00000000" w:rsidRDefault="00000000">
      <w:r>
        <w:t>4.</w:t>
      </w:r>
      <w:r>
        <w:tab/>
        <w:t>A fundamental requirement for any measures derogating from the Covenant, as set forth in article 4, paragraph 1, is that such measures are limited to the extent strictly required by the exigencies of the situation.  This requirement relates to the duration, geographical coverage and material scope of the state of emergency and any measures of derogation resorted to because of the emergency.  Derogation from some Covenant obligations in emergency situations is clearly distinct from restrictions or limitations allowed even in normal times under several provisions of the Covenant.</w:t>
      </w:r>
      <w:r>
        <w:rPr>
          <w:rStyle w:val="EndnoteReference"/>
        </w:rPr>
        <w:endnoteReference w:id="183"/>
      </w:r>
      <w:r>
        <w:t xml:space="preserve">  Nevertheless, the obligation to limit any derogations to those strictly required by the exigencies of the situation reflects the principle of proportionality which is common to derogation and limitation powers.  Moreover, the mere fact that a permissible derogation from a specific provision may, of itself, be justified by the exigencies of the situation does not obviate the requirement that specific measures taken pursuant to the derogation must also be shown to be required by the exigencies of the situation.  In practice, this will ensure that no provision of the Covenant, however validly derogated from will be entirely inapplicable to the behaviour of a State party.  When considering States parties’ reports the Committee has expressed its concern over insufficient attention being paid to the principle of proportionality.</w:t>
      </w:r>
      <w:r>
        <w:rPr>
          <w:rStyle w:val="EndnoteReference"/>
        </w:rPr>
        <w:endnoteReference w:id="184"/>
      </w:r>
    </w:p>
    <w:p w:rsidR="00000000" w:rsidRDefault="00000000">
      <w:r>
        <w:t>5.</w:t>
      </w:r>
      <w:r>
        <w:tab/>
        <w:t>The issues of when rights can be derogated from, and to what extent, cannot be separated from the provision in article 4, paragraph 1, of the Covenant according to which any measures derogating from a State party’s obligations under the Covenant must be limited “to the extent strictly required by the exigencies of the situation”.  This condition requires that States parties provide careful justification not only for their decision to proclaim a state of emergency but also for any specific measures based on such a proclamation.  If States purport to invoke the right to derogate from the Covenant during, for instance, a natural catastrophe, a mass demonstration including instances of violence, or a major industrial accident, they must be able to justify not only that such a situation constitutes a threat to the life of the nation, but also that all their measures derogating from the Covenant are strictly required by the exigencies of the situation.  In the opinion of the Committee, the possibility of restricting certain Covenant rights under the terms of, for instance, freedom of movement (art. 12) or freedom of assembly (art. 21) is generally sufficient during such situations and no derogation from the provisions in question would be justified by the exigencies of the situation.</w:t>
      </w:r>
    </w:p>
    <w:p w:rsidR="00000000" w:rsidRDefault="00000000">
      <w:r>
        <w:t>6.</w:t>
      </w:r>
      <w:r>
        <w:tab/>
        <w:t>The fact that some of the provisions of the Covenant have been listed in article 4 (para. 2), as not being subject to derogation does not mean that other articles in the Covenant may be subjected to derogations at will, even where a threat to the life of the nation exists.  The legal obligation to narrow down all derogations to those strictly required by the exigencies of the situation establishes both for States parties and for the Committee a duty to conduct a careful analysis under each article of the Covenant based on an objective assessment of the actual situation.</w:t>
      </w:r>
    </w:p>
    <w:p w:rsidR="00000000" w:rsidRDefault="00000000">
      <w:r>
        <w:t>7.</w:t>
      </w:r>
      <w:r>
        <w:tab/>
        <w:t>Article 4, paragraph 2, of the Covenant explicitly prescribes that no derogation from the following articles may be made: article 6 (right to life), article 7 (prohibition of torture or cruel, inhuman or degrading punishment, or of medical or scientific experimentation without consent), article 8, paragraphs 1 and 2 (prohibition of slavery, slave-trade and servitude), article 11 (prohibition of imprisonment because of inability to fulfil a contractual obligation), article 15 (the principle of legality in the field of criminal law, i.e. the requirement of both criminal liability and punishment being limited to clear and precise provisions in the law that was in place and applicable at the time the act or omission took place, except in cases where a later law imposes a lighter penalty), article 16 (the recognition of everyone as a person before the law), and article 18 (freedom of thought, conscience and religion).  The rights enshrined in these provisions are non</w:t>
      </w:r>
      <w:r>
        <w:noBreakHyphen/>
        <w:t>derogable by the very fact that they are listed in article 4, paragraph 2.  The same applies, in relation to States that are parties to the Second Optional Protocol to the Covenant, aiming at the abolition of the death penalty, as prescribed in article 6 of that Protocol.  Conceptually, the qualification of a Covenant provision as a non-derogable one does not mean that no limitations or restrictions would ever be justified.  The reference in article 4, paragraph 2, to article 18, a provision that includes a specific clause on restrictions in its paragraph 3, demonstrates that the permissibility of restrictions is independent of the issue of derogability.  Even in times of most serious public emergencies, States that interfere with the freedom to manifest one’s religion or belief must justify their actions by referring to the requirements specified in article 18, paragraph 3.  On several occasions the Committee has expressed its concern about rights that are non-derogable according to article 4, paragraph 2, being either derogated from or under a risk of derogation owing to inadequacies in the legal regime of the State party.</w:t>
      </w:r>
      <w:r>
        <w:rPr>
          <w:rStyle w:val="EndnoteReference"/>
          <w:b w:val="0"/>
          <w:bCs/>
        </w:rPr>
        <w:endnoteReference w:id="185"/>
      </w:r>
    </w:p>
    <w:p w:rsidR="00000000" w:rsidRDefault="00000000">
      <w:r>
        <w:t>8.</w:t>
      </w:r>
      <w:r>
        <w:tab/>
        <w:t xml:space="preserve">According to article 4, paragraph 1, one of the conditions for the justifiability of any derogation from the Covenant is that the measures taken do not involve discrimination solely on the ground of race, colour, sex, language, religion or social origin.  Even though article 26 or the other Covenant provisions related to non-discrimination (arts. </w:t>
      </w:r>
      <w:r>
        <w:rPr>
          <w:lang w:val="fr-FR"/>
        </w:rPr>
        <w:t xml:space="preserve">2, 3, 14, para. 1, 23, para. 4, 24, para. </w:t>
      </w:r>
      <w:r>
        <w:t>1, and 25) have not been listed among the non-derogable provisions in article 4, paragraph 2, there are elements or dimensions of the right to non-discrimination that cannot be derogated from in any circumstances.  In particular, this provision of article 4, paragraph 1, must be complied with if any distinctions between persons are made when resorting to measures that derogate from the Covenant.</w:t>
      </w:r>
    </w:p>
    <w:p w:rsidR="00000000" w:rsidRDefault="00000000">
      <w:r>
        <w:t>9.</w:t>
      </w:r>
      <w:r>
        <w:tab/>
        <w:t>Furthermore, article 4, paragraph 1, requires that no measure derogating from the provisions of the Covenant may be inconsistent with the State party’s other obligations under international law, particularly the rules of international humanitarian law.  Article 4 of the Covenant cannot be read as justification for derogation from the Covenant if such derogation would entail a breach of the State’s other international obligations, whether based on treaty or general international law.  This is reflected also in article 5, paragraph 2, of the Covenant according to which there shall be no restriction upon or derogation from any fundamental rights recognized in other instruments on the pretext that the Covenant does not recognize such rights or that it recognizes them to a lesser extent.</w:t>
      </w:r>
    </w:p>
    <w:p w:rsidR="00000000" w:rsidRDefault="00000000">
      <w:r>
        <w:t>10.</w:t>
      </w:r>
      <w:r>
        <w:tab/>
        <w:t>Although it is not the function of the Human Rights Committee to review the conduct of a State party under other treaties, in exercising its functions under the Covenant the Committee has the competence to take a State party’s other international obligations into account when it considers whether the Covenant allows the State party to derogate from specific provisions of the Covenant.  Therefore, when invoking article 4, paragraph 1, or when reporting under article 40 on the legal framework related to emergencies, States parties should present information on their other international obligations relevant for the protection of the rights in question, in particular those obligations that are applicable in times of emergency.</w:t>
      </w:r>
      <w:r>
        <w:rPr>
          <w:rStyle w:val="EndnoteReference"/>
        </w:rPr>
        <w:endnoteReference w:id="186"/>
      </w:r>
      <w:r>
        <w:t xml:space="preserve">  In this respect, States parties should duly take into account the developments within international law as to human rights standards applicable in emergency situations.</w:t>
      </w:r>
      <w:r>
        <w:rPr>
          <w:rStyle w:val="EndnoteReference"/>
        </w:rPr>
        <w:endnoteReference w:id="187"/>
      </w:r>
    </w:p>
    <w:p w:rsidR="00000000" w:rsidRDefault="00000000">
      <w:r>
        <w:t>11.</w:t>
      </w:r>
      <w:r>
        <w:tab/>
        <w:t>The enumeration of non-derogable provisions in article 4 is related to, but not identical with, the question whether certain human rights obligations bear the nature of peremptory norms of international law.  The proclamation of certain provisions of the Covenant as being of a non</w:t>
      </w:r>
      <w:r>
        <w:noBreakHyphen/>
        <w:t>derogable nature, in article 4, paragraph 2, is to be seen partly as recognition of the peremptory nature of some fundamental rights ensured in treaty form in the Covenant (e.g., arts. 6 and 7).  However, it is apparent that some other provisions of the Covenant were included in the list of non-derogable provisions because it can never become necessary to derogate from these rights during a state of emergency (e.g., arts. 11 and 18).  Furthermore, the category of peremptory norms extends beyond the list of non-derogable provisions as given in article 4, paragraph 2.  States parties may in no circumstances invoke article 4 of the Covenant as justification for acting in violation of humanitarian law or peremptory norms of international law, for instance by taking hostages, by imposing collective punishments, through arbitrary deprivations of liberty or by deviating from fundamental principles of fair trial, including the presumption of innocence.</w:t>
      </w:r>
    </w:p>
    <w:p w:rsidR="00000000" w:rsidRDefault="00000000">
      <w:r>
        <w:t>12.</w:t>
      </w:r>
      <w:r>
        <w:tab/>
        <w:t>In assessing the scope of legitimate derogation from the Covenant, one criterion can be found in the definition of certain human rights violations as crimes against humanity.  If action conducted under the authority of a State constitutes a basis for individual criminal responsibility for a crime against humanity by the persons involved in that action, article 4 of the Covenant cannot be used as justification that a state of emergency exempted the State in question from its responsibility in relation to the same conduct.  Therefore, the recent codification of crimes against humanity, for jurisdictional purposes, in the Rome Statute of the International Criminal Court is of relevance in the interpretation of article 4 of the Covenant.</w:t>
      </w:r>
      <w:r>
        <w:rPr>
          <w:rStyle w:val="EndnoteReference"/>
        </w:rPr>
        <w:endnoteReference w:id="188"/>
      </w:r>
    </w:p>
    <w:p w:rsidR="00000000" w:rsidRDefault="00000000">
      <w:r>
        <w:t>13.</w:t>
      </w:r>
      <w:r>
        <w:tab/>
        <w:t>In those provisions of the Covenant that are not listed in article 4, paragraph 2, there are elements that in the Committee’s opinion cannot be made subject to lawful derogation under article 4.  Some illustrative examples are presented below.</w:t>
      </w:r>
    </w:p>
    <w:p w:rsidR="00000000" w:rsidRDefault="00000000">
      <w:r>
        <w:tab/>
        <w:t>(a)</w:t>
      </w:r>
      <w:r>
        <w:tab/>
        <w:t>All persons deprived of their liberty shall be treated with humanity and with respect for the inherent dignity of the human person.  Although this right, prescribed in article 10 of the Covenant, is not separately mentioned in the list of non-derogable rights in article 4, paragraph 2, the Committee believes that here the Covenant expresses a norm of general international law not subject to derogation.  This is supported by the reference to the inherent dignity of the human person in the preamble to the Covenant and by the close connection between articles 7 and 10.</w:t>
      </w:r>
    </w:p>
    <w:p w:rsidR="00000000" w:rsidRDefault="00000000">
      <w:r>
        <w:tab/>
        <w:t>(b)</w:t>
      </w:r>
      <w:r>
        <w:tab/>
        <w:t>The prohibitions against taking of hostages, abductions or unacknowledged detention are not subject to derogation.  The absolute nature of these prohibitions, even in times of emergency, is justified by their status as norms of general international law.</w:t>
      </w:r>
    </w:p>
    <w:p w:rsidR="00000000" w:rsidRDefault="00000000">
      <w:r>
        <w:tab/>
        <w:t>(c)</w:t>
      </w:r>
      <w:r>
        <w:tab/>
        <w:t>The Committee is of the opinion that the international protection of the rights of persons belonging to minorities includes elements that must be respected in all circumstances.  This is reflected in the prohibition against genocide in international law, in the inclusion of a non-discrimination clause in article 4 itself (para. 1), as well as in the non-derogable nature of article 18.</w:t>
      </w:r>
    </w:p>
    <w:p w:rsidR="00000000" w:rsidRDefault="00000000">
      <w:r>
        <w:tab/>
        <w:t>(d)</w:t>
      </w:r>
      <w:r>
        <w:tab/>
        <w:t>As confirmed by the Rome Statute of the International Criminal Court, deportation or forcible transfer of population without grounds permitted under international law, in the form of forced displacement by expulsion or other coercive means from the area in which the persons concerned are lawfully present, constitutes a crime against humanity.</w:t>
      </w:r>
      <w:r>
        <w:rPr>
          <w:rStyle w:val="EndnoteReference"/>
        </w:rPr>
        <w:endnoteReference w:id="189"/>
      </w:r>
      <w:r>
        <w:t xml:space="preserve">  The legitimate right to derogate from article 12 of the Covenant during a state of emergency can never be accepted as justifying such measures.</w:t>
      </w:r>
    </w:p>
    <w:p w:rsidR="00000000" w:rsidRDefault="00000000">
      <w:r>
        <w:tab/>
        <w:t>(e)</w:t>
      </w:r>
      <w:r>
        <w:tab/>
        <w:t>No declaration of a state of emergency made pursuant to article 4, paragraph 1, may be invoked as justification for a State party to engage itself, contrary to article 20, in propaganda for war, or in advocacy of national, racial or religious hatred that would constitute incitement to discrimination, hostility or violence.</w:t>
      </w:r>
    </w:p>
    <w:p w:rsidR="00000000" w:rsidRDefault="00000000">
      <w:r>
        <w:t>14.</w:t>
      </w:r>
      <w:r>
        <w:tab/>
        <w:t>Article 2, paragraph 3, of the Covenant requires a State party to the Covenant to provide remedies for any violation of the provisions of the Covenant.  This clause is not mentioned in the list of non-derogable provisions in article 4, paragraph 2, but it constitutes a treaty obligation inherent in the Covenant as a whole.  Even if a State party, during a state of emergency, and to the extent that such measures are strictly required by the exigencies of the situation, may introduce adjustments to the practical functioning of its procedures governing judicial or other remedies, the State party must comply with the fundamental obligation, under article 2, paragraph 3, of the Covenant to provide a remedy that is effective.</w:t>
      </w:r>
    </w:p>
    <w:p w:rsidR="00000000" w:rsidRDefault="00000000">
      <w:r>
        <w:t>15.</w:t>
      </w:r>
      <w:r>
        <w:tab/>
        <w:t>It is inherent in the protection of rights explicitly recognized as non-derogable in article 4, paragraph 2, that they must be secured by procedural guarantees, including, often, judicial guarantees.  The provisions of the Covenant relating to procedural safeguards may never be made subject to measures that would circumvent the protection of non-derogable rights.  Article 4 may not be resorted to in a way that would result in derogation from non-derogable rights.  Thus, for example, as article 6 of the Covenant is non-derogable in its entirety, any trial leading to the imposition of the death penalty during a state of emergency must conform to the provisions of the Covenant, including all the requirements of articles 14 and 15.</w:t>
      </w:r>
    </w:p>
    <w:p w:rsidR="00000000" w:rsidRDefault="00000000">
      <w:r>
        <w:t>16.</w:t>
      </w:r>
      <w:r>
        <w:tab/>
        <w:t>Safeguards related to derogation, as embodied in article 4 of the Covenant, are based on the principles of legality and the rule of law inherent in the Covenant as a whole.  As certain elements of the right to a fair trial are explicitly guaranteed under international humanitarian law during armed conflict, the Committee finds no justification for derogation from these guarantees during other emergency situations.  The Committee is of the opinion that the principles of legality and the rule of law require that fundamental requirements of fair trial must be respected during a state of emergency.  Only a court of law may try and convict a person for a criminal offence.  The presumption of innocence must be respected.  In order to protect non-derogable rights, the right to take proceedings before a court to enable the court to decide without delay on the lawfulness of detention, must not be diminished by a State party’s decision to derogate from the Covenant.</w:t>
      </w:r>
      <w:r>
        <w:rPr>
          <w:rStyle w:val="EndnoteReference"/>
          <w:b w:val="0"/>
          <w:bCs/>
        </w:rPr>
        <w:endnoteReference w:id="190"/>
      </w:r>
    </w:p>
    <w:p w:rsidR="00000000" w:rsidRDefault="00000000">
      <w:pPr>
        <w:spacing w:after="480"/>
      </w:pPr>
      <w:r>
        <w:t>17.</w:t>
      </w:r>
      <w:r>
        <w:tab/>
        <w:t>In paragraph 3 of article 4, States parties, when they resort to their power of derogation under article 4, commit themselves to a regime of international notification.  A State party availing itself of the right of derogation must immediately inform the other States parties, through the United Nations Secretary</w:t>
      </w:r>
      <w:r>
        <w:noBreakHyphen/>
        <w:t>General, of the provisions it has derogated from and of the reasons for such measures.  Such notification is essential not only for the discharge of the Committee’s functions, in particular in assessing whether the measures taken by the State party were strictly required by the exigencies of the situation, but also to permit other States parties to monitor compliance with the provisions of the Covenant.  In view of the summary character of many of the notifications received in the past, the Committee emphasizes that the notification by States parties should include full information about the measures taken and a clear explanation of the reasons for them, with full documentation attached regarding their law.  Additional notifications are required if the State party subsequently takes further measures under article 4, for instance by extending the duration of a state of emergency.  The requirement of immediate notification applies equally in relation to the termination of derogation.  These obligations have not always been respected: States parties have failed to notify other States parties, through the Secretary-General, of a proclamation of a state of emergency and of the resulting measures of derogation from one or more provisions of the Covenant, and States parties have sometimes neglected to submit a notification of territorial or other changes in the exercise of their emergency powers.</w:t>
      </w:r>
      <w:r>
        <w:rPr>
          <w:rStyle w:val="EndnoteReference"/>
        </w:rPr>
        <w:endnoteReference w:id="191"/>
      </w:r>
      <w:r>
        <w:t xml:space="preserve"> Sometimes, the existence of a state of emergency and the question of whether a State party has derogated from provisions of the Covenant have come to the attention of the Committee only incidentally, in the course of the consideration of a State party’s report.  The Committee emphasizes the obligation of immediate international notification whenever a State party takes measures derogating from its obligations under the Covenant.  The duty of the Committee to monitor the law and practice of a State party for compliance with article 4 does not depend on whether that State party has submitted a notification.</w:t>
      </w:r>
    </w:p>
    <w:p w:rsidR="00000000" w:rsidRDefault="00000000">
      <w:pPr>
        <w:spacing w:after="0"/>
        <w:jc w:val="center"/>
        <w:rPr>
          <w:b/>
        </w:rPr>
        <w:sectPr w:rsidR="00000000">
          <w:headerReference w:type="even" r:id="rId53"/>
          <w:headerReference w:type="default" r:id="rId54"/>
          <w:endnotePr>
            <w:numFmt w:val="decimal"/>
            <w:numRestart w:val="eachSect"/>
          </w:endnotePr>
          <w:type w:val="continuous"/>
          <w:pgSz w:w="11907" w:h="16840" w:code="9"/>
          <w:pgMar w:top="567" w:right="851" w:bottom="1701" w:left="1701" w:header="851" w:footer="1496" w:gutter="0"/>
          <w:paperSrc w:first="84" w:other="84"/>
          <w:cols w:space="720"/>
        </w:sectPr>
      </w:pPr>
      <w:r>
        <w:rPr>
          <w:b/>
        </w:rPr>
        <w:t>Notes</w:t>
      </w:r>
    </w:p>
    <w:p w:rsidR="00000000" w:rsidRDefault="00000000">
      <w:pPr>
        <w:pStyle w:val="Heading2"/>
      </w:pPr>
      <w:r>
        <w:t>Seventy-fifth session (2002)</w:t>
      </w:r>
    </w:p>
    <w:p w:rsidR="00000000" w:rsidRDefault="00000000">
      <w:pPr>
        <w:pStyle w:val="Heading2"/>
      </w:pPr>
      <w:bookmarkStart w:id="176" w:name="_Toc481083425"/>
      <w:bookmarkStart w:id="177" w:name="_Toc70389024"/>
      <w:bookmarkStart w:id="178" w:name="_Toc70516983"/>
      <w:r>
        <w:t xml:space="preserve">General comment No. 30:  Reporting obligations of States parties </w:t>
      </w:r>
      <w:r>
        <w:br/>
        <w:t>under article 40 of the Covenant</w:t>
      </w:r>
      <w:r>
        <w:rPr>
          <w:rStyle w:val="FootnoteReference"/>
          <w:vertAlign w:val="baseline"/>
        </w:rPr>
        <w:footnoteReference w:customMarkFollows="1" w:id="22"/>
        <w:t>*</w:t>
      </w:r>
      <w:bookmarkEnd w:id="176"/>
      <w:bookmarkEnd w:id="177"/>
      <w:bookmarkEnd w:id="178"/>
    </w:p>
    <w:p w:rsidR="00000000" w:rsidRDefault="00000000">
      <w:pPr>
        <w:rPr>
          <w:sz w:val="20"/>
        </w:rPr>
      </w:pPr>
      <w:r>
        <w:t>1.</w:t>
      </w:r>
      <w:r>
        <w:tab/>
        <w:t>States parties have undertaken to submit reports in accordance with article 40 of the Covenant within one year of its entry into force for the States parties concerned and, thereafter, whenever the Committee so requests.</w:t>
      </w:r>
    </w:p>
    <w:p w:rsidR="00000000" w:rsidRDefault="00000000">
      <w:pPr>
        <w:rPr>
          <w:sz w:val="20"/>
        </w:rPr>
      </w:pPr>
      <w:r>
        <w:t>2.</w:t>
      </w:r>
      <w:r>
        <w:tab/>
        <w:t>The Committee notes, as appears from its annual reports, that only a small number of States have submitted their reports on time.  Most of them have been submitted with delays ranging from a few months to several years and some States parties are still in default, despite repeated reminders by the Committee.</w:t>
      </w:r>
    </w:p>
    <w:p w:rsidR="00000000" w:rsidRDefault="00000000">
      <w:pPr>
        <w:rPr>
          <w:sz w:val="20"/>
        </w:rPr>
      </w:pPr>
      <w:r>
        <w:t>3.</w:t>
      </w:r>
      <w:r>
        <w:tab/>
        <w:t>Other States have announced that they would appear before the Committee but have not done so on the scheduled date.</w:t>
      </w:r>
    </w:p>
    <w:p w:rsidR="00000000" w:rsidRDefault="00000000">
      <w:pPr>
        <w:rPr>
          <w:sz w:val="20"/>
        </w:rPr>
      </w:pPr>
      <w:r>
        <w:t>4.</w:t>
      </w:r>
      <w:r>
        <w:tab/>
        <w:t>To remedy such situations, the Committee has adopted new rules:</w:t>
      </w:r>
    </w:p>
    <w:p w:rsidR="00000000" w:rsidRDefault="00000000">
      <w:pPr>
        <w:rPr>
          <w:sz w:val="20"/>
        </w:rPr>
      </w:pPr>
      <w:r>
        <w:tab/>
        <w:t>(a)</w:t>
      </w:r>
      <w:r>
        <w:tab/>
        <w:t>If a State party has submitted a report but does not send a delegation to the Committee, the Committee may notify the State party of the date on which it intends to consider the report or may proceed to consider the report at the meeting that had been initially scheduled;</w:t>
      </w:r>
    </w:p>
    <w:p w:rsidR="00000000" w:rsidRDefault="00000000">
      <w:pPr>
        <w:rPr>
          <w:sz w:val="20"/>
        </w:rPr>
      </w:pPr>
      <w:r>
        <w:tab/>
        <w:t>(b)</w:t>
      </w:r>
      <w:r>
        <w:tab/>
        <w:t>When the State party has not presented a report, the Committee may, at its discretion, notify the State party of the date on which the Committee proposes to examine the measures taken by the State party to implement the rights guaranteed under the Covenant:</w:t>
      </w:r>
    </w:p>
    <w:p w:rsidR="00000000" w:rsidRDefault="00000000">
      <w:pPr>
        <w:pStyle w:val="Rom2"/>
        <w:numPr>
          <w:ilvl w:val="0"/>
          <w:numId w:val="49"/>
        </w:numPr>
      </w:pPr>
      <w:r>
        <w:t>If the State party is represented by a delegation, the Committee will, in presence of the delegation, proceed with the examination on the date assigned;</w:t>
      </w:r>
    </w:p>
    <w:p w:rsidR="00000000" w:rsidRDefault="00000000">
      <w:pPr>
        <w:pStyle w:val="Rom2"/>
        <w:numPr>
          <w:ilvl w:val="0"/>
          <w:numId w:val="49"/>
        </w:numPr>
      </w:pPr>
      <w:r>
        <w:t>If the State party is not represented, the Committee may, at its discretion, either decide to proceed to consider the measures taken by the State party to implement the guarantees of the Covenant at the initial date or notify a new date to the State party.</w:t>
      </w:r>
    </w:p>
    <w:p w:rsidR="00000000" w:rsidRDefault="00000000">
      <w:r>
        <w:t xml:space="preserve">For the purposes of the application of these procedures, the Committee shall hold its meetings in public session if a delegation is present, and in private if a delegation is not present, and shall follow the modalities set forth in the reporting guidelines and in the rules of procedure of the Committee. </w:t>
      </w:r>
    </w:p>
    <w:p w:rsidR="00000000" w:rsidRDefault="00000000">
      <w:r>
        <w:t>5.</w:t>
      </w:r>
      <w:r>
        <w:tab/>
        <w:t>After the Committee has adopted concluding observations, a follow-up procedure shall be employed in order to establish, maintain or restore a dialogue with the State party.  For this purpose and in order to enable the Committee to take further action, the Committee shall appoint a Special Rapporteur, who will report to the Committee.</w:t>
      </w:r>
    </w:p>
    <w:p w:rsidR="00000000" w:rsidRDefault="00000000">
      <w:r>
        <w:t>6.</w:t>
      </w:r>
      <w:r>
        <w:tab/>
        <w:t>In the light of the report of the Special Rapporteur, the Committee shall assess the position adopted by the State party and, if necessary, set a new date for the State party to submit its next report.</w:t>
      </w:r>
    </w:p>
    <w:p w:rsidR="00000000" w:rsidRDefault="00000000">
      <w:pPr>
        <w:pStyle w:val="Heading2"/>
      </w:pPr>
      <w:bookmarkStart w:id="179" w:name="_Toc481083427"/>
      <w:r>
        <w:t>Eightieth session (2004)</w:t>
      </w:r>
    </w:p>
    <w:p w:rsidR="00000000" w:rsidRDefault="00000000">
      <w:pPr>
        <w:jc w:val="center"/>
      </w:pPr>
      <w:bookmarkStart w:id="180" w:name="_Toc70389026"/>
      <w:bookmarkStart w:id="181" w:name="_Toc70516984"/>
      <w:r>
        <w:rPr>
          <w:rStyle w:val="Heading2Char"/>
        </w:rPr>
        <w:t xml:space="preserve">General comment No. 31:  The Nature of the General Legal Obligation </w:t>
      </w:r>
      <w:r>
        <w:rPr>
          <w:rStyle w:val="Heading2Char"/>
        </w:rPr>
        <w:br/>
        <w:t>Imposed on States Parties to the Covenant</w:t>
      </w:r>
      <w:bookmarkEnd w:id="181"/>
      <w:r>
        <w:t xml:space="preserve"> </w:t>
      </w:r>
      <w:r>
        <w:footnoteReference w:customMarkFollows="1" w:id="23"/>
        <w:t>*</w:t>
      </w:r>
      <w:bookmarkEnd w:id="179"/>
      <w:bookmarkEnd w:id="180"/>
    </w:p>
    <w:p w:rsidR="00000000" w:rsidRDefault="00000000">
      <w:r>
        <w:t>1.</w:t>
      </w:r>
      <w:r>
        <w:tab/>
        <w:t>This general comment replaces general comment No. 3, reflecting and developing its principles.  The general non-discrimination provisions of article 2, paragraph 1, have been addressed in general comment No. 18 and general comment No. 28</w:t>
      </w:r>
      <w:r>
        <w:rPr>
          <w:rFonts w:ascii="Times New (W1)" w:hAnsi="Times New (W1)"/>
        </w:rPr>
        <w:t>, and this general comment should be read together with them.</w:t>
      </w:r>
    </w:p>
    <w:p w:rsidR="00000000" w:rsidRDefault="00000000">
      <w:pPr>
        <w:rPr>
          <w:rFonts w:ascii="Times New (W1)" w:hAnsi="Times New (W1)"/>
          <w:strike/>
        </w:rPr>
      </w:pPr>
      <w:r>
        <w:t>2.</w:t>
      </w:r>
      <w:r>
        <w:tab/>
        <w:t xml:space="preserve">While article 2 is couched in terms of the obligations of State parties towards individuals as the right-holders under the Covenant, every State party has a legal interest in the performance by every other State party of its obligations.  This follows from the fact that the “rules concerning the basic rights of the human person” are </w:t>
      </w:r>
      <w:r>
        <w:rPr>
          <w:i/>
        </w:rPr>
        <w:t>erga omnes</w:t>
      </w:r>
      <w:r>
        <w:t xml:space="preserve"> obligations and that, as indicated in the fourth preambular paragraph of the Covenant, there is a United Nations Charter obligation to promote universal respect for, and observance of, human rights and fundamental freedoms.  Furthermore, the contractual dimension of the treaty involves any State party to a treaty being obligated to every other State party to comply with its undertakings under the treaty.  In this connection, the Committee reminds States parties of the desirability of making the declaration contemplated in article 41.  It further reminds those States parties already having made the declaration of the potential value of availing themselves of the procedure under that article.  However, the mere fact that a formal interstate mechanism for complaints to the Human Rights Committee exists in respect of States parties that have made the declaration under article 41 does not mean that this procedure is the only method by which States parties can assert their interest in the performance of other States parties.  On the contrary, the article 41 procedure should be seen as supplementary to, not diminishing of, States parties’ interest in each others’ discharge of their obligations.  Accordingly, the Committee commends to States parties the view that violations of Covenant rights by any State party deserve their attention.  To draw attention to possible breaches of Covenant obligations by other States parties and to call on them to comply with their Covenant obligations should, far from being regarded as an unfriendly act, </w:t>
      </w:r>
      <w:r>
        <w:rPr>
          <w:rFonts w:ascii="Times New (W1)" w:hAnsi="Times New (W1)"/>
        </w:rPr>
        <w:t>be considered</w:t>
      </w:r>
      <w:r>
        <w:t xml:space="preserve"> as a reflection of legitimate community interest. </w:t>
      </w:r>
    </w:p>
    <w:p w:rsidR="00000000" w:rsidRDefault="00000000">
      <w:r>
        <w:t>3.</w:t>
      </w:r>
      <w:r>
        <w:tab/>
        <w:t>Article 2 defines the scope of the legal obligations undertaken by States parties to the Covenant.  A general obligation is imposed on States parties to respect the Covenant rights and to ensure them to all individuals in their territory and subject to their jurisdiction (see paragraph 9 and 10 below).  Pursuant to the principle articulated in article 26 of the Vienna Convention on the Law of Treaties, States parties are required to give effect to the obligations under the Covenant in good faith.</w:t>
      </w:r>
    </w:p>
    <w:p w:rsidR="00000000" w:rsidRDefault="00000000">
      <w:r>
        <w:t>4.</w:t>
      </w:r>
      <w:r>
        <w:tab/>
        <w:t xml:space="preserve">The obligations of the Covenant in general and article 2 in particular are binding on every State party as a whole.  All branches of government (executive, legislative and judicial), and other public or governmental authorities, at whatever level - national, regional or local) are in a position to engage the responsibility of the State party.  The executive branch that usually represents the State party internationally, including before the Committee, may not point to the fact that an action incompatible with the provisions of the Covenant was carried out by another branch of government as a means of seeking to relieve the State party from responsibility for the action and consequent incompatibility.  This understanding flows directly from the principle contained in article 27 of the Vienna Convention on the Law of Treaties, according to which a State party “may not invoke the provisions of its internal law as justification for its failure to perform a treaty”.  Although article 2, paragraph 2, allows States parties to give effect to Covenant rights in accordance with domestic constitutional processes, the same principle operates so as to prevent States parties from invoking provisions of the constitutional law or other aspects of domestic law to justify a failure to perform or give effect to obligations under the treaty.  In this respect, the Committee reminds States parties with a federal structure of the terms of article 50, according to which the Covenant’s provisions “shall extend to all parts of federal states without any limitations or exceptions”. </w:t>
      </w:r>
    </w:p>
    <w:p w:rsidR="00000000" w:rsidRDefault="00000000">
      <w:r>
        <w:t>5.</w:t>
      </w:r>
      <w:r>
        <w:tab/>
        <w:t xml:space="preserve">The article 2, paragraph 1, obligation to respect and ensure the rights recognized by the Covenant has immediate effect for all States parties.  Article 2, paragraph 2, provides the overarching framework within which the rights specified in the Covenant are to be promoted and protected.  The Committee has as a consequence previously indicated in its general comment No. 24 that reservations to article 2, would be incompatible with the Covenant when considered in the light of its objects and purposes. </w:t>
      </w:r>
    </w:p>
    <w:p w:rsidR="00000000" w:rsidRDefault="00000000">
      <w:r>
        <w:t>6.</w:t>
      </w:r>
      <w:r>
        <w:tab/>
        <w:t>The legal obligation under article 2, paragraph 1, is both negative and positive in nature.  States parties must refrain from violation of the rights recognized by the Covenant, and any restrictions on any of those rights must be permissible under the relevant provisions of the Covenant.  Where such restrictions are made, States must demonstrate their necessity and only take such measures as are proportionate to the pursuance of legitimate aims in order to ensure continuous and effective protection of Covenant rights.  In no case may the restrictions be applied or invoked in a manner that would impair the essence of a Covenant right.</w:t>
      </w:r>
    </w:p>
    <w:p w:rsidR="00000000" w:rsidRDefault="00000000">
      <w:r>
        <w:t>7.</w:t>
      </w:r>
      <w:r>
        <w:tab/>
        <w:t xml:space="preserve">Article 2 requires that States parties adopt legislative, judicial, administrative, educative and other appropriate measures in order to fulfil their legal obligations.  The Committee believes that it is important to raise levels of awareness about the Covenant not only among public officials and State agents but also among the population at large.  </w:t>
      </w:r>
    </w:p>
    <w:p w:rsidR="00000000" w:rsidRDefault="00000000">
      <w:r>
        <w:t>8.</w:t>
      </w:r>
      <w:r>
        <w:tab/>
        <w:t>The article 2, paragraph 1, obligations are binding on States parties and do not, as such, have direct horizontal effect as a matter of international law.  The Covenant cannot be viewed as a substitute for domestic criminal or civil law.  However the positive obligations on States parties to ensure Covenant rights will only be fully discharged if individuals are protected by the State, not just against violations of Covenant rights by its agents, but also against acts committed by private persons or entities that would impair the enjoyment of Covenant rights insofar as they are amenable to application between private persons or entities.  There may be circumstances in which a failure to ensure Covenant rights as required by article 2 would give rise to violations by States parties of those rights, as a result of States parties’ permitting or failing to take appropriate measures or to exercise due diligence to prevent, punish, investigate or redress the harm caused by such acts by private persons or entities.  States are reminded of the interrelationship between the positive obligations imposed under article 2 and the need to provide effective remedies in the event of breach under article 2, paragraph 3.  The Covenant itself envisages in some articles certain areas where there are positive obligations on States parties to address the activities of private persons or entities.  For example, the privacy-related guarantees of article 17 must be protected by law.  It is also implicit in article 7 that States parties have to take positive measures to ensure that private persons or entities do not inflict torture or cruel, inhuman or degrading treatment or punishment on others within their power.  In fields affecting basic aspects of ordinary life such as work or housing, individuals are to be protected from discrimination within the meaning of article 26.</w:t>
      </w:r>
    </w:p>
    <w:p w:rsidR="00000000" w:rsidRDefault="00000000">
      <w:r>
        <w:t>9.</w:t>
      </w:r>
      <w:r>
        <w:tab/>
        <w:t xml:space="preserve">The beneficiaries of the rights recognized by the Covenant are individuals.  Although, with the exception of article 1, the Covenant does not mention the rights of legal persons or similar entities or collectivities, many of the rights recognized by the Covenant, such as the freedom to manifest one’s religion or belief (art. 18), the freedom of association (art. 22) or the rights of members of minorities (art. 27), may be enjoyed in community with others.  The fact that the competence of the Committee to receive and consider communications is restricted to those submitted by or on behalf of individuals (article 1 of the (first) Optional Protocol) does not prevent such individuals from claiming that actions or omissions that concern legal persons and similar entities amount to a violation of their own rights. </w:t>
      </w:r>
    </w:p>
    <w:p w:rsidR="00000000" w:rsidRDefault="00000000">
      <w:r>
        <w:t>10.</w:t>
      </w:r>
      <w:r>
        <w:tab/>
        <w:t>States parties are required by article 2, paragraph 1, to respect and to ensure the Covenant rights to all persons who may be within their territory and to all persons subject to their jurisdiction.  This means that a State party must respect and ensure the rights laid down in the Covenant to anyone within the power or effective control of that State party, even if not situated within the territory of the State party.  As indicated in general comment No. 15 adopted at the twenty-seventh session (1986), the enjoyment of Covenant rights is not limited to citizens of States parties but must also be available to all individuals, regardless of nationality or statelessness, such as asylum-seekers, refugees, migrant workers and other persons, who may find themselves in the territory or subject to the jurisdiction of the State party.  This principle also applies to those within the power or effective control of the forces of a State party acting outside its territory, regardless of the circumstances in which such power or effective control was obtained, such as forces constituting a national contingent of a State party assigned to an international peacekeeping or peace-enforcement operation.</w:t>
      </w:r>
    </w:p>
    <w:p w:rsidR="00000000" w:rsidRDefault="00000000">
      <w:r>
        <w:t>11.</w:t>
      </w:r>
      <w:r>
        <w:tab/>
        <w:t xml:space="preserve">As implied in general comment No. 291, the Covenant applies also in situations of armed conflict to which the rules of international humanitarian law are applicable.  While, in respect of certain Covenant rights, more specific rules of international humanitarian law may be especially relevant for the purposes of the interpretation of Covenant rights, both spheres of law are complementary, not mutually exclusive. </w:t>
      </w:r>
    </w:p>
    <w:p w:rsidR="00000000" w:rsidRDefault="00000000">
      <w:r>
        <w:t>12.</w:t>
      </w:r>
      <w:r>
        <w:tab/>
        <w:t>Moreover, the article 2 obligation requiring that States parties respect and ensure the Covenant rights for all persons in their territory and all persons under their control entails an obligation not to extradite, deport, expel or otherwise remove a person from their territory, where there are substantial grounds for believing that there is a real risk of irreparable harm, such as that contemplated by articles 6 and 7 of the Covenant, either in the country to which removal is to be effected or in any country to which the person may subsequently be removed.  The relevant judicial and administrative authorities should be made aware of the need to ensure compliance with the Covenant obligations in such matters.</w:t>
      </w:r>
    </w:p>
    <w:p w:rsidR="00000000" w:rsidRDefault="00000000">
      <w:r>
        <w:t>13.</w:t>
      </w:r>
      <w:r>
        <w:tab/>
        <w:t>Article 2, paragraph 2, requires that States parties take the necessary steps to give effect to the Covenant rights in the domestic order.  It follows that, unless the Covenant’s rights are already protected by their domestic laws or practices, States parties are required on ratification to make such changes to domestic laws and practices as are necessary to ensure their conformity with the Covenant.  Where there are inconsistencies between domestic law and the Covenant, article 2 requires that the domestic law or practice be changed to meet the standards imposed by the Covenant’s substantive guarantees.  Article 2 allows a State party to pursue this in accordance with its own domestic constitutional structure and accordingly does not require that the Covenant be directly applicable in the courts, by incorporation of the Covenant into national law.  The Committee takes the view, however, that Covenant guarantees may receive enhanced protection in those States where the Covenant is automatically or through specific incorporation part of the domestic legal order.  The Committee invites those States parties in which the Covenant does not form part of the domestic legal order to consider incorporation of the Covenant to render it part of domestic law to facilitate full realization of Covenant rights as required by article 2.</w:t>
      </w:r>
    </w:p>
    <w:p w:rsidR="00000000" w:rsidRDefault="00000000">
      <w:r>
        <w:t>14.</w:t>
      </w:r>
      <w:r>
        <w:tab/>
        <w:t xml:space="preserve">The requirement under article 2, paragraph 2, to take steps to give effect to the Covenant rights is unqualified and of immediate effect.  A failure to comply with this obligation cannot be justified by reference to political, social, cultural or economic considerations within the State.  </w:t>
      </w:r>
    </w:p>
    <w:p w:rsidR="00000000" w:rsidRDefault="00000000">
      <w:r>
        <w:t>15.</w:t>
      </w:r>
      <w:r>
        <w:tab/>
        <w:t xml:space="preserve">Article 2, paragraph 3, requires that in addition to effective protection of Covenant rights States parties must ensure that individuals also have accessible and effective remedies to vindicate those rights.  Such remedies should be appropriately adapted so as to take account of the special vulnerability of certain categories of person, including in particular children.  The Committee attaches importance to States parties’ establishing appropriate judicial and administrative mechanisms for addressing claims of rights violations under domestic law.  The Committee notes that the enjoyment of the rights recognized under the Covenant can be effectively assured by the judiciary in many different ways, including direct applicability of the Covenant, application of comparable constitutional or other provisions of law, or the interpretive effect of the Covenant in the application of national law.  Administrative mechanisms are particularly required to give effect to the general obligation to investigate allegations of violations promptly, thoroughly and effectively through independent and impartial bodies.  National human rights institutions, endowed with appropriate powers, can contribute to this end.  A failure by a State party to investigate allegations of violations could in and of itself give rise to a separate breach of the Covenant.  Cessation of an ongoing violation is an essential element of the right to an effective remedy.  </w:t>
      </w:r>
    </w:p>
    <w:p w:rsidR="00000000" w:rsidRDefault="00000000">
      <w:r>
        <w:t>16.</w:t>
      </w:r>
      <w:r>
        <w:tab/>
        <w:t xml:space="preserve">Article 2, paragraph 3, requires that States parties make reparation to individuals whose Covenant rights have been violated.  Without reparation to individuals whose Covenant rights have been violated, the obligation to provide an effective remedy, which is central to the efficacy of article 2, paragraph 3, is not discharged.  In addition to the explicit reparation required by articles 9, paragraph 5, and 14, paragraph 6, the Committee considers that the Covenant generally entails appropriate compensation.  The Committee notes that, where appropriate, reparation can involve restitution, rehabilitation and measures of satisfaction, such as public apologies, public memorials, guarantees of non-repetition and changes in relevant laws and practices, as well as bringing to justice the perpetrators of human rights violations.  </w:t>
      </w:r>
    </w:p>
    <w:p w:rsidR="00000000" w:rsidRDefault="00000000">
      <w:r>
        <w:t>17.</w:t>
      </w:r>
      <w:r>
        <w:tab/>
        <w:t>In general, the purposes of the Covenant would be defeated without an obligation integral to article 2 to take measures to prevent a recurrence of a violation of the Covenant.  Accordingly, it has been a frequent practice of the Committee in cases under the Optional Protocol to include in its Views the need for measures, beyond a victim-specific remedy, to be taken to avoid recurrence of the type of violation in question.  Such measures may require changes in the State party’s laws or practices.</w:t>
      </w:r>
    </w:p>
    <w:p w:rsidR="00000000" w:rsidRDefault="00000000">
      <w:r>
        <w:t>18.</w:t>
      </w:r>
      <w:r>
        <w:tab/>
        <w:t>Where the investigations referred to in paragraph 15 reveal violations of certain Covenant rights, States parties must ensure that those responsible are brought to justice.  As with failure to investigate, failure to bring to justice perpetrators of such violations could in and of itself give rise to a separate breach of the Covenant.  These obligations arise notably in respect of those violations recognized as criminal under either domestic or international law, such as torture and similar cruel, inhuman and degrading treatment (art. 7), summary and arbitrary killing (art. 6) and enforced disappearance (articles 7 and 9 and, frequently, 6).  Indeed, the problem of impunity for these violations, a matter of sustained concern by the Committee, may well be an important contributing element in the recurrence of the violations.  When committed as part of a widespread or systematic attack on a civilian population, these violations of the Covenant are crimes against humanity (see Rome Statute of the International Criminal Court, article 7).</w:t>
      </w:r>
    </w:p>
    <w:p w:rsidR="00000000" w:rsidRDefault="00000000">
      <w:pPr>
        <w:ind w:firstLine="720"/>
      </w:pPr>
      <w:r>
        <w:t>Accordingly, where public officials or State agents have committed violations of the Covenant rights referred to in this paragraph, the States parties concerned may not relieve perpetrators from personal responsibility, as has occurred with certain amnesties (see general comment No. 20 (44)) and prior legal immunities and indemnities.  Furthermore, no official status justifies persons who may be accused of responsibility for such violations being held immune from legal responsibility.  Other impediments to the establishment of legal responsibility should also be removed, such as the defence of obedience to superior orders or unreasonably short periods of statutory limitation in cases where such limitations are applicable.  States parties should also assist each other to bring to justice persons suspected of having committed acts in violation of the Covenant that are punishable under domestic or international law.</w:t>
      </w:r>
    </w:p>
    <w:p w:rsidR="00000000" w:rsidRDefault="00000000">
      <w:r>
        <w:t>19.</w:t>
      </w:r>
      <w:r>
        <w:tab/>
        <w:t>The Committee further takes the view that the right to an effective remedy may in certain circumstances require States parties to provide for and implement provisional or interim measures to avoid continuing violations and to endeavour to repair at the earliest possible opportunity any harm that may have been caused by such violations.</w:t>
      </w:r>
    </w:p>
    <w:p w:rsidR="00000000" w:rsidRDefault="00000000">
      <w:r>
        <w:t>20.</w:t>
      </w:r>
      <w:r>
        <w:tab/>
        <w:t>Even when the legal systems of States parties are formally endowed with the appropriate remedy, violations of Covenant rights still take place.  This is presumably attributable to the failure of the remedies to function effectively in practice.  Accordingly, States parties are requested to provide information on the obstacles to the effectiveness of existing remedies in their periodic reports.</w:t>
      </w:r>
    </w:p>
    <w:p w:rsidR="00000000" w:rsidRDefault="00000000">
      <w:pPr>
        <w:pStyle w:val="Heading2"/>
        <w:ind w:left="1287" w:hanging="567"/>
        <w:jc w:val="left"/>
      </w:pPr>
      <w:r>
        <w:br w:type="page"/>
      </w:r>
      <w:bookmarkStart w:id="182" w:name="_Toc481083428"/>
      <w:bookmarkStart w:id="183" w:name="_Toc70389027"/>
      <w:bookmarkStart w:id="184" w:name="_Toc70516985"/>
      <w:r>
        <w:t>III.</w:t>
      </w:r>
      <w:r>
        <w:tab/>
        <w:t>GENERAL RECOMMENDATIONS ADOPTED BY THE COMMITTEE</w:t>
      </w:r>
      <w:r>
        <w:br/>
        <w:t>ON THE ELIMINATION OF RACIAL DISCRIMINATION</w:t>
      </w:r>
      <w:bookmarkEnd w:id="182"/>
      <w:bookmarkEnd w:id="183"/>
      <w:bookmarkEnd w:id="184"/>
    </w:p>
    <w:p w:rsidR="00000000" w:rsidRDefault="00000000">
      <w:r>
        <w:tab/>
        <w:t>According to article 9, paragraph 2, of the International Convention on the Elimination of All Forms of Racial Discrimination, the Committee may make suggestions and general recommendations based on the examination of the reports and information received from the States parties.  Such suggestions and general recommendations shall be reported to the General Assembly together with comments, if any, from States parties.  The Committee has so far adopted a total of 18 general recommendations.</w:t>
      </w:r>
    </w:p>
    <w:p w:rsidR="00000000" w:rsidRDefault="00000000">
      <w:pPr>
        <w:pStyle w:val="Heading2"/>
      </w:pPr>
      <w:r>
        <w:t>Fifth session (1972)</w:t>
      </w:r>
      <w:r>
        <w:rPr>
          <w:rStyle w:val="FootnoteReference"/>
          <w:vertAlign w:val="baseline"/>
        </w:rPr>
        <w:footnoteReference w:customMarkFollows="1" w:id="24"/>
        <w:sym w:font="Symbol" w:char="F02A"/>
      </w:r>
    </w:p>
    <w:p w:rsidR="00000000" w:rsidRDefault="00000000">
      <w:pPr>
        <w:pStyle w:val="Heading2"/>
      </w:pPr>
      <w:bookmarkStart w:id="185" w:name="_Toc481083429"/>
      <w:bookmarkStart w:id="186" w:name="_Toc70389028"/>
      <w:bookmarkStart w:id="187" w:name="_Toc70516986"/>
      <w:r>
        <w:t>General recommendation I concerning States parties obligations</w:t>
      </w:r>
      <w:r>
        <w:br/>
        <w:t>(art. 4 of the Convention)</w:t>
      </w:r>
      <w:bookmarkEnd w:id="185"/>
      <w:bookmarkEnd w:id="186"/>
      <w:bookmarkEnd w:id="187"/>
    </w:p>
    <w:p w:rsidR="00000000" w:rsidRDefault="00000000">
      <w:r>
        <w:tab/>
        <w:t>On the basis of the consideration at its fifth session of reports submitted by States parties under article 9 of the International Convention on the Elimination of All Forms of Racial Discrimination, the Committee found that the legislation of a number of States parties did not include the provisions envisaged in article 4 (a) and (b) of the Convention, the implementation of which (with due regard to the principles embodied in the Universal Declaration of Human Rights and the rights expressly set forth in article 5 of the Convention) is obligatory under the Convention for all States parties.</w:t>
      </w:r>
    </w:p>
    <w:p w:rsidR="00000000" w:rsidRDefault="00000000">
      <w:r>
        <w:tab/>
        <w:t>The Committee accordingly recommends that the States parties whose legislation was deficient in this respect should consider, in accordance with their national legislative procedures, the question of supplementing their legislation with provisions conforming to the requirements of article 4 (a) and (b) of the Convention.</w:t>
      </w:r>
    </w:p>
    <w:p w:rsidR="00000000" w:rsidRDefault="00000000">
      <w:pPr>
        <w:pStyle w:val="Heading2"/>
      </w:pPr>
      <w:r>
        <w:t>Fifth session (1972)</w:t>
      </w:r>
      <w:r>
        <w:rPr>
          <w:b w:val="0"/>
        </w:rPr>
        <w:t>*</w:t>
      </w:r>
    </w:p>
    <w:p w:rsidR="00000000" w:rsidRDefault="00000000">
      <w:pPr>
        <w:pStyle w:val="Heading2"/>
      </w:pPr>
      <w:bookmarkStart w:id="188" w:name="_Toc481083430"/>
      <w:bookmarkStart w:id="189" w:name="_Toc70389029"/>
      <w:bookmarkStart w:id="190" w:name="_Toc70516987"/>
      <w:r>
        <w:t>General recommendation II concerning States parties’ obligations</w:t>
      </w:r>
      <w:bookmarkEnd w:id="188"/>
      <w:bookmarkEnd w:id="189"/>
      <w:bookmarkEnd w:id="190"/>
    </w:p>
    <w:p w:rsidR="00000000" w:rsidRDefault="00000000">
      <w:r>
        <w:tab/>
        <w:t>The Committee has considered some reports from States parties which expressed or implied the belief that the information mentioned in the Committee’s communication of 28 January 1970 (CERD/C/R.12), need not be supplied by States parties on whose territories racial discrimination does not exist.</w:t>
      </w:r>
    </w:p>
    <w:p w:rsidR="00000000" w:rsidRDefault="00000000">
      <w:r>
        <w:tab/>
        <w:t xml:space="preserve">However, inasmuch as, in accordance with article 9, paragraph 1, of the International Convention on the Elimination of All Forms of Racial Discrimination, all States parties undertake to submit reports on the measures that they have adopted and that give effect to the </w:t>
      </w:r>
    </w:p>
    <w:p w:rsidR="00000000" w:rsidRDefault="00000000">
      <w:r>
        <w:br w:type="page"/>
        <w:t>provisions of the Convention and, since all the categories of information listed in the Committee’s communication of 28 January 1970 refer to obligations undertaken by the States parties under the Convention, that communication is addressed to all States parties without distinction, whether or not racial discrimination exists in their respective territories.  The Committee welcomes the inclusion in the reports from all States parties, which have not done so, of the necessary information in conformity with all the headings set out in the aforementioned communication of the Committee.</w:t>
      </w:r>
    </w:p>
    <w:p w:rsidR="00000000" w:rsidRDefault="00000000">
      <w:pPr>
        <w:pStyle w:val="Heading2"/>
        <w:rPr>
          <w:b w:val="0"/>
        </w:rPr>
      </w:pPr>
      <w:r>
        <w:t>Sixth session (1972)</w:t>
      </w:r>
      <w:r>
        <w:rPr>
          <w:rStyle w:val="FootnoteReference"/>
          <w:vertAlign w:val="baseline"/>
        </w:rPr>
        <w:footnoteReference w:customMarkFollows="1" w:id="25"/>
        <w:sym w:font="Symbol" w:char="F02A"/>
      </w:r>
    </w:p>
    <w:p w:rsidR="00000000" w:rsidRDefault="00000000">
      <w:pPr>
        <w:pStyle w:val="Heading2"/>
      </w:pPr>
      <w:bookmarkStart w:id="191" w:name="_Toc481083431"/>
      <w:bookmarkStart w:id="192" w:name="_Toc70389030"/>
      <w:bookmarkStart w:id="193" w:name="_Toc70516988"/>
      <w:r>
        <w:t>General recommendation III concerning reporting by States parties</w:t>
      </w:r>
      <w:bookmarkEnd w:id="191"/>
      <w:bookmarkEnd w:id="192"/>
      <w:bookmarkEnd w:id="193"/>
    </w:p>
    <w:p w:rsidR="00000000" w:rsidRDefault="00000000">
      <w:r>
        <w:tab/>
        <w:t>The Committee has considered some reports from States parties containing information about measures taken to implement resolutions of United Nations organs concerning relations with the racist regimes in southern Africa.</w:t>
      </w:r>
    </w:p>
    <w:p w:rsidR="00000000" w:rsidRDefault="00000000">
      <w:r>
        <w:tab/>
        <w:t>The Committee notes that, in the tenth paragraph of the preamble to the International Convention on the Elimination of All Forms of Racial Discrimination, States parties have “resolved”, inter alia, “to build an international community free from all forms of racial segregation and racial discrimination”.</w:t>
      </w:r>
    </w:p>
    <w:p w:rsidR="00000000" w:rsidRDefault="00000000">
      <w:r>
        <w:tab/>
        <w:t>It notes also that, in article 3 of the Convention, “States parties particularly condemn racial segregation and apartheid”.</w:t>
      </w:r>
    </w:p>
    <w:p w:rsidR="00000000" w:rsidRDefault="00000000">
      <w:r>
        <w:tab/>
        <w:t>Furthermore, the Committee notes that, in resolution 2784 (XXVI), section III, the General Assembly, immediately after taking note with appreciation of the Committee’s second annual report and endorsing certain opinions and recommendations, submitted by it, proceeded to call upon “all the trading partners of South Africa to abstain from any action that constitutes an encouragement to the continued violation of the principles and objectives of the International Convention on the Elimination of All Forms of Racial Discrimination by South Africa and the illegal regime in Southern Rhodesia”.</w:t>
      </w:r>
    </w:p>
    <w:p w:rsidR="00000000" w:rsidRDefault="00000000">
      <w:r>
        <w:tab/>
        <w:t>The Committee expresses the view that measures adopted on the national level to give effect to the provisions of the Convention are interrelated with measures taken on the international level to encourage respect everywhere for the principles of the Convention.</w:t>
      </w:r>
    </w:p>
    <w:p w:rsidR="00000000" w:rsidRDefault="00000000">
      <w:r>
        <w:tab/>
        <w:t>The Committee welcomes the inclusion in the reports submitted under article 9, paragraph 1, of the Convention, by any State party which chooses to do so, of information regarding the status of its diplomatic, economic and other relations with the racist regimes in southern Africa.</w:t>
      </w:r>
    </w:p>
    <w:p w:rsidR="00000000" w:rsidRDefault="00000000">
      <w:pPr>
        <w:pStyle w:val="Heading2"/>
        <w:rPr>
          <w:b w:val="0"/>
        </w:rPr>
      </w:pPr>
      <w:r>
        <w:br w:type="page"/>
        <w:t>Eighth session (1973)</w:t>
      </w:r>
      <w:r>
        <w:rPr>
          <w:rStyle w:val="FootnoteReference"/>
          <w:vertAlign w:val="baseline"/>
        </w:rPr>
        <w:footnoteReference w:customMarkFollows="1" w:id="26"/>
        <w:t>*</w:t>
      </w:r>
    </w:p>
    <w:p w:rsidR="00000000" w:rsidRDefault="00000000">
      <w:pPr>
        <w:pStyle w:val="Heading2"/>
      </w:pPr>
      <w:bookmarkStart w:id="194" w:name="_Toc481083432"/>
      <w:bookmarkStart w:id="195" w:name="_Toc70389031"/>
      <w:bookmarkStart w:id="196" w:name="_Toc70516989"/>
      <w:r>
        <w:t>General recommendation IV concerning reporting by States parties</w:t>
      </w:r>
      <w:r>
        <w:br/>
        <w:t>(art. 1 of the Convention)</w:t>
      </w:r>
      <w:bookmarkEnd w:id="194"/>
      <w:bookmarkEnd w:id="195"/>
      <w:bookmarkEnd w:id="196"/>
    </w:p>
    <w:p w:rsidR="00000000" w:rsidRDefault="00000000">
      <w:r>
        <w:tab/>
      </w:r>
      <w:r>
        <w:rPr>
          <w:i/>
          <w:iCs/>
        </w:rPr>
        <w:t>The Committee on the Elimination of Racial Discrimination</w:t>
      </w:r>
      <w:r>
        <w:t>,</w:t>
      </w:r>
    </w:p>
    <w:p w:rsidR="00000000" w:rsidRDefault="00000000">
      <w:r>
        <w:tab/>
      </w:r>
      <w:r>
        <w:rPr>
          <w:i/>
        </w:rPr>
        <w:t>Having considered</w:t>
      </w:r>
      <w:r>
        <w:t xml:space="preserve"> reports submitted by States parties under article 9 of the International Convention on the Elimination of All Forms of Racial Discrimination at its seventh and eighth sessions,</w:t>
      </w:r>
    </w:p>
    <w:p w:rsidR="00000000" w:rsidRDefault="00000000">
      <w:r>
        <w:tab/>
      </w:r>
      <w:r>
        <w:rPr>
          <w:i/>
        </w:rPr>
        <w:t>Bearing in mind</w:t>
      </w:r>
      <w:r>
        <w:t xml:space="preserve"> the need for the reports sent by States parties to the Committee to be as informative as possible,</w:t>
      </w:r>
    </w:p>
    <w:p w:rsidR="00000000" w:rsidRDefault="00000000">
      <w:r>
        <w:tab/>
      </w:r>
      <w:r>
        <w:rPr>
          <w:i/>
        </w:rPr>
        <w:t>Invites</w:t>
      </w:r>
      <w:r>
        <w:t xml:space="preserve"> States parties to endeavour to include in their reports under article 9 relevant information on the demographic composition of the population referred to in the provisions of article 1 of the Convention.</w:t>
      </w:r>
    </w:p>
    <w:p w:rsidR="00000000" w:rsidRDefault="00000000">
      <w:pPr>
        <w:pStyle w:val="Heading2"/>
      </w:pPr>
      <w:r>
        <w:t>Fifteenth session (1977)</w:t>
      </w:r>
      <w:r>
        <w:rPr>
          <w:rStyle w:val="FootnoteReference"/>
          <w:vertAlign w:val="baseline"/>
        </w:rPr>
        <w:footnoteReference w:customMarkFollows="1" w:id="27"/>
        <w:sym w:font="Symbol" w:char="F02A"/>
      </w:r>
      <w:r>
        <w:rPr>
          <w:rStyle w:val="FootnoteReference"/>
          <w:vertAlign w:val="baseline"/>
        </w:rPr>
        <w:sym w:font="Symbol" w:char="F02A"/>
      </w:r>
    </w:p>
    <w:p w:rsidR="00000000" w:rsidRDefault="00000000">
      <w:pPr>
        <w:pStyle w:val="Heading2"/>
      </w:pPr>
      <w:bookmarkStart w:id="197" w:name="_Toc481083433"/>
      <w:bookmarkStart w:id="198" w:name="_Toc70389032"/>
      <w:bookmarkStart w:id="199" w:name="_Toc70516990"/>
      <w:r>
        <w:t xml:space="preserve">General recommendation V concerning reporting by States parties </w:t>
      </w:r>
      <w:r>
        <w:br/>
        <w:t>(art. 7 of the Convention)</w:t>
      </w:r>
      <w:bookmarkEnd w:id="197"/>
      <w:bookmarkEnd w:id="198"/>
      <w:bookmarkEnd w:id="199"/>
    </w:p>
    <w:p w:rsidR="00000000" w:rsidRDefault="00000000">
      <w:r>
        <w:tab/>
      </w:r>
      <w:r>
        <w:rPr>
          <w:i/>
          <w:iCs/>
        </w:rPr>
        <w:t>The Committee on the Elimination of Racial Discrimination</w:t>
      </w:r>
      <w:r>
        <w:t>,</w:t>
      </w:r>
    </w:p>
    <w:p w:rsidR="00000000" w:rsidRDefault="00000000">
      <w:r>
        <w:tab/>
      </w:r>
      <w:r>
        <w:rPr>
          <w:i/>
        </w:rPr>
        <w:t>Bearing in mind</w:t>
      </w:r>
      <w:r>
        <w:t xml:space="preserve"> the provisions of articles 7 and 9 of the International Convention on the Elimination of All Forms of Racial Discrimination,</w:t>
      </w:r>
    </w:p>
    <w:p w:rsidR="00000000" w:rsidRDefault="00000000">
      <w:r>
        <w:tab/>
      </w:r>
      <w:r>
        <w:rPr>
          <w:i/>
        </w:rPr>
        <w:t>Convinced</w:t>
      </w:r>
      <w:r>
        <w:t xml:space="preserve"> that combating prejudices which lead to racial discrimination, promoting understanding, tolerance and friendship among racial and ethnic groups, and propagating the principles and purposes of the Charter of the United Nations and of the human rights declarations and other relevant instruments adopted by the General Assembly of the United Nations, are important and effective means of eliminating racial discrimination,</w:t>
      </w:r>
    </w:p>
    <w:p w:rsidR="00000000" w:rsidRDefault="00000000">
      <w:r>
        <w:tab/>
      </w:r>
      <w:r>
        <w:rPr>
          <w:i/>
        </w:rPr>
        <w:t>Considering</w:t>
      </w:r>
      <w:r>
        <w:t xml:space="preserve"> that the obligations under article 7 of the Convention, which are binding on all States parties, must be fulfilled by them, including States which declare that racial discrimination is not practised on the territories under their jurisdiction, and that therefore all States parties are required to include information on their implementation of the provisions of that article in the reports they submit in accordance with article 9, paragraph 1, of the Convention,</w:t>
      </w:r>
    </w:p>
    <w:p w:rsidR="00000000" w:rsidRDefault="00000000">
      <w:r>
        <w:br w:type="page"/>
      </w:r>
      <w:r>
        <w:tab/>
      </w:r>
      <w:r>
        <w:rPr>
          <w:i/>
        </w:rPr>
        <w:t>Noting with regret</w:t>
      </w:r>
      <w:r>
        <w:t xml:space="preserve"> that few States parties have included, in the reports they have submitted in accordance with article 9 of the Convention, information on the measures which they have adopted and which give effect to the provisions of article 7 of the Convention, and that that information has often been general and perfunctory,</w:t>
      </w:r>
    </w:p>
    <w:p w:rsidR="00000000" w:rsidRDefault="00000000">
      <w:r>
        <w:tab/>
      </w:r>
      <w:r>
        <w:rPr>
          <w:i/>
        </w:rPr>
        <w:t>Recalling</w:t>
      </w:r>
      <w:r>
        <w:t xml:space="preserve"> that, in accordance with article 9, paragraph 1, of the Convention, the Committee may request further information from the States parties,</w:t>
      </w:r>
    </w:p>
    <w:p w:rsidR="00000000" w:rsidRDefault="00000000">
      <w:r>
        <w:tab/>
        <w:t>1.</w:t>
      </w:r>
      <w:r>
        <w:tab/>
      </w:r>
      <w:r>
        <w:rPr>
          <w:i/>
        </w:rPr>
        <w:t>Requests</w:t>
      </w:r>
      <w:r>
        <w:t xml:space="preserve"> every State party which has not already done so to include - in the next report it will submit in accordance with article 9 of the Convention, or in a special report before its next periodic report becomes due - adequate information on the measures which it has adopted and which give effect to the provisions of article 7 of the Convention;</w:t>
      </w:r>
    </w:p>
    <w:p w:rsidR="00000000" w:rsidRDefault="00000000">
      <w:r>
        <w:tab/>
        <w:t>2.</w:t>
      </w:r>
      <w:r>
        <w:tab/>
      </w:r>
      <w:r>
        <w:rPr>
          <w:i/>
        </w:rPr>
        <w:t>Invites</w:t>
      </w:r>
      <w:r>
        <w:t xml:space="preserve"> the attention of States parties to the fact that, in accordance with article 7 of the Convention, the information to which the preceding paragraph refers should include information on the “immediate and effective measures” which they have adopted, “in the fields of teaching, education, culture and information”, with a view to:</w:t>
      </w:r>
    </w:p>
    <w:p w:rsidR="00000000" w:rsidRDefault="00000000">
      <w:r>
        <w:tab/>
        <w:t>(a)</w:t>
      </w:r>
      <w:r>
        <w:tab/>
        <w:t>“Combating prejudices which lead to racial discrimination”;</w:t>
      </w:r>
    </w:p>
    <w:p w:rsidR="00000000" w:rsidRDefault="00000000">
      <w:r>
        <w:tab/>
        <w:t>(b)</w:t>
      </w:r>
      <w:r>
        <w:tab/>
        <w:t>“Promoting understanding, tolerance and friendship among nations and racial or ethnical groups”;</w:t>
      </w:r>
    </w:p>
    <w:p w:rsidR="00000000" w:rsidRDefault="00000000">
      <w:r>
        <w:tab/>
        <w:t>(c)</w:t>
      </w:r>
      <w:r>
        <w:tab/>
        <w:t>“Propagating the purposes and principles of the Charter of the United Nations, the Universal Declaration of Human Rights, the United Nations Declaration on the Elimination of All Forms of Racial Discrimination” as well as the International Convention on the Elimination of All Forms of Racial Discrimination.</w:t>
      </w:r>
    </w:p>
    <w:p w:rsidR="00000000" w:rsidRDefault="00000000">
      <w:pPr>
        <w:pStyle w:val="Heading2"/>
      </w:pPr>
      <w:r>
        <w:t>Twenty-fifth session (1982)</w:t>
      </w:r>
      <w:r>
        <w:rPr>
          <w:rStyle w:val="FootnoteReference"/>
          <w:vertAlign w:val="baseline"/>
        </w:rPr>
        <w:footnoteReference w:customMarkFollows="1" w:id="28"/>
        <w:sym w:font="Symbol" w:char="F02A"/>
      </w:r>
    </w:p>
    <w:p w:rsidR="00000000" w:rsidRDefault="00000000">
      <w:pPr>
        <w:pStyle w:val="Heading2"/>
      </w:pPr>
      <w:bookmarkStart w:id="200" w:name="_Toc481083434"/>
      <w:bookmarkStart w:id="201" w:name="_Toc70389033"/>
      <w:bookmarkStart w:id="202" w:name="_Toc70516991"/>
      <w:r>
        <w:t>General recommendation VI concerning overdue reports</w:t>
      </w:r>
      <w:bookmarkEnd w:id="200"/>
      <w:bookmarkEnd w:id="201"/>
      <w:bookmarkEnd w:id="202"/>
    </w:p>
    <w:p w:rsidR="00000000" w:rsidRDefault="00000000">
      <w:r>
        <w:tab/>
      </w:r>
      <w:r>
        <w:rPr>
          <w:i/>
          <w:iCs/>
        </w:rPr>
        <w:t>The Committee on the Elimination of Racial Discrimination</w:t>
      </w:r>
      <w:r>
        <w:t>,</w:t>
      </w:r>
    </w:p>
    <w:p w:rsidR="00000000" w:rsidRDefault="00000000">
      <w:r>
        <w:tab/>
      </w:r>
      <w:r>
        <w:rPr>
          <w:i/>
        </w:rPr>
        <w:t>Recognizing</w:t>
      </w:r>
      <w:r>
        <w:t xml:space="preserve"> the fact that an impressive number of States has ratified, or acceded to, the International Convention on the Elimination of All Forms of Racial Discrimination,</w:t>
      </w:r>
    </w:p>
    <w:p w:rsidR="00000000" w:rsidRDefault="00000000">
      <w:r>
        <w:tab/>
      </w:r>
      <w:r>
        <w:rPr>
          <w:i/>
        </w:rPr>
        <w:t>Bearing in mind</w:t>
      </w:r>
      <w:r>
        <w:t>, however, that ratification alone does not enable the control system set up by the Convention to function effectively,</w:t>
      </w:r>
    </w:p>
    <w:p w:rsidR="00000000" w:rsidRDefault="00000000">
      <w:r>
        <w:tab/>
      </w:r>
      <w:r>
        <w:rPr>
          <w:i/>
        </w:rPr>
        <w:t>Recalling</w:t>
      </w:r>
      <w:r>
        <w:t xml:space="preserve"> that article 9 of the Convention obliges States parties to submit initial and periodic reports on the measures that give effect to the provisions of the Convention,</w:t>
      </w:r>
    </w:p>
    <w:p w:rsidR="00000000" w:rsidRDefault="00000000">
      <w:r>
        <w:br w:type="page"/>
      </w:r>
      <w:r>
        <w:tab/>
      </w:r>
      <w:r>
        <w:rPr>
          <w:i/>
        </w:rPr>
        <w:t>Stating</w:t>
      </w:r>
      <w:r>
        <w:t xml:space="preserve"> that at present no less than 89 reports are overdue from 62 States, that 42 of those reports are overdue from 15 States, each with two or more outstanding reports, and that four initial reports which were due between 1973 and 1978 have not been received,</w:t>
      </w:r>
    </w:p>
    <w:p w:rsidR="00000000" w:rsidRDefault="00000000">
      <w:r>
        <w:tab/>
      </w:r>
      <w:r>
        <w:rPr>
          <w:i/>
        </w:rPr>
        <w:t>Noting with regret</w:t>
      </w:r>
      <w:r>
        <w:t xml:space="preserve"> that neither reminders sent through the Secretary-General to States parties nor the inclusion of the relevant information in the annual reports to the General Assembly has had the desired effect, in all cases,</w:t>
      </w:r>
    </w:p>
    <w:p w:rsidR="00000000" w:rsidRDefault="00000000">
      <w:r>
        <w:tab/>
      </w:r>
      <w:r>
        <w:rPr>
          <w:i/>
        </w:rPr>
        <w:t>Invites</w:t>
      </w:r>
      <w:r>
        <w:t xml:space="preserve"> the General Assembly:</w:t>
      </w:r>
    </w:p>
    <w:p w:rsidR="00000000" w:rsidRDefault="00000000">
      <w:r>
        <w:tab/>
        <w:t>(a)</w:t>
      </w:r>
      <w:r>
        <w:tab/>
        <w:t>to take note of the situation;</w:t>
      </w:r>
    </w:p>
    <w:p w:rsidR="00000000" w:rsidRDefault="00000000">
      <w:r>
        <w:tab/>
        <w:t>(b)</w:t>
      </w:r>
      <w:r>
        <w:tab/>
        <w:t>to use its authority in order to ensure that the Committee could more effectively fulfil its obligations under the Convention.</w:t>
      </w:r>
    </w:p>
    <w:p w:rsidR="00000000" w:rsidRDefault="00000000">
      <w:pPr>
        <w:pStyle w:val="Heading2"/>
      </w:pPr>
      <w:r>
        <w:t>Thirty-second session (1985)</w:t>
      </w:r>
      <w:r>
        <w:rPr>
          <w:rStyle w:val="FootnoteReference"/>
          <w:vertAlign w:val="baseline"/>
        </w:rPr>
        <w:footnoteReference w:customMarkFollows="1" w:id="29"/>
        <w:sym w:font="Symbol" w:char="F02A"/>
      </w:r>
    </w:p>
    <w:p w:rsidR="00000000" w:rsidRDefault="00000000">
      <w:pPr>
        <w:pStyle w:val="Heading2"/>
      </w:pPr>
      <w:bookmarkStart w:id="203" w:name="_Toc481083435"/>
      <w:bookmarkStart w:id="204" w:name="_Toc70389034"/>
      <w:bookmarkStart w:id="205" w:name="_Toc70516992"/>
      <w:r>
        <w:t>General recommendation VII relating to the implementation</w:t>
      </w:r>
      <w:r>
        <w:br/>
        <w:t>of article 4</w:t>
      </w:r>
      <w:bookmarkEnd w:id="203"/>
      <w:bookmarkEnd w:id="204"/>
      <w:bookmarkEnd w:id="205"/>
    </w:p>
    <w:p w:rsidR="00000000" w:rsidRDefault="00000000">
      <w:r>
        <w:tab/>
      </w:r>
      <w:r>
        <w:rPr>
          <w:i/>
        </w:rPr>
        <w:t>The Committee on the Elimination of Racial Discrimination</w:t>
      </w:r>
      <w:r>
        <w:t>,</w:t>
      </w:r>
    </w:p>
    <w:p w:rsidR="00000000" w:rsidRDefault="00000000">
      <w:r>
        <w:tab/>
      </w:r>
      <w:r>
        <w:rPr>
          <w:i/>
        </w:rPr>
        <w:t>Having considered</w:t>
      </w:r>
      <w:r>
        <w:t xml:space="preserve"> periodic reports of States parties for a period of 16 years, and in over 100 cases sixth, seventh and eighth periodic reports of States parties,</w:t>
      </w:r>
    </w:p>
    <w:p w:rsidR="00000000" w:rsidRDefault="00000000">
      <w:r>
        <w:tab/>
      </w:r>
      <w:r>
        <w:rPr>
          <w:i/>
        </w:rPr>
        <w:t>Recalling and reaffirming</w:t>
      </w:r>
      <w:r>
        <w:t xml:space="preserve"> its general recommendation I of 24 February 1972 and its decision 3 (VII) of 4 May 1973,</w:t>
      </w:r>
    </w:p>
    <w:p w:rsidR="00000000" w:rsidRDefault="00000000">
      <w:r>
        <w:tab/>
      </w:r>
      <w:r>
        <w:rPr>
          <w:i/>
        </w:rPr>
        <w:t>Noting with satisfaction</w:t>
      </w:r>
      <w:r>
        <w:t xml:space="preserve"> that in a number of reports States parties have provided information on specific cases dealing with the implementation of article 4 of the Convention with regard to acts of racial discrimination,</w:t>
      </w:r>
    </w:p>
    <w:p w:rsidR="00000000" w:rsidRDefault="00000000">
      <w:r>
        <w:tab/>
      </w:r>
      <w:r>
        <w:rPr>
          <w:i/>
        </w:rPr>
        <w:t>Noting, however</w:t>
      </w:r>
      <w:r>
        <w:t>, that in a number of States parties the necessary legislation to implement article 4 of the Convention has not been enacted, and that many States parties have not yet fulfilled all the requirements of article 4 (a) and (b) of the Convention,</w:t>
      </w:r>
    </w:p>
    <w:p w:rsidR="00000000" w:rsidRDefault="00000000">
      <w:r>
        <w:tab/>
      </w:r>
      <w:r>
        <w:rPr>
          <w:i/>
        </w:rPr>
        <w:t>Further recalling</w:t>
      </w:r>
      <w:r>
        <w:t xml:space="preserve"> that, in accordance with the first paragraph of article 4, States parties “undertake to adopt immediate and positive measures designed to eradicate all incitement to, or acts of, such discrimination”, with due regard to the principles embodied in the Universal Declaration of Human Rights and the rights expressly set forth in article 5 of the Convention,</w:t>
      </w:r>
    </w:p>
    <w:p w:rsidR="00000000" w:rsidRDefault="00000000">
      <w:r>
        <w:br w:type="page"/>
      </w:r>
      <w:r>
        <w:tab/>
      </w:r>
      <w:r>
        <w:rPr>
          <w:i/>
        </w:rPr>
        <w:t>Bearing in mind</w:t>
      </w:r>
      <w:r>
        <w:t xml:space="preserve"> the preventive aspects of article 4 to deter racism and racial discrimination as well as activities aimed at their promotion or incitement,</w:t>
      </w:r>
    </w:p>
    <w:p w:rsidR="00000000" w:rsidRDefault="00000000">
      <w:r>
        <w:tab/>
        <w:t>1.</w:t>
      </w:r>
      <w:r>
        <w:tab/>
      </w:r>
      <w:r>
        <w:rPr>
          <w:i/>
        </w:rPr>
        <w:t>Recommends</w:t>
      </w:r>
      <w:r>
        <w:t xml:space="preserve"> that those States parties whose legislation does not satisfy the provisions of article 4 (a) and (b) of the Convention take the necessary steps with a view to satisfying the mandatory requirements of that article;</w:t>
      </w:r>
    </w:p>
    <w:p w:rsidR="00000000" w:rsidRDefault="00000000">
      <w:r>
        <w:tab/>
        <w:t>2.</w:t>
      </w:r>
      <w:r>
        <w:tab/>
      </w:r>
      <w:r>
        <w:rPr>
          <w:i/>
        </w:rPr>
        <w:t>Requests</w:t>
      </w:r>
      <w:r>
        <w:t xml:space="preserve"> that those States parties which have not yet done so inform the Committee more fully in their periodic reports of the manner and extent to which the provisions of article 4 (a) and (b) are effectively implemented and quote the relevant parts of the texts in their reports;</w:t>
      </w:r>
    </w:p>
    <w:p w:rsidR="00000000" w:rsidRDefault="00000000">
      <w:r>
        <w:tab/>
        <w:t>3.</w:t>
      </w:r>
      <w:r>
        <w:tab/>
      </w:r>
      <w:r>
        <w:rPr>
          <w:i/>
        </w:rPr>
        <w:t>Further requests</w:t>
      </w:r>
      <w:r>
        <w:t xml:space="preserve"> those States parties which have not yet done so to endeavour to provide in their periodic reports more information concerning decisions taken by the competent national tribunals and other State institutions regarding acts of racial discrimination and in particular those offences dealt with in article 4 (a) and (b).</w:t>
      </w:r>
    </w:p>
    <w:p w:rsidR="00000000" w:rsidRDefault="00000000">
      <w:pPr>
        <w:pStyle w:val="Heading2"/>
      </w:pPr>
      <w:r>
        <w:t>Thirty-eighth session (1990)</w:t>
      </w:r>
      <w:r>
        <w:rPr>
          <w:rStyle w:val="FootnoteReference"/>
          <w:vertAlign w:val="baseline"/>
        </w:rPr>
        <w:footnoteReference w:customMarkFollows="1" w:id="30"/>
        <w:sym w:font="Symbol" w:char="F02A"/>
      </w:r>
    </w:p>
    <w:p w:rsidR="00000000" w:rsidRDefault="00000000">
      <w:pPr>
        <w:pStyle w:val="Heading2"/>
      </w:pPr>
      <w:bookmarkStart w:id="206" w:name="_Toc481083436"/>
      <w:bookmarkStart w:id="207" w:name="_Toc70389035"/>
      <w:bookmarkStart w:id="208" w:name="_Toc70516993"/>
      <w:r>
        <w:t>General recommendation VIII concerning the interpretation and</w:t>
      </w:r>
      <w:r>
        <w:br/>
        <w:t>application of article 1, paragraphs 1 and 4 of the Convention</w:t>
      </w:r>
      <w:bookmarkEnd w:id="206"/>
      <w:bookmarkEnd w:id="207"/>
      <w:bookmarkEnd w:id="208"/>
    </w:p>
    <w:p w:rsidR="00000000" w:rsidRDefault="00000000">
      <w:r>
        <w:tab/>
      </w:r>
      <w:r>
        <w:rPr>
          <w:i/>
        </w:rPr>
        <w:t>The Committee on the Elimination of Racial Discrimination</w:t>
      </w:r>
      <w:r>
        <w:t>,</w:t>
      </w:r>
    </w:p>
    <w:p w:rsidR="00000000" w:rsidRDefault="00000000">
      <w:r>
        <w:tab/>
      </w:r>
      <w:r>
        <w:rPr>
          <w:i/>
        </w:rPr>
        <w:t>Having considered</w:t>
      </w:r>
      <w:r>
        <w:t xml:space="preserve"> reports from States parties concerning information about the ways in which individuals are identified as being members of a particular racial or ethnic group or groups,</w:t>
      </w:r>
    </w:p>
    <w:p w:rsidR="00000000" w:rsidRDefault="00000000">
      <w:r>
        <w:tab/>
      </w:r>
      <w:r>
        <w:rPr>
          <w:i/>
        </w:rPr>
        <w:t>Is of the opinion</w:t>
      </w:r>
      <w:r>
        <w:t xml:space="preserve"> that such identification shall, if no justification exists to the contrary, be based upon self-identification by the individual concerned.</w:t>
      </w:r>
    </w:p>
    <w:p w:rsidR="00000000" w:rsidRDefault="00000000">
      <w:pPr>
        <w:pStyle w:val="Heading2"/>
        <w:rPr>
          <w:b w:val="0"/>
        </w:rPr>
      </w:pPr>
      <w:r>
        <w:t>Thirty-eighth session (1990)</w:t>
      </w:r>
      <w:r>
        <w:rPr>
          <w:rStyle w:val="FootnoteReference"/>
          <w:vertAlign w:val="baseline"/>
        </w:rPr>
        <w:t>*</w:t>
      </w:r>
    </w:p>
    <w:p w:rsidR="00000000" w:rsidRDefault="00000000">
      <w:pPr>
        <w:pStyle w:val="Heading2"/>
      </w:pPr>
      <w:bookmarkStart w:id="209" w:name="_Toc481083437"/>
      <w:bookmarkStart w:id="210" w:name="_Toc70389036"/>
      <w:bookmarkStart w:id="211" w:name="_Toc70516994"/>
      <w:r>
        <w:t xml:space="preserve">General recommendation IX concerning the application of </w:t>
      </w:r>
      <w:r>
        <w:br/>
        <w:t>article 8, paragraph 1, of the Convention</w:t>
      </w:r>
      <w:bookmarkEnd w:id="209"/>
      <w:bookmarkEnd w:id="210"/>
      <w:bookmarkEnd w:id="211"/>
    </w:p>
    <w:p w:rsidR="00000000" w:rsidRDefault="00000000">
      <w:r>
        <w:tab/>
      </w:r>
      <w:r>
        <w:rPr>
          <w:i/>
        </w:rPr>
        <w:t>The Committee on the Elimination of Racial Discrimination</w:t>
      </w:r>
      <w:r>
        <w:t>,</w:t>
      </w:r>
    </w:p>
    <w:p w:rsidR="00000000" w:rsidRDefault="00000000">
      <w:pPr>
        <w:spacing w:after="0"/>
      </w:pPr>
      <w:r>
        <w:tab/>
      </w:r>
      <w:r>
        <w:rPr>
          <w:i/>
        </w:rPr>
        <w:t>Considering</w:t>
      </w:r>
      <w:r>
        <w:t xml:space="preserve"> that respect for the independence of the experts is essential to secure full </w:t>
      </w:r>
    </w:p>
    <w:p w:rsidR="00000000" w:rsidRDefault="00000000">
      <w:r>
        <w:t>observance of human rights and fundamental freedoms,</w:t>
      </w:r>
    </w:p>
    <w:p w:rsidR="00000000" w:rsidRDefault="00000000">
      <w:r>
        <w:br w:type="page"/>
      </w:r>
      <w:r>
        <w:tab/>
      </w:r>
      <w:r>
        <w:rPr>
          <w:i/>
        </w:rPr>
        <w:t>Recalling</w:t>
      </w:r>
      <w:r>
        <w:t xml:space="preserve"> article 8, paragraph 1, of the International Convention on the Elimination of All Forms of Racial Discrimination,</w:t>
      </w:r>
    </w:p>
    <w:p w:rsidR="00000000" w:rsidRDefault="00000000">
      <w:r>
        <w:tab/>
      </w:r>
      <w:r>
        <w:rPr>
          <w:i/>
        </w:rPr>
        <w:t>Alarmed</w:t>
      </w:r>
      <w:r>
        <w:t xml:space="preserve"> by the tendency of the representatives of States, organizations and groups to put pressure upon experts, especially those serving as country rapporteurs,</w:t>
      </w:r>
    </w:p>
    <w:p w:rsidR="00000000" w:rsidRDefault="00000000">
      <w:r>
        <w:tab/>
      </w:r>
      <w:r>
        <w:rPr>
          <w:i/>
        </w:rPr>
        <w:t>Strongly recommends</w:t>
      </w:r>
      <w:r>
        <w:t xml:space="preserve"> that they respect unreservedly the status of its members as independent experts of acknowledged impartiality serving in their personal capacity.</w:t>
      </w:r>
    </w:p>
    <w:p w:rsidR="00000000" w:rsidRDefault="00000000">
      <w:pPr>
        <w:pStyle w:val="Heading2"/>
      </w:pPr>
      <w:r>
        <w:t>Thirty-ninth session (1991)</w:t>
      </w:r>
      <w:r>
        <w:rPr>
          <w:rStyle w:val="FootnoteReference"/>
          <w:vertAlign w:val="baseline"/>
        </w:rPr>
        <w:footnoteReference w:customMarkFollows="1" w:id="31"/>
        <w:t>*</w:t>
      </w:r>
    </w:p>
    <w:p w:rsidR="00000000" w:rsidRDefault="00000000">
      <w:pPr>
        <w:pStyle w:val="Heading2"/>
      </w:pPr>
      <w:bookmarkStart w:id="212" w:name="_Toc481083438"/>
      <w:bookmarkStart w:id="213" w:name="_Toc70389037"/>
      <w:bookmarkStart w:id="214" w:name="_Toc70516995"/>
      <w:r>
        <w:t>General recommendation X concerning</w:t>
      </w:r>
      <w:r>
        <w:br/>
        <w:t>technical assistance</w:t>
      </w:r>
      <w:bookmarkEnd w:id="212"/>
      <w:bookmarkEnd w:id="213"/>
      <w:bookmarkEnd w:id="214"/>
    </w:p>
    <w:p w:rsidR="00000000" w:rsidRDefault="00000000">
      <w:r>
        <w:tab/>
      </w:r>
      <w:r>
        <w:rPr>
          <w:i/>
        </w:rPr>
        <w:t>The Committee on the Elimination of Racial Discrimination</w:t>
      </w:r>
      <w:r>
        <w:t>,</w:t>
      </w:r>
    </w:p>
    <w:p w:rsidR="00000000" w:rsidRDefault="00000000">
      <w:r>
        <w:tab/>
      </w:r>
      <w:r>
        <w:rPr>
          <w:i/>
        </w:rPr>
        <w:t>Taking note</w:t>
      </w:r>
      <w:r>
        <w:t xml:space="preserve"> of the recommendation of the third meeting of persons chairing the human rights treaty bodies, as endorsed by the General Assembly at its forty-fifth session, to the effect that a series of seminars or workshops should be organized at the national level for the purpose of training those involved in the preparation of State party reports,</w:t>
      </w:r>
    </w:p>
    <w:p w:rsidR="00000000" w:rsidRDefault="00000000">
      <w:r>
        <w:tab/>
      </w:r>
      <w:r>
        <w:rPr>
          <w:i/>
        </w:rPr>
        <w:t>Concerned</w:t>
      </w:r>
      <w:r>
        <w:t xml:space="preserve"> over the continued failure of certain States parties to the International Convention on the Elimination of All Forms of Racial Discrimination to meet their reporting obligations under the Convention,</w:t>
      </w:r>
    </w:p>
    <w:p w:rsidR="00000000" w:rsidRDefault="00000000">
      <w:r>
        <w:tab/>
      </w:r>
      <w:r>
        <w:rPr>
          <w:i/>
        </w:rPr>
        <w:t>Believing</w:t>
      </w:r>
      <w:r>
        <w:t xml:space="preserve"> that training courses and workshops organized on the national level might prove of immeasurable assistance to officials responsible for the preparation of such State party reports,</w:t>
      </w:r>
    </w:p>
    <w:p w:rsidR="00000000" w:rsidRDefault="00000000">
      <w:r>
        <w:tab/>
        <w:t>1.</w:t>
      </w:r>
      <w:r>
        <w:tab/>
      </w:r>
      <w:r>
        <w:rPr>
          <w:i/>
        </w:rPr>
        <w:t>Requests</w:t>
      </w:r>
      <w:r>
        <w:t xml:space="preserve"> the Secretary-General to organize, in consultation with the States parties concerned, appropriate national training courses and workshops for their reporting officials as soon as practicable;</w:t>
      </w:r>
    </w:p>
    <w:p w:rsidR="00000000" w:rsidRDefault="00000000">
      <w:r>
        <w:tab/>
        <w:t>2.</w:t>
      </w:r>
      <w:r>
        <w:tab/>
      </w:r>
      <w:r>
        <w:rPr>
          <w:i/>
        </w:rPr>
        <w:t>Recommends</w:t>
      </w:r>
      <w:r>
        <w:t xml:space="preserve"> that the services of the staff of the Centre for Human Rights as well as of the experts of the Committee on the Elimination of Racial Discrimination should be utilized, as appropriate, in the conduct of such training courses and workshops.</w:t>
      </w:r>
    </w:p>
    <w:p w:rsidR="00000000" w:rsidRDefault="00000000">
      <w:pPr>
        <w:pStyle w:val="Heading2"/>
      </w:pPr>
      <w:r>
        <w:br w:type="page"/>
        <w:t>Forty-second session (1993)</w:t>
      </w:r>
      <w:r>
        <w:rPr>
          <w:rStyle w:val="FootnoteReference"/>
          <w:vertAlign w:val="baseline"/>
        </w:rPr>
        <w:footnoteReference w:customMarkFollows="1" w:id="32"/>
        <w:t>*</w:t>
      </w:r>
    </w:p>
    <w:p w:rsidR="00000000" w:rsidRDefault="00000000">
      <w:pPr>
        <w:pStyle w:val="Heading2"/>
      </w:pPr>
      <w:bookmarkStart w:id="215" w:name="_Toc481083439"/>
      <w:bookmarkStart w:id="216" w:name="_Toc70389038"/>
      <w:bookmarkStart w:id="217" w:name="_Toc70516996"/>
      <w:r>
        <w:t>General recommendation XI on non-citizens</w:t>
      </w:r>
      <w:bookmarkEnd w:id="215"/>
      <w:bookmarkEnd w:id="216"/>
      <w:bookmarkEnd w:id="217"/>
    </w:p>
    <w:p w:rsidR="00000000" w:rsidRDefault="00000000">
      <w:r>
        <w:t>1.</w:t>
      </w:r>
      <w:r>
        <w:tab/>
        <w:t>Article 1, paragraph 1, of the International Convention on the Elimination of All Forms of Racial Discrimination defines racial discrimination.  Article 1, paragraph 2, excepts from this definition actions by a State party which differentiate between citizens and non-citizens.  Article 1, paragraph 3, qualifies article 1, paragraph 2, by declaring that, among non-citizens, States parties may not discriminate against any particular nationality.</w:t>
      </w:r>
    </w:p>
    <w:p w:rsidR="00000000" w:rsidRDefault="00000000">
      <w:r>
        <w:t>2.</w:t>
      </w:r>
      <w:r>
        <w:tab/>
        <w:t>The Committee has noted that article 1, paragraph 2, has on occasion been interpreted as absolving States parties from any obligation to report on matters relating to legislation on foreigners.  The Committee therefore affirms that States parties are under an obligation to report fully upon legislation on foreigners and its implementation.</w:t>
      </w:r>
    </w:p>
    <w:p w:rsidR="00000000" w:rsidRDefault="00000000">
      <w:r>
        <w:t>3.</w:t>
      </w:r>
      <w:r>
        <w:tab/>
        <w:t>The Committee further affirms that article 1, paragraph 2, must not be interpreted to detract in any way from the rights and freedoms recognized and enunciated in other instruments, especially the Universal Declaration of Human Rights, the International Covenant on Economic, Social and Cultural Rights and the International Covenant on Civil and Political Rights.</w:t>
      </w:r>
    </w:p>
    <w:p w:rsidR="00000000" w:rsidRDefault="00000000">
      <w:pPr>
        <w:pStyle w:val="Heading2"/>
      </w:pPr>
      <w:r>
        <w:t>Forty-second session (1993)</w:t>
      </w:r>
      <w:r>
        <w:rPr>
          <w:b w:val="0"/>
          <w:bCs/>
        </w:rPr>
        <w:t>*</w:t>
      </w:r>
    </w:p>
    <w:p w:rsidR="00000000" w:rsidRDefault="00000000">
      <w:pPr>
        <w:pStyle w:val="Heading2"/>
      </w:pPr>
      <w:bookmarkStart w:id="218" w:name="_Toc481083440"/>
      <w:bookmarkStart w:id="219" w:name="_Toc70389039"/>
      <w:bookmarkStart w:id="220" w:name="_Toc70516997"/>
      <w:r>
        <w:t>General recommendation XII on successor States</w:t>
      </w:r>
      <w:bookmarkEnd w:id="218"/>
      <w:bookmarkEnd w:id="219"/>
      <w:bookmarkEnd w:id="220"/>
    </w:p>
    <w:p w:rsidR="00000000" w:rsidRDefault="00000000">
      <w:r>
        <w:tab/>
      </w:r>
      <w:r>
        <w:rPr>
          <w:i/>
        </w:rPr>
        <w:t>The Committee on the Elimination of Racial Discrimination</w:t>
      </w:r>
      <w:r>
        <w:t>,</w:t>
      </w:r>
    </w:p>
    <w:p w:rsidR="00000000" w:rsidRDefault="00000000">
      <w:r>
        <w:tab/>
      </w:r>
      <w:r>
        <w:rPr>
          <w:i/>
        </w:rPr>
        <w:t>Emphasizing</w:t>
      </w:r>
      <w:r>
        <w:t xml:space="preserve"> the importance of universal participation of States in the International Convention on the Elimination of All Forms of Racial Discrimination,</w:t>
      </w:r>
    </w:p>
    <w:p w:rsidR="00000000" w:rsidRDefault="00000000">
      <w:r>
        <w:tab/>
      </w:r>
      <w:r>
        <w:rPr>
          <w:i/>
        </w:rPr>
        <w:t>Taking into account</w:t>
      </w:r>
      <w:r>
        <w:t xml:space="preserve"> the emergence of successor States as a result of the dissolution of States,</w:t>
      </w:r>
    </w:p>
    <w:p w:rsidR="00000000" w:rsidRDefault="00000000">
      <w:r>
        <w:tab/>
        <w:t>1.</w:t>
      </w:r>
      <w:r>
        <w:tab/>
      </w:r>
      <w:r>
        <w:rPr>
          <w:i/>
        </w:rPr>
        <w:t>Encourages</w:t>
      </w:r>
      <w:r>
        <w:t xml:space="preserve"> successor States that have not yet done so to confirm to the Secretary</w:t>
      </w:r>
      <w:r>
        <w:noBreakHyphen/>
        <w:t>General, as depositary of the International Convention on the Elimination of All Forms of Racial Discrimination, that they continue to be bound by obligations under that Convention, if predecessor States were parties to it;</w:t>
      </w:r>
    </w:p>
    <w:p w:rsidR="00000000" w:rsidRDefault="00000000">
      <w:r>
        <w:tab/>
        <w:t>2.</w:t>
      </w:r>
      <w:r>
        <w:tab/>
      </w:r>
      <w:r>
        <w:rPr>
          <w:i/>
        </w:rPr>
        <w:t>Invites</w:t>
      </w:r>
      <w:r>
        <w:t xml:space="preserve"> successor States that have not yet done so to accede to the International Convention on the Elimination of All Forms of Racial Discrimination if predecessor States were not parties to it;</w:t>
      </w:r>
    </w:p>
    <w:p w:rsidR="00000000" w:rsidRDefault="00000000">
      <w:r>
        <w:tab/>
        <w:t>3.</w:t>
      </w:r>
      <w:r>
        <w:tab/>
      </w:r>
      <w:r>
        <w:rPr>
          <w:i/>
        </w:rPr>
        <w:t>Invites</w:t>
      </w:r>
      <w:r>
        <w:t xml:space="preserve"> successor States to consider the importance of making the declaration under article 14, paragraph 1, of the International Convention on the Elimination of All Forms of Racial Discrimination, recognizing the competence of the Committee on the Elimination of Racial Discrimination to receive and consider individual communications.</w:t>
      </w:r>
    </w:p>
    <w:p w:rsidR="00000000" w:rsidRDefault="00000000">
      <w:pPr>
        <w:pStyle w:val="Heading2"/>
      </w:pPr>
      <w:r>
        <w:t>Forty-second session (1993)</w:t>
      </w:r>
      <w:r>
        <w:rPr>
          <w:rStyle w:val="FootnoteReference"/>
          <w:vertAlign w:val="baseline"/>
        </w:rPr>
        <w:footnoteReference w:customMarkFollows="1" w:id="33"/>
        <w:sym w:font="Symbol" w:char="F02A"/>
      </w:r>
    </w:p>
    <w:p w:rsidR="00000000" w:rsidRDefault="00000000">
      <w:pPr>
        <w:pStyle w:val="Heading2"/>
      </w:pPr>
      <w:bookmarkStart w:id="221" w:name="_Toc481083441"/>
      <w:bookmarkStart w:id="222" w:name="_Toc70389040"/>
      <w:bookmarkStart w:id="223" w:name="_Toc70516998"/>
      <w:r>
        <w:t>General recommendation XIII on the training of law enforcement</w:t>
      </w:r>
      <w:r>
        <w:br/>
        <w:t>officials in the protection of human rights</w:t>
      </w:r>
      <w:bookmarkEnd w:id="221"/>
      <w:bookmarkEnd w:id="222"/>
      <w:bookmarkEnd w:id="223"/>
    </w:p>
    <w:p w:rsidR="00000000" w:rsidRDefault="00000000">
      <w:r>
        <w:t>1.</w:t>
      </w:r>
      <w:r>
        <w:tab/>
        <w:t>In accordance with article 2, paragraph 1, of the International Convention on the Elimination of All Forms of Racial Discrimination, States parties have undertaken that all public authorities and public institutions, national and local, will not engage in any practice of racial discrimination; further, States parties have undertaken to guarantee the rights listed in article 5 of the Convention to everyone without distinction as to race, colour or national or ethnic origin.</w:t>
      </w:r>
    </w:p>
    <w:p w:rsidR="00000000" w:rsidRDefault="00000000">
      <w:r>
        <w:t>2.</w:t>
      </w:r>
      <w:r>
        <w:tab/>
        <w:t>The fulfilment of these obligations very much depends upon national law enforcement officials who exercise police powers, especially the powers of detention or arrest, and upon whether they are properly informed about the obligations their State has entered into under the Convention.  Law enforcement officials should receive intensive training to ensure that in the performance of their duties they respect as well as protect human dignity and maintain and uphold the human rights of all persons without distinction as to race, colour or national or ethnic origin.</w:t>
      </w:r>
    </w:p>
    <w:p w:rsidR="00000000" w:rsidRDefault="00000000">
      <w:r>
        <w:t>3.</w:t>
      </w:r>
      <w:r>
        <w:tab/>
        <w:t>In the implementation of article 7 of the Convention, the Committee calls upon States parties to review and improve the training of law enforcement officials so that the standards of the Convention as well as the Code of Conduct for Law Enforcement Officials (1979) are fully implemented.  They should also include respective information thereupon in their periodic reports.</w:t>
      </w:r>
    </w:p>
    <w:p w:rsidR="00000000" w:rsidRDefault="00000000">
      <w:pPr>
        <w:pStyle w:val="Heading2"/>
      </w:pPr>
      <w:r>
        <w:t>Forty-second session (1993)</w:t>
      </w:r>
      <w:r>
        <w:rPr>
          <w:b w:val="0"/>
          <w:bCs/>
        </w:rPr>
        <w:t>*</w:t>
      </w:r>
    </w:p>
    <w:p w:rsidR="00000000" w:rsidRDefault="00000000">
      <w:pPr>
        <w:pStyle w:val="Heading2"/>
      </w:pPr>
      <w:bookmarkStart w:id="224" w:name="_Toc481083442"/>
      <w:bookmarkStart w:id="225" w:name="_Toc70389041"/>
      <w:bookmarkStart w:id="226" w:name="_Toc70516999"/>
      <w:r>
        <w:t>General recommendation XIV on article 1, paragraph 1, of the Convention</w:t>
      </w:r>
      <w:bookmarkEnd w:id="224"/>
      <w:bookmarkEnd w:id="225"/>
      <w:bookmarkEnd w:id="226"/>
    </w:p>
    <w:p w:rsidR="00000000" w:rsidRDefault="00000000">
      <w:r>
        <w:t>1.</w:t>
      </w:r>
      <w:r>
        <w:tab/>
        <w:t>Non-discrimination, together with equality before the law and equal protection of the law without any discrimination, constitutes a basic principle in the protection of human rights.  The Committee wishes to draw the attention of States parties to certain features of the definition of racial discrimination in article 1, paragraph 1, of the International Convention on the Elimination of All Forms of Racial Discrimination.  It is of the opinion that the words “based on” do not bear any meaning different from “on the grounds of” in preambular paragraph 7.  A distinction is contrary to the Convention if it has either the purpose or the effect of impairing particular rights and freedoms.  This is confirmed by the obligation placed upon States parties by article 2, paragraph 1 (c), to nullify any law or practice which has the effect of creating or perpetuating racial discrimination.</w:t>
      </w:r>
    </w:p>
    <w:p w:rsidR="00000000" w:rsidRDefault="00000000">
      <w:r>
        <w:br w:type="page"/>
        <w:t>2.</w:t>
      </w:r>
      <w:r>
        <w:tab/>
        <w:t>The Committee observes that a differentiation of treatment will not constitute discrimination if the criteria for such differentiation, judged against the objectives and purposes of the Convention, are legitimate or fall within the scope of article 1, paragraph 4, of the Convention.  In considering the criteria that may have been employed, the Committee will acknowledge that particular actions may have varied purposes.  In seeking to determine whether an action has an effect contrary to the Convention, it will look to see whether that action has an unjustifiable disparate impact upon a group distinguished by race, colour, descent, or national or ethnic origin.</w:t>
      </w:r>
    </w:p>
    <w:p w:rsidR="00000000" w:rsidRDefault="00000000">
      <w:r>
        <w:t>3.</w:t>
      </w:r>
      <w:r>
        <w:tab/>
        <w:t>Article 1, paragraph 1, of the Convention also refers to the political, economic, social and cultural fields; the related rights and freedoms are set up in article 5.</w:t>
      </w:r>
    </w:p>
    <w:p w:rsidR="00000000" w:rsidRDefault="00000000">
      <w:pPr>
        <w:pStyle w:val="Heading2"/>
      </w:pPr>
      <w:r>
        <w:t>Forty-second session (1993)</w:t>
      </w:r>
      <w:r>
        <w:rPr>
          <w:rStyle w:val="FootnoteReference"/>
          <w:vertAlign w:val="baseline"/>
        </w:rPr>
        <w:footnoteReference w:customMarkFollows="1" w:id="34"/>
        <w:t>*</w:t>
      </w:r>
    </w:p>
    <w:p w:rsidR="00000000" w:rsidRDefault="00000000">
      <w:pPr>
        <w:pStyle w:val="Heading2"/>
      </w:pPr>
      <w:bookmarkStart w:id="227" w:name="_Toc481083443"/>
      <w:bookmarkStart w:id="228" w:name="_Toc70389042"/>
      <w:bookmarkStart w:id="229" w:name="_Toc70517000"/>
      <w:r>
        <w:t>General recommendation XV on article 4 of the Convention</w:t>
      </w:r>
      <w:bookmarkEnd w:id="227"/>
      <w:bookmarkEnd w:id="228"/>
      <w:bookmarkEnd w:id="229"/>
    </w:p>
    <w:p w:rsidR="00000000" w:rsidRDefault="00000000">
      <w:r>
        <w:t>1.</w:t>
      </w:r>
      <w:r>
        <w:tab/>
        <w:t>When the International Convention on the Elimination of All Forms of Racial Discrimination was being adopted, article 4 was regarded as central to the struggle against racial discrimination.  At that time, there was a widespread fear of the revival of authoritarian ideologies.  The proscription of the dissemination of ideas of racial superiority, and of organized activity likely to incite persons to racial violence, was properly regarded as crucial.  Since that time, the Committee has received evidence of organized violence based on ethnic origin and the political exploitation of ethnic difference.  As a result, implementation of article 4 is now of increased importance.</w:t>
      </w:r>
    </w:p>
    <w:p w:rsidR="00000000" w:rsidRDefault="00000000">
      <w:r>
        <w:t>2.</w:t>
      </w:r>
      <w:r>
        <w:tab/>
        <w:t>The Committee recalls its general recommendation VII in which it explained that the provisions of article 4 are of a mandatory character.  To satisfy these obligations, States parties have not only to enact appropriate legislation but also to ensure that it is effectively enforced.  Because threats and acts of racial violence easily lead to other such acts and generate an atmosphere of hostility, only immediate intervention can meet the obligations of effective response.</w:t>
      </w:r>
    </w:p>
    <w:p w:rsidR="00000000" w:rsidRDefault="00000000">
      <w:r>
        <w:t>3.</w:t>
      </w:r>
      <w:r>
        <w:tab/>
        <w:t>Article 4 (a) requires States parties to penalize four categories of misconduct:  (i) dissemination of ideas based upon racial superiority or hatred; (ii) incitement to racial hatred; (iii) acts of violence against any race or group of persons of another colour or ethnic origin; and (iv) incitement to such acts.</w:t>
      </w:r>
    </w:p>
    <w:p w:rsidR="00000000" w:rsidRDefault="00000000">
      <w:r>
        <w:t>4.</w:t>
      </w:r>
      <w:r>
        <w:tab/>
        <w:t xml:space="preserve">In the opinion of the Committee, the prohibition of the dissemination of all ideas based upon racial superiority or hatred is compatible with the right to freedom of opinion and expression.  This right is embodied in article 19 of the Universal Declaration of Human Rights and is recalled in article 5 (d) (viii) of the International Convention on the Elimination of All Forms of Racial Discrimination.  Its relevance to article 4 is noted in the article itself.  The citizen’s exercise of this right carries special duties and responsibilities, specified in article 29, </w:t>
      </w:r>
    </w:p>
    <w:p w:rsidR="00000000" w:rsidRDefault="00000000">
      <w:r>
        <w:br w:type="page"/>
        <w:t>paragraph 2, of the Universal Declaration, among which the obligation not to disseminate racist ideas is of particular importance.  The Committee wishes, furthermore, to draw to the attention of States parties article 20 of the International Covenant on Civil and Political Rights, according to which any advocacy of national, racial or religious hatred that constitutes incitement to discrimination, hostility or violence shall be prohibited by law.</w:t>
      </w:r>
    </w:p>
    <w:p w:rsidR="00000000" w:rsidRDefault="00000000">
      <w:r>
        <w:t>5.</w:t>
      </w:r>
      <w:r>
        <w:tab/>
        <w:t>Article 4 (a) also penalizes the financing of racist activities, which the Committee takes to include all the activities mentioned in paragraph 3 above, that is to say, activities deriving from ethnic as well as racial differences.  The Committee calls upon States parties to investigate whether their national law and its implementation meet this requirement.</w:t>
      </w:r>
    </w:p>
    <w:p w:rsidR="00000000" w:rsidRDefault="00000000">
      <w:r>
        <w:t>6.</w:t>
      </w:r>
      <w:r>
        <w:tab/>
        <w:t>Some States have maintained that in their legal order it is inappropriate to declare illegal an organization before its members have promoted or incited racial discrimination.  The Committee is of the opinion that article 4 (b) places a greater burden upon such States to be vigilant in proceeding against such organizations at the earliest moment.  These organizations, as well as organized and other propaganda activities, have to be declared illegal and prohibited.  Participation in these organizations is, of itself, to be punished.</w:t>
      </w:r>
    </w:p>
    <w:p w:rsidR="00000000" w:rsidRDefault="00000000">
      <w:r>
        <w:t>7.</w:t>
      </w:r>
      <w:r>
        <w:tab/>
        <w:t>Article 4 (c) of the Convention outlines the obligations of public authorities.  Public authorities at all administrative levels, including municipalities, are bound by this paragraph.  The Committee holds that States parties must ensure that they observe these obligations and report on this.</w:t>
      </w:r>
    </w:p>
    <w:p w:rsidR="00000000" w:rsidRDefault="00000000">
      <w:pPr>
        <w:pStyle w:val="Heading2"/>
      </w:pPr>
      <w:r>
        <w:t>Forty-second session (1993)</w:t>
      </w:r>
      <w:r>
        <w:rPr>
          <w:rStyle w:val="FootnoteReference"/>
          <w:vertAlign w:val="baseline"/>
        </w:rPr>
        <w:footnoteReference w:customMarkFollows="1" w:id="35"/>
        <w:sym w:font="Symbol" w:char="F02A"/>
      </w:r>
    </w:p>
    <w:p w:rsidR="00000000" w:rsidRDefault="00000000">
      <w:pPr>
        <w:pStyle w:val="Heading2"/>
      </w:pPr>
      <w:bookmarkStart w:id="230" w:name="_Toc481083444"/>
      <w:bookmarkStart w:id="231" w:name="_Toc70389043"/>
      <w:bookmarkStart w:id="232" w:name="_Toc70517001"/>
      <w:r>
        <w:t xml:space="preserve">General recommendation XVI concerning the application </w:t>
      </w:r>
      <w:r>
        <w:br/>
        <w:t>of article 9 of the Convention</w:t>
      </w:r>
      <w:bookmarkEnd w:id="230"/>
      <w:bookmarkEnd w:id="231"/>
      <w:bookmarkEnd w:id="232"/>
    </w:p>
    <w:p w:rsidR="00000000" w:rsidRDefault="00000000">
      <w:r>
        <w:t>1.</w:t>
      </w:r>
      <w:r>
        <w:tab/>
        <w:t>Under article 9 of the International Convention on the Elimination of All Forms of Racial Discrimination, States parties have undertaken to submit, through the Secretary-General of the United Nations, for consideration by the Committee, reports on measures taken by them to give effect to the provisions of the Convention.</w:t>
      </w:r>
    </w:p>
    <w:p w:rsidR="00000000" w:rsidRDefault="00000000">
      <w:r>
        <w:t>2.</w:t>
      </w:r>
      <w:r>
        <w:tab/>
        <w:t>With respect to this obligation of the States parties, the Committee has noted that, on some occasions, reports have made references to situations existing in other States.</w:t>
      </w:r>
    </w:p>
    <w:p w:rsidR="00000000" w:rsidRDefault="00000000">
      <w:r>
        <w:t>3.</w:t>
      </w:r>
      <w:r>
        <w:tab/>
        <w:t>For this reason, the Committee wishes to remind States parties of the provisions of article 9 of the Convention concerning the content of their reports, while bearing in mind article 11, which is the only procedural means available to States for drawing to the attention of the Committee situations in which they consider that some other State is not giving effect to the provisions of the Convention.</w:t>
      </w:r>
    </w:p>
    <w:p w:rsidR="00000000" w:rsidRDefault="00000000">
      <w:pPr>
        <w:pStyle w:val="Heading2"/>
      </w:pPr>
      <w:r>
        <w:t>Forty-second session (1993)</w:t>
      </w:r>
      <w:r>
        <w:rPr>
          <w:rStyle w:val="FootnoteReference"/>
          <w:vertAlign w:val="baseline"/>
        </w:rPr>
        <w:footnoteReference w:customMarkFollows="1" w:id="36"/>
        <w:sym w:font="Symbol" w:char="F02A"/>
      </w:r>
    </w:p>
    <w:p w:rsidR="00000000" w:rsidRDefault="00000000">
      <w:pPr>
        <w:pStyle w:val="Heading2"/>
      </w:pPr>
      <w:bookmarkStart w:id="233" w:name="_Toc481083445"/>
      <w:bookmarkStart w:id="234" w:name="_Toc70389044"/>
      <w:bookmarkStart w:id="235" w:name="_Toc70517002"/>
      <w:r>
        <w:t>General recommendation XVII on the establishment of national</w:t>
      </w:r>
      <w:r>
        <w:br/>
        <w:t>institutions to facilitate the implementation of the Convention</w:t>
      </w:r>
      <w:bookmarkEnd w:id="233"/>
      <w:bookmarkEnd w:id="234"/>
      <w:bookmarkEnd w:id="235"/>
    </w:p>
    <w:p w:rsidR="00000000" w:rsidRDefault="00000000">
      <w:r>
        <w:tab/>
      </w:r>
      <w:r>
        <w:rPr>
          <w:i/>
        </w:rPr>
        <w:t>The Committee on the Elimination of Racial Discrimination</w:t>
      </w:r>
      <w:r>
        <w:t>,</w:t>
      </w:r>
    </w:p>
    <w:p w:rsidR="00000000" w:rsidRDefault="00000000">
      <w:r>
        <w:tab/>
      </w:r>
      <w:r>
        <w:rPr>
          <w:i/>
        </w:rPr>
        <w:t>Considering</w:t>
      </w:r>
      <w:r>
        <w:t xml:space="preserve"> the practice of States parties concerning the implementation of the International Convention on the Elimination of All Forms of Racial Discrimination,</w:t>
      </w:r>
    </w:p>
    <w:p w:rsidR="00000000" w:rsidRDefault="00000000">
      <w:r>
        <w:tab/>
      </w:r>
      <w:r>
        <w:rPr>
          <w:i/>
        </w:rPr>
        <w:t>Convinced</w:t>
      </w:r>
      <w:r>
        <w:t xml:space="preserve"> of the necessity to encourage further the establishment of national institutions to facilitate the implementation of the Convention,</w:t>
      </w:r>
    </w:p>
    <w:p w:rsidR="00000000" w:rsidRDefault="00000000">
      <w:r>
        <w:tab/>
      </w:r>
      <w:r>
        <w:rPr>
          <w:i/>
        </w:rPr>
        <w:t>Emphasizing</w:t>
      </w:r>
      <w:r>
        <w:t xml:space="preserve"> the need to strengthen further the implementation of the Convention,</w:t>
      </w:r>
    </w:p>
    <w:p w:rsidR="00000000" w:rsidRDefault="00000000">
      <w:r>
        <w:tab/>
        <w:t>1.</w:t>
      </w:r>
      <w:r>
        <w:tab/>
      </w:r>
      <w:r>
        <w:rPr>
          <w:i/>
        </w:rPr>
        <w:t>Recommends</w:t>
      </w:r>
      <w:r>
        <w:t xml:space="preserve"> that States parties establish national commissions or other appropriate bodies, taking into account, mutatis mutandis, the principles relating to the status of national institutions annexed to Commission on Human Rights resolution 1992/54 of 3 March 1992, to serve, inter alia, the following purposes:</w:t>
      </w:r>
    </w:p>
    <w:p w:rsidR="00000000" w:rsidRDefault="00000000">
      <w:r>
        <w:tab/>
        <w:t>(a)</w:t>
      </w:r>
      <w:r>
        <w:tab/>
        <w:t>To promote respect for the enjoyment of human rights without any discrimination, as expressly set out in article 5 of the International Convention on the Elimination of All Forms of Racial Discrimination;</w:t>
      </w:r>
    </w:p>
    <w:p w:rsidR="00000000" w:rsidRDefault="00000000">
      <w:r>
        <w:tab/>
        <w:t>(b)</w:t>
      </w:r>
      <w:r>
        <w:tab/>
        <w:t>To review government policy towards protection against racial discrimination;</w:t>
      </w:r>
    </w:p>
    <w:p w:rsidR="00000000" w:rsidRDefault="00000000">
      <w:r>
        <w:tab/>
        <w:t>(c)</w:t>
      </w:r>
      <w:r>
        <w:tab/>
        <w:t>To monitor legislative compliance with the provisions of the Convention;</w:t>
      </w:r>
    </w:p>
    <w:p w:rsidR="00000000" w:rsidRDefault="00000000">
      <w:r>
        <w:tab/>
        <w:t>(d)</w:t>
      </w:r>
      <w:r>
        <w:tab/>
        <w:t>To educate the public about the obligations of States parties under the Convention;</w:t>
      </w:r>
    </w:p>
    <w:p w:rsidR="00000000" w:rsidRDefault="00000000">
      <w:r>
        <w:tab/>
        <w:t>(e)</w:t>
      </w:r>
      <w:r>
        <w:tab/>
        <w:t>To assist the Government in the preparation of reports submitted to the Committee on the Elimination of Racial Discrimination;</w:t>
      </w:r>
    </w:p>
    <w:p w:rsidR="00000000" w:rsidRDefault="00000000">
      <w:r>
        <w:tab/>
        <w:t>2.</w:t>
      </w:r>
      <w:r>
        <w:tab/>
      </w:r>
      <w:r>
        <w:rPr>
          <w:i/>
        </w:rPr>
        <w:t>Also recommends</w:t>
      </w:r>
      <w:r>
        <w:t xml:space="preserve"> that, where such commissions have been established, they should be associated with the preparation of reports and possibly included in government delegations in order to intensify the dialogue between the Committee and the State party concerned.</w:t>
      </w:r>
    </w:p>
    <w:p w:rsidR="00000000" w:rsidRDefault="00000000">
      <w:pPr>
        <w:pStyle w:val="Heading2"/>
      </w:pPr>
      <w:r>
        <w:t>Forty-fourth session (1994)</w:t>
      </w:r>
      <w:r>
        <w:rPr>
          <w:rStyle w:val="FootnoteReference"/>
          <w:vertAlign w:val="baseline"/>
        </w:rPr>
        <w:footnoteReference w:customMarkFollows="1" w:id="37"/>
        <w:sym w:font="Symbol" w:char="F02A"/>
      </w:r>
    </w:p>
    <w:p w:rsidR="00000000" w:rsidRDefault="00000000">
      <w:pPr>
        <w:pStyle w:val="Heading2"/>
      </w:pPr>
      <w:bookmarkStart w:id="236" w:name="_Toc481083446"/>
      <w:bookmarkStart w:id="237" w:name="_Toc70389045"/>
      <w:bookmarkStart w:id="238" w:name="_Toc70517003"/>
      <w:r>
        <w:t>General recommendation XVIII on the establishment of an international</w:t>
      </w:r>
      <w:r>
        <w:br/>
        <w:t>tribunal to prosecute crimes against humanity</w:t>
      </w:r>
      <w:bookmarkEnd w:id="236"/>
      <w:bookmarkEnd w:id="237"/>
      <w:bookmarkEnd w:id="238"/>
    </w:p>
    <w:p w:rsidR="00000000" w:rsidRDefault="00000000">
      <w:r>
        <w:tab/>
      </w:r>
      <w:r>
        <w:rPr>
          <w:i/>
        </w:rPr>
        <w:t>The Committee on the Elimination of Racial Discrimination,</w:t>
      </w:r>
    </w:p>
    <w:p w:rsidR="00000000" w:rsidRDefault="00000000">
      <w:r>
        <w:tab/>
      </w:r>
      <w:r>
        <w:rPr>
          <w:i/>
        </w:rPr>
        <w:t>Alarmed</w:t>
      </w:r>
      <w:r>
        <w:t xml:space="preserve"> at the increasing number of racially and ethnically motivated massacres and atrocities occurring in different regions of the world,</w:t>
      </w:r>
    </w:p>
    <w:p w:rsidR="00000000" w:rsidRDefault="00000000">
      <w:r>
        <w:tab/>
      </w:r>
      <w:r>
        <w:rPr>
          <w:i/>
        </w:rPr>
        <w:t>Convinced</w:t>
      </w:r>
      <w:r>
        <w:t xml:space="preserve"> that the impunity of the perpetrators is a major factor contributing to the occurrence and recurrence of these crimes,</w:t>
      </w:r>
    </w:p>
    <w:p w:rsidR="00000000" w:rsidRDefault="00000000">
      <w:r>
        <w:tab/>
      </w:r>
      <w:r>
        <w:rPr>
          <w:i/>
        </w:rPr>
        <w:t>Convinced</w:t>
      </w:r>
      <w:r>
        <w:t xml:space="preserve"> of the need to establish, as quickly as possible, an international tribunal with general jurisdiction to prosecute genocide, crimes against humanity and grave breaches of the Geneva Conventions of 1949 and the Additional Protocols of 1977 thereto,</w:t>
      </w:r>
    </w:p>
    <w:p w:rsidR="00000000" w:rsidRDefault="00000000">
      <w:r>
        <w:tab/>
      </w:r>
      <w:r>
        <w:rPr>
          <w:i/>
        </w:rPr>
        <w:t>Taking into account</w:t>
      </w:r>
      <w:r>
        <w:t xml:space="preserve"> the work already done on this question by the International Law Commission and the encouragement given in this regard by the General Assembly in its resolution 48/31 of 9 December 1993,</w:t>
      </w:r>
    </w:p>
    <w:p w:rsidR="00000000" w:rsidRDefault="00000000">
      <w:r>
        <w:tab/>
      </w:r>
      <w:r>
        <w:rPr>
          <w:i/>
        </w:rPr>
        <w:t>Also taking into account</w:t>
      </w:r>
      <w:r>
        <w:t xml:space="preserve"> Security Council resolution 872 (1993) of 25 May 1993 establishing an international tribunal for the purpose of prosecuting persons responsible for serious violations of international humanitarian law committed in the territory of the former Yugoslavia,</w:t>
      </w:r>
    </w:p>
    <w:p w:rsidR="00000000" w:rsidRDefault="00000000">
      <w:r>
        <w:tab/>
        <w:t>1.</w:t>
      </w:r>
      <w:r>
        <w:tab/>
      </w:r>
      <w:r>
        <w:rPr>
          <w:i/>
        </w:rPr>
        <w:t>Considers</w:t>
      </w:r>
      <w:r>
        <w:t xml:space="preserve"> that an international tribunal with general jurisdiction should be established urgently to prosecute genocide, crimes against humanity, including murder, extermination, enslavement, deportation, imprisonment, torture, rape, persecutions on political, racial and religious grounds and other inhumane acts directed against any civilian population, and grave breaches of the Geneva Conventions of 1949 and the Additional Protocols of 1977 thereto;</w:t>
      </w:r>
    </w:p>
    <w:p w:rsidR="00000000" w:rsidRDefault="00000000">
      <w:r>
        <w:tab/>
        <w:t>2.</w:t>
      </w:r>
      <w:r>
        <w:tab/>
      </w:r>
      <w:r>
        <w:rPr>
          <w:i/>
        </w:rPr>
        <w:t>Urges</w:t>
      </w:r>
      <w:r>
        <w:t xml:space="preserve"> the Secretary-General to bring the present recommendation to the attention of the competent organs and bodies of the United Nations, including the Security Council;</w:t>
      </w:r>
    </w:p>
    <w:p w:rsidR="00000000" w:rsidRDefault="00000000">
      <w:r>
        <w:tab/>
        <w:t>3.</w:t>
      </w:r>
      <w:r>
        <w:tab/>
      </w:r>
      <w:r>
        <w:rPr>
          <w:i/>
        </w:rPr>
        <w:t>Requests</w:t>
      </w:r>
      <w:r>
        <w:t xml:space="preserve"> the High Commissioner for Human Rights to ensure that all relevant information pertaining to the crimes referred to in paragraph 1 is systematically collected by the Centre for Human Rights so that it can be readily available to the international tribunal as soon as it is established.</w:t>
      </w:r>
    </w:p>
    <w:p w:rsidR="00000000" w:rsidRDefault="00000000">
      <w:pPr>
        <w:pStyle w:val="Heading2"/>
      </w:pPr>
      <w:r>
        <w:t>Forty-seventh session (1995)</w:t>
      </w:r>
      <w:r>
        <w:rPr>
          <w:rStyle w:val="FootnoteReference"/>
          <w:vertAlign w:val="baseline"/>
        </w:rPr>
        <w:footnoteReference w:customMarkFollows="1" w:id="38"/>
        <w:sym w:font="Symbol" w:char="F02A"/>
      </w:r>
    </w:p>
    <w:p w:rsidR="00000000" w:rsidRDefault="00000000">
      <w:pPr>
        <w:pStyle w:val="Heading2"/>
      </w:pPr>
      <w:bookmarkStart w:id="239" w:name="_Toc481083447"/>
      <w:bookmarkStart w:id="240" w:name="_Toc70389046"/>
      <w:bookmarkStart w:id="241" w:name="_Toc70517004"/>
      <w:r>
        <w:t>General recommendation XIX on article 3 of the Convention</w:t>
      </w:r>
      <w:bookmarkEnd w:id="239"/>
      <w:bookmarkEnd w:id="240"/>
      <w:bookmarkEnd w:id="241"/>
    </w:p>
    <w:p w:rsidR="00000000" w:rsidRDefault="00000000">
      <w:r>
        <w:t>1.</w:t>
      </w:r>
      <w:r>
        <w:tab/>
        <w:t>The Committee on the Elimination of Racial Discrimination calls the attention of States parties to the wording of article 3, by which States parties undertake to prevent, prohibit and eradicate all practices of racial segregation and apartheid in territories under their jurisdiction.  The reference to apartheid may have been directed exclusively to South Africa, but the article as adopted prohibits all forms of racial segregation in all countries.</w:t>
      </w:r>
    </w:p>
    <w:p w:rsidR="00000000" w:rsidRDefault="00000000">
      <w:r>
        <w:t>2.</w:t>
      </w:r>
      <w:r>
        <w:tab/>
        <w:t>The Committee believes that the obligation to eradicate all practices of this nature includes the obligation to eradicate the consequences of such practices undertaken or tolerated by previous Governments in the State or imposed by forces outside the State.</w:t>
      </w:r>
    </w:p>
    <w:p w:rsidR="00000000" w:rsidRDefault="00000000">
      <w:r>
        <w:t>3.</w:t>
      </w:r>
      <w:r>
        <w:tab/>
        <w:t>The Committee observes that while conditions of complete or partial racial segregation may in some countries have been created by governmental policies, a condition of partial segregation may also arise as an unintended by-product of the actions of private persons.  In many cities residential patterns are influenced by group differences in income, which are sometimes combined with differences of race, colour, descent and national or ethnic origin, so that inhabitants can be stigmatized and individuals suffer a form of discrimination in which racial grounds are mixed with other grounds.</w:t>
      </w:r>
    </w:p>
    <w:p w:rsidR="00000000" w:rsidRDefault="00000000">
      <w:r>
        <w:t>4.</w:t>
      </w:r>
      <w:r>
        <w:tab/>
        <w:t>The Committee therefore affirms that a condition of racial segregation can also arise without any initiative or direct involvement by the public authorities.  It invites States parties to monitor all trends which can give rise to racial segregation, to work for the eradication of any negative consequences that ensue, and to describe any such action in their periodic reports.</w:t>
      </w:r>
    </w:p>
    <w:p w:rsidR="00000000" w:rsidRDefault="00000000">
      <w:pPr>
        <w:pStyle w:val="Heading2"/>
      </w:pPr>
      <w:r>
        <w:t>Forty-eighth session (1996)</w:t>
      </w:r>
      <w:r>
        <w:rPr>
          <w:rStyle w:val="FootnoteReference"/>
          <w:vertAlign w:val="baseline"/>
        </w:rPr>
        <w:footnoteReference w:customMarkFollows="1" w:id="39"/>
        <w:sym w:font="Symbol" w:char="F02A"/>
      </w:r>
      <w:r>
        <w:rPr>
          <w:rStyle w:val="FootnoteReference"/>
          <w:vertAlign w:val="baseline"/>
        </w:rPr>
        <w:sym w:font="Symbol" w:char="F02A"/>
      </w:r>
    </w:p>
    <w:p w:rsidR="00000000" w:rsidRDefault="00000000">
      <w:pPr>
        <w:pStyle w:val="Heading2"/>
      </w:pPr>
      <w:bookmarkStart w:id="242" w:name="_Toc481083448"/>
      <w:bookmarkStart w:id="243" w:name="_Toc70389047"/>
      <w:bookmarkStart w:id="244" w:name="_Toc70517005"/>
      <w:r>
        <w:t>General recommendation XX on article 5 of the Convention</w:t>
      </w:r>
      <w:bookmarkEnd w:id="242"/>
      <w:bookmarkEnd w:id="243"/>
      <w:bookmarkEnd w:id="244"/>
    </w:p>
    <w:p w:rsidR="00000000" w:rsidRDefault="00000000">
      <w:r>
        <w:t>1.</w:t>
      </w:r>
      <w:r>
        <w:tab/>
        <w:t xml:space="preserve">Article 5 of the Convention contains the obligation of States parties to guarantee the enjoyment of civil, political, economic, social and cultural rights and freedoms without racial discrimination.  Note should be taken that the rights and freedoms mentioned in article 5 do not constitute an exhaustive list.  At the head of these rights and freedoms are those deriving from the Charter of the United Nations and the Universal Declaration of Human Rights, as recalled in the preamble to the Convention.  Most of these rights have been elaborated in the International Covenants on Human Rights.  All States parties are therefore obliged to acknowledge and protect the enjoyment of human rights, but the manner in which these obligations are translated into the legal orders of States parties may differ.  Article 5 of the Convention, apart from requiring a </w:t>
      </w:r>
      <w:r>
        <w:br w:type="page"/>
        <w:t>guarantee that the exercise of human rights shall be free from racial discrimination, does not of itself create civil, political, economic, social or cultural rights, but assumes the existence and recognition of these rights.  The Convention obliges States to prohibit and eliminate racial discrimination in the enjoyment of such human rights.</w:t>
      </w:r>
    </w:p>
    <w:p w:rsidR="00000000" w:rsidRDefault="00000000">
      <w:r>
        <w:t>2.</w:t>
      </w:r>
      <w:r>
        <w:tab/>
        <w:t>Whenever a State imposes a restriction upon one of the rights listed in article 5 of the Convention which applies ostensibly to all within its jurisdiction, it must ensure that neither in purpose nor effect is the restriction incompatible with article 1 of the Convention as an integral part of international human rights standards.  To ascertain whether this is the case, the Committee is obliged to inquire further to make sure that any such restriction does not entail racial discrimination.</w:t>
      </w:r>
    </w:p>
    <w:p w:rsidR="00000000" w:rsidRDefault="00000000">
      <w:r>
        <w:t>3.</w:t>
      </w:r>
      <w:r>
        <w:tab/>
        <w:t>Many of the rights and freedoms mentioned in article 5, such as the right to equal treatment before tribunals, are to be enjoyed by all persons living in a given State; others such as the right to participate in elections, to vote and to stand for election are the rights of citizens.</w:t>
      </w:r>
    </w:p>
    <w:p w:rsidR="00000000" w:rsidRDefault="00000000">
      <w:r>
        <w:t>4.</w:t>
      </w:r>
      <w:r>
        <w:tab/>
        <w:t>The States parties are recommended to report about the non-discriminatory implementation of each of the rights and freedoms referred to in article 5 of the Convention one by one.</w:t>
      </w:r>
    </w:p>
    <w:p w:rsidR="00000000" w:rsidRDefault="00000000">
      <w:r>
        <w:t>5.</w:t>
      </w:r>
      <w:r>
        <w:tab/>
        <w:t>The rights and freedoms referred to in article 5 of the Convention and any similar rights shall be protected by a State party.  Such protection may be achieved in different ways, be it by the use of public institutions or through the activities of private institutions.  In any case, it is the obligation of the State party concerned to ensure the effective implementation of the Convention and to report thereon under article 9 of the Convention.  To the extent that private institutions influence the exercise of rights or the availability of opportunities, the State party must ensure that the result has neither the purpose nor the effect of creating or perpetuating racial discrimination.</w:t>
      </w:r>
    </w:p>
    <w:p w:rsidR="00000000" w:rsidRDefault="00000000">
      <w:pPr>
        <w:pStyle w:val="Heading2"/>
      </w:pPr>
      <w:r>
        <w:t>Forty-eighth session (1996)</w:t>
      </w:r>
      <w:r>
        <w:rPr>
          <w:rStyle w:val="FootnoteReference"/>
          <w:vertAlign w:val="baseline"/>
        </w:rPr>
        <w:footnoteReference w:customMarkFollows="1" w:id="40"/>
        <w:sym w:font="Symbol" w:char="F02A"/>
      </w:r>
    </w:p>
    <w:p w:rsidR="00000000" w:rsidRDefault="00000000">
      <w:pPr>
        <w:pStyle w:val="Heading2"/>
      </w:pPr>
      <w:bookmarkStart w:id="245" w:name="_Toc481083449"/>
      <w:bookmarkStart w:id="246" w:name="_Toc70389048"/>
      <w:bookmarkStart w:id="247" w:name="_Toc70517006"/>
      <w:r>
        <w:t>General recommendation XXI on the right to self-determination</w:t>
      </w:r>
      <w:bookmarkEnd w:id="245"/>
      <w:bookmarkEnd w:id="246"/>
      <w:bookmarkEnd w:id="247"/>
    </w:p>
    <w:p w:rsidR="00000000" w:rsidRDefault="00000000">
      <w:r>
        <w:t>1.</w:t>
      </w:r>
      <w:r>
        <w:tab/>
        <w:t>The Committee notes that ethnic or religious groups or minorities frequently refer to the right to self</w:t>
      </w:r>
      <w:r>
        <w:noBreakHyphen/>
        <w:t>determination as a basis for an alleged right to secession.  In this connection the Committee wishes to express the following views.</w:t>
      </w:r>
    </w:p>
    <w:p w:rsidR="00000000" w:rsidRDefault="00000000">
      <w:r>
        <w:t>2.</w:t>
      </w:r>
      <w:r>
        <w:tab/>
        <w:t>The right to self</w:t>
      </w:r>
      <w:r>
        <w:noBreakHyphen/>
        <w:t>determination of peoples is a fundamental principle of international law.  It is enshrined in Article 1 of the Charter of the United Nations, in article 1 of the International Covenant on Economic, Social and Cultural Rights and article 1 of the International Covenant on Civil and Political Rights, as well as in other international human rights instruments.  The International Covenant on Civil and Political Rights provides for the rights of peoples to self</w:t>
      </w:r>
      <w:r>
        <w:noBreakHyphen/>
        <w:t>determination besides the right of ethnic, religious or linguistic minorities to enjoy their own culture, to profess and practise their own religion or to use their own language.</w:t>
      </w:r>
    </w:p>
    <w:p w:rsidR="00000000" w:rsidRDefault="00000000">
      <w:r>
        <w:t>3.</w:t>
      </w:r>
      <w:r>
        <w:tab/>
        <w:t>The Committee emphasizes that in accordance with the Declaration on Principles of International Law concerning Friendly Relations and Cooperation among States in accordance with the Charter of the United Nations, approved by the United Nations General Assembly in its resolution 2625 (XXV) of 24 October 1970, it is the duty of States to promote the right to self</w:t>
      </w:r>
      <w:r>
        <w:noBreakHyphen/>
        <w:t>determination of peoples.  But the implementation of the principle of self</w:t>
      </w:r>
      <w:r>
        <w:noBreakHyphen/>
        <w:t>determination requires every State to promote, through joint and separate action, universal respect for and observance of human rights and fundamental freedoms in accordance with the Charter of the United Nations.  In this context the Committee draws the attention of Governments to the Declaration on the Rights of Persons Belonging to National or Ethnic, Religious and Linguistic Minorities, adopted by the General Assembly in its resolution 47/135 of 18 December 1992.</w:t>
      </w:r>
    </w:p>
    <w:p w:rsidR="00000000" w:rsidRDefault="00000000">
      <w:r>
        <w:t>4.</w:t>
      </w:r>
      <w:r>
        <w:tab/>
        <w:t>In respect of the self</w:t>
      </w:r>
      <w:r>
        <w:noBreakHyphen/>
        <w:t>determination of peoples two aspects have to be distinguished.  The right to self</w:t>
      </w:r>
      <w:r>
        <w:noBreakHyphen/>
        <w:t>determination of peoples has an internal aspect, that is to say, the rights of all peoples to pursue freely their economic, social and cultural development without outside interference.  In that respect there exists a link with the right of every citizen to take part in the conduct of public affairs at any level, as referred to in article 5 (c) of the International Convention on the Elimination of All Forms of Racial Discrimination.  In consequence, Governments are to represent the whole population without distinction as to race, colour, descent or national or ethnic origin.  The external aspect of self</w:t>
      </w:r>
      <w:r>
        <w:noBreakHyphen/>
        <w:t>determination implies that all peoples have the right to determine freely their political status and their place in the international community based upon the principle of equal rights and exemplified by the liberation of peoples from colonialism and by the prohibition to subject peoples to alien subjugation, domination and exploitation.</w:t>
      </w:r>
    </w:p>
    <w:p w:rsidR="00000000" w:rsidRDefault="00000000">
      <w:r>
        <w:t>5.</w:t>
      </w:r>
      <w:r>
        <w:tab/>
        <w:t>In order to respect fully the rights of all peoples within a State, Governments are again called upon to adhere to and implement fully the international human rights instruments and in particular the International Convention on the Elimination of All Forms of Racial Discrimination.  Concern for the protection of individual rights without discrimination on racial, ethnic, tribal, religious or other grounds must guide the policies of Governments.  In accordance with article 2 of the International Convention on the Elimination of All Forms of Racial Discrimination and other relevant international documents, Governments should be sensitive towards the rights of persons belonging to ethnic groups, particularly their right to lead lives of dignity, to preserve their culture, to share equitably in the fruits of national growth and to play their part in the Government of the country of which they are citizens.  Also, Governments should consider, within their respective constitutional frameworks, vesting persons belonging to ethnic or linguistic groups comprised of their citizens, where appropriate, with the right to engage in activities which are particularly relevant to the preservation of the identity of such persons or groups.</w:t>
      </w:r>
    </w:p>
    <w:p w:rsidR="00000000" w:rsidRDefault="00000000">
      <w:r>
        <w:t>6.</w:t>
      </w:r>
      <w:r>
        <w:tab/>
        <w:t>The Committee emphasizes that, in accordance with the Declaration on Friendly Relations, none of the Committee’s actions shall be construed as authorizing or encouraging any action which would dismember or impair, totally or in part, the territorial integrity or political unity of sovereign and independent States conducting themselves in compliance with the principle of equal rights and self</w:t>
      </w:r>
      <w:r>
        <w:noBreakHyphen/>
        <w:t xml:space="preserve">determination of peoples and possessing a Government representing the whole people belonging to the territory, without distinction as to race, creed or </w:t>
      </w:r>
      <w:r>
        <w:br w:type="page"/>
        <w:t>colour.  In the view of the Committee, international law has not recognized a general right of peoples unilaterally to declare secession from a State.  In this respect, the Committee follows the views expressed in An Agenda for Peace (paragraphs 17 and following), namely, that a fragmentation of States may be detrimental to the protection of human rights, as well as to the preservation of peace and security.  This does not, however, exclude the possibility of arrangements reached by free agreements of all parties concerned.</w:t>
      </w:r>
    </w:p>
    <w:p w:rsidR="00000000" w:rsidRDefault="00000000">
      <w:pPr>
        <w:pStyle w:val="Heading2"/>
      </w:pPr>
      <w:r>
        <w:t>Forty-ninth session (1996)</w:t>
      </w:r>
      <w:r>
        <w:rPr>
          <w:rStyle w:val="FootnoteReference"/>
          <w:vertAlign w:val="baseline"/>
        </w:rPr>
        <w:footnoteReference w:customMarkFollows="1" w:id="41"/>
        <w:sym w:font="Symbol" w:char="F02A"/>
      </w:r>
    </w:p>
    <w:p w:rsidR="00000000" w:rsidRDefault="00000000">
      <w:pPr>
        <w:pStyle w:val="Heading2"/>
      </w:pPr>
      <w:bookmarkStart w:id="248" w:name="_Toc481083450"/>
      <w:bookmarkStart w:id="249" w:name="_Toc70389049"/>
      <w:bookmarkStart w:id="250" w:name="_Toc70517007"/>
      <w:r>
        <w:t>General recommendation XXII on article 5 of the Convention</w:t>
      </w:r>
      <w:r>
        <w:br/>
        <w:t>on refugees and displaced persons</w:t>
      </w:r>
      <w:bookmarkEnd w:id="248"/>
      <w:bookmarkEnd w:id="249"/>
      <w:bookmarkEnd w:id="250"/>
    </w:p>
    <w:p w:rsidR="00000000" w:rsidRDefault="00000000">
      <w:pPr>
        <w:outlineLvl w:val="0"/>
      </w:pPr>
      <w:r>
        <w:rPr>
          <w:i/>
        </w:rPr>
        <w:tab/>
        <w:t>The Committee on the Elimination of Racial Discrimination</w:t>
      </w:r>
      <w:r>
        <w:t>,</w:t>
      </w:r>
    </w:p>
    <w:p w:rsidR="00000000" w:rsidRDefault="00000000">
      <w:r>
        <w:tab/>
      </w:r>
      <w:r>
        <w:rPr>
          <w:i/>
        </w:rPr>
        <w:t>Conscious</w:t>
      </w:r>
      <w:r>
        <w:t xml:space="preserve"> of the fact that foreign military, non</w:t>
      </w:r>
      <w:r>
        <w:noBreakHyphen/>
        <w:t>military and/or ethnic conflicts have resulted in massive flows of refugees and the displacement of persons on the basis of ethnic criteria in many parts of the world,</w:t>
      </w:r>
    </w:p>
    <w:p w:rsidR="00000000" w:rsidRDefault="00000000">
      <w:r>
        <w:tab/>
      </w:r>
      <w:r>
        <w:rPr>
          <w:i/>
        </w:rPr>
        <w:t>Considering</w:t>
      </w:r>
      <w:r>
        <w:t xml:space="preserve"> that the Universal Declaration of Human Rights and the Convention on the Elimination of All Forms of Racial Discrimination proclaim that all human beings are born free and equal in dignity and rights and that everyone is entitled to all the rights and freedoms set out therein, without distinction of any kind, in particular as to race, colour, descent or national or ethnic origin,</w:t>
      </w:r>
    </w:p>
    <w:p w:rsidR="00000000" w:rsidRDefault="00000000">
      <w:r>
        <w:tab/>
      </w:r>
      <w:r>
        <w:rPr>
          <w:i/>
        </w:rPr>
        <w:t>Recalling</w:t>
      </w:r>
      <w:r>
        <w:t xml:space="preserve"> the 1951 Convention and the 1967 Protocol relating to the status of refugees as the main source of the international system for the protection of refugees in general,</w:t>
      </w:r>
    </w:p>
    <w:p w:rsidR="00000000" w:rsidRDefault="00000000">
      <w:r>
        <w:tab/>
        <w:t>1.</w:t>
      </w:r>
      <w:r>
        <w:tab/>
      </w:r>
      <w:r>
        <w:rPr>
          <w:i/>
        </w:rPr>
        <w:t>Draws the attention</w:t>
      </w:r>
      <w:r>
        <w:t xml:space="preserve"> of States parties to article 5 of the International Convention on the Elimination of All Forms of Racial Discrimination as well as the Committee’s general recommendation XX (48) on article 5, and reiterates that the Convention obliges States parties to prohibit and eliminate racial discrimination in the enjoyment of civil, political, economic, social and cultural rights and freedoms;</w:t>
      </w:r>
    </w:p>
    <w:p w:rsidR="00000000" w:rsidRDefault="00000000">
      <w:r>
        <w:tab/>
        <w:t>2.</w:t>
      </w:r>
      <w:r>
        <w:tab/>
      </w:r>
      <w:r>
        <w:rPr>
          <w:i/>
        </w:rPr>
        <w:t>Emphasizes</w:t>
      </w:r>
      <w:r>
        <w:t xml:space="preserve"> in this respect that:</w:t>
      </w:r>
    </w:p>
    <w:p w:rsidR="00000000" w:rsidRDefault="00000000">
      <w:r>
        <w:tab/>
        <w:t>(a)</w:t>
      </w:r>
      <w:r>
        <w:tab/>
        <w:t>All such refugees and displaced persons have the right freely to return to their homes of origin under conditions of safety;</w:t>
      </w:r>
    </w:p>
    <w:p w:rsidR="00000000" w:rsidRDefault="00000000">
      <w:r>
        <w:tab/>
        <w:t>(b)</w:t>
      </w:r>
      <w:r>
        <w:tab/>
        <w:t>States parties are obliged to ensure that the return of such refugees and displaced persons is voluntary and to observe the principle of non</w:t>
      </w:r>
      <w:r>
        <w:noBreakHyphen/>
        <w:t>refoulement and non</w:t>
      </w:r>
      <w:r>
        <w:noBreakHyphen/>
        <w:t>expulsion of refugees;</w:t>
      </w:r>
    </w:p>
    <w:p w:rsidR="00000000" w:rsidRDefault="00000000">
      <w:r>
        <w:br w:type="page"/>
      </w:r>
      <w:r>
        <w:tab/>
        <w:t>(c)</w:t>
      </w:r>
      <w:r>
        <w:tab/>
        <w:t>All such refugees and displaced persons have, after their return to their homes of origin, the right to have restored to them property of which they were deprived in the course of the conflict and to be compensated appropriately for any such property that cannot be restored to them.  Any commitments or statements relating to such property made under duress are null and void;</w:t>
      </w:r>
    </w:p>
    <w:p w:rsidR="00000000" w:rsidRDefault="00000000">
      <w:r>
        <w:tab/>
        <w:t>(d)</w:t>
      </w:r>
      <w:r>
        <w:tab/>
        <w:t>All such refugees and displaced persons have, after their return to their homes of origin, the right to participate fully and equally in public affairs at all levels and to have equal access to public services and to receive rehabilitation assistance.</w:t>
      </w:r>
    </w:p>
    <w:p w:rsidR="00000000" w:rsidRDefault="00000000">
      <w:pPr>
        <w:pStyle w:val="Heading2"/>
      </w:pPr>
      <w:r>
        <w:t>Fifty-first session (1997)</w:t>
      </w:r>
      <w:r>
        <w:rPr>
          <w:rStyle w:val="FootnoteReference"/>
          <w:vertAlign w:val="baseline"/>
        </w:rPr>
        <w:footnoteReference w:customMarkFollows="1" w:id="42"/>
        <w:sym w:font="Symbol" w:char="F02A"/>
      </w:r>
    </w:p>
    <w:p w:rsidR="00000000" w:rsidRDefault="00000000">
      <w:pPr>
        <w:pStyle w:val="Heading2"/>
      </w:pPr>
      <w:bookmarkStart w:id="251" w:name="_Toc481083451"/>
      <w:bookmarkStart w:id="252" w:name="_Toc70389050"/>
      <w:bookmarkStart w:id="253" w:name="_Toc70517008"/>
      <w:r>
        <w:t>General recommendation XXIII on the rights of indigenous peoples</w:t>
      </w:r>
      <w:bookmarkEnd w:id="251"/>
      <w:bookmarkEnd w:id="252"/>
      <w:bookmarkEnd w:id="253"/>
    </w:p>
    <w:p w:rsidR="00000000" w:rsidRDefault="00000000">
      <w:r>
        <w:t>1.</w:t>
      </w:r>
      <w:r>
        <w:tab/>
        <w:t>In the practice of the Committee on the Elimination of Racial Discrimination, in particular in the examination of reports of States parties under article 9 of the International Convention on the Elimination of All Forms of Racial Discrimination, the situation of indigenous peoples has always been a matter of close attention and concern.  In this respect, the Committee has consistently affirmed that discrimination against indigenous peoples falls under the scope of the Convention and that all appropriate means must be taken to combat and eliminate such discrimination.</w:t>
      </w:r>
    </w:p>
    <w:p w:rsidR="00000000" w:rsidRDefault="00000000">
      <w:r>
        <w:t>2.</w:t>
      </w:r>
      <w:r>
        <w:tab/>
        <w:t>The Committee, noting that the General Assembly proclaimed the International Decade of the World’s Indigenous Peoples commencing on 10 December 1994, reaffirms that the provisions of the International Convention on the Elimination of All Forms of Racial Discrimination apply to indigenous peoples.</w:t>
      </w:r>
    </w:p>
    <w:p w:rsidR="00000000" w:rsidRDefault="00000000">
      <w:r>
        <w:t>3.</w:t>
      </w:r>
      <w:r>
        <w:tab/>
        <w:t>The Committee is conscious of the fact that in many regions of the world indigenous peoples have been, and are still being, discriminated against and deprived of their human rights and fundamental freedoms and in particular that they have lost their land and resources to colonists, commercial companies and State enterprises.  Consequently, the preservation of their culture and their historical identity has been and still is jeopardized.</w:t>
      </w:r>
    </w:p>
    <w:p w:rsidR="00000000" w:rsidRDefault="00000000">
      <w:r>
        <w:t>4.</w:t>
      </w:r>
      <w:r>
        <w:tab/>
        <w:t>The Committee calls in particular upon States parties to:</w:t>
      </w:r>
    </w:p>
    <w:p w:rsidR="00000000" w:rsidRDefault="00000000">
      <w:r>
        <w:tab/>
        <w:t>(a)</w:t>
      </w:r>
      <w:r>
        <w:tab/>
        <w:t>Recognize and respect indigenous distinct culture, history, language and way of life as an enrichment of the State’s cultural identity and to promote its preservation;</w:t>
      </w:r>
    </w:p>
    <w:p w:rsidR="00000000" w:rsidRDefault="00000000">
      <w:r>
        <w:tab/>
        <w:t>(b)</w:t>
      </w:r>
      <w:r>
        <w:tab/>
        <w:t>Ensure that members of indigenous peoples are free and equal in dignity and rights and free from any discrimination, in particular that based on indigenous origin or identity;</w:t>
      </w:r>
    </w:p>
    <w:p w:rsidR="00000000" w:rsidRDefault="00000000">
      <w:r>
        <w:tab/>
        <w:t>(c)</w:t>
      </w:r>
      <w:r>
        <w:tab/>
        <w:t>Provide indigenous peoples with conditions allowing for a sustainable economic and social development compatible with their cultural characteristics;</w:t>
      </w:r>
    </w:p>
    <w:p w:rsidR="00000000" w:rsidRDefault="00000000">
      <w:r>
        <w:tab/>
        <w:t>(d)</w:t>
      </w:r>
      <w:r>
        <w:tab/>
        <w:t>Ensure that members of indigenous peoples have equal rights in respect of effective participation in public life and that no decisions directly relating to their rights and interests are taken without their informed consent;</w:t>
      </w:r>
    </w:p>
    <w:p w:rsidR="00000000" w:rsidRDefault="00000000">
      <w:r>
        <w:tab/>
        <w:t>(e)</w:t>
      </w:r>
      <w:r>
        <w:tab/>
        <w:t>Ensure that indigenous communities can exercise their rights to practise and revitalize their cultural traditions and customs and to preserve and to practise their languages.</w:t>
      </w:r>
    </w:p>
    <w:p w:rsidR="00000000" w:rsidRDefault="00000000">
      <w:r>
        <w:t>5.</w:t>
      </w:r>
      <w:r>
        <w:tab/>
        <w:t>The Committee especially calls upon States parties to recognize and protect the rights of indigenous peoples to own, develop, control and use their communal lands, territories and resources and, where they have been deprived of their lands and territories traditionally owned or otherwise inhabited or used without their free and informed consent, to take steps to return those lands and territories.  Only when this is for factual reasons not possible, the right to restitution should be substituted by the right to just, fair and prompt compensation.  Such compensation should as far as possible take the form of lands and territories.</w:t>
      </w:r>
    </w:p>
    <w:p w:rsidR="00000000" w:rsidRDefault="00000000">
      <w:r>
        <w:t>6.</w:t>
      </w:r>
      <w:r>
        <w:tab/>
        <w:t>The Committee further calls upon States parties with indigenous peoples in their territories to include in their periodic reports full information on the situation of such peoples, taking into account all relevant provisions of the Convention.</w:t>
      </w:r>
    </w:p>
    <w:p w:rsidR="00000000" w:rsidRDefault="00000000">
      <w:pPr>
        <w:pStyle w:val="Heading2"/>
      </w:pPr>
      <w:r>
        <w:t>Fifty-fifth session (1999)</w:t>
      </w:r>
      <w:r>
        <w:rPr>
          <w:rStyle w:val="FootnoteReference"/>
          <w:vertAlign w:val="baseline"/>
        </w:rPr>
        <w:footnoteReference w:customMarkFollows="1" w:id="43"/>
        <w:sym w:font="Symbol" w:char="F02A"/>
      </w:r>
    </w:p>
    <w:p w:rsidR="00000000" w:rsidRDefault="00000000">
      <w:pPr>
        <w:pStyle w:val="Heading2"/>
      </w:pPr>
      <w:bookmarkStart w:id="254" w:name="_Toc481083452"/>
      <w:bookmarkStart w:id="255" w:name="_Toc70389051"/>
      <w:bookmarkStart w:id="256" w:name="_Toc70517009"/>
      <w:r>
        <w:t>General recommendation XXIV concerning article 1 of the Convention</w:t>
      </w:r>
      <w:bookmarkEnd w:id="254"/>
      <w:bookmarkEnd w:id="255"/>
      <w:bookmarkEnd w:id="256"/>
    </w:p>
    <w:p w:rsidR="00000000" w:rsidRDefault="00000000">
      <w:r>
        <w:t>1.</w:t>
      </w:r>
      <w:r>
        <w:tab/>
        <w:t>The Committee stresses that, according to the definition given in article 1, paragraph 1, of the International Convention on the Elimination of All Forms of Racial Discrimination, the Convention relates to all persons who belong to different races, national or ethnic groups or to indigenous peoples.  If the Committee is to secure the proper consideration of the periodic reports of States parties, it is essential that States parties provide as far as possible the Committee with information on the presence within their territory of such groups.</w:t>
      </w:r>
    </w:p>
    <w:p w:rsidR="00000000" w:rsidRDefault="00000000">
      <w:r>
        <w:t>2.</w:t>
      </w:r>
      <w:r>
        <w:tab/>
        <w:t>It appears from the periodic reports submitted to the Committee under article 9 of the International Convention on the Elimination of All Forms of Racial Discrimination, and from other information received by the Committee, that a number of States parties recognize the presence on their territory of some national or ethnic groups or indigenous peoples, while disregarding others.  Certain criteria should be uniformly applied to all groups, in particular the number of persons concerned, and their being of a race, colour, descent or national or ethnic origin different from the majority or from other groups within the population.</w:t>
      </w:r>
    </w:p>
    <w:p w:rsidR="00000000" w:rsidRDefault="00000000">
      <w:r>
        <w:t>3.</w:t>
      </w:r>
      <w:r>
        <w:tab/>
        <w:t>Some States parties fail to collect data on the ethnic or national origin of their citizens or of other persons living on their territory, but decide at their own discretion which groups constitute ethnic groups or indigenous peoples that are to be recognized and treated as such.  The Committee believes that there is an international standard concerning the specific rights of people belonging to such groups, together with generally recognized norms concerning equal rights for all and non</w:t>
      </w:r>
      <w:r>
        <w:noBreakHyphen/>
        <w:t xml:space="preserve">discrimination, including those incorporated in the International </w:t>
      </w:r>
      <w:r>
        <w:br w:type="page"/>
        <w:t>Convention on the Elimination of All Forms of Racial Discrimination.  At the same time, the Committee draws to the attention of States parties that the application of different criteria in order to determine ethnic groups or indigenous peoples, leading to the recognition of some and refusal to recognize others, may give rise to differing treatment for various groups within a country’s population.</w:t>
      </w:r>
    </w:p>
    <w:p w:rsidR="00000000" w:rsidRDefault="00000000">
      <w:r>
        <w:t>4.</w:t>
      </w:r>
      <w:r>
        <w:tab/>
        <w:t>The Committee recalls general recommendation IV, which it adopted at its eighth session in 1973, and paragraph 8 of the general guidelines regarding the form and contents of reports to be submitted by States parties under article 9, paragraph 1, of the Convention (CERD/C/70/Rev.3), inviting States parties to endeavour to include in their periodic reports relevant information on the demographic composition of their population, in the light of the provisions of article 1 of the Convention, that is, as appropriate, information on race, colour, descent and national or ethnic origin.</w:t>
      </w:r>
    </w:p>
    <w:p w:rsidR="00000000" w:rsidRDefault="00000000">
      <w:pPr>
        <w:pStyle w:val="Heading2"/>
      </w:pPr>
      <w:r>
        <w:t>Fifty-sixth session (2000)</w:t>
      </w:r>
    </w:p>
    <w:p w:rsidR="00000000" w:rsidRDefault="00000000">
      <w:pPr>
        <w:pStyle w:val="Heading2"/>
      </w:pPr>
      <w:bookmarkStart w:id="257" w:name="_Toc481083453"/>
      <w:bookmarkStart w:id="258" w:name="_Toc70389052"/>
      <w:bookmarkStart w:id="259" w:name="_Toc70517010"/>
      <w:r>
        <w:t>General recommendation XXV on gender-related dimensions</w:t>
      </w:r>
      <w:r>
        <w:br/>
        <w:t>of racial discrimination</w:t>
      </w:r>
      <w:bookmarkEnd w:id="257"/>
      <w:bookmarkEnd w:id="258"/>
      <w:bookmarkEnd w:id="259"/>
    </w:p>
    <w:p w:rsidR="00000000" w:rsidRDefault="00000000">
      <w:r>
        <w:t>1.</w:t>
      </w:r>
      <w:r>
        <w:tab/>
        <w:t>The Committee notes that racial discrimination does not always affect women and men equally or in the same way.  There are circumstances in which racial discrimination only or primarily affects women, or affects women in a different way, or to a different degree than men.  Such racial discrimination will often escape detection if there is no explicit recognition or acknowledgement of the different life experiences of women and men, in areas of both public and private life.</w:t>
      </w:r>
    </w:p>
    <w:p w:rsidR="00000000" w:rsidRDefault="00000000">
      <w:r>
        <w:t>2.</w:t>
      </w:r>
      <w:r>
        <w:tab/>
        <w:t>Certain forms of racial discrimination may be directed towards women specifically because of their gender, such as sexual violence committed against women members of particular racial or ethnic groups in detention or during armed conflict; the coerced sterilization of indigenous women; abuse of women workers in the informal sector or domestic workers employed abroad by their employers.  Racial discrimination may have consequences that affect primarily or only women, such as pregnancy resulting from racial bias</w:t>
      </w:r>
      <w:r>
        <w:noBreakHyphen/>
        <w:t>motivated rape; in some societies women victims of such rape may also be ostracized.  Women may also be further hindered by a lack of access to remedies and complaint mechanisms for racial discrimination because of gender</w:t>
      </w:r>
      <w:r>
        <w:noBreakHyphen/>
        <w:t>related impediments, such as gender bias in the legal system and discrimination against women in private spheres of life.</w:t>
      </w:r>
    </w:p>
    <w:p w:rsidR="00000000" w:rsidRDefault="00000000">
      <w:r>
        <w:t>3.</w:t>
      </w:r>
      <w:r>
        <w:tab/>
        <w:t>Recognizing that some forms of racial discrimination have a unique and specific impact on women, the Committee will endeavour in its work to take into account gender factors or issues which may be interlinked with racial discrimination.  The Committee believes that its practices in this regard would benefit from developing, in conjunction with the States parties, a more systematic and consistent approach to evaluating and monitoring racial discrimination against women, as well as the disadvantages, obstacles and difficulties women face in the full exercise and enjoyment of their civil, political, economic, social and cultural rights on grounds of race, colour, descent, or national or ethnic origin.</w:t>
      </w:r>
    </w:p>
    <w:p w:rsidR="00000000" w:rsidRDefault="00000000">
      <w:r>
        <w:br w:type="page"/>
        <w:t>4.</w:t>
      </w:r>
      <w:r>
        <w:tab/>
        <w:t>Accordingly, the Committee, when examining forms of racial discrimination, intends to enhance its efforts to integrate gender perspectives, incorporate gender analysis, and encourage the use of gender</w:t>
      </w:r>
      <w:r>
        <w:noBreakHyphen/>
        <w:t>inclusive language in its sessional working methods, including its review of reports submitted by States parties, concluding observations, early warning mechanisms and urgent action procedures, and general recommendations.</w:t>
      </w:r>
    </w:p>
    <w:p w:rsidR="00000000" w:rsidRDefault="00000000">
      <w:r>
        <w:t>5.</w:t>
      </w:r>
      <w:r>
        <w:tab/>
        <w:t>As part of the methodology for fully taking into account the gender-related dimensions of racial discrimination, the Committee will include in its sessional working methods an analysis of the relationship between gender and racial discrimination, by giving particular consideration to:</w:t>
      </w:r>
    </w:p>
    <w:p w:rsidR="00000000" w:rsidRDefault="00000000">
      <w:r>
        <w:tab/>
        <w:t>(a)</w:t>
      </w:r>
      <w:r>
        <w:tab/>
        <w:t>The form and manifestation of racial discrimination;</w:t>
      </w:r>
    </w:p>
    <w:p w:rsidR="00000000" w:rsidRDefault="00000000">
      <w:r>
        <w:tab/>
        <w:t>(b)</w:t>
      </w:r>
      <w:r>
        <w:tab/>
        <w:t>The circumstances in which racial discrimination occurs;</w:t>
      </w:r>
    </w:p>
    <w:p w:rsidR="00000000" w:rsidRDefault="00000000">
      <w:r>
        <w:tab/>
        <w:t>(c)</w:t>
      </w:r>
      <w:r>
        <w:tab/>
        <w:t>The consequences of racial discrimination; and</w:t>
      </w:r>
    </w:p>
    <w:p w:rsidR="00000000" w:rsidRDefault="00000000">
      <w:r>
        <w:tab/>
        <w:t>(d)</w:t>
      </w:r>
      <w:r>
        <w:tab/>
        <w:t>The availability and accessibility of remedies and complaint mechanisms for racial discrimination.</w:t>
      </w:r>
    </w:p>
    <w:p w:rsidR="00000000" w:rsidRDefault="00000000">
      <w:r>
        <w:t>6.</w:t>
      </w:r>
      <w:r>
        <w:tab/>
        <w:t>Noting that reports submitted by States parties often do not contain specific or sufficient information on the implementation of the Convention with respect to women, States parties are requested to describe, as far as possible in quantitative and qualitative terms, factors affecting and difficulties experienced in ensuring the equal enjoyment by women, free from racial discrimination, of rights under the Convention.  Data which have been categorized by race or ethnic origin, and which are then disaggregated by gender within those racial or ethnic groups, will allow the States parties and the Committee to identify, compare and take steps to remedy forms of racial discrimination against women that may otherwise go unnoticed and unaddressed.</w:t>
      </w:r>
    </w:p>
    <w:p w:rsidR="00000000" w:rsidRDefault="00000000">
      <w:pPr>
        <w:jc w:val="right"/>
        <w:rPr>
          <w:i/>
        </w:rPr>
      </w:pPr>
      <w:r>
        <w:rPr>
          <w:i/>
        </w:rPr>
        <w:t xml:space="preserve">1391st meeting, </w:t>
      </w:r>
      <w:r>
        <w:rPr>
          <w:i/>
        </w:rPr>
        <w:br/>
        <w:t>20 March 2000</w:t>
      </w:r>
    </w:p>
    <w:p w:rsidR="00000000" w:rsidRDefault="00000000">
      <w:pPr>
        <w:pStyle w:val="Heading2"/>
      </w:pPr>
      <w:r>
        <w:t>Fifty-sixth session (2000)</w:t>
      </w:r>
    </w:p>
    <w:p w:rsidR="00000000" w:rsidRDefault="00000000">
      <w:pPr>
        <w:pStyle w:val="Heading2"/>
      </w:pPr>
      <w:bookmarkStart w:id="260" w:name="_Toc481083454"/>
      <w:bookmarkStart w:id="261" w:name="_Toc70389053"/>
      <w:bookmarkStart w:id="262" w:name="_Toc70517011"/>
      <w:r>
        <w:t>General recommendation XXVI on article 6 of the Convention</w:t>
      </w:r>
      <w:bookmarkEnd w:id="260"/>
      <w:bookmarkEnd w:id="261"/>
      <w:bookmarkEnd w:id="262"/>
    </w:p>
    <w:p w:rsidR="00000000" w:rsidRDefault="00000000">
      <w:r>
        <w:t>1.</w:t>
      </w:r>
      <w:r>
        <w:tab/>
        <w:t>The Committee on the Elimination of Racial Discrimination believes that the degree to which acts of racial discrimination and racial insults damage the injured party’s perception of his/her own worth and reputation is often underestimated.</w:t>
      </w:r>
    </w:p>
    <w:p w:rsidR="00000000" w:rsidRDefault="00000000">
      <w:r>
        <w:t>2.</w:t>
      </w:r>
      <w:r>
        <w:tab/>
        <w:t>The Committee notifies States parties that, in its opinion, the right to seek just and adequate reparation or satisfaction for any damage suffered as a result of such discrimination, which is embodied in article 6 of the Convention, is not necessarily secured solely by the punishment of the perpetrator of the discrimination; at the same time, the courts and other competent authorities should consider awarding financial compensation for damage, material or moral, suffered by a victim, whenever appropriate.</w:t>
      </w:r>
    </w:p>
    <w:p w:rsidR="00000000" w:rsidRDefault="00000000">
      <w:pPr>
        <w:pStyle w:val="BodyText3"/>
        <w:jc w:val="right"/>
      </w:pPr>
      <w:r>
        <w:t xml:space="preserve">1399th meeting, </w:t>
      </w:r>
      <w:r>
        <w:br/>
        <w:t>24 March 2000</w:t>
      </w:r>
    </w:p>
    <w:p w:rsidR="00000000" w:rsidRDefault="00000000">
      <w:pPr>
        <w:pStyle w:val="Heading2"/>
      </w:pPr>
      <w:r>
        <w:t>Fifty-seventh session (2000)</w:t>
      </w:r>
    </w:p>
    <w:p w:rsidR="00000000" w:rsidRDefault="00000000">
      <w:pPr>
        <w:pStyle w:val="Heading2"/>
      </w:pPr>
      <w:bookmarkStart w:id="263" w:name="_Toc481083455"/>
      <w:bookmarkStart w:id="264" w:name="_Toc70389054"/>
      <w:bookmarkStart w:id="265" w:name="_Toc70517012"/>
      <w:r>
        <w:t>General recommendation XXVII on discrimination against Roma</w:t>
      </w:r>
      <w:bookmarkEnd w:id="263"/>
      <w:bookmarkEnd w:id="264"/>
      <w:bookmarkEnd w:id="265"/>
    </w:p>
    <w:p w:rsidR="00000000" w:rsidRDefault="00000000">
      <w:pPr>
        <w:keepNext/>
        <w:keepLines/>
      </w:pPr>
      <w:r>
        <w:tab/>
      </w:r>
      <w:r>
        <w:rPr>
          <w:i/>
        </w:rPr>
        <w:t>The Committee on the Elimination of Racial Discrimination</w:t>
      </w:r>
      <w:r>
        <w:t>,</w:t>
      </w:r>
    </w:p>
    <w:p w:rsidR="00000000" w:rsidRDefault="00000000">
      <w:pPr>
        <w:keepNext/>
        <w:keepLines/>
      </w:pPr>
      <w:r>
        <w:tab/>
      </w:r>
      <w:r>
        <w:rPr>
          <w:i/>
        </w:rPr>
        <w:t>Having in mind</w:t>
      </w:r>
      <w:r>
        <w:t xml:space="preserve"> the submissions from States parties to the International Convention for the Elimination of All Forms of Racial Discrimination, their periodic reports submitted under article 9 of the Convention, as well as the concluding observations adopted by the Committee in connection with the consideration of States parties’ periodic reports,</w:t>
      </w:r>
    </w:p>
    <w:p w:rsidR="00000000" w:rsidRDefault="00000000">
      <w:r>
        <w:tab/>
      </w:r>
      <w:r>
        <w:rPr>
          <w:i/>
        </w:rPr>
        <w:t>Having organized</w:t>
      </w:r>
      <w:r>
        <w:t xml:space="preserve"> a thematic discussion on the issue of discrimination against Roma and received the contributions of members of the Committee, as well as contributions by experts from United Nations bodies and other treaty bodies and from regional organizations,</w:t>
      </w:r>
    </w:p>
    <w:p w:rsidR="00000000" w:rsidRDefault="00000000">
      <w:r>
        <w:tab/>
      </w:r>
      <w:r>
        <w:rPr>
          <w:i/>
        </w:rPr>
        <w:t>Having also received</w:t>
      </w:r>
      <w:r>
        <w:t xml:space="preserve"> the contributions of interested non</w:t>
      </w:r>
      <w:r>
        <w:noBreakHyphen/>
        <w:t>governmental organizations, both orally during the informal meeting organized with them and through written information,</w:t>
      </w:r>
    </w:p>
    <w:p w:rsidR="00000000" w:rsidRDefault="00000000">
      <w:r>
        <w:tab/>
      </w:r>
      <w:r>
        <w:rPr>
          <w:i/>
        </w:rPr>
        <w:t>Taking into account</w:t>
      </w:r>
      <w:r>
        <w:t xml:space="preserve"> the provisions of the Convention,</w:t>
      </w:r>
    </w:p>
    <w:p w:rsidR="00000000" w:rsidRDefault="00000000">
      <w:r>
        <w:tab/>
      </w:r>
      <w:r>
        <w:rPr>
          <w:i/>
        </w:rPr>
        <w:t>Recommends</w:t>
      </w:r>
      <w:r>
        <w:t xml:space="preserve"> that the States parties to the Convention, taking into account their specific situations, adopt for the benefit of members of the Roma communities, inter alia, all or part of the following measures, as appropriate.</w:t>
      </w:r>
    </w:p>
    <w:p w:rsidR="00000000" w:rsidRDefault="00000000">
      <w:pPr>
        <w:pStyle w:val="Heading2"/>
      </w:pPr>
      <w:r>
        <w:t>1.  Measures of a general nature</w:t>
      </w:r>
    </w:p>
    <w:p w:rsidR="00000000" w:rsidRDefault="00000000">
      <w:r>
        <w:t>1.</w:t>
      </w:r>
      <w:r>
        <w:tab/>
        <w:t>To review and enact or amend legislation, as appropriate, in order to eliminate all forms of racial discrimination against Roma as against other persons or groups, in accordance with the Convention.</w:t>
      </w:r>
    </w:p>
    <w:p w:rsidR="00000000" w:rsidRDefault="00000000">
      <w:r>
        <w:t>2.</w:t>
      </w:r>
      <w:r>
        <w:tab/>
        <w:t>To adopt and implement national strategies and programmes and express determined political will and moral leadership, with a view to improving the situation of Roma and their protection against discrimination by State bodies, as well as by any person or organization.</w:t>
      </w:r>
    </w:p>
    <w:p w:rsidR="00000000" w:rsidRDefault="00000000">
      <w:r>
        <w:t>3.</w:t>
      </w:r>
      <w:r>
        <w:tab/>
        <w:t>To respect the wishes of Roma as to the designation they want to be given and the group to which they want to belong.</w:t>
      </w:r>
    </w:p>
    <w:p w:rsidR="00000000" w:rsidRDefault="00000000">
      <w:r>
        <w:t>4.</w:t>
      </w:r>
      <w:r>
        <w:tab/>
        <w:t>To ensure that legislation regarding citizenship and naturalization does not discriminate against members of Roma communities.</w:t>
      </w:r>
    </w:p>
    <w:p w:rsidR="00000000" w:rsidRDefault="00000000">
      <w:r>
        <w:t>5.</w:t>
      </w:r>
      <w:r>
        <w:tab/>
        <w:t>To take all necessary measures in order to avoid any form of discrimination against immigrants or asylum-seekers of Roma origin.</w:t>
      </w:r>
    </w:p>
    <w:p w:rsidR="00000000" w:rsidRDefault="00000000">
      <w:r>
        <w:t>6.</w:t>
      </w:r>
      <w:r>
        <w:tab/>
        <w:t>To take into account, in all programmes and projects planned and implemented and in all measures adopted, the situation of Roma women, who are often victims of double discrimination.</w:t>
      </w:r>
    </w:p>
    <w:p w:rsidR="00000000" w:rsidRDefault="00000000">
      <w:r>
        <w:br w:type="page"/>
        <w:t>7.</w:t>
      </w:r>
      <w:r>
        <w:tab/>
        <w:t>To take appropriate measures to secure for members of Roma communities effective remedies and to ensure that justice is fully and promptly done in cases concerning violations of their fundamental rights and freedoms.</w:t>
      </w:r>
    </w:p>
    <w:p w:rsidR="00000000" w:rsidRDefault="00000000">
      <w:r>
        <w:t>8.</w:t>
      </w:r>
      <w:r>
        <w:tab/>
        <w:t>To develop and encourage appropriate modalities of communication and dialogue between Roma communities and central and local authorities.</w:t>
      </w:r>
    </w:p>
    <w:p w:rsidR="00000000" w:rsidRDefault="00000000">
      <w:r>
        <w:t>9.</w:t>
      </w:r>
      <w:r>
        <w:tab/>
        <w:t>To endeavour, by encouraging a genuine dialogue, consultations or other appropriate means, to improve the relations between Roma communities and non-Roma communities, in particular at local levels, with a view to promoting tolerance and overcoming prejudices and negative stereotypes on both sides, to promoting efforts for adjustment and adaptation and to avoiding discrimination and ensuring that all persons fully enjoy their human rights and freedoms.</w:t>
      </w:r>
    </w:p>
    <w:p w:rsidR="00000000" w:rsidRDefault="00000000">
      <w:r>
        <w:t>10.</w:t>
      </w:r>
      <w:r>
        <w:tab/>
        <w:t>To acknowledge wrongs done during the Second World War to Roma communities by deportation and extermination and consider ways of compensating for them.</w:t>
      </w:r>
    </w:p>
    <w:p w:rsidR="00000000" w:rsidRDefault="00000000">
      <w:r>
        <w:t>11.</w:t>
      </w:r>
      <w:r>
        <w:tab/>
        <w:t>To take the necessary measures, in cooperation with civil society, and initiate projects to develop the political culture and educate the population as a whole in a spirit of non</w:t>
      </w:r>
      <w:r>
        <w:noBreakHyphen/>
        <w:t>discrimination, respect for others and tolerance, in particular concerning Roma.</w:t>
      </w:r>
    </w:p>
    <w:p w:rsidR="00000000" w:rsidRDefault="00000000">
      <w:pPr>
        <w:pStyle w:val="Heading2"/>
      </w:pPr>
      <w:r>
        <w:t>2.  Measures for protection against racial violence</w:t>
      </w:r>
    </w:p>
    <w:p w:rsidR="00000000" w:rsidRDefault="00000000">
      <w:r>
        <w:t>12.</w:t>
      </w:r>
      <w:r>
        <w:tab/>
        <w:t>To ensure protection of the security and integrity of Roma, without any discrimination, by adopting measures for preventing racially motivated acts of violence against them; to ensure prompt action by the police, the prosecutors and the judiciary for investigating and punishing such acts; and to ensure that perpetrators, be they public officials or other persons, do not enjoy any degree of impunity.</w:t>
      </w:r>
    </w:p>
    <w:p w:rsidR="00000000" w:rsidRDefault="00000000">
      <w:r>
        <w:t>13.</w:t>
      </w:r>
      <w:r>
        <w:tab/>
        <w:t>To take measures to prevent the use of illegal force by the police against Roma, in particular in connection with arrest and detention.</w:t>
      </w:r>
    </w:p>
    <w:p w:rsidR="00000000" w:rsidRDefault="00000000">
      <w:r>
        <w:t>14.</w:t>
      </w:r>
      <w:r>
        <w:tab/>
        <w:t>To encourage appropriate arrangements for communication and dialogue between the police and Roma communities and associations, with a view to preventing conflicts based on racial prejudice and combating acts of racially motivated violence against members of these communities, as well as against other persons.</w:t>
      </w:r>
    </w:p>
    <w:p w:rsidR="00000000" w:rsidRDefault="00000000">
      <w:r>
        <w:t>15.</w:t>
      </w:r>
      <w:r>
        <w:tab/>
        <w:t>To encourage recruitment of members of Roma communities into the police and other law enforcement agencies.</w:t>
      </w:r>
    </w:p>
    <w:p w:rsidR="00000000" w:rsidRDefault="00000000">
      <w:r>
        <w:t>16.</w:t>
      </w:r>
      <w:r>
        <w:tab/>
        <w:t>To promote action in post</w:t>
      </w:r>
      <w:r>
        <w:noBreakHyphen/>
        <w:t>conflict areas, by States parties and from other responsible States or authorities in order to prevent violence against and forced displacement of members of the Roma communities.</w:t>
      </w:r>
    </w:p>
    <w:p w:rsidR="00000000" w:rsidRDefault="00000000">
      <w:pPr>
        <w:pStyle w:val="Heading2"/>
      </w:pPr>
      <w:r>
        <w:t>3.  Measures in the field of education</w:t>
      </w:r>
    </w:p>
    <w:p w:rsidR="00000000" w:rsidRDefault="00000000">
      <w:r>
        <w:t>17.</w:t>
      </w:r>
      <w:r>
        <w:tab/>
        <w:t>To support the inclusion in the school system of all children of Roma origin and to act to reduce drop</w:t>
      </w:r>
      <w:r>
        <w:noBreakHyphen/>
        <w:t>out rates, in particular among Roma girls, and, for these purposes, to cooperate actively with Roma parents, associations and local communities.</w:t>
      </w:r>
    </w:p>
    <w:p w:rsidR="00000000" w:rsidRDefault="00000000">
      <w:r>
        <w:t>18.</w:t>
      </w:r>
      <w:r>
        <w:tab/>
        <w:t>To prevent and avoid as much as possible the segregation of Roma students, while keeping open the possibility for bilingual or mother</w:t>
      </w:r>
      <w:r>
        <w:noBreakHyphen/>
        <w:t>tongue tuition; to this end, to endeavour to raise the quality of education in all schools and the level of achievement in schools by the minority community, to recruit school personnel from among members of Roma communities and to promote intercultural education.</w:t>
      </w:r>
    </w:p>
    <w:p w:rsidR="00000000" w:rsidRDefault="00000000">
      <w:r>
        <w:t>19.</w:t>
      </w:r>
      <w:r>
        <w:tab/>
        <w:t>To consider adopting measures in favour of Roma children, in cooperation with their parents, in the field of education.</w:t>
      </w:r>
    </w:p>
    <w:p w:rsidR="00000000" w:rsidRDefault="00000000">
      <w:r>
        <w:t>20.</w:t>
      </w:r>
      <w:r>
        <w:tab/>
        <w:t>To act with determination to eliminate any discrimination or racial harassment of Roma students.</w:t>
      </w:r>
    </w:p>
    <w:p w:rsidR="00000000" w:rsidRDefault="00000000">
      <w:r>
        <w:t>21.</w:t>
      </w:r>
      <w:r>
        <w:tab/>
        <w:t>To take the necessary measures to ensure a process of basic education for Roma children of travelling communities, including by admitting them temporarily to local schools, by temporary classes in their places of encampment, or by using new technologies for distance education.</w:t>
      </w:r>
    </w:p>
    <w:p w:rsidR="00000000" w:rsidRDefault="00000000">
      <w:r>
        <w:t>22.</w:t>
      </w:r>
      <w:r>
        <w:tab/>
        <w:t>To ensure that their programmes, projects and campaigns in the field of education take into account the disadvantaged situation of Roma girls and women.</w:t>
      </w:r>
    </w:p>
    <w:p w:rsidR="00000000" w:rsidRDefault="00000000">
      <w:r>
        <w:t>23.</w:t>
      </w:r>
      <w:r>
        <w:tab/>
        <w:t>To take urgent and sustained measures in training teachers, educators and assistants from among Roma students.</w:t>
      </w:r>
    </w:p>
    <w:p w:rsidR="00000000" w:rsidRDefault="00000000">
      <w:r>
        <w:t>24.</w:t>
      </w:r>
      <w:r>
        <w:tab/>
        <w:t>To act to improve dialogue and communication between the teaching personnel and Roma children, Roma communities and parents, using more often assistants chosen from among the Roma.</w:t>
      </w:r>
    </w:p>
    <w:p w:rsidR="00000000" w:rsidRDefault="00000000">
      <w:r>
        <w:t>25.</w:t>
      </w:r>
      <w:r>
        <w:tab/>
        <w:t>To ensure adequate forms and schemes of education for members of Roma communities beyond school age, in order to improve adult literacy among them.</w:t>
      </w:r>
    </w:p>
    <w:p w:rsidR="00000000" w:rsidRDefault="00000000">
      <w:r>
        <w:t>26.</w:t>
      </w:r>
      <w:r>
        <w:tab/>
        <w:t>To include in textbooks, at all appropriate levels, chapters about the history and culture of Roma, and encourage and support the publication and distribution of books and other print materials as well as the broadcasting of television and radio programmes, as appropriate, about their history and culture, including in languages spoken by them.</w:t>
      </w:r>
    </w:p>
    <w:p w:rsidR="00000000" w:rsidRDefault="00000000">
      <w:pPr>
        <w:pStyle w:val="Heading2"/>
      </w:pPr>
      <w:r>
        <w:t>4.  Measures to improve living conditions</w:t>
      </w:r>
    </w:p>
    <w:p w:rsidR="00000000" w:rsidRDefault="00000000">
      <w:r>
        <w:t>27.</w:t>
      </w:r>
      <w:r>
        <w:tab/>
        <w:t>To adopt or make more effective legislation prohibiting discrimination in employment and all discriminatory practices in the labour market affecting members of Roma communities, and to protect them against such practices.</w:t>
      </w:r>
    </w:p>
    <w:p w:rsidR="00000000" w:rsidRDefault="00000000">
      <w:r>
        <w:t>28.</w:t>
      </w:r>
      <w:r>
        <w:tab/>
        <w:t>To take special measures to promote the employment of Roma in the public administration and institutions, as well as in private companies.</w:t>
      </w:r>
    </w:p>
    <w:p w:rsidR="00000000" w:rsidRDefault="00000000">
      <w:r>
        <w:t>29.</w:t>
      </w:r>
      <w:r>
        <w:tab/>
        <w:t>To adopt and implement, whenever possible, at the central or local level, special measures in favour of Roma in public employment such as public contracting and other activities undertaken or funded by the Government, or training Roma in various skills and professions.</w:t>
      </w:r>
    </w:p>
    <w:p w:rsidR="00000000" w:rsidRDefault="00000000">
      <w:r>
        <w:t>30.</w:t>
      </w:r>
      <w:r>
        <w:tab/>
        <w:t>To develop and implement policies and projects aimed at avoiding segregation of Roma communities in housing; to involve Roma communities and associations as partners together with other persons in housing project construction, rehabilitation and maintenance.</w:t>
      </w:r>
    </w:p>
    <w:p w:rsidR="00000000" w:rsidRDefault="00000000">
      <w:r>
        <w:t>31.</w:t>
      </w:r>
      <w:r>
        <w:tab/>
        <w:t>To act firmly against any discriminatory practices affecting Roma, mainly by local authorities and private owners, with regard to taking up residence and access to housing; to act firmly against local measures denying residence to and unlawful expulsion of Roma, and to refrain from placing Roma in camps outside populated areas that are isolated and without access to health care and other facilities.</w:t>
      </w:r>
    </w:p>
    <w:p w:rsidR="00000000" w:rsidRDefault="00000000">
      <w:r>
        <w:t>32.</w:t>
      </w:r>
      <w:r>
        <w:tab/>
        <w:t>To take the necessary measures, as appropriate, for offering Roma nomadic groups or Travellers camping places for their caravans, with all necessary facilities.</w:t>
      </w:r>
    </w:p>
    <w:p w:rsidR="00000000" w:rsidRDefault="00000000">
      <w:r>
        <w:t>33.</w:t>
      </w:r>
      <w:r>
        <w:tab/>
        <w:t>To ensure Roma equal access to health care and social security services and to eliminate any discriminatory practices against them in this field.</w:t>
      </w:r>
    </w:p>
    <w:p w:rsidR="00000000" w:rsidRDefault="00000000">
      <w:r>
        <w:t>34.</w:t>
      </w:r>
      <w:r>
        <w:tab/>
        <w:t>To initiate and implement programmes and projects in the field of health for Roma, mainly women and children, having in mind their disadvantaged situation due to extreme poverty and low level of education, as well as to cultural differences; to involve Roma associations and communities and their representatives, mainly women, in designing and implementing health programmes and projects concerning Roma groups.</w:t>
      </w:r>
    </w:p>
    <w:p w:rsidR="00000000" w:rsidRDefault="00000000">
      <w:r>
        <w:t>35.</w:t>
      </w:r>
      <w:r>
        <w:tab/>
        <w:t>To prevent, eliminate and adequately punish any discriminatory practices concerning the access of members of the Roma communities to all places and services intended for the use of the general public, including restaurants, hotels, theatres and music halls, discotheques and others.</w:t>
      </w:r>
    </w:p>
    <w:p w:rsidR="00000000" w:rsidRDefault="00000000">
      <w:pPr>
        <w:pStyle w:val="Heading2"/>
      </w:pPr>
      <w:r>
        <w:t>5.  Measures in the field of the media</w:t>
      </w:r>
    </w:p>
    <w:p w:rsidR="00000000" w:rsidRDefault="00000000">
      <w:r>
        <w:t>36.</w:t>
      </w:r>
      <w:r>
        <w:tab/>
        <w:t>To act as appropriate for the elimination of any ideas of racial or ethnic superiority, of racial hatred and incitement to discrimination and violence against Roma in the media, in accordance with the provisions of the Convention.</w:t>
      </w:r>
    </w:p>
    <w:p w:rsidR="00000000" w:rsidRDefault="00000000">
      <w:r>
        <w:t>37.</w:t>
      </w:r>
      <w:r>
        <w:tab/>
        <w:t>To encourage awareness among professionals of all media of the particular responsibility to not disseminate prejudices and to avoid reporting incidents involving individual members of Roma communities in a way which blames such communities as a whole.</w:t>
      </w:r>
      <w:r>
        <w:br w:type="page"/>
        <w:t>38.</w:t>
      </w:r>
      <w:r>
        <w:tab/>
        <w:t>To develop educational and media campaigns to educate the public about Roma life, society and culture and the importance of building an inclusive society while respecting the human rights and the identity of the Roma.</w:t>
      </w:r>
    </w:p>
    <w:p w:rsidR="00000000" w:rsidRDefault="00000000">
      <w:r>
        <w:t>39.</w:t>
      </w:r>
      <w:r>
        <w:tab/>
        <w:t>To encourage and facilitate access by Roma to the media, including newspapers and television and radio programmes, the establishment of their own media, as well as the training of Roma journalists.</w:t>
      </w:r>
    </w:p>
    <w:p w:rsidR="00000000" w:rsidRDefault="00000000">
      <w:r>
        <w:t>40.</w:t>
      </w:r>
      <w:r>
        <w:tab/>
        <w:t>To encourage methods of self</w:t>
      </w:r>
      <w:r>
        <w:noBreakHyphen/>
        <w:t>monitoring by the media, through a code of conduct for media organizations, in order to avoid racial, discriminatory or biased language.</w:t>
      </w:r>
    </w:p>
    <w:p w:rsidR="00000000" w:rsidRDefault="00000000">
      <w:pPr>
        <w:pStyle w:val="Heading2"/>
      </w:pPr>
      <w:r>
        <w:t>6.  Measures concerning participation in public life</w:t>
      </w:r>
    </w:p>
    <w:p w:rsidR="00000000" w:rsidRDefault="00000000">
      <w:r>
        <w:t>41.</w:t>
      </w:r>
      <w:r>
        <w:tab/>
        <w:t>To take the necessary steps, including special measures, to secure equal opportunities for the participation of Roma minorities or groups in all central and local governmental bodies.</w:t>
      </w:r>
    </w:p>
    <w:p w:rsidR="00000000" w:rsidRDefault="00000000">
      <w:r>
        <w:t>42.</w:t>
      </w:r>
      <w:r>
        <w:tab/>
        <w:t>To develop modalities and structures of consultation with Roma political parties, associations and representatives, both at central and local levels, when considering issues and adopting decisions on matters of concern to Roma communities.</w:t>
      </w:r>
    </w:p>
    <w:p w:rsidR="00000000" w:rsidRDefault="00000000">
      <w:r>
        <w:t>43.</w:t>
      </w:r>
      <w:r>
        <w:tab/>
        <w:t>To involve Roma communities and associations and their representatives at the earliest stages in the development and implementation of policies and programmes affecting them and to ensure sufficient transparency about such policies and programmes.</w:t>
      </w:r>
    </w:p>
    <w:p w:rsidR="00000000" w:rsidRDefault="00000000">
      <w:r>
        <w:t>44.</w:t>
      </w:r>
      <w:r>
        <w:tab/>
        <w:t>To promote more awareness among members of Roma communities of the need for their more active participation in public and social life and in promoting their own interests, for instance the education of their children and their participation in professional training.</w:t>
      </w:r>
    </w:p>
    <w:p w:rsidR="00000000" w:rsidRDefault="00000000">
      <w:r>
        <w:t>45.</w:t>
      </w:r>
      <w:r>
        <w:tab/>
        <w:t>To organize training programmes for Roma public officials and representatives, as well as for prospective candidates to such responsibilities, aimed at improving their political, policy</w:t>
      </w:r>
      <w:r>
        <w:noBreakHyphen/>
        <w:t>making and public administration skills.</w:t>
      </w:r>
    </w:p>
    <w:p w:rsidR="00000000" w:rsidRDefault="00000000">
      <w:r>
        <w:tab/>
        <w:t xml:space="preserve">The Committee </w:t>
      </w:r>
      <w:r>
        <w:rPr>
          <w:i/>
        </w:rPr>
        <w:t>also recommends</w:t>
      </w:r>
      <w:r>
        <w:t xml:space="preserve"> that:</w:t>
      </w:r>
    </w:p>
    <w:p w:rsidR="00000000" w:rsidRDefault="00000000">
      <w:r>
        <w:t>46.</w:t>
      </w:r>
      <w:r>
        <w:tab/>
        <w:t>States parties include in their periodic reports, in an appropriate form, data about the Roma communities within their jurisdiction, including statistical data about Roma participation in political life and about their economic, social and cultural situation, including from a gender perspective, and information about the implementation of this general recommendation.</w:t>
      </w:r>
    </w:p>
    <w:p w:rsidR="00000000" w:rsidRDefault="00000000">
      <w:r>
        <w:t>47.</w:t>
      </w:r>
      <w:r>
        <w:tab/>
        <w:t>Intergovernmental organizations, in their projects of cooperation and assistance to the various States parties, as appropriate, address the situation of Roma communities and favour their economic, social and cultural advancement.</w:t>
      </w:r>
    </w:p>
    <w:p w:rsidR="00000000" w:rsidRDefault="00000000">
      <w:r>
        <w:t>48.</w:t>
      </w:r>
      <w:r>
        <w:tab/>
        <w:t>The High Commissioner for Human Rights consider establishing a focal point for Roma issues within the Office of the High Commissioner.</w:t>
      </w:r>
    </w:p>
    <w:p w:rsidR="00000000" w:rsidRDefault="00000000">
      <w:r>
        <w:br w:type="page"/>
      </w:r>
      <w:r>
        <w:tab/>
        <w:t xml:space="preserve">The Committee </w:t>
      </w:r>
      <w:r>
        <w:rPr>
          <w:i/>
        </w:rPr>
        <w:t>further recommends</w:t>
      </w:r>
      <w:r>
        <w:t xml:space="preserve"> that:</w:t>
      </w:r>
    </w:p>
    <w:p w:rsidR="00000000" w:rsidRDefault="00000000">
      <w:r>
        <w:t>49.</w:t>
      </w:r>
      <w:r>
        <w:tab/>
        <w:t>The World Conference against Racism, Racial Discrimination, Xenophobia and Related Intolerance give due consideration to the above recommendations, taking into account the place of the Roma communities among those most disadvantaged and most subject to discrimination in the contemporary world.</w:t>
      </w:r>
    </w:p>
    <w:p w:rsidR="00000000" w:rsidRDefault="00000000">
      <w:pPr>
        <w:jc w:val="right"/>
        <w:rPr>
          <w:i/>
        </w:rPr>
      </w:pPr>
      <w:r>
        <w:rPr>
          <w:i/>
        </w:rPr>
        <w:t xml:space="preserve">1424th meeting, </w:t>
      </w:r>
      <w:r>
        <w:rPr>
          <w:i/>
        </w:rPr>
        <w:br/>
        <w:t>16 August 2000</w:t>
      </w:r>
    </w:p>
    <w:p w:rsidR="00000000" w:rsidRDefault="00000000">
      <w:pPr>
        <w:pStyle w:val="Heading2"/>
      </w:pPr>
      <w:r>
        <w:t>Sixtieth session (2002)</w:t>
      </w:r>
    </w:p>
    <w:p w:rsidR="00000000" w:rsidRDefault="00000000">
      <w:pPr>
        <w:pStyle w:val="Heading2"/>
        <w:ind w:left="851"/>
        <w:jc w:val="left"/>
      </w:pPr>
      <w:bookmarkStart w:id="266" w:name="_Toc481083456"/>
      <w:bookmarkStart w:id="267" w:name="_Toc70389055"/>
      <w:bookmarkStart w:id="268" w:name="_Toc70517013"/>
      <w:r>
        <w:t xml:space="preserve">General recommendation XXVIII on the follow-up to the World Conference </w:t>
      </w:r>
      <w:r>
        <w:br/>
        <w:t>against Racism, Racial Discrimination, Xenophobia and Related Intolerance</w:t>
      </w:r>
      <w:bookmarkEnd w:id="266"/>
      <w:bookmarkEnd w:id="267"/>
      <w:bookmarkEnd w:id="268"/>
    </w:p>
    <w:p w:rsidR="00000000" w:rsidRDefault="00000000">
      <w:r>
        <w:tab/>
      </w:r>
      <w:r>
        <w:rPr>
          <w:i/>
        </w:rPr>
        <w:t>The Committee on the Elimination of Racial Discrimination</w:t>
      </w:r>
      <w:r>
        <w:t>,</w:t>
      </w:r>
    </w:p>
    <w:p w:rsidR="00000000" w:rsidRDefault="00000000">
      <w:r>
        <w:tab/>
      </w:r>
      <w:r>
        <w:rPr>
          <w:i/>
        </w:rPr>
        <w:t>Welcoming</w:t>
      </w:r>
      <w:r>
        <w:t xml:space="preserve"> the adoption of the Durban Declaration and Programme of Action of the World Conference against Racism, Racial Discrimination, Xenophobia and Related Intolerance and the provisions of General Assembly resolution 56/266 which endorse or are designed to ensure the follow-up of those instruments,</w:t>
      </w:r>
    </w:p>
    <w:p w:rsidR="00000000" w:rsidRDefault="00000000">
      <w:r>
        <w:tab/>
      </w:r>
      <w:r>
        <w:rPr>
          <w:i/>
        </w:rPr>
        <w:t>Welcoming</w:t>
      </w:r>
      <w:r>
        <w:t xml:space="preserve"> the fact that the instruments adopted at Durban strongly reaffirm all the fundamental values and standards of the International Convention on the Elimination of All Forms of Racial Discrimination,</w:t>
      </w:r>
    </w:p>
    <w:p w:rsidR="00000000" w:rsidRDefault="00000000">
      <w:r>
        <w:tab/>
      </w:r>
      <w:r>
        <w:rPr>
          <w:i/>
        </w:rPr>
        <w:t>Recalling</w:t>
      </w:r>
      <w:r>
        <w:t xml:space="preserve"> that the Durban Declaration and Programme of Action refer to the International Convention on the Elimination of All Forms of Racial Discrimination as the principal instrument to combat racism, racial discrimination, xenophobia and related intolerance,</w:t>
      </w:r>
    </w:p>
    <w:p w:rsidR="00000000" w:rsidRDefault="00000000">
      <w:r>
        <w:tab/>
      </w:r>
      <w:r>
        <w:rPr>
          <w:i/>
        </w:rPr>
        <w:t>Noting in particular</w:t>
      </w:r>
      <w:r>
        <w:t xml:space="preserve"> the affirmation in the Durban Declaration that universal adherence to and full implementation of the International Convention on the Elimination of All Forms of Racial Discrimination are of paramount importance for promoting equality and non</w:t>
      </w:r>
      <w:r>
        <w:noBreakHyphen/>
        <w:t>discrimination in the world,</w:t>
      </w:r>
    </w:p>
    <w:p w:rsidR="00000000" w:rsidRDefault="00000000">
      <w:r>
        <w:tab/>
      </w:r>
      <w:r>
        <w:rPr>
          <w:i/>
        </w:rPr>
        <w:t>Expressing its satisfaction</w:t>
      </w:r>
      <w:r>
        <w:t xml:space="preserve"> at the recognition of the role and contribution of the Committee to the struggle against racial discrimination,</w:t>
      </w:r>
    </w:p>
    <w:p w:rsidR="00000000" w:rsidRDefault="00000000">
      <w:r>
        <w:tab/>
      </w:r>
      <w:r>
        <w:rPr>
          <w:i/>
        </w:rPr>
        <w:t>Conscious</w:t>
      </w:r>
      <w:r>
        <w:t xml:space="preserve"> of its own responsibilities in the follow-up to the World Conference and of the need to strengthen its capacity to undertake these responsibilities,</w:t>
      </w:r>
    </w:p>
    <w:p w:rsidR="00000000" w:rsidRDefault="00000000">
      <w:r>
        <w:tab/>
      </w:r>
      <w:r>
        <w:rPr>
          <w:i/>
        </w:rPr>
        <w:t>Stressing</w:t>
      </w:r>
      <w:r>
        <w:t xml:space="preserve"> the vital role of non-governmental organizations in the struggle against racial discrimination and welcoming their contribution during the World Conference,</w:t>
      </w:r>
    </w:p>
    <w:p w:rsidR="00000000" w:rsidRDefault="00000000">
      <w:r>
        <w:tab/>
      </w:r>
      <w:r>
        <w:rPr>
          <w:i/>
        </w:rPr>
        <w:t>Taking note</w:t>
      </w:r>
      <w:r>
        <w:t xml:space="preserve"> of the recognition by the World Conference of the important role that national human rights institutions play in combating racism and racial discrimination, and of the need to strengthen such institutions and provide them with greater resources,</w:t>
      </w:r>
    </w:p>
    <w:p w:rsidR="00000000" w:rsidRDefault="00000000">
      <w:r>
        <w:tab/>
        <w:t>1.</w:t>
      </w:r>
      <w:r>
        <w:tab/>
      </w:r>
      <w:r>
        <w:rPr>
          <w:i/>
        </w:rPr>
        <w:t>Recommends</w:t>
      </w:r>
      <w:r>
        <w:t xml:space="preserve"> to States:</w:t>
      </w:r>
    </w:p>
    <w:p w:rsidR="00000000" w:rsidRDefault="00000000">
      <w:pPr>
        <w:pStyle w:val="Heading2"/>
      </w:pPr>
      <w:r>
        <w:t>I.  Measures to strengthen the implementation of the Convention</w:t>
      </w:r>
    </w:p>
    <w:p w:rsidR="00000000" w:rsidRDefault="00000000">
      <w:r>
        <w:tab/>
        <w:t>(a)</w:t>
      </w:r>
      <w:r>
        <w:tab/>
        <w:t>If they have not yet done so, to accede to the International Convention on the Elimination of All Forms of Racial Discrimination with a view to universal ratification by the year 2005;</w:t>
      </w:r>
    </w:p>
    <w:p w:rsidR="00000000" w:rsidRDefault="00000000">
      <w:r>
        <w:tab/>
        <w:t>(b)</w:t>
      </w:r>
      <w:r>
        <w:tab/>
        <w:t>If they have not yet done so, to consider making the optional declaration envisaged under article 14 of the Convention;</w:t>
      </w:r>
    </w:p>
    <w:p w:rsidR="00000000" w:rsidRDefault="00000000">
      <w:r>
        <w:tab/>
        <w:t>(c)</w:t>
      </w:r>
      <w:r>
        <w:tab/>
        <w:t>To comply with their reporting obligations under the Convention by presenting reports in a timely manner in conformity with the relevant guidelines;</w:t>
      </w:r>
    </w:p>
    <w:p w:rsidR="00000000" w:rsidRDefault="00000000">
      <w:r>
        <w:tab/>
        <w:t>(d)</w:t>
      </w:r>
      <w:r>
        <w:tab/>
        <w:t>To consider withdrawing their reservations to the Convention;</w:t>
      </w:r>
    </w:p>
    <w:p w:rsidR="00000000" w:rsidRDefault="00000000">
      <w:r>
        <w:tab/>
        <w:t>(e)</w:t>
      </w:r>
      <w:r>
        <w:tab/>
        <w:t>To make increased efforts to inform the public of the existence of the complaints mechanism under article 14 of the Convention;</w:t>
      </w:r>
    </w:p>
    <w:p w:rsidR="00000000" w:rsidRDefault="00000000">
      <w:r>
        <w:tab/>
        <w:t>(f)</w:t>
      </w:r>
      <w:r>
        <w:tab/>
        <w:t>To take into account the relevant parts of the Durban Declaration and Programme of Action when implementing the Convention in the domestic legal order, in particular in respect of articles 2 to 7 of the Convention;</w:t>
      </w:r>
    </w:p>
    <w:p w:rsidR="00000000" w:rsidRDefault="00000000">
      <w:r>
        <w:tab/>
        <w:t>(g)</w:t>
      </w:r>
      <w:r>
        <w:tab/>
        <w:t>To include in their periodic reports information on action plans or other measures they have taken to implement the Durban Declaration and Programme of Action at the national level;</w:t>
      </w:r>
    </w:p>
    <w:p w:rsidR="00000000" w:rsidRDefault="00000000">
      <w:r>
        <w:tab/>
        <w:t>(h)</w:t>
      </w:r>
      <w:r>
        <w:tab/>
        <w:t>To disseminate the Durban Declaration and Programme of Action in an appropriate manner and provide the Committee with information on the efforts in this respect under the section of their periodic reports concerning article 7 of the Convention;</w:t>
      </w:r>
    </w:p>
    <w:p w:rsidR="00000000" w:rsidRDefault="00000000">
      <w:pPr>
        <w:pStyle w:val="Heading2"/>
      </w:pPr>
      <w:r>
        <w:t>II.  Measures to strengthen the functioning of the Committee</w:t>
      </w:r>
    </w:p>
    <w:p w:rsidR="00000000" w:rsidRDefault="00000000">
      <w:r>
        <w:tab/>
        <w:t>(i)</w:t>
      </w:r>
      <w:r>
        <w:tab/>
        <w:t>To consider setting up appropriate national monitoring and evaluation mechanisms to ensure that all appropriate steps are taken to follow-up the concluding observations and general recommendations of the Committee;</w:t>
      </w:r>
    </w:p>
    <w:p w:rsidR="00000000" w:rsidRDefault="00000000">
      <w:r>
        <w:tab/>
        <w:t>(j)</w:t>
      </w:r>
      <w:r>
        <w:tab/>
        <w:t>To include in their periodic reports to the Committee appropriate information on the follow-up to such concluding observations and recommendations;</w:t>
      </w:r>
    </w:p>
    <w:p w:rsidR="00000000" w:rsidRDefault="00000000">
      <w:r>
        <w:tab/>
        <w:t>(k)</w:t>
      </w:r>
      <w:r>
        <w:tab/>
        <w:t>To ratify the amendment to article 8, paragraph 6, of the Convention adopted on 15 January 1992 at the 14th meeting of States parties to the Convention and endorsed by the General Assembly in its resolution 47/111 of 15 December 1992;</w:t>
      </w:r>
    </w:p>
    <w:p w:rsidR="00000000" w:rsidRDefault="00000000">
      <w:r>
        <w:tab/>
        <w:t>(l)</w:t>
      </w:r>
      <w:r>
        <w:tab/>
        <w:t>To continue cooperating with the Committee with a view to promoting the effective implementation of the Convention;</w:t>
      </w:r>
    </w:p>
    <w:p w:rsidR="00000000" w:rsidRDefault="00000000">
      <w:r>
        <w:br w:type="page"/>
      </w:r>
      <w:r>
        <w:tab/>
        <w:t>2.</w:t>
      </w:r>
      <w:r>
        <w:tab/>
      </w:r>
      <w:r>
        <w:rPr>
          <w:i/>
          <w:iCs/>
        </w:rPr>
        <w:t>Also recommends</w:t>
      </w:r>
      <w:r>
        <w:t>:</w:t>
      </w:r>
    </w:p>
    <w:p w:rsidR="00000000" w:rsidRDefault="00000000">
      <w:r>
        <w:tab/>
        <w:t>(a)</w:t>
      </w:r>
      <w:r>
        <w:tab/>
        <w:t>That national human rights institutions assist their respective States to comply with their reporting obligations and closely monitor the follow-up to the concluding observations and recommendations of the Committee;</w:t>
      </w:r>
    </w:p>
    <w:p w:rsidR="00000000" w:rsidRDefault="00000000">
      <w:r>
        <w:tab/>
        <w:t>(b)</w:t>
      </w:r>
      <w:r>
        <w:tab/>
        <w:t>That non-governmental organizations continue to provide the Committee in good time with relevant information in order to enhance its cooperation with them;</w:t>
      </w:r>
    </w:p>
    <w:p w:rsidR="00000000" w:rsidRDefault="00000000">
      <w:r>
        <w:tab/>
        <w:t>(c)</w:t>
      </w:r>
      <w:r>
        <w:tab/>
        <w:t>That the Office of the High Commissioner for Human Rights continue its efforts to increase awareness of the work of the Committee;</w:t>
      </w:r>
    </w:p>
    <w:p w:rsidR="00000000" w:rsidRDefault="00000000">
      <w:r>
        <w:tab/>
        <w:t>(d)</w:t>
      </w:r>
      <w:r>
        <w:tab/>
        <w:t>That the competent United Nations bodies provide the Committee with adequate resources to enable it to discharge its mandate fully;</w:t>
      </w:r>
    </w:p>
    <w:p w:rsidR="00000000" w:rsidRDefault="00000000">
      <w:r>
        <w:tab/>
        <w:t>3.</w:t>
      </w:r>
      <w:r>
        <w:tab/>
      </w:r>
      <w:r>
        <w:rPr>
          <w:i/>
          <w:iCs/>
        </w:rPr>
        <w:t>Expresses its willingness</w:t>
      </w:r>
      <w:r>
        <w:t>:</w:t>
      </w:r>
    </w:p>
    <w:p w:rsidR="00000000" w:rsidRDefault="00000000">
      <w:r>
        <w:tab/>
        <w:t>(a)</w:t>
      </w:r>
      <w:r>
        <w:tab/>
        <w:t>To cooperate fully with all relevant institutions of the United Nations system, in particular the Office of the High Commissioner for Human Rights, in following up the Durban Declaration and Programme of Action;</w:t>
      </w:r>
    </w:p>
    <w:p w:rsidR="00000000" w:rsidRDefault="00000000">
      <w:r>
        <w:tab/>
        <w:t>(b)</w:t>
      </w:r>
      <w:r>
        <w:tab/>
        <w:t>To cooperate with the five independent eminent experts to be appointed by the Secretary-General to facilitate the implementation of the recommendations of the Durban Declaration and Programme of Action;</w:t>
      </w:r>
    </w:p>
    <w:p w:rsidR="00000000" w:rsidRDefault="00000000">
      <w:r>
        <w:tab/>
        <w:t>(c)</w:t>
      </w:r>
      <w:r>
        <w:tab/>
        <w:t>To coordinate its activities with the other human rights treaty bodies with a view to achieving a more effective follow-up of the Durban Declaration and Programme of Action;</w:t>
      </w:r>
    </w:p>
    <w:p w:rsidR="00000000" w:rsidRDefault="00000000">
      <w:r>
        <w:tab/>
        <w:t>(d)</w:t>
      </w:r>
      <w:r>
        <w:tab/>
        <w:t>To take into consideration all aspects of the Durban Declaration and Programme of Action concerning the fulfilment of its mandate.</w:t>
      </w:r>
    </w:p>
    <w:p w:rsidR="00000000" w:rsidRDefault="00000000">
      <w:pPr>
        <w:jc w:val="right"/>
        <w:rPr>
          <w:i/>
          <w:iCs/>
        </w:rPr>
      </w:pPr>
      <w:r>
        <w:rPr>
          <w:i/>
          <w:iCs/>
        </w:rPr>
        <w:t xml:space="preserve">1517th meeting, </w:t>
      </w:r>
      <w:r>
        <w:rPr>
          <w:i/>
          <w:iCs/>
        </w:rPr>
        <w:br/>
        <w:t>19 March 2002</w:t>
      </w:r>
    </w:p>
    <w:p w:rsidR="00000000" w:rsidRDefault="00000000">
      <w:pPr>
        <w:pStyle w:val="Heading2"/>
      </w:pPr>
      <w:r>
        <w:t>Sixty-first session (2002)</w:t>
      </w:r>
    </w:p>
    <w:p w:rsidR="00000000" w:rsidRDefault="00000000">
      <w:pPr>
        <w:pStyle w:val="Heading2"/>
      </w:pPr>
      <w:bookmarkStart w:id="269" w:name="_Toc481083457"/>
      <w:bookmarkStart w:id="270" w:name="_Toc70389056"/>
      <w:bookmarkStart w:id="271" w:name="_Toc70517014"/>
      <w:r>
        <w:t xml:space="preserve">General recommendation XXIX on article 1, paragraph 1, </w:t>
      </w:r>
      <w:r>
        <w:br/>
        <w:t>of the Convention (Descent)</w:t>
      </w:r>
      <w:bookmarkEnd w:id="269"/>
      <w:bookmarkEnd w:id="270"/>
      <w:bookmarkEnd w:id="271"/>
    </w:p>
    <w:p w:rsidR="00000000" w:rsidRDefault="00000000">
      <w:r>
        <w:tab/>
      </w:r>
      <w:r>
        <w:rPr>
          <w:i/>
        </w:rPr>
        <w:t>The Committee on the Elimination of Racial Discrimination</w:t>
      </w:r>
      <w:r>
        <w:t>,</w:t>
      </w:r>
    </w:p>
    <w:p w:rsidR="00000000" w:rsidRDefault="00000000">
      <w:r>
        <w:tab/>
      </w:r>
      <w:r>
        <w:rPr>
          <w:i/>
        </w:rPr>
        <w:t>Recalling</w:t>
      </w:r>
      <w:r>
        <w:t xml:space="preserve"> the terms of the Universal Declaration of Human Rights according to which all human beings are born free and equal in dignity and rights and are entitled to the rights and freedoms therein without distinction of any kind, including race, colour, sex, language, religion, social origin, birth or other status,</w:t>
      </w:r>
    </w:p>
    <w:p w:rsidR="00000000" w:rsidRDefault="00000000">
      <w:r>
        <w:br w:type="page"/>
      </w:r>
      <w:r>
        <w:tab/>
      </w:r>
      <w:r>
        <w:rPr>
          <w:i/>
        </w:rPr>
        <w:t>Recalling also</w:t>
      </w:r>
      <w:r>
        <w:t xml:space="preserve"> the terms of the Vienna Declaration and Programme of Action of the World Conference on Human Rights according to which it is the duty of States, regardless of political, economic and cultural system, to promote and protect all human rights and fundamental freedoms,</w:t>
      </w:r>
    </w:p>
    <w:p w:rsidR="00000000" w:rsidRDefault="00000000">
      <w:r>
        <w:tab/>
      </w:r>
      <w:r>
        <w:rPr>
          <w:i/>
        </w:rPr>
        <w:t>Reaffirming</w:t>
      </w:r>
      <w:r>
        <w:t xml:space="preserve"> its general recommendation XXVIII in which the Committee expresses wholehearted support for the Durban Declaration and Programme of Action of the World Conference against Racism, Racial Discrimination, Xenophobia and Related Intolerance,</w:t>
      </w:r>
    </w:p>
    <w:p w:rsidR="00000000" w:rsidRDefault="00000000">
      <w:r>
        <w:tab/>
      </w:r>
      <w:r>
        <w:rPr>
          <w:i/>
        </w:rPr>
        <w:t>Reaffirming also</w:t>
      </w:r>
      <w:r>
        <w:t xml:space="preserve"> the condemnation of discrimination against persons of Asian and African descent and indigenous and other forms of descent in the Durban Declaration and Programme of Action,</w:t>
      </w:r>
    </w:p>
    <w:p w:rsidR="00000000" w:rsidRDefault="00000000">
      <w:r>
        <w:tab/>
      </w:r>
      <w:r>
        <w:rPr>
          <w:i/>
        </w:rPr>
        <w:t>Basing</w:t>
      </w:r>
      <w:r>
        <w:t xml:space="preserve"> its action on the provisions of the International Convention on the Elimination of All Forms of Racial Discrimination which seeks to eliminate discrimination based on race, colour, descent, or national or ethnic origin,</w:t>
      </w:r>
    </w:p>
    <w:p w:rsidR="00000000" w:rsidRDefault="00000000">
      <w:r>
        <w:tab/>
      </w:r>
      <w:r>
        <w:rPr>
          <w:i/>
        </w:rPr>
        <w:t>Confirming</w:t>
      </w:r>
      <w:r>
        <w:t xml:space="preserve"> the consistent view of the Committee that the term “descent” in article 1, paragraph 1, the Convention does not solely refer to “race” and has a meaning and application which complement the other prohibited grounds of discrimination,</w:t>
      </w:r>
    </w:p>
    <w:p w:rsidR="00000000" w:rsidRDefault="00000000">
      <w:r>
        <w:tab/>
      </w:r>
      <w:r>
        <w:rPr>
          <w:i/>
        </w:rPr>
        <w:t>Strongly reaffirming</w:t>
      </w:r>
      <w:r>
        <w:t xml:space="preserve"> that discrimination based on “descent” includes discrimination against members of communities based on forms of social stratification such as caste and analogous systems of inherited status which nullify or impair their equal enjoyment of human rights,</w:t>
      </w:r>
    </w:p>
    <w:p w:rsidR="00000000" w:rsidRDefault="00000000">
      <w:r>
        <w:tab/>
      </w:r>
      <w:r>
        <w:rPr>
          <w:i/>
        </w:rPr>
        <w:t>Noting</w:t>
      </w:r>
      <w:r>
        <w:t xml:space="preserve"> that the existence of such discrimination has become evident from the Committee’s examination of reports of a number of States parties to the Convention,</w:t>
      </w:r>
    </w:p>
    <w:p w:rsidR="00000000" w:rsidRDefault="00000000">
      <w:r>
        <w:tab/>
      </w:r>
      <w:r>
        <w:rPr>
          <w:i/>
        </w:rPr>
        <w:t>Having organized</w:t>
      </w:r>
      <w:r>
        <w:t xml:space="preserve"> a thematic discussion on descent-based discrimination and received the contributions of members of the Committee, as well as contributions from some Governments and members of other United Nations bodies, notably experts of the Sub-Commission for the Promotion and Protection of Human Rights,</w:t>
      </w:r>
    </w:p>
    <w:p w:rsidR="00000000" w:rsidRDefault="00000000">
      <w:r>
        <w:tab/>
      </w:r>
      <w:r>
        <w:rPr>
          <w:i/>
        </w:rPr>
        <w:t>Having received</w:t>
      </w:r>
      <w:r>
        <w:t xml:space="preserve"> contributions from a great number of concerned non-governmental organizations and individuals, orally and through written information, providing the Committee with further evidence of the extent and persistence of descent-based discrimination in different regions of the world,</w:t>
      </w:r>
    </w:p>
    <w:p w:rsidR="00000000" w:rsidRDefault="00000000">
      <w:r>
        <w:tab/>
      </w:r>
      <w:r>
        <w:rPr>
          <w:i/>
        </w:rPr>
        <w:t>Concluding</w:t>
      </w:r>
      <w:r>
        <w:t xml:space="preserve"> that fresh efforts need to be made as well as existing efforts intensified at the level of domestic law and practice to eliminate the scourge of descent-based discrimination and empower communities affected by it,</w:t>
      </w:r>
    </w:p>
    <w:p w:rsidR="00000000" w:rsidRDefault="00000000">
      <w:r>
        <w:tab/>
      </w:r>
      <w:r>
        <w:rPr>
          <w:i/>
        </w:rPr>
        <w:t>Commending</w:t>
      </w:r>
      <w:r>
        <w:t xml:space="preserve"> the efforts of those States that have taken measures to eliminate descent</w:t>
      </w:r>
      <w:r>
        <w:noBreakHyphen/>
        <w:t>based discrimination and remedy its consequences,</w:t>
      </w:r>
    </w:p>
    <w:p w:rsidR="00000000" w:rsidRDefault="00000000">
      <w:r>
        <w:tab/>
      </w:r>
      <w:r>
        <w:rPr>
          <w:i/>
        </w:rPr>
        <w:t>Strongly encouraging</w:t>
      </w:r>
      <w:r>
        <w:t xml:space="preserve"> those affected States that have yet to recognize and address this phenomenon to take steps to do so,</w:t>
      </w:r>
    </w:p>
    <w:p w:rsidR="00000000" w:rsidRDefault="00000000">
      <w:r>
        <w:tab/>
      </w:r>
      <w:r>
        <w:rPr>
          <w:i/>
        </w:rPr>
        <w:t>Recalling</w:t>
      </w:r>
      <w:r>
        <w:t xml:space="preserve"> the positive spirit in which the dialogues between the Committee and Governments have been conducted on the question of descent-based discrimination and anticipating further such constructive dialogues,</w:t>
      </w:r>
    </w:p>
    <w:p w:rsidR="00000000" w:rsidRDefault="00000000">
      <w:r>
        <w:tab/>
      </w:r>
      <w:r>
        <w:rPr>
          <w:i/>
        </w:rPr>
        <w:t>Attaching the highest importance</w:t>
      </w:r>
      <w:r>
        <w:t xml:space="preserve"> to its ongoing work in combating all forms of descent</w:t>
      </w:r>
      <w:r>
        <w:noBreakHyphen/>
        <w:t>based discrimination,</w:t>
      </w:r>
    </w:p>
    <w:p w:rsidR="00000000" w:rsidRDefault="00000000">
      <w:r>
        <w:tab/>
      </w:r>
      <w:r>
        <w:rPr>
          <w:i/>
        </w:rPr>
        <w:t>Strongly condemning</w:t>
      </w:r>
      <w:r>
        <w:t xml:space="preserve"> descent-based discrimination, such as discrimination on the basis of caste and analogous systems of inherited status, as a violation of the Convention,</w:t>
      </w:r>
    </w:p>
    <w:p w:rsidR="00000000" w:rsidRDefault="00000000">
      <w:r>
        <w:tab/>
      </w:r>
      <w:r>
        <w:rPr>
          <w:i/>
        </w:rPr>
        <w:t>Recommends</w:t>
      </w:r>
      <w:r>
        <w:t xml:space="preserve"> that the States parties, as appropriate for their particular circumstances, adopt some or all of the following measures:</w:t>
      </w:r>
    </w:p>
    <w:p w:rsidR="00000000" w:rsidRDefault="00000000">
      <w:pPr>
        <w:pStyle w:val="Heading2"/>
      </w:pPr>
      <w:r>
        <w:t>1.  Measures of a general nature</w:t>
      </w:r>
    </w:p>
    <w:p w:rsidR="00000000" w:rsidRDefault="00000000">
      <w:r>
        <w:tab/>
        <w:t>(a)</w:t>
      </w:r>
      <w:r>
        <w:tab/>
        <w:t>Steps to identify those descent-based communities under their jurisdiction who suffer from discrimination, especially on the basis of caste and analogous systems of inherited status, and whose existence may be recognized on the basis of various factors including some or all of the following:  inability or restricted ability to alter inherited status; socially enforced restrictions on marriage outside the community; private and public segregation, including in housing and education, access to public spaces, places of worship and public sources of food and water; limitation of freedom to renounce inherited occupations or degrading or hazardous work; subjection to debt bondage; subjection to dehumanizing discourses referring to pollution or untouchability; and generalized lack of respect for their human dignity and equality;</w:t>
      </w:r>
    </w:p>
    <w:p w:rsidR="00000000" w:rsidRDefault="00000000">
      <w:r>
        <w:tab/>
        <w:t>(b)</w:t>
      </w:r>
      <w:r>
        <w:tab/>
        <w:t>Consider the incorporation of an explicit prohibition of descent-based discrimination in the national constitution;</w:t>
      </w:r>
    </w:p>
    <w:p w:rsidR="00000000" w:rsidRDefault="00000000">
      <w:r>
        <w:tab/>
        <w:t>(c)</w:t>
      </w:r>
      <w:r>
        <w:tab/>
        <w:t>Review and enact or amend legislation in order to outlaw all forms of discrimination based on descent in accordance with the Convention;</w:t>
      </w:r>
    </w:p>
    <w:p w:rsidR="00000000" w:rsidRDefault="00000000">
      <w:r>
        <w:tab/>
        <w:t>(d)</w:t>
      </w:r>
      <w:r>
        <w:tab/>
        <w:t>Resolutely implement legislation and other measures already in force;</w:t>
      </w:r>
    </w:p>
    <w:p w:rsidR="00000000" w:rsidRDefault="00000000">
      <w:r>
        <w:tab/>
        <w:t>(e)</w:t>
      </w:r>
      <w:r>
        <w:tab/>
        <w:t>Formulate and put into action a comprehensive national strategy with the participation of members of affected communities, including special measures in accordance with articles 1 and 2 of the Convention, in order to eliminate discrimination against members of descent-based groups;</w:t>
      </w:r>
    </w:p>
    <w:p w:rsidR="00000000" w:rsidRDefault="00000000">
      <w:r>
        <w:tab/>
        <w:t>(f)</w:t>
      </w:r>
      <w:r>
        <w:tab/>
        <w:t>Adopt special measures in favour of descent-based groups and communities in order to ensure their enjoyment of human rights and fundamental freedoms, in particular concerning access to public functions, employment and education;</w:t>
      </w:r>
    </w:p>
    <w:p w:rsidR="00000000" w:rsidRDefault="00000000">
      <w:r>
        <w:tab/>
        <w:t>(g)</w:t>
      </w:r>
      <w:r>
        <w:tab/>
        <w:t>Establish statutory mechanisms, through the strengthening of existing institutions or the creation of specialized institutions, to promote respect for the equal human rights of members of descent-based communities;</w:t>
      </w:r>
    </w:p>
    <w:p w:rsidR="00000000" w:rsidRDefault="00000000">
      <w:r>
        <w:tab/>
        <w:t>(h)</w:t>
      </w:r>
      <w:r>
        <w:tab/>
        <w:t>Educate the general public on the importance of affirmative action programmes to address the situation of victims of descent-based discrimination;</w:t>
      </w:r>
    </w:p>
    <w:p w:rsidR="00000000" w:rsidRDefault="00000000">
      <w:r>
        <w:tab/>
        <w:t>(i)</w:t>
      </w:r>
      <w:r>
        <w:tab/>
        <w:t>Encourage dialogue between members of descent-based communities and members of other social groups;</w:t>
      </w:r>
    </w:p>
    <w:p w:rsidR="00000000" w:rsidRDefault="00000000">
      <w:r>
        <w:tab/>
        <w:t>(j)</w:t>
      </w:r>
      <w:r>
        <w:tab/>
        <w:t>Conduct periodic surveys on the reality of descent-based discrimination and provide disaggregated information in their reports to the Committee on the geographical distribution and economic and social conditions of descent-based communities, including a gender perspective;</w:t>
      </w:r>
    </w:p>
    <w:p w:rsidR="00000000" w:rsidRDefault="00000000">
      <w:pPr>
        <w:pStyle w:val="Heading2"/>
        <w:ind w:left="2382" w:hanging="454"/>
        <w:jc w:val="left"/>
      </w:pPr>
      <w:r>
        <w:t>2.</w:t>
      </w:r>
      <w:r>
        <w:tab/>
        <w:t xml:space="preserve">Multiple discrimination against women members </w:t>
      </w:r>
      <w:r>
        <w:br/>
        <w:t>of descent-based communities</w:t>
      </w:r>
    </w:p>
    <w:p w:rsidR="00000000" w:rsidRDefault="00000000">
      <w:r>
        <w:tab/>
        <w:t>(k)</w:t>
      </w:r>
      <w:r>
        <w:tab/>
        <w:t>Take into account, in all programmes and projects planned and implemented and in measures adopted, the situation of women members of the communities, as victims of multiple discrimination, sexual exploitation and forced prostitution;</w:t>
      </w:r>
    </w:p>
    <w:p w:rsidR="00000000" w:rsidRDefault="00000000">
      <w:r>
        <w:tab/>
        <w:t>(l)</w:t>
      </w:r>
      <w:r>
        <w:tab/>
        <w:t>Take all measures necessary in order to eliminate multiple discrimination including descent-based discrimination against women, particularly in the areas of personal security, employment and education;</w:t>
      </w:r>
    </w:p>
    <w:p w:rsidR="00000000" w:rsidRDefault="00000000">
      <w:r>
        <w:tab/>
        <w:t>(m)</w:t>
      </w:r>
      <w:r>
        <w:tab/>
        <w:t>Provide disaggregated data for the situation of women affected by descent-based discrimination;</w:t>
      </w:r>
    </w:p>
    <w:p w:rsidR="00000000" w:rsidRDefault="00000000">
      <w:pPr>
        <w:pStyle w:val="Heading3"/>
        <w:jc w:val="center"/>
      </w:pPr>
      <w:r>
        <w:t>3.  Segregation</w:t>
      </w:r>
    </w:p>
    <w:p w:rsidR="00000000" w:rsidRDefault="00000000">
      <w:r>
        <w:tab/>
        <w:t>(n)</w:t>
      </w:r>
      <w:r>
        <w:tab/>
        <w:t>Monitor and report on trends which give rise to the segregation of descent-based communities and work for the eradication of the negative consequences resulting from such segregation;</w:t>
      </w:r>
    </w:p>
    <w:p w:rsidR="00000000" w:rsidRDefault="00000000">
      <w:r>
        <w:tab/>
        <w:t>(o)</w:t>
      </w:r>
      <w:r>
        <w:tab/>
        <w:t>Undertake to prevent, prohibit and eliminate practices of segregation directed against members of descent-based communities including in housing, education and employment;</w:t>
      </w:r>
    </w:p>
    <w:p w:rsidR="00000000" w:rsidRDefault="00000000">
      <w:r>
        <w:tab/>
        <w:t>(p)</w:t>
      </w:r>
      <w:r>
        <w:tab/>
        <w:t>Secure for everyone the right of access on an equal and non-discriminatory basis to any place or service intended for use by the general public;</w:t>
      </w:r>
    </w:p>
    <w:p w:rsidR="00000000" w:rsidRDefault="00000000">
      <w:r>
        <w:tab/>
        <w:t>(q)</w:t>
      </w:r>
      <w:r>
        <w:tab/>
        <w:t>Take steps to promote mixed communities in which members of affected communities are integrated with other elements of society and ensure that services to such settlements are accessible on an equal basis for all;</w:t>
      </w:r>
    </w:p>
    <w:p w:rsidR="00000000" w:rsidRDefault="00000000">
      <w:pPr>
        <w:pStyle w:val="Heading2"/>
        <w:ind w:left="2495" w:hanging="454"/>
        <w:jc w:val="left"/>
      </w:pPr>
      <w:r>
        <w:t>4.</w:t>
      </w:r>
      <w:r>
        <w:tab/>
        <w:t xml:space="preserve">Dissemination of hate speech including through </w:t>
      </w:r>
      <w:r>
        <w:br/>
        <w:t>the mass media and the Internet</w:t>
      </w:r>
    </w:p>
    <w:p w:rsidR="00000000" w:rsidRDefault="00000000">
      <w:r>
        <w:tab/>
        <w:t>(r)</w:t>
      </w:r>
      <w:r>
        <w:tab/>
        <w:t>Take measures against any dissemination of ideas of caste superiority and inferiority or which attempt to justify violence, hatred or discrimination against descent-based communities;</w:t>
      </w:r>
    </w:p>
    <w:p w:rsidR="00000000" w:rsidRDefault="00000000">
      <w:r>
        <w:tab/>
        <w:t>(s)</w:t>
      </w:r>
      <w:r>
        <w:tab/>
        <w:t>Take strict measures against any incitement to discrimination or violence against the communities, including through the Internet;</w:t>
      </w:r>
    </w:p>
    <w:p w:rsidR="00000000" w:rsidRDefault="00000000">
      <w:r>
        <w:tab/>
        <w:t>(t)</w:t>
      </w:r>
      <w:r>
        <w:tab/>
        <w:t>Take measures to raise awareness among media professionals of the nature and incidence of descent-based discrimination;</w:t>
      </w:r>
    </w:p>
    <w:p w:rsidR="00000000" w:rsidRDefault="00000000">
      <w:pPr>
        <w:pStyle w:val="Heading3"/>
        <w:ind w:left="3629" w:hanging="454"/>
      </w:pPr>
      <w:r>
        <w:t>5.  Administration of justice</w:t>
      </w:r>
    </w:p>
    <w:p w:rsidR="00000000" w:rsidRDefault="00000000">
      <w:r>
        <w:tab/>
        <w:t>(u)</w:t>
      </w:r>
      <w:r>
        <w:tab/>
        <w:t>Take the necessary steps to secure equal access to the justice system for all members of descent-based communities, including by providing legal aid, facilitating of group claims and encouraging non-governmental organizations to defend community rights;</w:t>
      </w:r>
    </w:p>
    <w:p w:rsidR="00000000" w:rsidRDefault="00000000">
      <w:r>
        <w:tab/>
        <w:t>(v)</w:t>
      </w:r>
      <w:r>
        <w:tab/>
        <w:t>Ensure, where relevant, that judicial decisions and official actions take the prohibition of descent-based discrimination fully into account;</w:t>
      </w:r>
    </w:p>
    <w:p w:rsidR="00000000" w:rsidRDefault="00000000">
      <w:r>
        <w:tab/>
        <w:t>(w)</w:t>
      </w:r>
      <w:r>
        <w:tab/>
        <w:t>Ensure the prosecution of persons who commit crimes against members of descent-based communities and the provision of adequate compensation for the victims of such crimes;</w:t>
      </w:r>
    </w:p>
    <w:p w:rsidR="00000000" w:rsidRDefault="00000000">
      <w:r>
        <w:tab/>
        <w:t>(x)</w:t>
      </w:r>
      <w:r>
        <w:tab/>
        <w:t>Encourage the recruitment of members of descent-based communities into the police and other law enforcement agencies;</w:t>
      </w:r>
    </w:p>
    <w:p w:rsidR="00000000" w:rsidRDefault="00000000">
      <w:r>
        <w:tab/>
        <w:t>(y)</w:t>
      </w:r>
      <w:r>
        <w:tab/>
        <w:t>Organize training programmes for public officials and law enforcement agencies with a view to preventing injustices based on prejudice against descent-based communities;</w:t>
      </w:r>
    </w:p>
    <w:p w:rsidR="00000000" w:rsidRDefault="00000000">
      <w:r>
        <w:tab/>
        <w:t>(z)</w:t>
      </w:r>
      <w:r>
        <w:tab/>
        <w:t>Encourage and facilitate constructive dialogue between the police and other law enforcement agencies and members of the communities;</w:t>
      </w:r>
    </w:p>
    <w:p w:rsidR="00000000" w:rsidRDefault="00000000">
      <w:pPr>
        <w:pStyle w:val="Heading3"/>
        <w:ind w:left="3799" w:hanging="454"/>
      </w:pPr>
      <w:r>
        <w:t>6.  Civil and political rights</w:t>
      </w:r>
    </w:p>
    <w:p w:rsidR="00000000" w:rsidRDefault="00000000">
      <w:r>
        <w:tab/>
        <w:t>(aa)</w:t>
      </w:r>
      <w:r>
        <w:tab/>
        <w:t>Ensure that authorities at all levels in the country concerned involve members of descent-based communities in decisions which affect them;</w:t>
      </w:r>
    </w:p>
    <w:p w:rsidR="00000000" w:rsidRDefault="00000000">
      <w:r>
        <w:tab/>
        <w:t>(bb)</w:t>
      </w:r>
      <w:r>
        <w:tab/>
        <w:t>Take special and concrete measures to guarantee to members of descent-based communities the right to participate in elections, to vote and stand for election on the basis of equal and universal suffrage, and to have due representation in Government and legislative bodies;</w:t>
      </w:r>
    </w:p>
    <w:p w:rsidR="00000000" w:rsidRDefault="00000000">
      <w:r>
        <w:tab/>
        <w:t>(cc)</w:t>
      </w:r>
      <w:r>
        <w:tab/>
        <w:t>Promote awareness among members of the communities of the importance of their active participation in public and political life, and eliminate obstacles to such participation;</w:t>
      </w:r>
    </w:p>
    <w:p w:rsidR="00000000" w:rsidRDefault="00000000">
      <w:r>
        <w:tab/>
        <w:t>(dd)</w:t>
      </w:r>
      <w:r>
        <w:tab/>
        <w:t>Organize training programmes to improve the political policy-making and public administration skills of public officials and political representatives who belong to descent-based communities;</w:t>
      </w:r>
    </w:p>
    <w:p w:rsidR="00000000" w:rsidRDefault="00000000">
      <w:r>
        <w:tab/>
        <w:t>(ee)</w:t>
      </w:r>
      <w:r>
        <w:tab/>
        <w:t>Take steps to identify areas prone to descent-based violence in order to prevent the recurrence of such violence;</w:t>
      </w:r>
    </w:p>
    <w:p w:rsidR="00000000" w:rsidRDefault="00000000">
      <w:r>
        <w:tab/>
        <w:t>(ff)</w:t>
      </w:r>
      <w:r>
        <w:tab/>
        <w:t>Take resolute measures to secure rights of marriage for members of descent-based communities who wish to marry outside the community;</w:t>
      </w:r>
    </w:p>
    <w:p w:rsidR="00000000" w:rsidRDefault="00000000">
      <w:pPr>
        <w:pStyle w:val="Heading2"/>
      </w:pPr>
      <w:r>
        <w:t>7.  Economic and social rights</w:t>
      </w:r>
    </w:p>
    <w:p w:rsidR="00000000" w:rsidRDefault="00000000">
      <w:r>
        <w:tab/>
        <w:t>(gg)</w:t>
      </w:r>
      <w:r>
        <w:tab/>
        <w:t>Elaborate, adopt and implement plans and programmes of economic and social development on an equal and non-discriminatory basis;</w:t>
      </w:r>
    </w:p>
    <w:p w:rsidR="00000000" w:rsidRDefault="00000000">
      <w:r>
        <w:tab/>
        <w:t>(hh)</w:t>
      </w:r>
      <w:r>
        <w:tab/>
        <w:t>Take substantial and effective measures to eradicate poverty among descent-based communities and combat their social exclusion or marginalization;</w:t>
      </w:r>
    </w:p>
    <w:p w:rsidR="00000000" w:rsidRDefault="00000000">
      <w:r>
        <w:tab/>
        <w:t>(ii)</w:t>
      </w:r>
      <w:r>
        <w:tab/>
        <w:t>Work with intergovernmental organizations, including international financial institutions, to ensure that development or assistance projects which they support take into account the economic and social situation of members of descent-based communities;</w:t>
      </w:r>
    </w:p>
    <w:p w:rsidR="00000000" w:rsidRDefault="00000000">
      <w:r>
        <w:tab/>
        <w:t>(jj)</w:t>
      </w:r>
      <w:r>
        <w:tab/>
        <w:t>Take special measures to promote the employment of members of affected communities in the public and private sectors;</w:t>
      </w:r>
    </w:p>
    <w:p w:rsidR="00000000" w:rsidRDefault="00000000">
      <w:r>
        <w:tab/>
        <w:t>(kk)</w:t>
      </w:r>
      <w:r>
        <w:tab/>
        <w:t>Develop or refine legislation and practice specifically prohibiting all discriminatory practices based on descent in employment and the labour market;</w:t>
      </w:r>
    </w:p>
    <w:p w:rsidR="00000000" w:rsidRDefault="00000000">
      <w:r>
        <w:tab/>
        <w:t>(ll)</w:t>
      </w:r>
      <w:r>
        <w:tab/>
        <w:t>Take measures against public bodies, private companies and other associations that investigate the descent background of applicants for employment;</w:t>
      </w:r>
    </w:p>
    <w:p w:rsidR="00000000" w:rsidRDefault="00000000">
      <w:r>
        <w:tab/>
        <w:t>(mm)</w:t>
      </w:r>
      <w:r>
        <w:tab/>
        <w:t>Take measures against discriminatory practices of local authorities or private owners with regard to residence and access to adequate housing for members of affected communities;</w:t>
      </w:r>
    </w:p>
    <w:p w:rsidR="00000000" w:rsidRDefault="00000000">
      <w:r>
        <w:tab/>
        <w:t>(nn)</w:t>
      </w:r>
      <w:r>
        <w:tab/>
        <w:t>Ensure equal access to health care and social security services for members of descent-based communities;</w:t>
      </w:r>
    </w:p>
    <w:p w:rsidR="00000000" w:rsidRDefault="00000000">
      <w:r>
        <w:tab/>
        <w:t>(oo)</w:t>
      </w:r>
      <w:r>
        <w:tab/>
        <w:t>Involve affected communities in designing and implementing health programmes and projects;</w:t>
      </w:r>
    </w:p>
    <w:p w:rsidR="00000000" w:rsidRDefault="00000000">
      <w:r>
        <w:tab/>
        <w:t>(pp)</w:t>
      </w:r>
      <w:r>
        <w:tab/>
        <w:t>Take measures to address the special vulnerability of children of descent-based communities to exploitative child labour;</w:t>
      </w:r>
    </w:p>
    <w:p w:rsidR="00000000" w:rsidRDefault="00000000">
      <w:r>
        <w:tab/>
        <w:t>(qq)</w:t>
      </w:r>
      <w:r>
        <w:tab/>
        <w:t>Take resolute measures to eliminate debt bondage and degrading conditions of labour associated with descent-based discrimination;</w:t>
      </w:r>
    </w:p>
    <w:p w:rsidR="00000000" w:rsidRDefault="00000000">
      <w:pPr>
        <w:pStyle w:val="Heading3"/>
        <w:jc w:val="center"/>
      </w:pPr>
      <w:r>
        <w:t>8.  Right to education</w:t>
      </w:r>
    </w:p>
    <w:p w:rsidR="00000000" w:rsidRDefault="00000000">
      <w:r>
        <w:tab/>
        <w:t>(rr)</w:t>
      </w:r>
      <w:r>
        <w:tab/>
        <w:t>Ensure that public and private education systems include children of all communities and do not exclude any children on the basis of descent;</w:t>
      </w:r>
    </w:p>
    <w:p w:rsidR="00000000" w:rsidRDefault="00000000">
      <w:r>
        <w:tab/>
        <w:t>(ss)</w:t>
      </w:r>
      <w:r>
        <w:tab/>
        <w:t>Reduce school drop-out rates for children of all communities, in particular for children of affected communities, with special attention to the situation of girls;</w:t>
      </w:r>
    </w:p>
    <w:p w:rsidR="00000000" w:rsidRDefault="00000000">
      <w:r>
        <w:br w:type="page"/>
      </w:r>
      <w:r>
        <w:tab/>
        <w:t>(tt)</w:t>
      </w:r>
      <w:r>
        <w:tab/>
        <w:t>Combat discrimination by public or private bodies and any harassment of students who are members of descent-based communities;</w:t>
      </w:r>
    </w:p>
    <w:p w:rsidR="00000000" w:rsidRDefault="00000000">
      <w:r>
        <w:tab/>
        <w:t>(uu)</w:t>
      </w:r>
      <w:r>
        <w:tab/>
        <w:t>Take necessary measures in cooperation with civil society to educate the population as a whole in a spirit of non-discrimination and respect for the communities subject to descent-based discrimination;</w:t>
      </w:r>
    </w:p>
    <w:p w:rsidR="00000000" w:rsidRDefault="00000000">
      <w:r>
        <w:tab/>
        <w:t>(vv)</w:t>
      </w:r>
      <w:r>
        <w:tab/>
        <w:t>Review all language in textbooks which conveys stereotyped or demeaning images, references, names or opinions concerning descent-based communities and replace it by images, references, names and opinions which convey the message of the inherent dignity of all human beings and their equality of human rights.</w:t>
      </w:r>
    </w:p>
    <w:p w:rsidR="00000000" w:rsidRDefault="00000000">
      <w:pPr>
        <w:pStyle w:val="Heading1"/>
        <w:ind w:left="1985" w:hanging="567"/>
        <w:jc w:val="left"/>
      </w:pPr>
      <w:r>
        <w:br w:type="page"/>
        <w:t>IV.</w:t>
      </w:r>
      <w:r>
        <w:tab/>
        <w:t>GENERAL RECOMMENDATIONS ADOPTED BY</w:t>
      </w:r>
      <w:r>
        <w:br/>
        <w:t xml:space="preserve">THE COMMITTEE ON THE ELIMINATION OF </w:t>
      </w:r>
      <w:r>
        <w:br/>
        <w:t>DISCRIMINATION AGAINST WOMEN</w:t>
      </w:r>
    </w:p>
    <w:p w:rsidR="00000000" w:rsidRDefault="00000000">
      <w:r>
        <w:tab/>
        <w:t>According to article 21, paragraph 1, of the Convention on the Elimination of Discrimination against Women, the Committee may make suggestions and general recommendations based on the examination of the reports and information received from the States parties.  Such suggestions and general recommendations shall be included in the report of the Committee together with comments, if any, from States parties.  The Committee has so far adopted a total of 20 general recommendations.</w:t>
      </w:r>
    </w:p>
    <w:p w:rsidR="00000000" w:rsidRDefault="00000000">
      <w:pPr>
        <w:pStyle w:val="Heading2"/>
      </w:pPr>
      <w:r>
        <w:t>Fifth session (1986)</w:t>
      </w:r>
      <w:r>
        <w:rPr>
          <w:rStyle w:val="FootnoteReference"/>
          <w:vertAlign w:val="baseline"/>
        </w:rPr>
        <w:footnoteReference w:customMarkFollows="1" w:id="44"/>
        <w:t>*</w:t>
      </w:r>
    </w:p>
    <w:p w:rsidR="00000000" w:rsidRDefault="00000000">
      <w:pPr>
        <w:pStyle w:val="Heading2"/>
      </w:pPr>
      <w:r>
        <w:t>General recommendation No. 1:  Reporting by States parties</w:t>
      </w:r>
    </w:p>
    <w:p w:rsidR="00000000" w:rsidRDefault="00000000">
      <w:r>
        <w:tab/>
        <w:t>Initial reports submitted under article 18 of the Convention should cover the situation up to the date of submission.  Thereafter, reports should be submitted at least every four years after the first report was due and should include obstacles encountered in implementing the Convention fully and the measures adopted to overcome such obstacles.</w:t>
      </w:r>
    </w:p>
    <w:p w:rsidR="00000000" w:rsidRDefault="00000000">
      <w:pPr>
        <w:pStyle w:val="Heading2"/>
      </w:pPr>
      <w:r>
        <w:t>Sixth session (1987)</w:t>
      </w:r>
      <w:r>
        <w:rPr>
          <w:rStyle w:val="FootnoteReference"/>
          <w:vertAlign w:val="baseline"/>
        </w:rPr>
        <w:footnoteReference w:customMarkFollows="1" w:id="45"/>
        <w:t>**</w:t>
      </w:r>
    </w:p>
    <w:p w:rsidR="00000000" w:rsidRDefault="00000000">
      <w:pPr>
        <w:pStyle w:val="Heading2"/>
      </w:pPr>
      <w:r>
        <w:t>General recommendation No. 2:  Reporting by States parties</w:t>
      </w:r>
    </w:p>
    <w:p w:rsidR="00000000" w:rsidRDefault="00000000">
      <w:pPr>
        <w:rPr>
          <w:i/>
          <w:iCs/>
        </w:rPr>
      </w:pPr>
      <w:r>
        <w:rPr>
          <w:i/>
          <w:iCs/>
        </w:rPr>
        <w:tab/>
        <w:t>The Committee on the Elimination of Discrimination against Women,</w:t>
      </w:r>
    </w:p>
    <w:p w:rsidR="00000000" w:rsidRDefault="00000000">
      <w:r>
        <w:tab/>
      </w:r>
      <w:r>
        <w:rPr>
          <w:i/>
          <w:iCs/>
        </w:rPr>
        <w:t>Bearing in mind</w:t>
      </w:r>
      <w:r>
        <w:t xml:space="preserve"> that the Committee had been faced with difficulties in its work because some initial reports of States parties under article 18 of the Convention did not reflect adequately the information available in the State party concerned in accordance with the guidelines,</w:t>
      </w:r>
    </w:p>
    <w:p w:rsidR="00000000" w:rsidRDefault="00000000">
      <w:r>
        <w:tab/>
      </w:r>
      <w:r>
        <w:rPr>
          <w:i/>
          <w:iCs/>
        </w:rPr>
        <w:t>Recommends</w:t>
      </w:r>
      <w:r>
        <w:t>:</w:t>
      </w:r>
    </w:p>
    <w:p w:rsidR="00000000" w:rsidRDefault="00000000">
      <w:r>
        <w:tab/>
        <w:t>(a)</w:t>
      </w:r>
      <w:r>
        <w:tab/>
        <w:t>That the States parties, in preparing reports under article 18 of the Convention, should follow the general guidelines adopted in August 1983 (CEDAW/C/7) as to the form, content and date of reports;</w:t>
      </w:r>
    </w:p>
    <w:p w:rsidR="00000000" w:rsidRDefault="00000000">
      <w:r>
        <w:br w:type="page"/>
      </w:r>
      <w:r>
        <w:tab/>
        <w:t>(b)</w:t>
      </w:r>
      <w:r>
        <w:tab/>
        <w:t>That the States parties should follow the general recommendation adopted in 1986 in these terms:</w:t>
      </w:r>
    </w:p>
    <w:p w:rsidR="00000000" w:rsidRDefault="00000000">
      <w:pPr>
        <w:ind w:left="720"/>
      </w:pPr>
      <w:r>
        <w:tab/>
        <w:t>“Initial reports submitted under article 18 of the Convention should cover the situation up to the date of submission.  Thereafter, reports should be submitted at least every four years after the first report was due and should include obstacles encountered in implementing the Convention fully and the measures adopted to overcome such obstacles.”</w:t>
      </w:r>
    </w:p>
    <w:p w:rsidR="00000000" w:rsidRDefault="00000000">
      <w:r>
        <w:tab/>
        <w:t>(c)</w:t>
      </w:r>
      <w:r>
        <w:tab/>
        <w:t>That additional information supplementing the report of a State party should be sent to the Secretariat at least three months before the session at which the report is due to be considered.</w:t>
      </w:r>
    </w:p>
    <w:p w:rsidR="00000000" w:rsidRDefault="00000000">
      <w:pPr>
        <w:pStyle w:val="Heading2"/>
      </w:pPr>
      <w:r>
        <w:t>Sixth session (1987)</w:t>
      </w:r>
      <w:r>
        <w:rPr>
          <w:rStyle w:val="FootnoteReference"/>
          <w:vertAlign w:val="baseline"/>
        </w:rPr>
        <w:footnoteReference w:customMarkFollows="1" w:id="46"/>
        <w:t>*</w:t>
      </w:r>
    </w:p>
    <w:p w:rsidR="00000000" w:rsidRDefault="00000000">
      <w:pPr>
        <w:pStyle w:val="Heading2"/>
      </w:pPr>
      <w:r>
        <w:t>General recommendation No. 3:  Education and public information campaigns</w:t>
      </w:r>
    </w:p>
    <w:p w:rsidR="00000000" w:rsidRDefault="00000000">
      <w:pPr>
        <w:rPr>
          <w:i/>
          <w:iCs/>
        </w:rPr>
      </w:pPr>
      <w:r>
        <w:tab/>
      </w:r>
      <w:r>
        <w:rPr>
          <w:i/>
          <w:iCs/>
        </w:rPr>
        <w:t>The Committee on the Elimination of Discrimination against Women,</w:t>
      </w:r>
    </w:p>
    <w:p w:rsidR="00000000" w:rsidRDefault="00000000">
      <w:r>
        <w:tab/>
      </w:r>
      <w:r>
        <w:rPr>
          <w:i/>
          <w:iCs/>
        </w:rPr>
        <w:t>Considering</w:t>
      </w:r>
      <w:r>
        <w:t xml:space="preserve"> that the Committee on the Elimination of Discrimination against Women has considered 34 reports from States parties since 1983,</w:t>
      </w:r>
    </w:p>
    <w:p w:rsidR="00000000" w:rsidRDefault="00000000">
      <w:r>
        <w:tab/>
      </w:r>
      <w:r>
        <w:rPr>
          <w:i/>
          <w:iCs/>
        </w:rPr>
        <w:t>Further considering</w:t>
      </w:r>
      <w:r>
        <w:t xml:space="preserve"> that, although the reports have come from States with different levels of development, they present features in varying degrees showing the existence of stereotyped conceptions of women, owing to sociocultural factors, that perpetuate discrimination based on sex and hinder the implementation of article 5 of the Convention,</w:t>
      </w:r>
    </w:p>
    <w:p w:rsidR="00000000" w:rsidRDefault="00000000">
      <w:r>
        <w:tab/>
      </w:r>
      <w:r>
        <w:rPr>
          <w:i/>
          <w:iCs/>
        </w:rPr>
        <w:t>Urges</w:t>
      </w:r>
      <w:r>
        <w:t xml:space="preserve"> all States parties effectively to adopt education and public information programmes, which will help eliminate prejudices and current practices that hinder the full operation of the principle of the social equality of women.</w:t>
      </w:r>
    </w:p>
    <w:p w:rsidR="00000000" w:rsidRDefault="00000000">
      <w:pPr>
        <w:pStyle w:val="Heading2"/>
      </w:pPr>
      <w:r>
        <w:t>Sixth session (1987)</w:t>
      </w:r>
      <w:r>
        <w:rPr>
          <w:b w:val="0"/>
        </w:rPr>
        <w:t>*</w:t>
      </w:r>
    </w:p>
    <w:p w:rsidR="00000000" w:rsidRDefault="00000000">
      <w:pPr>
        <w:pStyle w:val="Heading2"/>
      </w:pPr>
      <w:r>
        <w:t>General recommendation No. 4:  Reservations</w:t>
      </w:r>
    </w:p>
    <w:p w:rsidR="00000000" w:rsidRDefault="00000000">
      <w:r>
        <w:rPr>
          <w:i/>
          <w:iCs/>
        </w:rPr>
        <w:tab/>
        <w:t>The Committee on the Elimination of Discrimination against Women</w:t>
      </w:r>
      <w:r>
        <w:t>,</w:t>
      </w:r>
    </w:p>
    <w:p w:rsidR="00000000" w:rsidRDefault="00000000">
      <w:r>
        <w:tab/>
      </w:r>
      <w:r>
        <w:rPr>
          <w:i/>
          <w:iCs/>
        </w:rPr>
        <w:t>Having examined</w:t>
      </w:r>
      <w:r>
        <w:t xml:space="preserve"> reports from States parties at its sessions,</w:t>
      </w:r>
    </w:p>
    <w:p w:rsidR="00000000" w:rsidRDefault="00000000">
      <w:r>
        <w:br w:type="page"/>
      </w:r>
      <w:r>
        <w:tab/>
      </w:r>
      <w:r>
        <w:rPr>
          <w:i/>
          <w:iCs/>
        </w:rPr>
        <w:t>Expressed concern</w:t>
      </w:r>
      <w:r>
        <w:t xml:space="preserve"> in relation to the significant number of reservations that appeared to be incompatible with the object and purpose of the Convention, </w:t>
      </w:r>
    </w:p>
    <w:p w:rsidR="00000000" w:rsidRDefault="00000000">
      <w:r>
        <w:tab/>
      </w:r>
      <w:r>
        <w:rPr>
          <w:i/>
          <w:iCs/>
        </w:rPr>
        <w:t>Welcomes</w:t>
      </w:r>
      <w:r>
        <w:t xml:space="preserve"> the decision of the States parties to consider reservations at its next meeting in New York in 1988, and to that end suggests that all States parties concerned reconsider such reservations with a view to withdrawing them. </w:t>
      </w:r>
    </w:p>
    <w:p w:rsidR="00000000" w:rsidRDefault="00000000">
      <w:pPr>
        <w:pStyle w:val="Heading2"/>
      </w:pPr>
      <w:r>
        <w:t>Seventh session (1988)</w:t>
      </w:r>
      <w:r>
        <w:rPr>
          <w:rStyle w:val="FootnoteReference"/>
          <w:vertAlign w:val="baseline"/>
        </w:rPr>
        <w:footnoteReference w:customMarkFollows="1" w:id="47"/>
        <w:t>*</w:t>
      </w:r>
    </w:p>
    <w:p w:rsidR="00000000" w:rsidRDefault="00000000">
      <w:pPr>
        <w:pStyle w:val="Heading2"/>
      </w:pPr>
      <w:r>
        <w:t>General recommendation No. 5:  Temporary special measures</w:t>
      </w:r>
    </w:p>
    <w:p w:rsidR="00000000" w:rsidRDefault="00000000">
      <w:r>
        <w:tab/>
      </w:r>
      <w:r>
        <w:rPr>
          <w:i/>
          <w:iCs/>
        </w:rPr>
        <w:t>The Committee on the Elimination of Discrimination against Women</w:t>
      </w:r>
      <w:r>
        <w:t>,</w:t>
      </w:r>
    </w:p>
    <w:p w:rsidR="00000000" w:rsidRDefault="00000000">
      <w:r>
        <w:tab/>
      </w:r>
      <w:r>
        <w:rPr>
          <w:i/>
          <w:iCs/>
        </w:rPr>
        <w:t>Taking note</w:t>
      </w:r>
      <w:r>
        <w:t xml:space="preserve"> that the reports, the introductory remarks and the replies by States parties reveal that while significant progress has been achieved in regard to repealing or modifying discriminatory laws, there is still a need for action to be taken to implement fully the Convention by introducing measures to promote de facto equality between men and women,</w:t>
      </w:r>
    </w:p>
    <w:p w:rsidR="00000000" w:rsidRDefault="00000000">
      <w:r>
        <w:tab/>
      </w:r>
      <w:r>
        <w:rPr>
          <w:i/>
          <w:iCs/>
        </w:rPr>
        <w:t>Recalling</w:t>
      </w:r>
      <w:r>
        <w:t xml:space="preserve"> article 4.1 of the Convention,</w:t>
      </w:r>
    </w:p>
    <w:p w:rsidR="00000000" w:rsidRDefault="00000000">
      <w:r>
        <w:tab/>
      </w:r>
      <w:r>
        <w:rPr>
          <w:i/>
          <w:iCs/>
        </w:rPr>
        <w:t>Recommends</w:t>
      </w:r>
      <w:r>
        <w:t xml:space="preserve"> that States parties make more use of temporary special measures such as positive action, preferential treatment or quota systems to advance women’s integration into education, the economy, politics and employment.</w:t>
      </w:r>
    </w:p>
    <w:p w:rsidR="00000000" w:rsidRDefault="00000000">
      <w:pPr>
        <w:pStyle w:val="Heading2"/>
      </w:pPr>
      <w:r>
        <w:t>Seventh session (1988)</w:t>
      </w:r>
      <w:r>
        <w:rPr>
          <w:b w:val="0"/>
        </w:rPr>
        <w:t>*</w:t>
      </w:r>
    </w:p>
    <w:p w:rsidR="00000000" w:rsidRDefault="00000000">
      <w:pPr>
        <w:pStyle w:val="Heading2"/>
      </w:pPr>
      <w:r>
        <w:t>General recommendation No. 6:  Effective national machinery and publicity</w:t>
      </w:r>
    </w:p>
    <w:p w:rsidR="00000000" w:rsidRDefault="00000000">
      <w:r>
        <w:tab/>
      </w:r>
      <w:r>
        <w:rPr>
          <w:i/>
          <w:iCs/>
        </w:rPr>
        <w:t>The Committee on the Elimination of Discrimination against Women</w:t>
      </w:r>
      <w:r>
        <w:t>,</w:t>
      </w:r>
    </w:p>
    <w:p w:rsidR="00000000" w:rsidRDefault="00000000">
      <w:r>
        <w:tab/>
      </w:r>
      <w:r>
        <w:rPr>
          <w:i/>
          <w:iCs/>
        </w:rPr>
        <w:t>Having considered</w:t>
      </w:r>
      <w:r>
        <w:t xml:space="preserve"> the reports of States parties to the Convention on the Elimination of All Forms of Discrimination against Women,</w:t>
      </w:r>
    </w:p>
    <w:p w:rsidR="00000000" w:rsidRDefault="00000000">
      <w:r>
        <w:tab/>
      </w:r>
      <w:r>
        <w:rPr>
          <w:i/>
          <w:iCs/>
        </w:rPr>
        <w:t>Noting</w:t>
      </w:r>
      <w:r>
        <w:t xml:space="preserve"> United Nations General Assembly resolution 42/60 of 30 November 1987,</w:t>
      </w:r>
    </w:p>
    <w:p w:rsidR="00000000" w:rsidRDefault="00000000">
      <w:r>
        <w:tab/>
      </w:r>
      <w:r>
        <w:rPr>
          <w:i/>
          <w:iCs/>
        </w:rPr>
        <w:t>Recommends</w:t>
      </w:r>
      <w:r>
        <w:t xml:space="preserve"> that States parties:</w:t>
      </w:r>
    </w:p>
    <w:p w:rsidR="00000000" w:rsidRDefault="00000000">
      <w:r>
        <w:tab/>
        <w:t>1.</w:t>
      </w:r>
      <w:r>
        <w:tab/>
        <w:t>Establish and/or strengthen effective national machinery, institutions and procedures, at a high level of Government, and with adequate resources, commitment and authority to:</w:t>
      </w:r>
    </w:p>
    <w:p w:rsidR="00000000" w:rsidRDefault="00000000">
      <w:r>
        <w:tab/>
        <w:t>(a)</w:t>
      </w:r>
      <w:r>
        <w:tab/>
        <w:t>Advise on the impact on women of all government policies;</w:t>
      </w:r>
    </w:p>
    <w:p w:rsidR="00000000" w:rsidRDefault="00000000">
      <w:r>
        <w:br w:type="page"/>
      </w:r>
      <w:r>
        <w:tab/>
        <w:t>(b)</w:t>
      </w:r>
      <w:r>
        <w:tab/>
        <w:t>Monitor the situation of women comprehensively;</w:t>
      </w:r>
    </w:p>
    <w:p w:rsidR="00000000" w:rsidRDefault="00000000">
      <w:r>
        <w:tab/>
        <w:t>(c)</w:t>
      </w:r>
      <w:r>
        <w:tab/>
        <w:t>Help formulate new policies and effectively carry out strategies and measures to eliminate discrimination;</w:t>
      </w:r>
    </w:p>
    <w:p w:rsidR="00000000" w:rsidRDefault="00000000">
      <w:r>
        <w:tab/>
        <w:t>2.</w:t>
      </w:r>
      <w:r>
        <w:tab/>
        <w:t>Take appropriate steps to ensure the dissemination of the Convention, the reports of the States parties under article 18 and the reports of the Committee in the language of the States concerned;</w:t>
      </w:r>
    </w:p>
    <w:p w:rsidR="00000000" w:rsidRDefault="00000000">
      <w:r>
        <w:tab/>
        <w:t>3.</w:t>
      </w:r>
      <w:r>
        <w:tab/>
        <w:t>Seek the assistance of the Secretary-General and the Department of Public Information in providing translations of the Convention and the reports of the Committee;</w:t>
      </w:r>
    </w:p>
    <w:p w:rsidR="00000000" w:rsidRDefault="00000000">
      <w:r>
        <w:tab/>
        <w:t>4.</w:t>
      </w:r>
      <w:r>
        <w:tab/>
        <w:t>Include in their initial and periodic reports the action taken in respect of this recommendation.</w:t>
      </w:r>
    </w:p>
    <w:p w:rsidR="00000000" w:rsidRDefault="00000000">
      <w:pPr>
        <w:pStyle w:val="Heading2"/>
      </w:pPr>
      <w:r>
        <w:t>Seventh session (1988)</w:t>
      </w:r>
      <w:r>
        <w:rPr>
          <w:rStyle w:val="FootnoteReference"/>
          <w:vertAlign w:val="baseline"/>
        </w:rPr>
        <w:footnoteReference w:customMarkFollows="1" w:id="48"/>
        <w:t>*</w:t>
      </w:r>
    </w:p>
    <w:p w:rsidR="00000000" w:rsidRDefault="00000000">
      <w:pPr>
        <w:pStyle w:val="Heading2"/>
      </w:pPr>
      <w:r>
        <w:t>General recommendation No. 7:  Resources</w:t>
      </w:r>
    </w:p>
    <w:p w:rsidR="00000000" w:rsidRDefault="00000000">
      <w:r>
        <w:tab/>
      </w:r>
      <w:r>
        <w:rPr>
          <w:i/>
          <w:iCs/>
        </w:rPr>
        <w:t>The Committee on the Elimination of Discrimination against Women</w:t>
      </w:r>
      <w:r>
        <w:t>,</w:t>
      </w:r>
    </w:p>
    <w:p w:rsidR="00000000" w:rsidRDefault="00000000">
      <w:r>
        <w:tab/>
      </w:r>
      <w:r>
        <w:rPr>
          <w:i/>
          <w:iCs/>
        </w:rPr>
        <w:t>Noting</w:t>
      </w:r>
      <w:r>
        <w:t xml:space="preserve"> General Assembly resolutions 40/39, 41/108 and in particular 42/60, paragraph 14, which invited the Committee and the States parties to consider the question of holding future sessions of the Committee at Vienna,</w:t>
      </w:r>
    </w:p>
    <w:p w:rsidR="00000000" w:rsidRDefault="00000000">
      <w:r>
        <w:tab/>
      </w:r>
      <w:r>
        <w:rPr>
          <w:i/>
          <w:iCs/>
        </w:rPr>
        <w:t>Bearing in mind</w:t>
      </w:r>
      <w:r>
        <w:t xml:space="preserve"> General Assembly resolution 42/105 and, in particular, paragraph 11, which requests the Secretary-General to strengthen coordination between the United Nations Centre for Human Rights and the Centre for Social Development and Humanitarian Affairs of the secretariat in relation to the implementation of human rights treaties and servicing treaty bodies,</w:t>
      </w:r>
    </w:p>
    <w:p w:rsidR="00000000" w:rsidRDefault="00000000">
      <w:r>
        <w:tab/>
      </w:r>
      <w:r>
        <w:rPr>
          <w:i/>
          <w:iCs/>
        </w:rPr>
        <w:t>Recommends</w:t>
      </w:r>
      <w:r>
        <w:t xml:space="preserve"> to the States parties:</w:t>
      </w:r>
    </w:p>
    <w:p w:rsidR="00000000" w:rsidRDefault="00000000">
      <w:r>
        <w:tab/>
        <w:t>1.</w:t>
      </w:r>
      <w:r>
        <w:tab/>
        <w:t>That they continue to support proposals for strengthening the coordination between the Centre for Human Rights at Geneva and the Centre for Social Development and Humanitarian Affairs at Vienna, in relation to the servicing of the Committee;</w:t>
      </w:r>
    </w:p>
    <w:p w:rsidR="00000000" w:rsidRDefault="00000000">
      <w:r>
        <w:tab/>
        <w:t>2.</w:t>
      </w:r>
      <w:r>
        <w:tab/>
        <w:t>That they support proposals that the Committee meet in New York and Vienna;</w:t>
      </w:r>
    </w:p>
    <w:p w:rsidR="00000000" w:rsidRDefault="00000000">
      <w:r>
        <w:br w:type="page"/>
      </w:r>
      <w:r>
        <w:tab/>
        <w:t>3.</w:t>
      </w:r>
      <w:r>
        <w:tab/>
        <w:t>That they take all necessary and appropriate steps to ensure that adequate resources and services are available to the Committee to assist it in its functions under the Convention and in particular that full-time staff are available to help the Committee to prepare for its sessions and during its session;</w:t>
      </w:r>
    </w:p>
    <w:p w:rsidR="00000000" w:rsidRDefault="00000000">
      <w:r>
        <w:tab/>
        <w:t>4.</w:t>
      </w:r>
      <w:r>
        <w:tab/>
        <w:t xml:space="preserve">That they ensure that supplementary reports and materials are submitted to the Secretariat in due time to be translated into the official languages of the United Nations in time for distribution and consideration by the Committee. </w:t>
      </w:r>
    </w:p>
    <w:p w:rsidR="00000000" w:rsidRDefault="00000000">
      <w:pPr>
        <w:pStyle w:val="Heading2"/>
      </w:pPr>
      <w:r>
        <w:t>Seventh session (1988)</w:t>
      </w:r>
      <w:r>
        <w:rPr>
          <w:rStyle w:val="FootnoteReference"/>
          <w:vertAlign w:val="baseline"/>
        </w:rPr>
        <w:footnoteReference w:customMarkFollows="1" w:id="49"/>
        <w:t>*</w:t>
      </w:r>
    </w:p>
    <w:p w:rsidR="00000000" w:rsidRDefault="00000000">
      <w:pPr>
        <w:pStyle w:val="Heading2"/>
      </w:pPr>
      <w:r>
        <w:t>General recommendation No. 8:  Implementation of article 8 of the Convention</w:t>
      </w:r>
    </w:p>
    <w:p w:rsidR="00000000" w:rsidRDefault="00000000">
      <w:r>
        <w:tab/>
      </w:r>
      <w:r>
        <w:rPr>
          <w:i/>
          <w:iCs/>
        </w:rPr>
        <w:t>The Committee on the Elimination of Discrimination against Women</w:t>
      </w:r>
      <w:r>
        <w:t>,</w:t>
      </w:r>
    </w:p>
    <w:p w:rsidR="00000000" w:rsidRDefault="00000000">
      <w:r>
        <w:tab/>
      </w:r>
      <w:r>
        <w:rPr>
          <w:i/>
          <w:iCs/>
        </w:rPr>
        <w:t>Having considered</w:t>
      </w:r>
      <w:r>
        <w:t xml:space="preserve"> the reports of States parties submitted in accordance with article 18 of the Convention,</w:t>
      </w:r>
    </w:p>
    <w:p w:rsidR="00000000" w:rsidRDefault="00000000">
      <w:r>
        <w:tab/>
      </w:r>
      <w:r>
        <w:rPr>
          <w:i/>
          <w:iCs/>
        </w:rPr>
        <w:t>Recommends</w:t>
      </w:r>
      <w:r>
        <w:t xml:space="preserve"> that States parties take further direct measures in accordance with article 4 of the Convention to ensure the full implementation of article 8 of the Convention and to ensure to women on equal terms with men and without any discrimination the opportunities to represent their Government at the international level and to participate in the work of international organizations.</w:t>
      </w:r>
    </w:p>
    <w:p w:rsidR="00000000" w:rsidRDefault="00000000">
      <w:pPr>
        <w:pStyle w:val="Heading2"/>
      </w:pPr>
      <w:r>
        <w:t>Eighth session (1989)</w:t>
      </w:r>
      <w:r>
        <w:rPr>
          <w:rStyle w:val="FootnoteReference"/>
          <w:vertAlign w:val="baseline"/>
        </w:rPr>
        <w:footnoteReference w:customMarkFollows="1" w:id="50"/>
        <w:t>**</w:t>
      </w:r>
    </w:p>
    <w:p w:rsidR="00000000" w:rsidRDefault="00000000">
      <w:pPr>
        <w:pStyle w:val="Heading2"/>
      </w:pPr>
      <w:r>
        <w:t>General recommendation No. 9:  Statistical data concerning the situation of women</w:t>
      </w:r>
    </w:p>
    <w:p w:rsidR="00000000" w:rsidRDefault="00000000">
      <w:r>
        <w:tab/>
      </w:r>
      <w:r>
        <w:rPr>
          <w:i/>
          <w:iCs/>
        </w:rPr>
        <w:t>The Committee on the Elimination of Discrimination against Women</w:t>
      </w:r>
      <w:r>
        <w:t>,</w:t>
      </w:r>
    </w:p>
    <w:p w:rsidR="00000000" w:rsidRDefault="00000000">
      <w:r>
        <w:tab/>
      </w:r>
      <w:r>
        <w:rPr>
          <w:i/>
          <w:iCs/>
        </w:rPr>
        <w:t>Considering</w:t>
      </w:r>
      <w:r>
        <w:t xml:space="preserve"> that statistical information is absolutely necessary in order to understand the real situation of women in each of the States parties to the Convention,</w:t>
      </w:r>
    </w:p>
    <w:p w:rsidR="00000000" w:rsidRDefault="00000000">
      <w:r>
        <w:tab/>
      </w:r>
      <w:r>
        <w:rPr>
          <w:i/>
          <w:iCs/>
        </w:rPr>
        <w:t>Having observed</w:t>
      </w:r>
      <w:r>
        <w:t xml:space="preserve"> that many of the States parties that present their reports for consideration by the Committee do not provide statistics,</w:t>
      </w:r>
    </w:p>
    <w:p w:rsidR="00000000" w:rsidRDefault="00000000">
      <w:r>
        <w:br w:type="page"/>
      </w:r>
      <w:r>
        <w:tab/>
      </w:r>
      <w:r>
        <w:rPr>
          <w:i/>
          <w:iCs/>
        </w:rPr>
        <w:t>Recommends</w:t>
      </w:r>
      <w:r>
        <w:t xml:space="preserve"> that States parties should make every effort to ensure that their national statistical services responsible for planning national censuses and other social and economic surveys formulate their questionnaires in such a way that data can be disaggregated according to gender, with regard to both absolute numbers and percentages, so that interested users can easily obtain information on the situation of women in the particular sector in which they are interested.</w:t>
      </w:r>
    </w:p>
    <w:p w:rsidR="00000000" w:rsidRDefault="00000000">
      <w:pPr>
        <w:pStyle w:val="Heading2"/>
      </w:pPr>
      <w:r>
        <w:t>Eighth session (1989)</w:t>
      </w:r>
      <w:r>
        <w:rPr>
          <w:rStyle w:val="FootnoteReference"/>
          <w:vertAlign w:val="baseline"/>
        </w:rPr>
        <w:footnoteReference w:customMarkFollows="1" w:id="51"/>
        <w:t>*</w:t>
      </w:r>
    </w:p>
    <w:p w:rsidR="00000000" w:rsidRDefault="00000000">
      <w:pPr>
        <w:pStyle w:val="Heading2"/>
      </w:pPr>
      <w:r>
        <w:t xml:space="preserve">General recommendation No. 10:  Tenth anniversary of the adoption of the Convention </w:t>
      </w:r>
      <w:r>
        <w:br/>
        <w:t>on the Elimination of All Forms of Discrimination against Women</w:t>
      </w:r>
    </w:p>
    <w:p w:rsidR="00000000" w:rsidRDefault="00000000">
      <w:r>
        <w:rPr>
          <w:i/>
          <w:iCs/>
        </w:rPr>
        <w:tab/>
        <w:t>The Committee on the Elimination of Discrimination against Women</w:t>
      </w:r>
      <w:r>
        <w:t>,</w:t>
      </w:r>
    </w:p>
    <w:p w:rsidR="00000000" w:rsidRDefault="00000000">
      <w:r>
        <w:tab/>
      </w:r>
      <w:r>
        <w:rPr>
          <w:i/>
          <w:iCs/>
        </w:rPr>
        <w:t>Considering</w:t>
      </w:r>
      <w:r>
        <w:t xml:space="preserve"> that 18 December 1989 marks the tenth anniversary of the adoption of the Convention on the Elimination of All Forms of Discrimination against Women, </w:t>
      </w:r>
    </w:p>
    <w:p w:rsidR="00000000" w:rsidRDefault="00000000">
      <w:r>
        <w:tab/>
      </w:r>
      <w:r>
        <w:rPr>
          <w:i/>
          <w:iCs/>
        </w:rPr>
        <w:t>Considering further</w:t>
      </w:r>
      <w:r>
        <w:t xml:space="preserve"> that in those 10 years the Convention has proved to be one of the most effective instruments that the United Nations has adopted to promote equality between the sexes in the societies of its States Members,</w:t>
      </w:r>
    </w:p>
    <w:p w:rsidR="00000000" w:rsidRDefault="00000000">
      <w:r>
        <w:tab/>
      </w:r>
      <w:r>
        <w:rPr>
          <w:i/>
          <w:iCs/>
        </w:rPr>
        <w:t>Recalling</w:t>
      </w:r>
      <w:r>
        <w:t xml:space="preserve"> General recommendation No. 6 (Seventh session, 1988) on effective national machinery and publicity,</w:t>
      </w:r>
    </w:p>
    <w:p w:rsidR="00000000" w:rsidRDefault="00000000">
      <w:r>
        <w:tab/>
      </w:r>
      <w:r>
        <w:rPr>
          <w:i/>
          <w:iCs/>
        </w:rPr>
        <w:t>Recommends</w:t>
      </w:r>
      <w:r>
        <w:t xml:space="preserve"> that, on the occasion of the tenth anniversary of the adoption of the Convention, the States parties should consider:</w:t>
      </w:r>
    </w:p>
    <w:p w:rsidR="00000000" w:rsidRDefault="00000000">
      <w:r>
        <w:tab/>
        <w:t>1.</w:t>
      </w:r>
      <w:r>
        <w:tab/>
        <w:t>Undertaking programmes including conferences and seminars to publicize the Convention on the Elimination of All Forms of Discrimination against Women in the main languages of and providing information on the Convention in their respective countries;</w:t>
      </w:r>
    </w:p>
    <w:p w:rsidR="00000000" w:rsidRDefault="00000000">
      <w:r>
        <w:tab/>
        <w:t>2.</w:t>
      </w:r>
      <w:r>
        <w:tab/>
        <w:t>Inviting their national women’s organizations to cooperate in the publicity campaigns regarding the Convention and its implementation and encouraging non-governmental organizations at the national, regional and international levels to publicize the Convention and its implementation;</w:t>
      </w:r>
    </w:p>
    <w:p w:rsidR="00000000" w:rsidRDefault="00000000">
      <w:r>
        <w:tab/>
        <w:t>3.</w:t>
      </w:r>
      <w:r>
        <w:tab/>
        <w:t>Encouraging action to ensure the full implementation of the principles of the Convention, and in particular article 8, which relates to the participation of women at all levels of activity of the United Nations and the United Nations system;</w:t>
      </w:r>
    </w:p>
    <w:p w:rsidR="00000000" w:rsidRDefault="00000000">
      <w:r>
        <w:br w:type="page"/>
      </w:r>
      <w:r>
        <w:tab/>
        <w:t>4.</w:t>
      </w:r>
      <w:r>
        <w:tab/>
        <w:t>Requesting the Secretary-General to commemorate the tenth anniversary of the adoption of the Convention by publishing and disseminating, in cooperation with the specialized agencies, printed and other materials regarding the Convention and its implementation in all official languages of the United Nations, preparing television documentaries about the Convention, and making the necessary resources available to the Division for the Advancement of Women, Centre for Social Development and Humanitarian Affairs of the United Nations Office at Vienna, to prepare an analysis of the information provided by States parties in order to update and publish the report of the Committee (A/CONF.116/13), which was first published for the World Conference to Review and Appraise the Achievements of the United Nations Decade for Women:  Equality, Development and Peace, held at Nairobi in 1985.</w:t>
      </w:r>
    </w:p>
    <w:p w:rsidR="00000000" w:rsidRDefault="00000000">
      <w:pPr>
        <w:pStyle w:val="Heading2"/>
      </w:pPr>
      <w:r>
        <w:t>Eighth session (1989)</w:t>
      </w:r>
      <w:r>
        <w:rPr>
          <w:rStyle w:val="FootnoteReference"/>
          <w:vertAlign w:val="baseline"/>
        </w:rPr>
        <w:footnoteReference w:customMarkFollows="1" w:id="52"/>
        <w:t>*</w:t>
      </w:r>
    </w:p>
    <w:p w:rsidR="00000000" w:rsidRDefault="00000000">
      <w:pPr>
        <w:pStyle w:val="Heading2"/>
      </w:pPr>
      <w:r>
        <w:t>General recommendation No. 11:  Technical advisory services</w:t>
      </w:r>
      <w:r>
        <w:br/>
        <w:t>for reporting obligations</w:t>
      </w:r>
    </w:p>
    <w:p w:rsidR="00000000" w:rsidRDefault="00000000">
      <w:r>
        <w:tab/>
      </w:r>
      <w:r>
        <w:rPr>
          <w:i/>
          <w:iCs/>
        </w:rPr>
        <w:t>The Committee on the Elimination of Discrimination against Women</w:t>
      </w:r>
      <w:r>
        <w:t>,</w:t>
      </w:r>
    </w:p>
    <w:p w:rsidR="00000000" w:rsidRDefault="00000000">
      <w:r>
        <w:tab/>
      </w:r>
      <w:r>
        <w:rPr>
          <w:i/>
          <w:iCs/>
        </w:rPr>
        <w:t>Bearing in mind</w:t>
      </w:r>
      <w:r>
        <w:t xml:space="preserve"> that, as at 3 March 1989, 96 States had ratified the Convention on the Elimination of All Forms of Discrimination against Women,</w:t>
      </w:r>
    </w:p>
    <w:p w:rsidR="00000000" w:rsidRDefault="00000000">
      <w:r>
        <w:tab/>
      </w:r>
      <w:r>
        <w:rPr>
          <w:i/>
          <w:iCs/>
        </w:rPr>
        <w:t>Taking into account</w:t>
      </w:r>
      <w:r>
        <w:t xml:space="preserve"> the fact that by that date 60 initial and 19 second periodic reports had been received,</w:t>
      </w:r>
    </w:p>
    <w:p w:rsidR="00000000" w:rsidRDefault="00000000">
      <w:r>
        <w:tab/>
      </w:r>
      <w:r>
        <w:rPr>
          <w:i/>
          <w:iCs/>
        </w:rPr>
        <w:t>Noting</w:t>
      </w:r>
      <w:r>
        <w:t xml:space="preserve"> that 36 initial and 36 second periodic reports were due by 3 March 1989 and had not yet been received,</w:t>
      </w:r>
    </w:p>
    <w:p w:rsidR="00000000" w:rsidRDefault="00000000">
      <w:r>
        <w:tab/>
      </w:r>
      <w:r>
        <w:rPr>
          <w:i/>
          <w:iCs/>
        </w:rPr>
        <w:t>Welcoming</w:t>
      </w:r>
      <w:r>
        <w:t xml:space="preserve"> the request in General Assembly resolution 43/115, paragraph 9, that the Secretary-General should arrange, within existing resources and taking into account the priorities of the programme of advisory services, further training courses for those countries experiencing the most serious difficulties in meeting their reporting obligations under international instruments on human rights,</w:t>
      </w:r>
    </w:p>
    <w:p w:rsidR="00000000" w:rsidRDefault="00000000">
      <w:r>
        <w:tab/>
      </w:r>
      <w:r>
        <w:rPr>
          <w:i/>
          <w:iCs/>
        </w:rPr>
        <w:t>Recommends</w:t>
      </w:r>
      <w:r>
        <w:t xml:space="preserve"> to States parties that they should encourage, support and cooperate in projects for technical advisory services, including training seminars, to assist States parties on their request in fulfilling their reporting obligations under article 18 of the Convention.</w:t>
      </w:r>
    </w:p>
    <w:p w:rsidR="00000000" w:rsidRDefault="00000000">
      <w:pPr>
        <w:pStyle w:val="Heading2"/>
      </w:pPr>
      <w:r>
        <w:br w:type="page"/>
        <w:t>Eighth session (1989)</w:t>
      </w:r>
      <w:r>
        <w:rPr>
          <w:b w:val="0"/>
        </w:rPr>
        <w:t>*</w:t>
      </w:r>
    </w:p>
    <w:p w:rsidR="00000000" w:rsidRDefault="00000000">
      <w:pPr>
        <w:pStyle w:val="Heading2"/>
      </w:pPr>
      <w:r>
        <w:t>General recommendation No. 12:  Violence against women</w:t>
      </w:r>
    </w:p>
    <w:p w:rsidR="00000000" w:rsidRDefault="00000000">
      <w:r>
        <w:tab/>
      </w:r>
      <w:r>
        <w:rPr>
          <w:i/>
          <w:iCs/>
        </w:rPr>
        <w:t>The Committee on the Elimination of Discrimination against Women</w:t>
      </w:r>
      <w:r>
        <w:t>,</w:t>
      </w:r>
    </w:p>
    <w:p w:rsidR="00000000" w:rsidRDefault="00000000">
      <w:r>
        <w:tab/>
      </w:r>
      <w:r>
        <w:rPr>
          <w:i/>
          <w:iCs/>
        </w:rPr>
        <w:t>Considering</w:t>
      </w:r>
      <w:r>
        <w:t xml:space="preserve"> that articles 2, 5, 11, 12 and 16 of the Convention require the States parties to act to protect women against violence of any kind occurring within the family, at the workplace or in any other area of social life,</w:t>
      </w:r>
    </w:p>
    <w:p w:rsidR="00000000" w:rsidRDefault="00000000">
      <w:r>
        <w:tab/>
      </w:r>
      <w:r>
        <w:rPr>
          <w:i/>
          <w:iCs/>
        </w:rPr>
        <w:t>Taking into account</w:t>
      </w:r>
      <w:r>
        <w:t xml:space="preserve"> Economic and Social Council resolution 1988/27,</w:t>
      </w:r>
    </w:p>
    <w:p w:rsidR="00000000" w:rsidRDefault="00000000">
      <w:r>
        <w:tab/>
      </w:r>
      <w:r>
        <w:rPr>
          <w:i/>
          <w:iCs/>
        </w:rPr>
        <w:t>Recommends</w:t>
      </w:r>
      <w:r>
        <w:t xml:space="preserve"> to the States parties that they should include in their periodic reports to the Committee information about:</w:t>
      </w:r>
    </w:p>
    <w:p w:rsidR="00000000" w:rsidRDefault="00000000">
      <w:r>
        <w:tab/>
        <w:t>1.</w:t>
      </w:r>
      <w:r>
        <w:tab/>
        <w:t>The legislation in force to protect women against the incidence of all kinds of violence in everyday life (including sexual violence, abuses in the family, sexual harassment at the workplace, etc.);</w:t>
      </w:r>
    </w:p>
    <w:p w:rsidR="00000000" w:rsidRDefault="00000000">
      <w:r>
        <w:tab/>
        <w:t>2.</w:t>
      </w:r>
      <w:r>
        <w:tab/>
        <w:t>Other measures adopted to eradicate this violence;</w:t>
      </w:r>
    </w:p>
    <w:p w:rsidR="00000000" w:rsidRDefault="00000000">
      <w:r>
        <w:tab/>
        <w:t>3.</w:t>
      </w:r>
      <w:r>
        <w:tab/>
        <w:t>The existence of support services for women who are the victims of aggression or abuses;</w:t>
      </w:r>
    </w:p>
    <w:p w:rsidR="00000000" w:rsidRDefault="00000000">
      <w:r>
        <w:tab/>
        <w:t>4.</w:t>
      </w:r>
      <w:r>
        <w:tab/>
        <w:t>Statistical data on the incidence of violence of all kinds against women and on women who are the victims of violence.</w:t>
      </w:r>
    </w:p>
    <w:p w:rsidR="00000000" w:rsidRDefault="00000000">
      <w:pPr>
        <w:pStyle w:val="Heading2"/>
      </w:pPr>
      <w:r>
        <w:t>Eighth session (1989)</w:t>
      </w:r>
      <w:r>
        <w:rPr>
          <w:rStyle w:val="FootnoteReference"/>
          <w:vertAlign w:val="baseline"/>
        </w:rPr>
        <w:footnoteReference w:customMarkFollows="1" w:id="53"/>
        <w:t>*</w:t>
      </w:r>
    </w:p>
    <w:p w:rsidR="00000000" w:rsidRDefault="00000000">
      <w:pPr>
        <w:pStyle w:val="Heading2"/>
      </w:pPr>
      <w:r>
        <w:t>General recommendation No. 13:  Equal remuneration for work of equal value</w:t>
      </w:r>
    </w:p>
    <w:p w:rsidR="00000000" w:rsidRDefault="00000000">
      <w:r>
        <w:tab/>
      </w:r>
      <w:r>
        <w:rPr>
          <w:i/>
          <w:iCs/>
        </w:rPr>
        <w:t>The Committee on the Elimination of Discrimination against Women</w:t>
      </w:r>
      <w:r>
        <w:t>,</w:t>
      </w:r>
    </w:p>
    <w:p w:rsidR="00000000" w:rsidRDefault="00000000">
      <w:r>
        <w:tab/>
      </w:r>
      <w:r>
        <w:rPr>
          <w:i/>
          <w:iCs/>
        </w:rPr>
        <w:t>Recalling</w:t>
      </w:r>
      <w:r>
        <w:t xml:space="preserve"> International Labour Organization Convention No. 100 concerning Equal Remuneration for Men and Women Workers for Work of Equal Value, which has been ratified by a large majority of States parties to the Convention on the Elimination of All Forms of Discrimination against Women,</w:t>
      </w:r>
    </w:p>
    <w:p w:rsidR="00000000" w:rsidRDefault="00000000">
      <w:r>
        <w:tab/>
      </w:r>
      <w:r>
        <w:rPr>
          <w:i/>
          <w:iCs/>
        </w:rPr>
        <w:t>Recalling also</w:t>
      </w:r>
      <w:r>
        <w:t xml:space="preserve"> that it has considered 51 initial and 5 second periodic reports of States parties since 1983,</w:t>
      </w:r>
    </w:p>
    <w:p w:rsidR="00000000" w:rsidRDefault="00000000">
      <w:r>
        <w:br w:type="page"/>
      </w:r>
      <w:r>
        <w:tab/>
      </w:r>
      <w:r>
        <w:rPr>
          <w:i/>
          <w:iCs/>
        </w:rPr>
        <w:t>Considering</w:t>
      </w:r>
      <w:r>
        <w:t xml:space="preserve"> that although reports of States parties indicate that, even though the principle of equal remuneration for work of equal value has been accepted in the legislation of many countries, more remains to be done to ensure the application of that principle in practice, in order to overcome the gender-segregation in the labour market,</w:t>
      </w:r>
    </w:p>
    <w:p w:rsidR="00000000" w:rsidRDefault="00000000">
      <w:r>
        <w:tab/>
      </w:r>
      <w:r>
        <w:rPr>
          <w:i/>
          <w:iCs/>
        </w:rPr>
        <w:t>Recommends</w:t>
      </w:r>
      <w:r>
        <w:t xml:space="preserve"> to the States parties to the Convention on the Elimination of All Forms of Discrimination against Women that:</w:t>
      </w:r>
    </w:p>
    <w:p w:rsidR="00000000" w:rsidRDefault="00000000">
      <w:r>
        <w:tab/>
        <w:t>1.</w:t>
      </w:r>
      <w:r>
        <w:tab/>
        <w:t>In order to implement fully the Convention on the Elimination of All Forms of Discrimination against Women, those States parties that have not yet ratified ILO Convention No. 100 should be encouraged to do so;</w:t>
      </w:r>
    </w:p>
    <w:p w:rsidR="00000000" w:rsidRDefault="00000000">
      <w:r>
        <w:tab/>
        <w:t>2.</w:t>
      </w:r>
      <w:r>
        <w:tab/>
        <w:t>They should consider the study, development and adoption of job evaluation systems based on gender-neutral criteria that would facilitate the comparison of the value of those jobs of a different nature, in which women presently predominate, with those jobs in which men presently predominate, and they should include the results achieved in their reports to the Committee on the Elimination of Discrimination against Women;</w:t>
      </w:r>
    </w:p>
    <w:p w:rsidR="00000000" w:rsidRDefault="00000000">
      <w:r>
        <w:tab/>
        <w:t>3.</w:t>
      </w:r>
      <w:r>
        <w:tab/>
        <w:t>They should support, as far as practicable, the creation of implementation machinery and encourage the efforts of the parties to collective agreements, where they apply, to ensure the application of the principle of equal remuneration for work of equal value.</w:t>
      </w:r>
    </w:p>
    <w:p w:rsidR="00000000" w:rsidRDefault="00000000">
      <w:pPr>
        <w:pStyle w:val="Heading2"/>
      </w:pPr>
      <w:r>
        <w:t>Ninth session (1990)</w:t>
      </w:r>
      <w:r>
        <w:rPr>
          <w:rStyle w:val="FootnoteReference"/>
          <w:vertAlign w:val="baseline"/>
        </w:rPr>
        <w:footnoteReference w:customMarkFollows="1" w:id="54"/>
        <w:t>*</w:t>
      </w:r>
    </w:p>
    <w:p w:rsidR="00000000" w:rsidRDefault="00000000">
      <w:pPr>
        <w:pStyle w:val="Heading2"/>
      </w:pPr>
      <w:r>
        <w:t>General recommendation No. 14:  Female circumcision</w:t>
      </w:r>
    </w:p>
    <w:p w:rsidR="00000000" w:rsidRDefault="00000000">
      <w:r>
        <w:tab/>
      </w:r>
      <w:r>
        <w:rPr>
          <w:i/>
          <w:iCs/>
        </w:rPr>
        <w:t>The Committee on the Elimination of Discrimination against Women</w:t>
      </w:r>
      <w:r>
        <w:t>,</w:t>
      </w:r>
    </w:p>
    <w:p w:rsidR="00000000" w:rsidRDefault="00000000">
      <w:r>
        <w:tab/>
      </w:r>
      <w:r>
        <w:rPr>
          <w:i/>
          <w:iCs/>
        </w:rPr>
        <w:t>Concerned</w:t>
      </w:r>
      <w:r>
        <w:t xml:space="preserve"> about the continuation of the practice of female circumcision and other traditional practices harmful to the health of women,</w:t>
      </w:r>
    </w:p>
    <w:p w:rsidR="00000000" w:rsidRDefault="00000000">
      <w:r>
        <w:tab/>
      </w:r>
      <w:r>
        <w:rPr>
          <w:i/>
          <w:iCs/>
        </w:rPr>
        <w:t>Noting</w:t>
      </w:r>
      <w:r>
        <w:t xml:space="preserve"> </w:t>
      </w:r>
      <w:r>
        <w:rPr>
          <w:i/>
          <w:iCs/>
        </w:rPr>
        <w:t xml:space="preserve">with satisfaction </w:t>
      </w:r>
      <w:r>
        <w:t>that Governments, where such practices exist, national women’s organizations, non-governmental organizations, specialized agencies, such as the World Health Organization, the United Nations Children’s Fund, as well as the Commission on Human Rights and its Submission on Prevention of Discrimination and Protection of Minorities, remain seized of the issue having particularly recognized that such traditional practices as female circumcision have serious health and other consequences for women and children,</w:t>
      </w:r>
    </w:p>
    <w:p w:rsidR="00000000" w:rsidRDefault="00000000">
      <w:r>
        <w:br w:type="page"/>
      </w:r>
      <w:r>
        <w:tab/>
      </w:r>
      <w:r>
        <w:rPr>
          <w:i/>
          <w:iCs/>
        </w:rPr>
        <w:t>Noting</w:t>
      </w:r>
      <w:r>
        <w:t xml:space="preserve"> </w:t>
      </w:r>
      <w:r>
        <w:rPr>
          <w:i/>
          <w:iCs/>
        </w:rPr>
        <w:t xml:space="preserve">with interest </w:t>
      </w:r>
      <w:r>
        <w:t>the study of the Special Rapporteur on Traditional Practices Affecting the Health of Women and Children, as well as the study of the Special Working Group on Traditional Practices,</w:t>
      </w:r>
    </w:p>
    <w:p w:rsidR="00000000" w:rsidRDefault="00000000">
      <w:r>
        <w:tab/>
      </w:r>
      <w:r>
        <w:rPr>
          <w:i/>
          <w:iCs/>
        </w:rPr>
        <w:t>Recognizing</w:t>
      </w:r>
      <w:r>
        <w:t xml:space="preserve"> that women are taking important action themselves to identify and to combat practices that are prejudicial to the health and well-being of women and children,</w:t>
      </w:r>
    </w:p>
    <w:p w:rsidR="00000000" w:rsidRDefault="00000000">
      <w:r>
        <w:tab/>
      </w:r>
      <w:r>
        <w:rPr>
          <w:i/>
          <w:iCs/>
        </w:rPr>
        <w:t>Convinced</w:t>
      </w:r>
      <w:r>
        <w:t xml:space="preserve"> that the important action that is being taken by women and by all interested groups needs to be supported and encouraged by Governments,</w:t>
      </w:r>
    </w:p>
    <w:p w:rsidR="00000000" w:rsidRDefault="00000000">
      <w:r>
        <w:tab/>
      </w:r>
      <w:r>
        <w:rPr>
          <w:i/>
          <w:iCs/>
        </w:rPr>
        <w:t>Noting with grave concern</w:t>
      </w:r>
      <w:r>
        <w:t xml:space="preserve"> that there are continuing cultural, traditional and economic pressures which help to perpetuate harmful practices, such as female circumcision,</w:t>
      </w:r>
    </w:p>
    <w:p w:rsidR="00000000" w:rsidRDefault="00000000">
      <w:r>
        <w:tab/>
      </w:r>
      <w:r>
        <w:rPr>
          <w:i/>
          <w:iCs/>
        </w:rPr>
        <w:t>Recommends</w:t>
      </w:r>
      <w:r>
        <w:t xml:space="preserve"> to States parties:</w:t>
      </w:r>
    </w:p>
    <w:p w:rsidR="00000000" w:rsidRDefault="00000000">
      <w:r>
        <w:tab/>
        <w:t>(a)</w:t>
      </w:r>
      <w:r>
        <w:tab/>
        <w:t>That States parties take appropriate and effective measures with a view to eradicating the practice of female circumcision.  Such measures could include:</w:t>
      </w:r>
    </w:p>
    <w:p w:rsidR="00000000" w:rsidRDefault="00000000">
      <w:pPr>
        <w:ind w:left="720"/>
      </w:pPr>
      <w:r>
        <w:t>The collection and dissemination by universities, medical or nursing associations, national women’s organizations or other bodies of basic data about such traditional practices;</w:t>
      </w:r>
    </w:p>
    <w:p w:rsidR="00000000" w:rsidRDefault="00000000">
      <w:pPr>
        <w:ind w:left="720"/>
      </w:pPr>
      <w:r>
        <w:t>The support of women’s organizations at the national and local levels working for the elimination of female circumcision and other practices harmful to women;</w:t>
      </w:r>
    </w:p>
    <w:p w:rsidR="00000000" w:rsidRDefault="00000000">
      <w:pPr>
        <w:ind w:left="720"/>
      </w:pPr>
      <w:r>
        <w:t>The encouragement of politicians, professionals, religious and community leaders at all levels including the media and the arts to cooperate in influencing attitudes towards the eradication of female circumcision;</w:t>
      </w:r>
    </w:p>
    <w:p w:rsidR="00000000" w:rsidRDefault="00000000">
      <w:pPr>
        <w:ind w:left="720"/>
      </w:pPr>
      <w:r>
        <w:t>The introduction of appropriate educational and training programmes and seminars based on research findings about the problems arising from female circumcision;</w:t>
      </w:r>
    </w:p>
    <w:p w:rsidR="00000000" w:rsidRDefault="00000000">
      <w:r>
        <w:tab/>
        <w:t>(b)</w:t>
      </w:r>
      <w:r>
        <w:tab/>
        <w:t>That States parties include in their national health policies appropriate strategies aimed at eradicating female circumcision in public health care.  Such strategies could include the special responsibility of health personnel including traditional birth attendants to explain the harmful effects of female circumcision;</w:t>
      </w:r>
    </w:p>
    <w:p w:rsidR="00000000" w:rsidRDefault="00000000">
      <w:r>
        <w:tab/>
        <w:t>(c)</w:t>
      </w:r>
      <w:r>
        <w:tab/>
        <w:t>That States parties invite assistance, information and advice from the appropriate organizations of the United Nations system to support and assist efforts being deployed to eliminate harmful traditional practices;</w:t>
      </w:r>
    </w:p>
    <w:p w:rsidR="00000000" w:rsidRDefault="00000000">
      <w:r>
        <w:tab/>
        <w:t>(d)</w:t>
      </w:r>
      <w:r>
        <w:tab/>
        <w:t>That States parties include in their reports to the Committee under articles 10 and 12 of the Convention on the Elimination of All Forms of Discrimination against Women information about measures taken to eliminate female circumcision.</w:t>
      </w:r>
    </w:p>
    <w:p w:rsidR="00000000" w:rsidRDefault="00000000">
      <w:pPr>
        <w:pStyle w:val="Heading2"/>
      </w:pPr>
      <w:r>
        <w:t>Ninth session (1990)</w:t>
      </w:r>
      <w:r>
        <w:rPr>
          <w:rStyle w:val="FootnoteReference"/>
          <w:vertAlign w:val="baseline"/>
        </w:rPr>
        <w:footnoteReference w:customMarkFollows="1" w:id="55"/>
        <w:t>*</w:t>
      </w:r>
    </w:p>
    <w:p w:rsidR="00000000" w:rsidRDefault="00000000">
      <w:pPr>
        <w:pStyle w:val="Heading2"/>
        <w:ind w:left="709"/>
        <w:jc w:val="left"/>
      </w:pPr>
      <w:r>
        <w:t xml:space="preserve">General recommendation No. 15:  Avoidance of discrimination against </w:t>
      </w:r>
      <w:r>
        <w:br/>
        <w:t xml:space="preserve">women in national strategies for the prevention and control of acquired </w:t>
      </w:r>
      <w:r>
        <w:br/>
      </w:r>
      <w:r>
        <w:tab/>
      </w:r>
      <w:r>
        <w:tab/>
      </w:r>
      <w:r>
        <w:tab/>
      </w:r>
      <w:r>
        <w:tab/>
        <w:t>immunodeficiency syndrome (AIDS)</w:t>
      </w:r>
    </w:p>
    <w:p w:rsidR="00000000" w:rsidRDefault="00000000">
      <w:r>
        <w:tab/>
      </w:r>
      <w:r>
        <w:rPr>
          <w:i/>
          <w:iCs/>
        </w:rPr>
        <w:t>The Committee on the Elimination of Discrimination against Women</w:t>
      </w:r>
      <w:r>
        <w:t>,</w:t>
      </w:r>
    </w:p>
    <w:p w:rsidR="00000000" w:rsidRDefault="00000000">
      <w:r>
        <w:tab/>
      </w:r>
      <w:r>
        <w:rPr>
          <w:i/>
          <w:iCs/>
        </w:rPr>
        <w:t>Having considered</w:t>
      </w:r>
      <w:r>
        <w:t xml:space="preserve"> information brought to its attention on the potential effects of both the global pandemic of acquired immunodeficiency syndrome (AIDS) and strategies to control it on the exercise of the rights of women, </w:t>
      </w:r>
    </w:p>
    <w:p w:rsidR="00000000" w:rsidRDefault="00000000">
      <w:r>
        <w:tab/>
      </w:r>
      <w:r>
        <w:rPr>
          <w:i/>
          <w:iCs/>
        </w:rPr>
        <w:t>Having regard</w:t>
      </w:r>
      <w:r>
        <w:t xml:space="preserve"> to the reports and materials prepared by the World Health Organization and other United Nations organizations, organs and bodies in relation to human immunodeficiency virus (HIV), and, in particular, the note by the Secretary-General to the Commission on the Status of Women on the effects of AIDS on the advancement of women and the Final Document of the International Consultation on AIDS and Human Rights, held at Geneva from 26 to 28 July 1989,</w:t>
      </w:r>
    </w:p>
    <w:p w:rsidR="00000000" w:rsidRDefault="00000000">
      <w:r>
        <w:tab/>
      </w:r>
      <w:r>
        <w:rPr>
          <w:i/>
          <w:iCs/>
        </w:rPr>
        <w:t>Noting</w:t>
      </w:r>
      <w:r>
        <w:t xml:space="preserve"> World Health Assembly resolution WHA 41.24 on the avoidance of discrimination in relation to HIV-infected people and people with AIDS, of 13 May 1988, resolution 1989/11 of the Commission on Human Rights on non-discrimination in the field of health, of 2 March 1989, and in particular the Paris Declaration on Women, Children and AIDS, of 30 November 1989,</w:t>
      </w:r>
    </w:p>
    <w:p w:rsidR="00000000" w:rsidRDefault="00000000">
      <w:r>
        <w:tab/>
      </w:r>
      <w:r>
        <w:rPr>
          <w:i/>
          <w:iCs/>
        </w:rPr>
        <w:t>Noting</w:t>
      </w:r>
      <w:r>
        <w:t xml:space="preserve"> that the World Health Organization has announced that the theme of World Aids Day, 1 December 1990, will be “Women and Aids”,</w:t>
      </w:r>
    </w:p>
    <w:p w:rsidR="00000000" w:rsidRDefault="00000000">
      <w:r>
        <w:tab/>
      </w:r>
      <w:r>
        <w:rPr>
          <w:i/>
          <w:iCs/>
        </w:rPr>
        <w:t>Recommends</w:t>
      </w:r>
      <w:r>
        <w:t>:</w:t>
      </w:r>
    </w:p>
    <w:p w:rsidR="00000000" w:rsidRDefault="00000000">
      <w:r>
        <w:tab/>
        <w:t>(a)</w:t>
      </w:r>
      <w:r>
        <w:tab/>
        <w:t>That States parties intensify efforts in disseminating information to increase public awareness of the risk of HIV infection and AIDS, especially in women and children, and of its effect on them;</w:t>
      </w:r>
    </w:p>
    <w:p w:rsidR="00000000" w:rsidRDefault="00000000">
      <w:r>
        <w:tab/>
        <w:t>(b)</w:t>
      </w:r>
      <w:r>
        <w:tab/>
        <w:t>That programmes to combat AIDS should give special attention to the rights and needs of women and children, and to the factors relating to the reproductive role of women and their subordinate position in some societies which make them especially vulnerable to HIV infection;</w:t>
      </w:r>
    </w:p>
    <w:p w:rsidR="00000000" w:rsidRDefault="00000000">
      <w:r>
        <w:br w:type="page"/>
      </w:r>
      <w:r>
        <w:tab/>
        <w:t>(c)</w:t>
      </w:r>
      <w:r>
        <w:tab/>
        <w:t>That States parties ensure the active participation of women in primary health care and take measures to enhance their role as care providers, health workers and educators in the prevention of infection with HIV;</w:t>
      </w:r>
    </w:p>
    <w:p w:rsidR="00000000" w:rsidRDefault="00000000">
      <w:r>
        <w:tab/>
        <w:t>(d)</w:t>
      </w:r>
      <w:r>
        <w:tab/>
        <w:t>That all States parties include in their reports under article 12 of the Convention information on the effects of AIDS on the situation of women and on the action taken to cater to the needs of those women who are infected and to prevent specific discrimination against women in response to AIDS.</w:t>
      </w:r>
    </w:p>
    <w:p w:rsidR="00000000" w:rsidRDefault="00000000">
      <w:pPr>
        <w:pStyle w:val="Heading2"/>
      </w:pPr>
      <w:r>
        <w:t>Tenth session (1991)</w:t>
      </w:r>
      <w:r>
        <w:rPr>
          <w:rStyle w:val="FootnoteReference"/>
          <w:vertAlign w:val="baseline"/>
        </w:rPr>
        <w:footnoteReference w:customMarkFollows="1" w:id="56"/>
        <w:t>*</w:t>
      </w:r>
    </w:p>
    <w:p w:rsidR="00000000" w:rsidRDefault="00000000">
      <w:pPr>
        <w:pStyle w:val="Heading2"/>
      </w:pPr>
      <w:r>
        <w:t xml:space="preserve">General recommendation No. 16:  Unpaid women workers </w:t>
      </w:r>
      <w:r>
        <w:br/>
        <w:t>in rural and urban family enterprises</w:t>
      </w:r>
    </w:p>
    <w:p w:rsidR="00000000" w:rsidRDefault="00000000">
      <w:r>
        <w:tab/>
      </w:r>
      <w:r>
        <w:rPr>
          <w:i/>
          <w:iCs/>
        </w:rPr>
        <w:t>The Committee on the Elimination of Discrimination against Women</w:t>
      </w:r>
      <w:r>
        <w:t>,</w:t>
      </w:r>
    </w:p>
    <w:p w:rsidR="00000000" w:rsidRDefault="00000000">
      <w:r>
        <w:tab/>
      </w:r>
      <w:r>
        <w:rPr>
          <w:i/>
          <w:iCs/>
        </w:rPr>
        <w:t>Bearing in mind</w:t>
      </w:r>
      <w:r>
        <w:t xml:space="preserve"> articles 2 (c) and 11 (c), (d) and (e) of the Convention on the Elimination of All Forms of Discrimination against Women and general recommendation No. 9 (Eighth session, 1989) on statistical data concerning the situation of women,</w:t>
      </w:r>
    </w:p>
    <w:p w:rsidR="00000000" w:rsidRDefault="00000000">
      <w:r>
        <w:tab/>
      </w:r>
      <w:r>
        <w:rPr>
          <w:i/>
          <w:iCs/>
        </w:rPr>
        <w:t>Taking into consideration</w:t>
      </w:r>
      <w:r>
        <w:t xml:space="preserve"> that a high percentage of women in the States parties work without payment, social security and social benefits in enterprises owned usually by a male member of the family,</w:t>
      </w:r>
    </w:p>
    <w:p w:rsidR="00000000" w:rsidRDefault="00000000">
      <w:r>
        <w:tab/>
      </w:r>
      <w:r>
        <w:rPr>
          <w:i/>
          <w:iCs/>
        </w:rPr>
        <w:t>Noting</w:t>
      </w:r>
      <w:r>
        <w:t xml:space="preserve"> that the reports presented to the Committee on the Elimination of Discrimination against Women generally do not refer to the problem of unpaid women workers of family enterprises,</w:t>
      </w:r>
    </w:p>
    <w:p w:rsidR="00000000" w:rsidRDefault="00000000">
      <w:r>
        <w:tab/>
      </w:r>
      <w:r>
        <w:rPr>
          <w:i/>
          <w:iCs/>
        </w:rPr>
        <w:t>Affirming</w:t>
      </w:r>
      <w:r>
        <w:t xml:space="preserve"> that unpaid work constitutes a form of women’s exploitation that is contrary to the Convention,</w:t>
      </w:r>
    </w:p>
    <w:p w:rsidR="00000000" w:rsidRDefault="00000000">
      <w:r>
        <w:tab/>
      </w:r>
      <w:r>
        <w:rPr>
          <w:i/>
          <w:iCs/>
        </w:rPr>
        <w:t>Recommends</w:t>
      </w:r>
      <w:r>
        <w:t xml:space="preserve"> that States parties:</w:t>
      </w:r>
    </w:p>
    <w:p w:rsidR="00000000" w:rsidRDefault="00000000">
      <w:r>
        <w:tab/>
        <w:t>(a)</w:t>
      </w:r>
      <w:r>
        <w:tab/>
        <w:t>Include in their reports to the Committee information on the legal and social situation of unpaid women working in family enterprises;</w:t>
      </w:r>
    </w:p>
    <w:p w:rsidR="00000000" w:rsidRDefault="00000000">
      <w:r>
        <w:tab/>
        <w:t>(b)</w:t>
      </w:r>
      <w:r>
        <w:tab/>
        <w:t>Collect statistical data on women who work without payment, social security and social benefits in enterprises owned by a family member, and include these data in their report to the Committee;</w:t>
      </w:r>
    </w:p>
    <w:p w:rsidR="00000000" w:rsidRDefault="00000000">
      <w:r>
        <w:tab/>
        <w:t>(c)</w:t>
      </w:r>
      <w:r>
        <w:tab/>
        <w:t>Take the necessary steps to guarantee payment, social security and social benefits for women who work without such benefits in enterprises owned by a family member.</w:t>
      </w:r>
    </w:p>
    <w:p w:rsidR="00000000" w:rsidRDefault="00000000">
      <w:pPr>
        <w:pStyle w:val="Heading2"/>
      </w:pPr>
      <w:r>
        <w:t>Tenth session (1991)</w:t>
      </w:r>
      <w:r>
        <w:rPr>
          <w:rStyle w:val="FootnoteReference"/>
          <w:vertAlign w:val="baseline"/>
        </w:rPr>
        <w:footnoteReference w:customMarkFollows="1" w:id="57"/>
        <w:t>*</w:t>
      </w:r>
    </w:p>
    <w:p w:rsidR="00000000" w:rsidRDefault="00000000">
      <w:pPr>
        <w:pStyle w:val="Heading2"/>
        <w:ind w:left="1077"/>
        <w:jc w:val="left"/>
      </w:pPr>
      <w:r>
        <w:t xml:space="preserve">General recommendation No. 17:  Measurement and quantification of the </w:t>
      </w:r>
      <w:r>
        <w:br/>
        <w:t xml:space="preserve">unremunerated domestic activities of women and their recognition </w:t>
      </w:r>
      <w:r>
        <w:br/>
      </w:r>
      <w:r>
        <w:tab/>
      </w:r>
      <w:r>
        <w:tab/>
      </w:r>
      <w:r>
        <w:tab/>
      </w:r>
      <w:r>
        <w:tab/>
        <w:t>in the gross national product</w:t>
      </w:r>
    </w:p>
    <w:p w:rsidR="00000000" w:rsidRDefault="00000000">
      <w:r>
        <w:tab/>
      </w:r>
      <w:r>
        <w:rPr>
          <w:i/>
          <w:iCs/>
        </w:rPr>
        <w:t>The Committee on the Elimination of Discrimination against Women</w:t>
      </w:r>
      <w:r>
        <w:t>,</w:t>
      </w:r>
    </w:p>
    <w:p w:rsidR="00000000" w:rsidRDefault="00000000">
      <w:r>
        <w:tab/>
      </w:r>
      <w:r>
        <w:rPr>
          <w:i/>
          <w:iCs/>
        </w:rPr>
        <w:t xml:space="preserve">Bearing in mind </w:t>
      </w:r>
      <w:r>
        <w:t>article 11 of the Convention on the Elimination of All Forms of Discrimination against Women,</w:t>
      </w:r>
    </w:p>
    <w:p w:rsidR="00000000" w:rsidRDefault="00000000">
      <w:r>
        <w:tab/>
      </w:r>
      <w:r>
        <w:rPr>
          <w:i/>
          <w:iCs/>
        </w:rPr>
        <w:t>Recalling</w:t>
      </w:r>
      <w:r>
        <w:t xml:space="preserve"> paragraph 120 of the Nairobi Forward-looking Strategies for the Advancement of Women,</w:t>
      </w:r>
    </w:p>
    <w:p w:rsidR="00000000" w:rsidRDefault="00000000">
      <w:r>
        <w:tab/>
      </w:r>
      <w:r>
        <w:rPr>
          <w:i/>
          <w:iCs/>
        </w:rPr>
        <w:t>Affirming</w:t>
      </w:r>
      <w:r>
        <w:t xml:space="preserve"> that the measurement and quantification of the unremunerated domestic activities of women, which contribute to development in each country, will help to reveal the de facto economic role of women,</w:t>
      </w:r>
    </w:p>
    <w:p w:rsidR="00000000" w:rsidRDefault="00000000">
      <w:r>
        <w:tab/>
      </w:r>
      <w:r>
        <w:rPr>
          <w:i/>
          <w:iCs/>
        </w:rPr>
        <w:t>Convinced</w:t>
      </w:r>
      <w:r>
        <w:t xml:space="preserve"> that such measurement and quantification offers a basis for the formulation of further policies related to the advancement of women,</w:t>
      </w:r>
    </w:p>
    <w:p w:rsidR="00000000" w:rsidRDefault="00000000">
      <w:r>
        <w:tab/>
      </w:r>
      <w:r>
        <w:rPr>
          <w:i/>
          <w:iCs/>
        </w:rPr>
        <w:t>Noting</w:t>
      </w:r>
      <w:r>
        <w:t xml:space="preserve"> the discussions of the Statistical Commission, at its twenty-first session, on the current revision of the System of National Accounts and the development of statistics on women,</w:t>
      </w:r>
    </w:p>
    <w:p w:rsidR="00000000" w:rsidRDefault="00000000">
      <w:r>
        <w:tab/>
      </w:r>
      <w:r>
        <w:rPr>
          <w:i/>
          <w:iCs/>
        </w:rPr>
        <w:t>Recommends</w:t>
      </w:r>
      <w:r>
        <w:t xml:space="preserve"> that States parties:</w:t>
      </w:r>
    </w:p>
    <w:p w:rsidR="00000000" w:rsidRDefault="00000000">
      <w:r>
        <w:tab/>
        <w:t>(a)</w:t>
      </w:r>
      <w:r>
        <w:tab/>
        <w:t>Encourage and support research and experimental studies to measure and value the unremunerated domestic activities of women; for example, by conducting time-use surveys as part of their national household survey programmes and by collecting statistics disaggregated by gender on time spent on activities both in the household and on the labour market;</w:t>
      </w:r>
    </w:p>
    <w:p w:rsidR="00000000" w:rsidRDefault="00000000">
      <w:r>
        <w:tab/>
        <w:t>(b)</w:t>
      </w:r>
      <w:r>
        <w:tab/>
        <w:t>Take steps, in accordance with the provisions of the Convention on the Elimination of All Forms of Discrimination against Women and the Nairobi Forward-looking Strategies for the Advancement of Women, to quantify and include the unremunerated domestic activities of women in the gross national product;</w:t>
      </w:r>
    </w:p>
    <w:p w:rsidR="00000000" w:rsidRDefault="00000000">
      <w:r>
        <w:tab/>
        <w:t>(c)</w:t>
      </w:r>
      <w:r>
        <w:tab/>
        <w:t>Include in their reports submitted under article 18 of the Convention information on the research and experimental studies undertaken to measure and value unremunerated domestic activities, as well as on the progress made in the incorporation of the unremunerated domestic activities of women in national accounts.</w:t>
      </w:r>
    </w:p>
    <w:p w:rsidR="00000000" w:rsidRDefault="00000000">
      <w:pPr>
        <w:pStyle w:val="Heading2"/>
      </w:pPr>
      <w:r>
        <w:t>Tenth session (1991)</w:t>
      </w:r>
      <w:r>
        <w:rPr>
          <w:rStyle w:val="FootnoteReference"/>
          <w:vertAlign w:val="baseline"/>
        </w:rPr>
        <w:footnoteReference w:customMarkFollows="1" w:id="58"/>
        <w:t>*</w:t>
      </w:r>
    </w:p>
    <w:p w:rsidR="00000000" w:rsidRDefault="00000000">
      <w:pPr>
        <w:pStyle w:val="Heading2"/>
      </w:pPr>
      <w:r>
        <w:t>General recommendation No. 18:  Disabled women</w:t>
      </w:r>
    </w:p>
    <w:p w:rsidR="00000000" w:rsidRDefault="00000000">
      <w:r>
        <w:tab/>
      </w:r>
      <w:r>
        <w:rPr>
          <w:i/>
          <w:iCs/>
        </w:rPr>
        <w:t>The Committee on the Elimination of Discrimination against Women</w:t>
      </w:r>
      <w:r>
        <w:t>,</w:t>
      </w:r>
    </w:p>
    <w:p w:rsidR="00000000" w:rsidRDefault="00000000">
      <w:r>
        <w:tab/>
      </w:r>
      <w:r>
        <w:rPr>
          <w:i/>
          <w:iCs/>
        </w:rPr>
        <w:t>Taking into consideration</w:t>
      </w:r>
      <w:r>
        <w:t xml:space="preserve"> particularly article 3 of the Convention on the Elimination of All Forms of Discrimination against Women,</w:t>
      </w:r>
    </w:p>
    <w:p w:rsidR="00000000" w:rsidRDefault="00000000">
      <w:r>
        <w:tab/>
      </w:r>
      <w:r>
        <w:rPr>
          <w:i/>
          <w:iCs/>
        </w:rPr>
        <w:t>Having considered</w:t>
      </w:r>
      <w:r>
        <w:t xml:space="preserve"> more than 60 periodic reports of States parties, and having recognized that they provide scarce information on disabled women,</w:t>
      </w:r>
    </w:p>
    <w:p w:rsidR="00000000" w:rsidRDefault="00000000">
      <w:r>
        <w:tab/>
      </w:r>
      <w:r>
        <w:rPr>
          <w:i/>
          <w:iCs/>
        </w:rPr>
        <w:t>Concerned</w:t>
      </w:r>
      <w:r>
        <w:t xml:space="preserve"> about the situation of disabled women, who suffer from a double discrimination linked to their special living conditions,</w:t>
      </w:r>
    </w:p>
    <w:p w:rsidR="00000000" w:rsidRDefault="00000000">
      <w:r>
        <w:tab/>
      </w:r>
      <w:r>
        <w:rPr>
          <w:i/>
          <w:iCs/>
        </w:rPr>
        <w:t>Recalling</w:t>
      </w:r>
      <w:r>
        <w:t xml:space="preserve"> paragraph 296 of the Nairobi Forward-looking Strategies for the Advancement of Women, in which disabled women are considered as a vulnerable group under the heading “areas of special concern”,</w:t>
      </w:r>
    </w:p>
    <w:p w:rsidR="00000000" w:rsidRDefault="00000000">
      <w:r>
        <w:tab/>
      </w:r>
      <w:r>
        <w:rPr>
          <w:i/>
          <w:iCs/>
        </w:rPr>
        <w:t>Affirming its support</w:t>
      </w:r>
      <w:r>
        <w:t xml:space="preserve"> for the World Programme of Action concerning Disabled Persons (1982),</w:t>
      </w:r>
    </w:p>
    <w:p w:rsidR="00000000" w:rsidRDefault="00000000">
      <w:r>
        <w:tab/>
      </w:r>
      <w:r>
        <w:rPr>
          <w:i/>
          <w:iCs/>
        </w:rPr>
        <w:t>Recommends</w:t>
      </w:r>
      <w:r>
        <w:t xml:space="preserve"> that States parties provide information on disabled women in their periodic reports, and on measures taken to deal with their particular situation, including special measures to ensure that they have equal access to education and employment, health services and social security, and to ensure that they can participate in all areas of social and cultural life.</w:t>
      </w:r>
    </w:p>
    <w:p w:rsidR="00000000" w:rsidRDefault="00000000">
      <w:pPr>
        <w:pStyle w:val="Heading2"/>
      </w:pPr>
      <w:r>
        <w:t>Eleventh session (1992)</w:t>
      </w:r>
      <w:r>
        <w:rPr>
          <w:rStyle w:val="FootnoteReference"/>
          <w:vertAlign w:val="baseline"/>
        </w:rPr>
        <w:footnoteReference w:customMarkFollows="1" w:id="59"/>
        <w:t>**</w:t>
      </w:r>
    </w:p>
    <w:p w:rsidR="00000000" w:rsidRDefault="00000000">
      <w:pPr>
        <w:pStyle w:val="Heading2"/>
      </w:pPr>
      <w:r>
        <w:t>General recommendation No. 19:  Violence against women</w:t>
      </w:r>
    </w:p>
    <w:p w:rsidR="00000000" w:rsidRDefault="00000000">
      <w:pPr>
        <w:pStyle w:val="Heading2"/>
      </w:pPr>
      <w:r>
        <w:t>Background</w:t>
      </w:r>
    </w:p>
    <w:p w:rsidR="00000000" w:rsidRDefault="00000000">
      <w:r>
        <w:t>1.</w:t>
      </w:r>
      <w:r>
        <w:tab/>
        <w:t>Gender-based violence is a form of discrimination that seriously inhibits women’s ability to enjoy rights and freedoms on a basis of equality with men.</w:t>
      </w:r>
    </w:p>
    <w:p w:rsidR="00000000" w:rsidRDefault="00000000">
      <w:r>
        <w:t>2.</w:t>
      </w:r>
      <w:r>
        <w:tab/>
        <w:t>In 1989, the Committee recommended that States should include in their reports information on violence and on measures introduced to deal with it (General recommendation 12, Eighth session).</w:t>
      </w:r>
    </w:p>
    <w:p w:rsidR="00000000" w:rsidRDefault="00000000">
      <w:r>
        <w:br w:type="page"/>
        <w:t>3.</w:t>
      </w:r>
      <w:r>
        <w:tab/>
        <w:t>At its tenth session in 1991, it was decided to allocate part of the eleventh session to a discussion and study on article 6 and other articles of the Convention relating to violence towards women and the sexual harassment and exploitation of women.  That subject was chosen in anticipation of the 1993 World Conference on Human Rights, convened by the General Assembly by its resolution 45/155 of 18 December 1990.</w:t>
      </w:r>
    </w:p>
    <w:p w:rsidR="00000000" w:rsidRDefault="00000000">
      <w:r>
        <w:t>4.</w:t>
      </w:r>
      <w:r>
        <w:tab/>
        <w:t>The Committee concluded that not all the reports of States parties adequately reflected the close connection between discrimination against women, gender-based violence, and violations of human rights and fundamental freedoms.  The full implementation of the Convention required States to take positive measures to eliminate all forms of violence against women.</w:t>
      </w:r>
    </w:p>
    <w:p w:rsidR="00000000" w:rsidRDefault="00000000">
      <w:r>
        <w:t>5.</w:t>
      </w:r>
      <w:r>
        <w:tab/>
        <w:t>The Committee suggested to States parties that in reviewing their laws and policies, and in reporting under the Convention, they should have regard to the following comments of the Committee concerning gender-based violence.</w:t>
      </w:r>
    </w:p>
    <w:p w:rsidR="00000000" w:rsidRDefault="00000000">
      <w:pPr>
        <w:pStyle w:val="Heading3"/>
      </w:pPr>
      <w:r>
        <w:t>General comments</w:t>
      </w:r>
    </w:p>
    <w:p w:rsidR="00000000" w:rsidRDefault="00000000">
      <w:r>
        <w:t>6.</w:t>
      </w:r>
      <w:r>
        <w:tab/>
        <w:t>The Convention in article 1 defines discrimination against women.  The definition of discrimination includes gender-based violence, that is, violence that is directed against a woman because she is a woman or that affects women disproportionately.  It includes acts that inflict physical, mental or sexual harm or suffering, threats of such acts, coercion and other deprivations of liberty.  Gender-based violence may breach specific provisions of the Convention, regardless of whether those provisions expressly mention violence.</w:t>
      </w:r>
    </w:p>
    <w:p w:rsidR="00000000" w:rsidRDefault="00000000">
      <w:r>
        <w:t>7.</w:t>
      </w:r>
      <w:r>
        <w:tab/>
        <w:t>Gender-based violence, which impairs or nullifies the enjoyment by women of human rights and fundamental freedoms under general international law or under human rights conventions, is discrimination within the meaning of article 1 of the Convention.  These rights and freedoms include:</w:t>
      </w:r>
    </w:p>
    <w:p w:rsidR="00000000" w:rsidRDefault="00000000">
      <w:r>
        <w:tab/>
        <w:t>(a)</w:t>
      </w:r>
      <w:r>
        <w:tab/>
        <w:t>The right to life;</w:t>
      </w:r>
    </w:p>
    <w:p w:rsidR="00000000" w:rsidRDefault="00000000">
      <w:r>
        <w:tab/>
        <w:t>(b)</w:t>
      </w:r>
      <w:r>
        <w:tab/>
        <w:t>The right not to be subject to torture or to cruel, inhuman or degrading treatment or punishment;</w:t>
      </w:r>
    </w:p>
    <w:p w:rsidR="00000000" w:rsidRDefault="00000000">
      <w:r>
        <w:tab/>
        <w:t>(c)</w:t>
      </w:r>
      <w:r>
        <w:tab/>
        <w:t>The right to equal protection according to humanitarian norms in time of international or internal armed conflict;</w:t>
      </w:r>
    </w:p>
    <w:p w:rsidR="00000000" w:rsidRDefault="00000000">
      <w:r>
        <w:tab/>
        <w:t>(d)</w:t>
      </w:r>
      <w:r>
        <w:tab/>
        <w:t>The right to liberty and security of person;</w:t>
      </w:r>
    </w:p>
    <w:p w:rsidR="00000000" w:rsidRDefault="00000000">
      <w:r>
        <w:tab/>
        <w:t>(e)</w:t>
      </w:r>
      <w:r>
        <w:tab/>
        <w:t>The right to equal protection under the law;</w:t>
      </w:r>
    </w:p>
    <w:p w:rsidR="00000000" w:rsidRDefault="00000000">
      <w:r>
        <w:tab/>
        <w:t>(f)</w:t>
      </w:r>
      <w:r>
        <w:tab/>
        <w:t>The right to equality in the family;</w:t>
      </w:r>
    </w:p>
    <w:p w:rsidR="00000000" w:rsidRDefault="00000000">
      <w:r>
        <w:tab/>
        <w:t>(g)</w:t>
      </w:r>
      <w:r>
        <w:tab/>
        <w:t>The right to the highest standard attainable of physical and mental health;</w:t>
      </w:r>
    </w:p>
    <w:p w:rsidR="00000000" w:rsidRDefault="00000000">
      <w:r>
        <w:tab/>
        <w:t>(h)</w:t>
      </w:r>
      <w:r>
        <w:tab/>
        <w:t>The right to just and favourable conditions of work.</w:t>
      </w:r>
    </w:p>
    <w:p w:rsidR="00000000" w:rsidRDefault="00000000">
      <w:r>
        <w:t>8.</w:t>
      </w:r>
      <w:r>
        <w:tab/>
        <w:t>The Convention applies to violence perpetrated by public authorities.  Such acts of violence may breach that State’s obligations under general international human rights law and under other conventions, in addition to breaching this Convention.</w:t>
      </w:r>
    </w:p>
    <w:p w:rsidR="00000000" w:rsidRDefault="00000000">
      <w:r>
        <w:t>9.</w:t>
      </w:r>
      <w:r>
        <w:tab/>
        <w:t>It is emphasized, however, that discrimination under the Convention is not restricted to action by or on behalf of Governments (see articles 2 (e), 2 (f) and 5).  For example, under article 2 (e) the Convention calls on States parties to take all appropriate measures to eliminate discrimination against women by any person, organization or enterprise.  Under general international law and specific human rights covenants, States may also be responsible for private acts if they fail to act with due diligence to prevent violations of rights or to investigate and punish acts of violence, and for providing compensation.</w:t>
      </w:r>
    </w:p>
    <w:p w:rsidR="00000000" w:rsidRDefault="00000000">
      <w:pPr>
        <w:pStyle w:val="Heading3"/>
      </w:pPr>
      <w:r>
        <w:t>Comments on specific articles of the Convention</w:t>
      </w:r>
    </w:p>
    <w:p w:rsidR="00000000" w:rsidRDefault="00000000">
      <w:pPr>
        <w:pStyle w:val="Heading2"/>
      </w:pPr>
      <w:r>
        <w:t>Articles 2 and 3</w:t>
      </w:r>
    </w:p>
    <w:p w:rsidR="00000000" w:rsidRDefault="00000000">
      <w:r>
        <w:t>10.</w:t>
      </w:r>
      <w:r>
        <w:tab/>
        <w:t>Articles 2 and 3 establish a comprehensive obligation to eliminate discrimination in all its forms in addition to the specific obligations under articles 5-16.</w:t>
      </w:r>
    </w:p>
    <w:p w:rsidR="00000000" w:rsidRDefault="00000000">
      <w:pPr>
        <w:pStyle w:val="Heading2"/>
      </w:pPr>
      <w:r>
        <w:t>Articles 2 (f), 5 and 10 (c)</w:t>
      </w:r>
    </w:p>
    <w:p w:rsidR="00000000" w:rsidRDefault="00000000">
      <w:r>
        <w:t>11.</w:t>
      </w:r>
      <w:r>
        <w:tab/>
        <w:t>Traditional attitudes by which women are regarded as subordinate to men or as having stereotyped roles perpetuate widespread practices involving violence or coercion, such as family violence and abuse, forced marriage, dowry deaths, acid attacks and female circumcision.  Such prejudices and practices may justify gender-based violence as a form of protection or control of women.  The effect of such violence on the physical and mental integrity of women is to deprive them of the equal enjoyment, exercise and knowledge of human rights and fundamental freedoms.  While this comment addresses mainly actual or threatened violence the underlying consequences of these forms of gender-based violence help to maintain women in subordinate roles and contribute to their low level of political participation and to their lower level of education, skills and work opportunities.</w:t>
      </w:r>
    </w:p>
    <w:p w:rsidR="00000000" w:rsidRDefault="00000000">
      <w:r>
        <w:t>12.</w:t>
      </w:r>
      <w:r>
        <w:tab/>
        <w:t>These attitudes also contribute to the propagation of pornography and the depiction and other commercial exploitation of women as sexual objects, rather than as individuals.  This in turn contributes to gender-based violence.</w:t>
      </w:r>
    </w:p>
    <w:p w:rsidR="00000000" w:rsidRDefault="00000000">
      <w:pPr>
        <w:pStyle w:val="Heading2"/>
      </w:pPr>
      <w:r>
        <w:t>Article 6</w:t>
      </w:r>
    </w:p>
    <w:p w:rsidR="00000000" w:rsidRDefault="00000000">
      <w:r>
        <w:t>13.</w:t>
      </w:r>
      <w:r>
        <w:tab/>
        <w:t>States parties are required by article 6 to take measures to suppress all forms of traffic in women and exploitation of the prostitution of women.</w:t>
      </w:r>
    </w:p>
    <w:p w:rsidR="00000000" w:rsidRDefault="00000000">
      <w:r>
        <w:t>14.</w:t>
      </w:r>
      <w:r>
        <w:tab/>
        <w:t>Poverty and unemployment increase opportunities for trafficking in women.  In addition to established forms of trafficking there are new forms of sexual exploitation, such as sex tourism, the recruitment of domestic labour from developing countries to work in developed countries, and organized marriages between women from developing countries and foreign nationals.  These practices are incompatible with the equal enjoyment of rights by women and with respect for their rights and dignity.  They put women at special risk of violence and abuse.</w:t>
      </w:r>
    </w:p>
    <w:p w:rsidR="00000000" w:rsidRDefault="00000000">
      <w:r>
        <w:t>15.</w:t>
      </w:r>
      <w:r>
        <w:tab/>
        <w:t>Poverty and unemployment force many women, including young girls, into prostitution.  Prostitutes are especially vulnerable to violence because their status, which may be unlawful, tends to marginalize them.  They need the equal protection of laws against rape and other forms of violence.</w:t>
      </w:r>
    </w:p>
    <w:p w:rsidR="00000000" w:rsidRDefault="00000000">
      <w:r>
        <w:t>16.</w:t>
      </w:r>
      <w:r>
        <w:tab/>
        <w:t>Wars, armed conflicts and the occupation of territories often lead to increased prostitution, trafficking in women and sexual assault of women, which require specific protective and punitive measures.</w:t>
      </w:r>
    </w:p>
    <w:p w:rsidR="00000000" w:rsidRDefault="00000000">
      <w:pPr>
        <w:pStyle w:val="Heading2"/>
      </w:pPr>
      <w:r>
        <w:t>Article 11</w:t>
      </w:r>
    </w:p>
    <w:p w:rsidR="00000000" w:rsidRDefault="00000000">
      <w:r>
        <w:t>17.</w:t>
      </w:r>
      <w:r>
        <w:tab/>
        <w:t>Equality in employment can be seriously impaired when women are subjected to gender</w:t>
      </w:r>
      <w:r>
        <w:noBreakHyphen/>
        <w:t>specific violence, such as sexual harassment in the workplace.</w:t>
      </w:r>
    </w:p>
    <w:p w:rsidR="00000000" w:rsidRDefault="00000000">
      <w:r>
        <w:t>18.</w:t>
      </w:r>
      <w:r>
        <w:tab/>
        <w:t>Sexual harassment includes such unwelcome sexually determined behaviour as physical contact and advances, sexually coloured remarks, showing pornography and sexual demands, whether by words or actions.  Such conduct can be humiliating and may constitute a health and safety problem; it is discriminatory when the woman has reasonable ground to believe that her objection would disadvantage her in connection with her employment, including recruitment or promotion, or when it creates a hostile working environment.</w:t>
      </w:r>
    </w:p>
    <w:p w:rsidR="00000000" w:rsidRDefault="00000000">
      <w:pPr>
        <w:pStyle w:val="Heading2"/>
      </w:pPr>
      <w:r>
        <w:t>Article 12</w:t>
      </w:r>
    </w:p>
    <w:p w:rsidR="00000000" w:rsidRDefault="00000000">
      <w:r>
        <w:t>19.</w:t>
      </w:r>
      <w:r>
        <w:tab/>
        <w:t>States parties are required by article 12 to take measures to ensure equal access to health care.  Violence against women puts their health and lives at risk.</w:t>
      </w:r>
    </w:p>
    <w:p w:rsidR="00000000" w:rsidRDefault="00000000">
      <w:r>
        <w:t>20.</w:t>
      </w:r>
      <w:r>
        <w:tab/>
        <w:t>In some States there are traditional practices perpetuated by culture and tradition that are harmful to the health of women and children.  These practices include dietary restrictions for pregnant women, preference for male children and female circumcision or genital mutilation.</w:t>
      </w:r>
    </w:p>
    <w:p w:rsidR="00000000" w:rsidRDefault="00000000">
      <w:pPr>
        <w:pStyle w:val="Heading2"/>
      </w:pPr>
      <w:r>
        <w:t>Article 14</w:t>
      </w:r>
    </w:p>
    <w:p w:rsidR="00000000" w:rsidRDefault="00000000">
      <w:r>
        <w:t>21.</w:t>
      </w:r>
      <w:r>
        <w:tab/>
        <w:t>Rural women are at risk of gender-based violence because of traditional attitudes regarding the subordinate role of women that persist in many rural communities.  Girls from rural communities are at special risk of violence and sexual exploitation when they leave the rural community to seek employment in towns.</w:t>
      </w:r>
    </w:p>
    <w:p w:rsidR="00000000" w:rsidRDefault="00000000">
      <w:pPr>
        <w:pStyle w:val="Heading2"/>
      </w:pPr>
      <w:r>
        <w:t>Article 16 (and article 5)</w:t>
      </w:r>
    </w:p>
    <w:p w:rsidR="00000000" w:rsidRDefault="00000000">
      <w:r>
        <w:t>22.</w:t>
      </w:r>
      <w:r>
        <w:tab/>
        <w:t>Compulsory sterilization or abortion adversely affects women’s physical and mental health, and infringes the right of women to decide on the number and spacing of their children.</w:t>
      </w:r>
    </w:p>
    <w:p w:rsidR="00000000" w:rsidRDefault="00000000">
      <w:r>
        <w:t>23.</w:t>
      </w:r>
      <w:r>
        <w:tab/>
        <w:t xml:space="preserve">Family violence is one of the most insidious forms of violence against women.  It is prevalent in all societies.  Within family relationships women of all ages are subjected to violence of all kinds, including battering, rape, other forms of sexual assault, mental and other forms of violence, which are perpetuated by traditional attitudes.  Lack of economic </w:t>
      </w:r>
      <w:r>
        <w:br w:type="page"/>
        <w:t>independence forces many women to stay in violent relationships.  The abrogation of their family responsibilities by men can be a form of violence, and coercion.  These forms of violence put women’s health at risk and impair their ability to participate in family life and public life on a basis of equality.</w:t>
      </w:r>
    </w:p>
    <w:p w:rsidR="00000000" w:rsidRDefault="00000000">
      <w:pPr>
        <w:pStyle w:val="Heading3"/>
      </w:pPr>
      <w:r>
        <w:t>Specific recommendations</w:t>
      </w:r>
    </w:p>
    <w:p w:rsidR="00000000" w:rsidRDefault="00000000">
      <w:r>
        <w:t>24.</w:t>
      </w:r>
      <w:r>
        <w:tab/>
        <w:t>In light of these comments, the Committee on the Elimination of Discrimination against Women recommends:</w:t>
      </w:r>
    </w:p>
    <w:p w:rsidR="00000000" w:rsidRDefault="00000000">
      <w:r>
        <w:tab/>
        <w:t>(a)</w:t>
      </w:r>
      <w:r>
        <w:tab/>
        <w:t>States parties should take appropriate and effective measures to overcome all forms of gender-based violence, whether by public or private act;</w:t>
      </w:r>
    </w:p>
    <w:p w:rsidR="00000000" w:rsidRDefault="00000000">
      <w:r>
        <w:tab/>
        <w:t>(b)</w:t>
      </w:r>
      <w:r>
        <w:tab/>
        <w:t>States parties should ensure that laws against family violence and abuse, rape, sexual assault and other gender-based violence give adequate protection to all women, and respect their integrity and dignity.  Appropriate protective and support services should be provided for victims.  Gender-sensitive training of judicial and law enforcement officers and other public officials is essential for the effective implementation of the Convention;</w:t>
      </w:r>
    </w:p>
    <w:p w:rsidR="00000000" w:rsidRDefault="00000000">
      <w:r>
        <w:tab/>
        <w:t>(c)</w:t>
      </w:r>
      <w:r>
        <w:tab/>
        <w:t>States parties should encourage the compilation of statistics and research on the extent, causes and effects of violence, and on the effectiveness of measures to prevent and deal with violence;</w:t>
      </w:r>
    </w:p>
    <w:p w:rsidR="00000000" w:rsidRDefault="00000000">
      <w:r>
        <w:tab/>
        <w:t>(d)</w:t>
      </w:r>
      <w:r>
        <w:tab/>
        <w:t>Effective measures should be taken to ensure that the media respect and promote respect for women;</w:t>
      </w:r>
    </w:p>
    <w:p w:rsidR="00000000" w:rsidRDefault="00000000">
      <w:r>
        <w:tab/>
        <w:t>(e)</w:t>
      </w:r>
      <w:r>
        <w:tab/>
        <w:t>States parties in their report should identify the nature and extent of attitudes, customs and practices that perpetuate violence against women, and the kinds of violence that result.  They should report the measures that they have undertaken to overcome violence, and the effect of those measures;</w:t>
      </w:r>
    </w:p>
    <w:p w:rsidR="00000000" w:rsidRDefault="00000000">
      <w:r>
        <w:tab/>
        <w:t>(f)</w:t>
      </w:r>
      <w:r>
        <w:tab/>
        <w:t>Effective measures should be taken to overcome these attitudes and practices.  States should introduce education and public information programmes to help eliminate prejudices which hinder women’s equality (recommendation No. 3, 1987);</w:t>
      </w:r>
    </w:p>
    <w:p w:rsidR="00000000" w:rsidRDefault="00000000">
      <w:r>
        <w:tab/>
        <w:t>(g)</w:t>
      </w:r>
      <w:r>
        <w:tab/>
        <w:t>Specific preventive and punitive measures are necessary to overcome trafficking and sexual exploitation;</w:t>
      </w:r>
    </w:p>
    <w:p w:rsidR="00000000" w:rsidRDefault="00000000">
      <w:r>
        <w:tab/>
        <w:t>(h)</w:t>
      </w:r>
      <w:r>
        <w:tab/>
        <w:t>States parties in their reports should describe the extent of all these problems and the measures, including penal provisions, preventive and rehabilitation measures, that have been taken to protect women engaged in prostitution or subject to trafficking and other forms of sexual exploitation.  The effectiveness of these measures should also be described;</w:t>
      </w:r>
    </w:p>
    <w:p w:rsidR="00000000" w:rsidRDefault="00000000">
      <w:r>
        <w:tab/>
        <w:t>(i)</w:t>
      </w:r>
      <w:r>
        <w:tab/>
        <w:t>Effective complaints procedures and remedies, including compensation, should be provided;</w:t>
      </w:r>
    </w:p>
    <w:p w:rsidR="00000000" w:rsidRDefault="00000000">
      <w:r>
        <w:tab/>
        <w:t>(j)</w:t>
      </w:r>
      <w:r>
        <w:tab/>
        <w:t>States parties should include in their reports information on sexual harassment, and on measures to protect women from sexual harassment and other forms of violence of coercion in the workplace;</w:t>
      </w:r>
    </w:p>
    <w:p w:rsidR="00000000" w:rsidRDefault="00000000">
      <w:r>
        <w:tab/>
        <w:t>(k)</w:t>
      </w:r>
      <w:r>
        <w:tab/>
        <w:t>States parties should establish or support services for victims of family violence, rape, sex assault and other forms of gender-based violence, including refuges, specially trained health workers, rehabilitation and counselling;</w:t>
      </w:r>
    </w:p>
    <w:p w:rsidR="00000000" w:rsidRDefault="00000000">
      <w:r>
        <w:tab/>
        <w:t>(l)</w:t>
      </w:r>
      <w:r>
        <w:tab/>
        <w:t>States parties should take measures to overcome such practices and should take account of the Committee’s recommendation on female circumcision (recommendation No. 14) in reporting on health issues;</w:t>
      </w:r>
    </w:p>
    <w:p w:rsidR="00000000" w:rsidRDefault="00000000">
      <w:r>
        <w:tab/>
        <w:t>(m)</w:t>
      </w:r>
      <w:r>
        <w:tab/>
        <w:t>States parties should ensure that measures are taken to prevent coercion in regard to fertility and reproduction, and to ensure that women are not forced to seek unsafe medical procedures such as illegal abortion because of lack of appropriate services in regard to fertility control;</w:t>
      </w:r>
    </w:p>
    <w:p w:rsidR="00000000" w:rsidRDefault="00000000">
      <w:r>
        <w:tab/>
        <w:t>(n)</w:t>
      </w:r>
      <w:r>
        <w:tab/>
        <w:t>States parties in their reports should state the extent of these problems and should indicate the measures that have been taken and their effect;</w:t>
      </w:r>
    </w:p>
    <w:p w:rsidR="00000000" w:rsidRDefault="00000000">
      <w:r>
        <w:tab/>
        <w:t>(o)</w:t>
      </w:r>
      <w:r>
        <w:tab/>
        <w:t>States parties should ensure that services for victims of violence are accessible to rural women and that where necessary special services are provided to isolated communities;</w:t>
      </w:r>
    </w:p>
    <w:p w:rsidR="00000000" w:rsidRDefault="00000000">
      <w:r>
        <w:tab/>
        <w:t>(p)</w:t>
      </w:r>
      <w:r>
        <w:tab/>
        <w:t>Measures to protect them from violence should include training and employment opportunities and the monitoring of the employment conditions of domestic workers;</w:t>
      </w:r>
    </w:p>
    <w:p w:rsidR="00000000" w:rsidRDefault="00000000">
      <w:r>
        <w:tab/>
        <w:t>(q)</w:t>
      </w:r>
      <w:r>
        <w:tab/>
        <w:t>States parties should report on the risks to rural women, the extent and nature of violence and abuse to which they are subject, their need for and access to support and other services and the effectiveness of measures to overcome violence;</w:t>
      </w:r>
    </w:p>
    <w:p w:rsidR="00000000" w:rsidRDefault="00000000">
      <w:r>
        <w:tab/>
        <w:t>(r)</w:t>
      </w:r>
      <w:r>
        <w:tab/>
        <w:t>Measures that are necessary to overcome family violence should include:</w:t>
      </w:r>
    </w:p>
    <w:p w:rsidR="00000000" w:rsidRDefault="00000000">
      <w:pPr>
        <w:ind w:left="720"/>
      </w:pPr>
      <w:r>
        <w:t>Criminal penalties where necessary and civil remedies in case of domestic violence;</w:t>
      </w:r>
    </w:p>
    <w:p w:rsidR="00000000" w:rsidRDefault="00000000">
      <w:pPr>
        <w:ind w:left="720"/>
      </w:pPr>
      <w:r>
        <w:t>Legislation to remove the defence of honour in regard to the assault or murder of a female family member;</w:t>
      </w:r>
    </w:p>
    <w:p w:rsidR="00000000" w:rsidRDefault="00000000">
      <w:pPr>
        <w:ind w:left="720"/>
      </w:pPr>
      <w:r>
        <w:t>Services to ensure the safety and security of victims of family violence, including refuges, counselling and rehabilitation programmes;</w:t>
      </w:r>
    </w:p>
    <w:p w:rsidR="00000000" w:rsidRDefault="00000000">
      <w:pPr>
        <w:ind w:left="720"/>
      </w:pPr>
      <w:r>
        <w:t>Rehabilitation programmes for perpetrators of domestic violence;</w:t>
      </w:r>
    </w:p>
    <w:p w:rsidR="00000000" w:rsidRDefault="00000000">
      <w:pPr>
        <w:ind w:left="720"/>
      </w:pPr>
      <w:r>
        <w:t>Support services for families where incest or sexual abuse has occurred;</w:t>
      </w:r>
    </w:p>
    <w:p w:rsidR="00000000" w:rsidRDefault="00000000">
      <w:r>
        <w:tab/>
      </w:r>
    </w:p>
    <w:p w:rsidR="00000000" w:rsidRDefault="00000000">
      <w:r>
        <w:br w:type="page"/>
      </w:r>
      <w:r>
        <w:tab/>
        <w:t>(s)</w:t>
      </w:r>
      <w:r>
        <w:tab/>
        <w:t>States parties should report on the extent of domestic violence and sexual abuse, and on the preventive, punitive and remedial measures that have been taken;</w:t>
      </w:r>
    </w:p>
    <w:p w:rsidR="00000000" w:rsidRDefault="00000000">
      <w:r>
        <w:tab/>
        <w:t>(t)</w:t>
      </w:r>
      <w:r>
        <w:tab/>
        <w:t>That States parties should take all legal and other measures that are necessary to provide effective protection of women against gender-based violence, including, inter alia:</w:t>
      </w:r>
    </w:p>
    <w:p w:rsidR="00000000" w:rsidRDefault="00000000">
      <w:pPr>
        <w:ind w:left="720"/>
      </w:pPr>
      <w:r>
        <w:t>Effective legal measures, including penal sanctions, civil remedies compensatory provisions to protect women against all kinds of violence, including, inter alia, violence and abuse in the family, sexual assault and sexual harassment in the workplace;</w:t>
      </w:r>
    </w:p>
    <w:p w:rsidR="00000000" w:rsidRDefault="00000000">
      <w:pPr>
        <w:ind w:left="720"/>
      </w:pPr>
      <w:r>
        <w:t>Preventive measures, including public information and education programmes to change attitudes concerning the roles and status of men and women;</w:t>
      </w:r>
    </w:p>
    <w:p w:rsidR="00000000" w:rsidRDefault="00000000">
      <w:pPr>
        <w:ind w:left="720"/>
      </w:pPr>
      <w:r>
        <w:t>Protective measures, including refuges, counselling, rehabilitation and support services for women who are the victims of violence or who are at risk of violence;</w:t>
      </w:r>
    </w:p>
    <w:p w:rsidR="00000000" w:rsidRDefault="00000000">
      <w:r>
        <w:tab/>
        <w:t>(u)</w:t>
      </w:r>
      <w:r>
        <w:tab/>
        <w:t>That States parties should report on all forms of gender-based violence, and that such reports should include all available data on the incidence of each form of violence, and on the effects of such violence on the women who are victims;</w:t>
      </w:r>
    </w:p>
    <w:p w:rsidR="00000000" w:rsidRDefault="00000000">
      <w:r>
        <w:tab/>
        <w:t>(v)</w:t>
      </w:r>
      <w:r>
        <w:tab/>
        <w:t>That the reports of States parties should include information on the legal, preventive and protective measures that have been taken to overcome violence against women, and on the effectiveness of such measures.</w:t>
      </w:r>
    </w:p>
    <w:p w:rsidR="00000000" w:rsidRDefault="00000000">
      <w:pPr>
        <w:pStyle w:val="Heading2"/>
      </w:pPr>
      <w:r>
        <w:t>Eleventh session (1992)</w:t>
      </w:r>
      <w:r>
        <w:rPr>
          <w:rStyle w:val="FootnoteReference"/>
          <w:vertAlign w:val="baseline"/>
        </w:rPr>
        <w:footnoteReference w:customMarkFollows="1" w:id="60"/>
        <w:t>*</w:t>
      </w:r>
    </w:p>
    <w:p w:rsidR="00000000" w:rsidRDefault="00000000">
      <w:pPr>
        <w:pStyle w:val="Heading2"/>
      </w:pPr>
      <w:r>
        <w:t>General recommendation No. 20:  Reservations to the Convention</w:t>
      </w:r>
    </w:p>
    <w:p w:rsidR="00000000" w:rsidRDefault="00000000">
      <w:r>
        <w:t>1.</w:t>
      </w:r>
      <w:r>
        <w:tab/>
        <w:t>The Committee recalled the decision of the Fourth Meeting of States parties on reservations to the Convention with regard to article 28.2, which was welcomed in General recommendation No. 4 of the Committee.</w:t>
      </w:r>
    </w:p>
    <w:p w:rsidR="00000000" w:rsidRDefault="00000000">
      <w:r>
        <w:t>2.</w:t>
      </w:r>
      <w:r>
        <w:tab/>
        <w:t>The Committee recommended that, in connection with preparations for the World Conference on Human Rights in 1993, States parties should:</w:t>
      </w:r>
    </w:p>
    <w:p w:rsidR="00000000" w:rsidRDefault="00000000">
      <w:r>
        <w:tab/>
        <w:t>(a)</w:t>
      </w:r>
      <w:r>
        <w:tab/>
        <w:t>Raise the question of the validity and the legal effect of reservations to the Convention in the context of reservations to other human rights treaties;</w:t>
      </w:r>
    </w:p>
    <w:p w:rsidR="00000000" w:rsidRDefault="00000000">
      <w:r>
        <w:br w:type="page"/>
      </w:r>
      <w:r>
        <w:tab/>
        <w:t>(b)</w:t>
      </w:r>
      <w:r>
        <w:tab/>
        <w:t>Reconsider such reservations with a view to strengthening the implementation of all human rights treaties;</w:t>
      </w:r>
    </w:p>
    <w:p w:rsidR="00000000" w:rsidRDefault="00000000">
      <w:r>
        <w:tab/>
        <w:t>(c)</w:t>
      </w:r>
      <w:r>
        <w:tab/>
        <w:t>Consider introducing a procedure on reservations to the Convention comparable with that of other human rights treaties.</w:t>
      </w:r>
    </w:p>
    <w:p w:rsidR="00000000" w:rsidRDefault="00000000">
      <w:pPr>
        <w:pStyle w:val="Heading2"/>
      </w:pPr>
      <w:r>
        <w:t>Thirteenth session (1994)</w:t>
      </w:r>
      <w:r>
        <w:rPr>
          <w:rStyle w:val="FootnoteReference"/>
          <w:vertAlign w:val="baseline"/>
        </w:rPr>
        <w:footnoteReference w:customMarkFollows="1" w:id="61"/>
        <w:t>*</w:t>
      </w:r>
    </w:p>
    <w:p w:rsidR="00000000" w:rsidRDefault="00000000">
      <w:pPr>
        <w:pStyle w:val="Heading2"/>
      </w:pPr>
      <w:r>
        <w:t>General recommendation No. 21:  Equality in marriage and family relations</w:t>
      </w:r>
    </w:p>
    <w:p w:rsidR="00000000" w:rsidRDefault="00000000">
      <w:r>
        <w:t>1.</w:t>
      </w:r>
      <w:r>
        <w:tab/>
        <w:t>The Convention on the Elimination of All Forms of Discrimination against Women (General Assembly resolution 34/180, annex) affirms the equality of human rights for women and men in society and in the family.  The Convention has an important place among international treaties concerned with human rights.</w:t>
      </w:r>
    </w:p>
    <w:p w:rsidR="00000000" w:rsidRDefault="00000000">
      <w:r>
        <w:t>2.</w:t>
      </w:r>
      <w:r>
        <w:tab/>
        <w:t>Other conventions and declarations also confer great significance on the family and woman’s status within it.  These include the Universal Declaration of Human Rights (General Assembly resolution 217/A (III)), the International Covenant on Civil and Political Rights (resolution 2200 A (XXI), annex), the Convention on the Nationality of Married Women (resolution 1040 (XI), annex), the Convention on Consent to Marriage, Minimum Age for Marriage and Registration of Marriages (resolution 1763 A (XVII), annex) and the subsequent Recommendation thereon (resolution 2018 (XX)) and the Nairobi Forward-looking Strategies for the Advancement of Women.</w:t>
      </w:r>
    </w:p>
    <w:p w:rsidR="00000000" w:rsidRDefault="00000000">
      <w:r>
        <w:t>3.</w:t>
      </w:r>
      <w:r>
        <w:tab/>
        <w:t>The Convention on the Elimination of All Forms of Discrimination against Women recalls the inalienable rights of women which are already embodied in the above-mentioned conventions and declarations, but it goes further by recognizing the importance of culture and tradition in shaping the thinking and behaviour of men and women and the significant part they play in restricting the exercise of basic rights by women.</w:t>
      </w:r>
    </w:p>
    <w:p w:rsidR="00000000" w:rsidRDefault="00000000">
      <w:pPr>
        <w:pStyle w:val="Heading3"/>
      </w:pPr>
      <w:r>
        <w:t>Background</w:t>
      </w:r>
    </w:p>
    <w:p w:rsidR="00000000" w:rsidRDefault="00000000">
      <w:r>
        <w:t>4.</w:t>
      </w:r>
      <w:r>
        <w:tab/>
        <w:t>The year 1994 has been designated by the General Assembly in its resolution 44/82 as the International Year of the Family.  The Committee wishes to take the opportunity to stress the significance of compliance with women’s basic rights within the family as one of the measures which will support and encourage the national celebrations that will take place.</w:t>
      </w:r>
    </w:p>
    <w:p w:rsidR="00000000" w:rsidRDefault="00000000">
      <w:r>
        <w:t>5.</w:t>
      </w:r>
      <w:r>
        <w:tab/>
        <w:t>Having chosen in this way to mark the International Year of the Family, the Committee wishes to analyse three articles in the Convention that have special significance for the status of women in the family:</w:t>
      </w:r>
    </w:p>
    <w:p w:rsidR="00000000" w:rsidRDefault="00000000">
      <w:pPr>
        <w:pStyle w:val="Heading2"/>
      </w:pPr>
      <w:r>
        <w:t>Article 9</w:t>
      </w:r>
    </w:p>
    <w:p w:rsidR="00000000" w:rsidRDefault="00000000">
      <w:r>
        <w:tab/>
        <w:t>1.</w:t>
      </w:r>
      <w:r>
        <w:tab/>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r>
        <w:tab/>
        <w:t>2.</w:t>
      </w:r>
      <w:r>
        <w:tab/>
        <w:t>States parties shall grant women equal rights with men with respect to the nationality of their children.</w:t>
      </w:r>
    </w:p>
    <w:p w:rsidR="00000000" w:rsidRDefault="00000000">
      <w:pPr>
        <w:pStyle w:val="Heading3"/>
      </w:pPr>
      <w:r>
        <w:t>Comment</w:t>
      </w:r>
    </w:p>
    <w:p w:rsidR="00000000" w:rsidRDefault="00000000">
      <w:r>
        <w:t>6.</w:t>
      </w:r>
      <w:r>
        <w:tab/>
        <w:t>Nationality is critical to full participation in society.  In general, States confer nationality on those who are born in that country.  Nationality can also be acquired by reason of settlement or granted for humanitarian reasons such as statelessness.  Without status as nationals or citizens, women are deprived of the right to vote or to stand for public office and may be denied access to public benefits and a choice of residence.  Nationality should be capable of change by an adult woman and should not be arbitrarily removed because of marriage or dissolution of marriage or because her husband or father changes his nationality.</w:t>
      </w:r>
    </w:p>
    <w:p w:rsidR="00000000" w:rsidRDefault="00000000">
      <w:pPr>
        <w:pStyle w:val="Heading2"/>
      </w:pPr>
      <w:r>
        <w:t>Article 15</w:t>
      </w:r>
    </w:p>
    <w:p w:rsidR="00000000" w:rsidRDefault="00000000">
      <w:r>
        <w:tab/>
        <w:t>1.</w:t>
      </w:r>
      <w:r>
        <w:tab/>
        <w:t>States parties shall accord to women equality with men before the law.</w:t>
      </w:r>
    </w:p>
    <w:p w:rsidR="00000000" w:rsidRDefault="00000000">
      <w:r>
        <w:tab/>
        <w:t>2.</w:t>
      </w:r>
      <w:r>
        <w:tab/>
        <w:t>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000000" w:rsidRDefault="00000000">
      <w:r>
        <w:tab/>
        <w:t>3.</w:t>
      </w:r>
      <w:r>
        <w:tab/>
        <w:t>States parties agree that all contracts and all other private instruments of any kind with a legal effect which is directed at restricting the legal capacity of women shall be deemed null and void.</w:t>
      </w:r>
    </w:p>
    <w:p w:rsidR="00000000" w:rsidRDefault="00000000">
      <w:r>
        <w:tab/>
        <w:t>4.</w:t>
      </w:r>
      <w:r>
        <w:tab/>
        <w:t>States parties shall accord to men and women the same rights with regard to the law relating to the movement of persons and the freedom to choose their residence and domicile.</w:t>
      </w:r>
    </w:p>
    <w:p w:rsidR="00000000" w:rsidRDefault="00000000">
      <w:pPr>
        <w:pStyle w:val="Heading3"/>
      </w:pPr>
      <w:r>
        <w:t>Comment</w:t>
      </w:r>
    </w:p>
    <w:p w:rsidR="00000000" w:rsidRDefault="00000000">
      <w:r>
        <w:t>7.</w:t>
      </w:r>
      <w:r>
        <w:tab/>
        <w:t>When a woman cannot enter into a contract at all, or have access to financial credit, or can do so only with her husband’s or a male relative’s concurrence or guarantee, she is denied legal autonomy.  Any such restriction prevents her from holding property as the sole owner and precludes her from the legal management of her own business or from entering into any other form of contract.  Such restrictions seriously limit the woman’s ability to provide for herself and her dependants.</w:t>
      </w:r>
    </w:p>
    <w:p w:rsidR="00000000" w:rsidRDefault="00000000">
      <w:r>
        <w:t>8.</w:t>
      </w:r>
      <w:r>
        <w:tab/>
        <w:t>A woman’s right to bring litigation is limited in some countries by law or by her access to legal advice and her ability to seek redress from the courts.  In others, her status as a witness or her evidence is accorded less respect or weight than that of a man.  Such laws or customs limit the woman’s right effectively to pursue or retain her equal share of property and diminish her standing as an independent, responsible and valued member of her community.  When countries limit a woman’s legal capacity by their laws, or permit individuals or institutions to do the same, they are denying women their rights to be equal with men and restricting women’s ability to provide for themselves and their dependants.</w:t>
      </w:r>
    </w:p>
    <w:p w:rsidR="00000000" w:rsidRDefault="00000000">
      <w:r>
        <w:t>9.</w:t>
      </w:r>
      <w:r>
        <w:tab/>
        <w:t>Domicile is a concept in common law countries referring to the country in which a person intends to reside and to whose jurisdiction she will submit.  Domicile is originally acquired by a child through its parents but, in adulthood, denotes the country in which a person normally resides and in which she intends to reside permanently.  As in the case of nationality, the examination of States parties’ reports demonstrates that a woman will not always be permitted at law to choose her own domicile.  Domicile, like nationality, should be capable of change at will by an adult woman regardless of her marital status.  Any restrictions on a woman’s right to choose a domicile on the same basis as a man may limit her access to the courts in the country in which she lives or prevent her from entering and leaving a country freely and in her own right.</w:t>
      </w:r>
    </w:p>
    <w:p w:rsidR="00000000" w:rsidRDefault="00000000">
      <w:r>
        <w:t>10.</w:t>
      </w:r>
      <w:r>
        <w:tab/>
        <w:t>Migrant women who live and work temporarily in another country should be permitted the same rights as men to have their spouses, partners and children join them.</w:t>
      </w:r>
    </w:p>
    <w:p w:rsidR="00000000" w:rsidRDefault="00000000">
      <w:pPr>
        <w:pStyle w:val="Heading2"/>
      </w:pPr>
      <w:r>
        <w:t>Article 16</w:t>
      </w:r>
    </w:p>
    <w:p w:rsidR="00000000" w:rsidRDefault="00000000">
      <w:r>
        <w:tab/>
        <w:t>1.</w:t>
      </w:r>
      <w:r>
        <w:tab/>
        <w:t>States parties shall take all appropriate measures to eliminate discrimination against women in all matters relating to marriage and family relations and in particular shall ensure, on a basis of equality of men and women:</w:t>
      </w:r>
    </w:p>
    <w:p w:rsidR="00000000" w:rsidRDefault="00000000">
      <w:r>
        <w:tab/>
        <w:t>(a)</w:t>
      </w:r>
      <w:r>
        <w:tab/>
        <w:t>The same right to enter into marriage;</w:t>
      </w:r>
    </w:p>
    <w:p w:rsidR="00000000" w:rsidRDefault="00000000">
      <w:r>
        <w:tab/>
        <w:t>(b)</w:t>
      </w:r>
      <w:r>
        <w:tab/>
        <w:t>The same right freely to choose a spouse and to enter into marriage only with their free and full consent;</w:t>
      </w:r>
    </w:p>
    <w:p w:rsidR="00000000" w:rsidRDefault="00000000">
      <w:r>
        <w:tab/>
        <w:t>(c)</w:t>
      </w:r>
      <w:r>
        <w:tab/>
        <w:t>The same rights and responsibilities during marriage and at its dissolution;</w:t>
      </w:r>
    </w:p>
    <w:p w:rsidR="00000000" w:rsidRDefault="00000000">
      <w:r>
        <w:tab/>
        <w:t>(d)</w:t>
      </w:r>
      <w:r>
        <w:tab/>
        <w:t>The same rights and responsibilities as parents, irrespective of their marital status, in matters relating to their children; in all cases the interests of the children shall be paramount;</w:t>
      </w:r>
    </w:p>
    <w:p w:rsidR="00000000" w:rsidRDefault="00000000">
      <w:r>
        <w:tab/>
        <w:t>(e)</w:t>
      </w:r>
      <w:r>
        <w:tab/>
        <w:t>The same rights to decide freely and responsibly on the number and spacing of their children and to have access to the information, education and means to enable them to exercise these rights;</w:t>
      </w:r>
    </w:p>
    <w:p w:rsidR="00000000" w:rsidRDefault="00000000">
      <w:r>
        <w:tab/>
        <w:t>(f)</w:t>
      </w:r>
      <w:r>
        <w:tab/>
        <w:t>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r>
        <w:tab/>
        <w:t>(g)</w:t>
      </w:r>
      <w:r>
        <w:tab/>
        <w:t>The same personal rights as husband and wife, including the right to choose a family name, a profession and an occupation;</w:t>
      </w:r>
    </w:p>
    <w:p w:rsidR="00000000" w:rsidRDefault="00000000">
      <w:r>
        <w:tab/>
        <w:t>(h)</w:t>
      </w:r>
      <w:r>
        <w:tab/>
        <w:t>The same rights for both spouses in respect of the ownership, acquisition, management, administration, enjoyment and disposition of property, whether free of charge or for a valuable consideration.</w:t>
      </w:r>
    </w:p>
    <w:p w:rsidR="00000000" w:rsidRDefault="00000000">
      <w:r>
        <w:tab/>
        <w:t>2.</w:t>
      </w:r>
      <w:r>
        <w:tab/>
        <w:t>The betrothal and the marriage of a child shall have no legal effect, and all necessary action, including legislation, shall be taken to specify a minimum age for marriage and to make the registration of marriages in an official registry compulsory.</w:t>
      </w:r>
    </w:p>
    <w:p w:rsidR="00000000" w:rsidRDefault="00000000">
      <w:pPr>
        <w:pStyle w:val="Heading3"/>
      </w:pPr>
      <w:r>
        <w:t>Comment</w:t>
      </w:r>
    </w:p>
    <w:p w:rsidR="00000000" w:rsidRDefault="00000000">
      <w:pPr>
        <w:pStyle w:val="Heading3"/>
      </w:pPr>
      <w:r>
        <w:t>Public and private life</w:t>
      </w:r>
    </w:p>
    <w:p w:rsidR="00000000" w:rsidRDefault="00000000">
      <w:r>
        <w:t>11.</w:t>
      </w:r>
      <w:r>
        <w:tab/>
        <w:t>Historically, human activity in public and private life has been viewed differently and regulated accordingly.  In all societies women who have traditionally performed their roles in the private or domestic sphere have long had those activities treated as inferior.</w:t>
      </w:r>
    </w:p>
    <w:p w:rsidR="00000000" w:rsidRDefault="00000000">
      <w:r>
        <w:t>12.</w:t>
      </w:r>
      <w:r>
        <w:tab/>
        <w:t>As such activities are invaluable for the survival of society, there can be no justification for applying different and discriminatory laws or customs to them.  Reports of States parties disclose that there are still countries where de jure equality does not exist.  Women are thereby prevented from having equal access to resources and from enjoying equality of status in the family and society.  Even where de jure equality exists, all societies assign different roles, which are regarded as inferior, to women.  In this way, principles of justice and equality contained in particular in article 16 and also in articles 2, 5 and 24 of the Convention are being violated.</w:t>
      </w:r>
    </w:p>
    <w:p w:rsidR="00000000" w:rsidRDefault="00000000">
      <w:pPr>
        <w:pStyle w:val="Heading3"/>
      </w:pPr>
      <w:r>
        <w:t>Various forms of family</w:t>
      </w:r>
    </w:p>
    <w:p w:rsidR="00000000" w:rsidRDefault="00000000">
      <w:r>
        <w:t>13.</w:t>
      </w:r>
      <w:r>
        <w:tab/>
        <w:t>The form and concept of the family can vary from State to State, and even between regions within a State.  Whatever form it takes, and whatever the legal system, religion, custom or tradition within the country, the treatment of women in the family both at law and in private must accord with the principles of equality and justice for all people, as article 2 of the Convention requires.</w:t>
      </w:r>
    </w:p>
    <w:p w:rsidR="00000000" w:rsidRDefault="00000000">
      <w:pPr>
        <w:pStyle w:val="Heading3"/>
      </w:pPr>
      <w:r>
        <w:t>Polygamous marriages</w:t>
      </w:r>
    </w:p>
    <w:p w:rsidR="00000000" w:rsidRDefault="00000000">
      <w:r>
        <w:t>14.</w:t>
      </w:r>
      <w:r>
        <w:tab/>
        <w:t>States parties’ reports also disclose that polygamy is practised in a number of countries.  Polygamous marriage contravenes a woman’s right to equality with men, and can have such serious emotional and financial consequences for her and her dependants that such marriages ought to be discouraged and prohibited.  The Committee notes with concern that some States parties, whose constitutions guarantee equal rights, permit polygamous marriage in accordance with personal or customary law.  This violates the constitutional rights of women, and breaches the provisions of article 5 (a) of the Convention.</w:t>
      </w:r>
    </w:p>
    <w:p w:rsidR="00000000" w:rsidRDefault="00000000">
      <w:pPr>
        <w:pStyle w:val="Heading2"/>
      </w:pPr>
      <w:r>
        <w:t>Article 16 (1) (a) and (b)</w:t>
      </w:r>
    </w:p>
    <w:p w:rsidR="00000000" w:rsidRDefault="00000000">
      <w:r>
        <w:t>15.</w:t>
      </w:r>
      <w:r>
        <w:tab/>
        <w:t>While most countries report that national constitutions and laws comply with the Convention, custom, tradition and failure to enforce these laws in reality contravene the Convention.</w:t>
      </w:r>
    </w:p>
    <w:p w:rsidR="00000000" w:rsidRDefault="00000000">
      <w:r>
        <w:t>16.</w:t>
      </w:r>
      <w:r>
        <w:tab/>
        <w:t>A woman’s right to choose a spouse and enter freely into marriage is central to her life and to her dignity and equality as a human being.  An examination of States parties’ reports discloses that there are countries which, on the basis of custom, religious beliefs or the ethnic origins of particular groups of people, permit forced marriages or remarriages.  Other countries allow a woman’s marriage to be arranged for payment or preferment and in others women’s poverty forces them to marry foreign nationals for financial security.  Subject to reasonable restrictions based for example on a woman’s youth or consanguinity with her partner, a woman’s right to choose when, if, and whom she will marry must be protected and enforced at law.</w:t>
      </w:r>
    </w:p>
    <w:p w:rsidR="00000000" w:rsidRDefault="00000000">
      <w:pPr>
        <w:pStyle w:val="Heading2"/>
      </w:pPr>
      <w:r>
        <w:t>Article 16 (1) (c)</w:t>
      </w:r>
    </w:p>
    <w:p w:rsidR="00000000" w:rsidRDefault="00000000">
      <w:r>
        <w:t>17.</w:t>
      </w:r>
      <w:r>
        <w:tab/>
        <w:t>An examination of States parties’ reports discloses that many countries in their legal systems provide for the rights and responsibilities of married partners by relying on the application of common law principles, religious or customary law, rather than by complying with the principles contained in the Convention.  These variations in law and practice relating to marriage have wide-ranging consequences for women, invariably restricting their rights to equal status and responsibility within marriage.  Such limitations often result in the husband being accorded the status of head of household and primary decision maker and therefore contravene the provisions of the Convention.</w:t>
      </w:r>
    </w:p>
    <w:p w:rsidR="00000000" w:rsidRDefault="00000000">
      <w:r>
        <w:t>18.</w:t>
      </w:r>
      <w:r>
        <w:tab/>
        <w:t>Moreover, generally a de facto union is not given legal protection at all.  Women living in such relationships should have their equality of status with men both in family life and in the sharing of income and assets protected by law.  Such women should share equal rights and responsibilities with men for the care and raising of dependent children or family members.</w:t>
      </w:r>
    </w:p>
    <w:p w:rsidR="00000000" w:rsidRDefault="00000000">
      <w:pPr>
        <w:pStyle w:val="Heading2"/>
      </w:pPr>
      <w:r>
        <w:t>Article 16 (1) (d) and (f)</w:t>
      </w:r>
    </w:p>
    <w:p w:rsidR="00000000" w:rsidRDefault="00000000">
      <w:r>
        <w:t>19.</w:t>
      </w:r>
      <w:r>
        <w:tab/>
        <w:t>As provided in article 5 (b), most States recognize the shared responsibility of parents for the care, protection and maintenance of children.  The principle that “the best interests of the child shall be the paramount consideration” has been included in the Convention on the Rights of the Child (General Assembly resolution 44/25, annex) and seems now to be universally accepted.  However, in practice, some countries do not observe the principle of granting the parents of children equal status, particularly when they are not married.  The children of such unions do not always enjoy the same status as those born in wedlock and, where the mothers are divorced or living apart, many fathers fail to share the responsibility of care, protection and maintenance of their children.</w:t>
      </w:r>
    </w:p>
    <w:p w:rsidR="00000000" w:rsidRDefault="00000000">
      <w:r>
        <w:t>20.</w:t>
      </w:r>
      <w:r>
        <w:tab/>
        <w:t>The shared rights and responsibilities enunciated in the Convention should be enforced at law and as appropriate through legal concepts of guardianship, wardship, trusteeship and adoption.  States parties should ensure that by their laws both parents, regardless of their marital status and whether they live with their children or not, share equal rights and responsibilities for their children.</w:t>
      </w:r>
    </w:p>
    <w:p w:rsidR="00000000" w:rsidRDefault="00000000">
      <w:pPr>
        <w:pStyle w:val="Heading2"/>
      </w:pPr>
      <w:r>
        <w:t>Article 16 (1) (e)</w:t>
      </w:r>
    </w:p>
    <w:p w:rsidR="00000000" w:rsidRDefault="00000000">
      <w:r>
        <w:t>21.</w:t>
      </w:r>
      <w:r>
        <w:tab/>
        <w:t>The responsibilities that women have to bear and raise children affect their right of access to education, employment and other activities related to their personal development.  They also impose inequitable burdens of work on women.  The number and spacing of their children have a similar impact on women’s lives and also affect their physical and mental health, as well as that of their children.  For these reasons, women are entitled to decide on the number and spacing of their children.</w:t>
      </w:r>
    </w:p>
    <w:p w:rsidR="00000000" w:rsidRDefault="00000000">
      <w:r>
        <w:t>22.</w:t>
      </w:r>
      <w:r>
        <w:tab/>
        <w:t>Some reports disclose coercive practices which have serious consequences for women, such as forced pregnancies, abortions or sterilization.  Decisions to have children or not, while preferably made in consultation with spouse or partner, must not nevertheless be limited by spouse, parent, partner or Government.  In order to make an informed decision about safe and reliable contraceptive measures, women must have information about contraceptive measures and their use, and guaranteed access to sex education and family planning services, as provided in article 10 (h) of the Convention.</w:t>
      </w:r>
    </w:p>
    <w:p w:rsidR="00000000" w:rsidRDefault="00000000">
      <w:r>
        <w:t>23.</w:t>
      </w:r>
      <w:r>
        <w:tab/>
        <w:t>There is general agreement that where there are freely available appropriate measures for the voluntary regulation of fertility, the health, development and well-being of all members of the family improve.  Moreover, such services improve the general quality of life and health of the population, and the voluntary regulation of population growth helps preserve the environment and achieve sustainable economic and social development.</w:t>
      </w:r>
    </w:p>
    <w:p w:rsidR="00000000" w:rsidRDefault="00000000">
      <w:pPr>
        <w:pStyle w:val="Heading2"/>
      </w:pPr>
      <w:r>
        <w:t>Article 16 (1) (g)</w:t>
      </w:r>
    </w:p>
    <w:p w:rsidR="00000000" w:rsidRDefault="00000000">
      <w:r>
        <w:t>24.</w:t>
      </w:r>
      <w:r>
        <w:tab/>
        <w:t>A stable family is one which is based on principles of equity, justice and individual fulfilment for each member.  Each partner must therefore have the right to choose a profession or employment that is best suited to his or her abilities, qualifications and aspirations, as provided in article 11 (a) and (c) of the Convention.  Moreover, each partner should have the right to choose his or her name, thereby preserving individuality and identity in the community and distinguishing that person from other members of society.  When by law or custom a woman is obliged to change her name on marriage or at its dissolution, she is denied these rights.</w:t>
      </w:r>
    </w:p>
    <w:p w:rsidR="00000000" w:rsidRDefault="00000000">
      <w:pPr>
        <w:pStyle w:val="Heading2"/>
      </w:pPr>
      <w:r>
        <w:t>Article 16 (1) (h)</w:t>
      </w:r>
    </w:p>
    <w:p w:rsidR="00000000" w:rsidRDefault="00000000">
      <w:r>
        <w:t>25.</w:t>
      </w:r>
      <w:r>
        <w:tab/>
        <w:t>The rights provided in this article overlap with and complement those in article 15 (2) in which an obligation is placed on States to give women equal rights to enter into and conclude contracts and to administer property.</w:t>
      </w:r>
    </w:p>
    <w:p w:rsidR="00000000" w:rsidRDefault="00000000">
      <w:r>
        <w:t>26.</w:t>
      </w:r>
      <w:r>
        <w:tab/>
        <w:t>Article 15 (1) guarantees women equality with men before the law.  The right to own, manage, enjoy and dispose of property is central to a woman’s right to enjoy financial independence, and in many countries will be critical to her ability to earn a livelihood and to provide adequate housing and nutrition for herself and for her family.</w:t>
      </w:r>
    </w:p>
    <w:p w:rsidR="00000000" w:rsidRDefault="00000000">
      <w:r>
        <w:t>27.</w:t>
      </w:r>
      <w:r>
        <w:tab/>
        <w:t>In countries that are undergoing a programme of agrarian reform or redistribution of land among groups of different ethnic origins, the right of women, regardless of marital status, to share such redistributed land on equal terms with men should be carefully observed.</w:t>
      </w:r>
    </w:p>
    <w:p w:rsidR="00000000" w:rsidRDefault="00000000">
      <w:r>
        <w:t>28.</w:t>
      </w:r>
      <w:r>
        <w:tab/>
        <w:t>In most countries, a significant proportion of the women are single or divorced and many have the sole responsibility to support a family.  Any discrimination in the division of property that rests on the premise that the man alone is responsible for the support of the women and children of his family and that he can and will honourably discharge this responsibility is clearly unrealistic.  Consequently, any law or custom that grants men a right to a greater share of property at the end of a marriage or de facto relationship, or on the death of a relative, is discriminatory and will have a serious impact on a woman’s practical ability to divorce her husband, to support herself or her family and to live in dignity as an independent person.</w:t>
      </w:r>
    </w:p>
    <w:p w:rsidR="00000000" w:rsidRDefault="00000000">
      <w:r>
        <w:t>29.</w:t>
      </w:r>
      <w:r>
        <w:tab/>
        <w:t>All of these rights should be guaranteed regardless of a woman’s marital status.</w:t>
      </w:r>
    </w:p>
    <w:p w:rsidR="00000000" w:rsidRDefault="00000000">
      <w:pPr>
        <w:pStyle w:val="Heading3"/>
      </w:pPr>
      <w:r>
        <w:t>Marital property</w:t>
      </w:r>
    </w:p>
    <w:p w:rsidR="00000000" w:rsidRDefault="00000000">
      <w:r>
        <w:t>30.</w:t>
      </w:r>
      <w:r>
        <w:tab/>
        <w:t>There are countries that do not acknowledge that right of women to own an equal share of the property with the husband during a marriage or de facto relationship and when that marriage or relationship ends.  Many countries recognize that right, but the practical ability of women to exercise it may be limited by legal precedent or custom.</w:t>
      </w:r>
    </w:p>
    <w:p w:rsidR="00000000" w:rsidRDefault="00000000">
      <w:r>
        <w:t>31.</w:t>
      </w:r>
      <w:r>
        <w:tab/>
        <w:t>Even when these legal rights are vested in women, and the courts enforce them, property owned by a woman during marriage or on divorce may be managed by a man.  In many States, including those where there is a community-property regime, there is no legal requirement that a woman be consulted when property owned by the parties during marriage or de facto relationship is sold or otherwise disposed of.  This limits the woman’s ability to control disposition of the property or the income derived from it.</w:t>
      </w:r>
    </w:p>
    <w:p w:rsidR="00000000" w:rsidRDefault="00000000">
      <w:r>
        <w:t>32.</w:t>
      </w:r>
      <w:r>
        <w:tab/>
        <w:t>In some countries, on division of marital property, greater emphasis is placed on financial contributions to property acquired during a marriage, and other contributions, such as raising children, caring for elderly relatives and discharging household duties are diminished.  Often, such contributions of a non-financial nature by the wife enable the husband to earn an income and increase the assets.  Financial and non-financial contributions should be accorded the same weight.</w:t>
      </w:r>
    </w:p>
    <w:p w:rsidR="00000000" w:rsidRDefault="00000000">
      <w:r>
        <w:t>33.</w:t>
      </w:r>
      <w:r>
        <w:tab/>
        <w:t>In many countries, property accumulated during a de facto relationship is not treated at law on the same basis as property acquired during marriage.  Invariably, if the relationship ends, the woman receives a significantly lower share than her partner.  Property laws and customs that discriminate in this way against married or unmarried women with or without children should be revoked and discouraged.</w:t>
      </w:r>
    </w:p>
    <w:p w:rsidR="00000000" w:rsidRDefault="00000000">
      <w:pPr>
        <w:pStyle w:val="Heading3"/>
      </w:pPr>
      <w:r>
        <w:t>Inheritance</w:t>
      </w:r>
    </w:p>
    <w:p w:rsidR="00000000" w:rsidRDefault="00000000">
      <w:r>
        <w:t>34.</w:t>
      </w:r>
      <w:r>
        <w:tab/>
        <w:t>Reports of States parties should include comment on the legal or customary provisions relating to inheritance laws as they affect the status of women as provided in the Convention and in Economic and Social Council resolution 884D (XXXIV), in which the Council recommended that States ensure that men and women in the same degree of relationship to a deceased are entitled to equal shares in the estate and to equal rank in the order of succession.  That provision has not been generally implemented.</w:t>
      </w:r>
    </w:p>
    <w:p w:rsidR="00000000" w:rsidRDefault="00000000">
      <w:r>
        <w:t>35.</w:t>
      </w:r>
      <w:r>
        <w:tab/>
        <w:t>There are many countries where the law and practice concerning inheritance and property result in serious discrimination against women.  As a result of this uneven treatment, women may receive a smaller share of the husband’s or father’s property at his death than would widowers and sons.  In some instances, women are granted limited and controlled rights and receive income only from the deceased’s property.  Often inheritance rights for widows do not reflect the principles of equal ownership of property acquired during marriage.  Such provisions contravene the Convention and should be abolished.</w:t>
      </w:r>
    </w:p>
    <w:p w:rsidR="00000000" w:rsidRDefault="00000000">
      <w:pPr>
        <w:pStyle w:val="Heading2"/>
      </w:pPr>
      <w:r>
        <w:t>Article 16 (2)</w:t>
      </w:r>
    </w:p>
    <w:p w:rsidR="00000000" w:rsidRDefault="00000000">
      <w:r>
        <w:t>36.</w:t>
      </w:r>
      <w:r>
        <w:tab/>
        <w:t>In the Vienna Declaration and Programme of Action adopted by the World Conference on Human Rights, held at Vienna from 14 to 25 June 1993, States are urged to repeal existing laws and regulations and to remove customs and practices which discriminate against and cause harm to the girl child.  Article 16 (2) and the provisions of the Convention on the Rights of the Child preclude States parties from permitting or giving validity to a marriage between persons who have not attained their majority.  In the context of the Convention on the Rights of the Child, “a child means every human being below the age of 18 years unless, under the law applicable to the child, majority is attained earlier”.  Notwithstanding this definition, and bearing in mind the provisions of the Vienna Declaration, the Committee considers that the minimum age for marriage should be 18 years for both man and woman.  When men and women marry, they assume important responsibilities.  Consequently, marriage should not be permitted before they have attained full maturity and capacity to act.  According to the World Health Organization, when minors, particularly girls, marry and have children, their health can be adversely affected and their education is impeded.  As a result their economic autonomy is restricted.</w:t>
      </w:r>
    </w:p>
    <w:p w:rsidR="00000000" w:rsidRDefault="00000000">
      <w:r>
        <w:t>37.</w:t>
      </w:r>
      <w:r>
        <w:tab/>
        <w:t>This not only affects women personally but also limits the development of their skills and independence and reduces access to employment, thereby detrimentally affecting their families and communities.</w:t>
      </w:r>
    </w:p>
    <w:p w:rsidR="00000000" w:rsidRDefault="00000000">
      <w:r>
        <w:t>38.</w:t>
      </w:r>
      <w:r>
        <w:tab/>
        <w:t>Some countries provide for different ages for marriage for men and women.  As such provisions assume incorrectly that women have a different rate of intellectual development from men, or that their stage of physical and intellectual development at marriage is immaterial, these provisions should be abolished.  In other countries, the betrothal of girls or undertakings by family members on their behalf is permitted.  Such measures contravene not only the Convention, but also a woman’s right freely to choose her partner.</w:t>
      </w:r>
    </w:p>
    <w:p w:rsidR="00000000" w:rsidRDefault="00000000">
      <w:r>
        <w:t>39.</w:t>
      </w:r>
      <w:r>
        <w:tab/>
        <w:t>States parties should also require the registration of all marriages whether contracted civilly or according to custom or religious law.  The State can thereby ensure compliance with the Convention and establish equality between partners, a minimum age for marriage, prohibition of bigamy and polygamy and the protection of the rights of children.</w:t>
      </w:r>
    </w:p>
    <w:p w:rsidR="00000000" w:rsidRDefault="00000000">
      <w:pPr>
        <w:pStyle w:val="Heading3"/>
      </w:pPr>
      <w:r>
        <w:t>Recommendations</w:t>
      </w:r>
    </w:p>
    <w:p w:rsidR="00000000" w:rsidRDefault="00000000">
      <w:pPr>
        <w:pStyle w:val="Heading3"/>
      </w:pPr>
      <w:r>
        <w:t>Violence against women</w:t>
      </w:r>
    </w:p>
    <w:p w:rsidR="00000000" w:rsidRDefault="00000000">
      <w:r>
        <w:t>40.</w:t>
      </w:r>
      <w:r>
        <w:tab/>
        <w:t xml:space="preserve">In considering the place of women in family life, the Committee wishes to stress that the provisions of General recommendation 19 (Eleventh session) concerning violence against women have great significance for women’s abilities to enjoy rights and freedoms on an equal </w:t>
      </w:r>
      <w:r>
        <w:br w:type="page"/>
        <w:t>basis with men.  States parties are urged to comply with that general recommendation to ensure that, in both public and family life, women will be free of the gender-based violence that so seriously impedes their rights and freedoms as individuals.</w:t>
      </w:r>
    </w:p>
    <w:p w:rsidR="00000000" w:rsidRDefault="00000000">
      <w:pPr>
        <w:pStyle w:val="Heading3"/>
      </w:pPr>
      <w:r>
        <w:t>Reservations</w:t>
      </w:r>
    </w:p>
    <w:p w:rsidR="00000000" w:rsidRDefault="00000000">
      <w:r>
        <w:t>41.</w:t>
      </w:r>
      <w:r>
        <w:tab/>
        <w:t>The Committee has noted with alarm the number of States parties which have entered reservations to the whole or part of article 16, especially when a reservation has also been entered to article 2, claiming that compliance may conflict with a commonly held vision of the family based, inter alia, on cultural or religious beliefs or on the country’s economic or political status.</w:t>
      </w:r>
    </w:p>
    <w:p w:rsidR="00000000" w:rsidRDefault="00000000">
      <w:r>
        <w:t>42.</w:t>
      </w:r>
      <w:r>
        <w:tab/>
        <w:t>Many of these countries hold a belief in the patriarchal structure of a family which places a father, husband or son in a favourable position.  In some countries where fundamentalist or other extremist views or economic hardships have encouraged a return to old values and traditions, women’s place in the family has deteriorated sharply.  In others, where it has been recognized that a modern society depends for its economic advance and for the general good of the community on involving all adults equally, regardless of gender, these taboos and reactionary or extremist ideas have progressively been discouraged.</w:t>
      </w:r>
    </w:p>
    <w:p w:rsidR="00000000" w:rsidRDefault="00000000">
      <w:r>
        <w:t>43.</w:t>
      </w:r>
      <w:r>
        <w:tab/>
        <w:t>Consistent with articles 2, 3 and 24 in particular, the Committee requires that all States parties gradually progress to a stage where, by its resolute discouragement of notions of the inequality of women in the home, each country will withdraw its reservation, in particular to articles 9, 15 and 16 of the Convention.</w:t>
      </w:r>
    </w:p>
    <w:p w:rsidR="00000000" w:rsidRDefault="00000000">
      <w:r>
        <w:t>44.</w:t>
      </w:r>
      <w:r>
        <w:tab/>
        <w:t>States parties should resolutely discourage any notions of inequality of women and men which are affirmed by laws, or by religious or private law or by custom, and progress to the stage where reservations, particularly to article 16, will be withdrawn.</w:t>
      </w:r>
    </w:p>
    <w:p w:rsidR="00000000" w:rsidRDefault="00000000">
      <w:r>
        <w:t>45.</w:t>
      </w:r>
      <w:r>
        <w:tab/>
        <w:t>The Committee noted, on the basis of its examination of initial and subsequent periodic reports, that in some States parties to the Convention that had ratified or acceded without reservation, certain laws, especially those dealing with family, do not actually conform to the provisions of the Convention.</w:t>
      </w:r>
    </w:p>
    <w:p w:rsidR="00000000" w:rsidRDefault="00000000">
      <w:r>
        <w:t>46.</w:t>
      </w:r>
      <w:r>
        <w:tab/>
        <w:t>Their laws still contain many measures which discriminate against women based on norms, customs and sociocultural prejudices.  These States, because of their specific situation regarding these articles, make it difficult for the Committee to evaluate and understand the status of women.</w:t>
      </w:r>
    </w:p>
    <w:p w:rsidR="00000000" w:rsidRDefault="00000000">
      <w:r>
        <w:t>47.</w:t>
      </w:r>
      <w:r>
        <w:tab/>
        <w:t>The Committee, in particular on the basis of articles 1 and 2 of the Convention, requests that those States parties make the necessary efforts to examine the de facto situation relating to the issues and to introduce the required measures in their national legislations still containing provisions discriminatory to women.</w:t>
      </w:r>
    </w:p>
    <w:p w:rsidR="00000000" w:rsidRDefault="00000000">
      <w:pPr>
        <w:pStyle w:val="Heading3"/>
      </w:pPr>
      <w:r>
        <w:br w:type="page"/>
        <w:t>Reports</w:t>
      </w:r>
    </w:p>
    <w:p w:rsidR="00000000" w:rsidRDefault="00000000">
      <w:r>
        <w:t>48.</w:t>
      </w:r>
      <w:r>
        <w:tab/>
        <w:t>Assisted by the comments in the present general recommendation, in their reports States parties should:</w:t>
      </w:r>
    </w:p>
    <w:p w:rsidR="00000000" w:rsidRDefault="00000000">
      <w:r>
        <w:tab/>
        <w:t>(a)</w:t>
      </w:r>
      <w:r>
        <w:tab/>
        <w:t>Indicate the stage that has been reached in the country’s progress to removal of all reservations to the Convention, in particular reservations to article 16;</w:t>
      </w:r>
    </w:p>
    <w:p w:rsidR="00000000" w:rsidRDefault="00000000">
      <w:r>
        <w:tab/>
        <w:t>(b)</w:t>
      </w:r>
      <w:r>
        <w:tab/>
        <w:t>Set out whether their laws comply with the principles of articles 9, 15 and 16 and where, by reason of religious or private law or custom, compliance with the law or with the Convention is impeded.</w:t>
      </w:r>
    </w:p>
    <w:p w:rsidR="00000000" w:rsidRDefault="00000000">
      <w:pPr>
        <w:pStyle w:val="Heading3"/>
      </w:pPr>
      <w:r>
        <w:t>Legislation</w:t>
      </w:r>
    </w:p>
    <w:p w:rsidR="00000000" w:rsidRDefault="00000000">
      <w:r>
        <w:t>49.</w:t>
      </w:r>
      <w:r>
        <w:tab/>
        <w:t>States parties should, where necessary to comply with the Convention, in particular in order to comply with articles 9, 15 and 16, enact and enforce legislation.</w:t>
      </w:r>
    </w:p>
    <w:p w:rsidR="00000000" w:rsidRDefault="00000000">
      <w:pPr>
        <w:pStyle w:val="Heading3"/>
      </w:pPr>
      <w:r>
        <w:t>Encouraging compliance with the Convention</w:t>
      </w:r>
    </w:p>
    <w:p w:rsidR="00000000" w:rsidRDefault="00000000">
      <w:r>
        <w:t>50.</w:t>
      </w:r>
      <w:r>
        <w:tab/>
        <w:t>Assisted by the comments in the present general recommendation, and as required by articles 2, 3 and 24, States parties should introduce measures directed at encouraging full compliance with the principles of the Convention, particularly where religious or private law or custom conflict with those principles.</w:t>
      </w:r>
    </w:p>
    <w:p w:rsidR="00000000" w:rsidRDefault="00000000">
      <w:pPr>
        <w:pStyle w:val="Heading2"/>
      </w:pPr>
      <w:r>
        <w:t>Fourteenth session (1995)</w:t>
      </w:r>
      <w:r>
        <w:rPr>
          <w:rStyle w:val="FootnoteReference"/>
          <w:vertAlign w:val="baseline"/>
        </w:rPr>
        <w:footnoteReference w:customMarkFollows="1" w:id="62"/>
        <w:t>*</w:t>
      </w:r>
    </w:p>
    <w:p w:rsidR="00000000" w:rsidRDefault="00000000">
      <w:pPr>
        <w:pStyle w:val="Heading2"/>
      </w:pPr>
      <w:r>
        <w:t>General recommendation No. 22:  Amending article 20 of the Convention</w:t>
      </w:r>
    </w:p>
    <w:p w:rsidR="00000000" w:rsidRDefault="00000000">
      <w:r>
        <w:tab/>
      </w:r>
      <w:r>
        <w:rPr>
          <w:i/>
          <w:iCs/>
        </w:rPr>
        <w:t>The Committee on the Elimination of Discrimination against Women</w:t>
      </w:r>
      <w:r>
        <w:t>,</w:t>
      </w:r>
    </w:p>
    <w:p w:rsidR="00000000" w:rsidRDefault="00000000">
      <w:r>
        <w:tab/>
      </w:r>
      <w:r>
        <w:rPr>
          <w:i/>
          <w:iCs/>
        </w:rPr>
        <w:t>Noting</w:t>
      </w:r>
      <w:r>
        <w:t xml:space="preserve"> that the States parties to the Convention on the Elimination of All Forms of Discrimination against Women, at the request of the General Assembly, will meet during 1995 to consider amending article 20 of the Convention,</w:t>
      </w:r>
    </w:p>
    <w:p w:rsidR="00000000" w:rsidRDefault="00000000">
      <w:r>
        <w:tab/>
      </w:r>
      <w:r>
        <w:rPr>
          <w:i/>
          <w:iCs/>
        </w:rPr>
        <w:t>Recalling</w:t>
      </w:r>
      <w:r>
        <w:t xml:space="preserve"> its previous decision, taken at its tenth session, to ensure effectiveness in its work and prevent the building up of an undesirable backlog in the consideration of reports of States parties,</w:t>
      </w:r>
    </w:p>
    <w:p w:rsidR="00000000" w:rsidRDefault="00000000">
      <w:r>
        <w:tab/>
      </w:r>
      <w:r>
        <w:rPr>
          <w:i/>
          <w:iCs/>
        </w:rPr>
        <w:t>Recalling</w:t>
      </w:r>
      <w:r>
        <w:t xml:space="preserve"> that the Convention is one of the international human rights instruments that has been ratified by the largest number of States parties,</w:t>
      </w:r>
    </w:p>
    <w:p w:rsidR="00000000" w:rsidRDefault="00000000">
      <w:r>
        <w:tab/>
      </w:r>
      <w:r>
        <w:rPr>
          <w:i/>
          <w:iCs/>
        </w:rPr>
        <w:t>Considering</w:t>
      </w:r>
      <w:r>
        <w:t xml:space="preserve"> that the articles of the Convention address the fundamental human rights of women in all aspects of their daily lives and in all areas of society and the State,</w:t>
      </w:r>
    </w:p>
    <w:p w:rsidR="00000000" w:rsidRDefault="00000000">
      <w:r>
        <w:tab/>
      </w:r>
      <w:r>
        <w:rPr>
          <w:i/>
          <w:iCs/>
        </w:rPr>
        <w:t>Concerned</w:t>
      </w:r>
      <w:r>
        <w:t xml:space="preserve"> about the workload of the Committee as a result of the growing number of ratifications, in addition to the backlog of reports pending consideration, as reflected in annex I,</w:t>
      </w:r>
    </w:p>
    <w:p w:rsidR="00000000" w:rsidRDefault="00000000">
      <w:r>
        <w:tab/>
      </w:r>
      <w:r>
        <w:rPr>
          <w:i/>
          <w:iCs/>
        </w:rPr>
        <w:t>Concerned also</w:t>
      </w:r>
      <w:r>
        <w:t xml:space="preserve"> about the long lapse of time between the submission of reports of States parties and their consideration, resulting in the need for States to provide additional information for updating their reports,</w:t>
      </w:r>
    </w:p>
    <w:p w:rsidR="00000000" w:rsidRDefault="00000000">
      <w:r>
        <w:tab/>
      </w:r>
      <w:r>
        <w:rPr>
          <w:i/>
          <w:iCs/>
        </w:rPr>
        <w:t>Bearing in mind</w:t>
      </w:r>
      <w:r>
        <w:t xml:space="preserve"> that the Committee on the Elimination of Discrimination against Women is the only human rights treaty body whose meeting time is limited by its Convention, and that it has the shortest duration of meeting time of all the human rights treaty bodies, as reflected in annex II,</w:t>
      </w:r>
    </w:p>
    <w:p w:rsidR="00000000" w:rsidRDefault="00000000">
      <w:r>
        <w:tab/>
      </w:r>
      <w:r>
        <w:rPr>
          <w:i/>
          <w:iCs/>
        </w:rPr>
        <w:t>Noting</w:t>
      </w:r>
      <w:r>
        <w:t xml:space="preserve"> that the limitation on the duration of sessions, as contained in the Convention has become a serious obstacle to the effective performance by the Committee of its functions under the Convention,</w:t>
      </w:r>
    </w:p>
    <w:p w:rsidR="00000000" w:rsidRDefault="00000000">
      <w:r>
        <w:tab/>
        <w:t>1.</w:t>
      </w:r>
      <w:r>
        <w:tab/>
      </w:r>
      <w:r>
        <w:rPr>
          <w:i/>
          <w:iCs/>
        </w:rPr>
        <w:t>Recommends</w:t>
      </w:r>
      <w:r>
        <w:t xml:space="preserve"> that the States parties favourably consider amending article 20 of the Convention in respect of the meeting time of the Committee, so as to allow it to meet annually for such duration as is necessary for the effective performance of its functions under the Convention, with no specific restriction except for that which the General Assembly shall decide;</w:t>
      </w:r>
    </w:p>
    <w:p w:rsidR="00000000" w:rsidRDefault="00000000">
      <w:r>
        <w:tab/>
        <w:t>2.</w:t>
      </w:r>
      <w:r>
        <w:tab/>
      </w:r>
      <w:r>
        <w:rPr>
          <w:i/>
          <w:iCs/>
        </w:rPr>
        <w:t>Recommends also</w:t>
      </w:r>
      <w:r>
        <w:t xml:space="preserve"> that the General Assembly, pending the completion of an amendment process, authorize the Committee to meet exceptionally in 1996 for two sessions, each of three weeks’ duration and each being preceded by pre-session working groups;</w:t>
      </w:r>
    </w:p>
    <w:p w:rsidR="00000000" w:rsidRDefault="00000000">
      <w:r>
        <w:tab/>
        <w:t>3.</w:t>
      </w:r>
      <w:r>
        <w:tab/>
      </w:r>
      <w:r>
        <w:rPr>
          <w:i/>
          <w:iCs/>
        </w:rPr>
        <w:t>Recommends further</w:t>
      </w:r>
      <w:r>
        <w:t xml:space="preserve"> that the meeting of States parties receive an oral report from the Chairperson of the Committee on the difficulties faced by the Committee in performing its functions;</w:t>
      </w:r>
    </w:p>
    <w:p w:rsidR="00000000" w:rsidRDefault="00000000">
      <w:r>
        <w:tab/>
        <w:t>4.</w:t>
      </w:r>
      <w:r>
        <w:tab/>
      </w:r>
      <w:r>
        <w:rPr>
          <w:i/>
          <w:iCs/>
        </w:rPr>
        <w:t>Recommends</w:t>
      </w:r>
      <w:r>
        <w:t xml:space="preserve"> that the Secretary-General make available to the States parties at their meeting all relevant information on the workload of the Committee and comparative information in respect of the other human rights treaty bodies.</w:t>
      </w:r>
    </w:p>
    <w:p w:rsidR="00000000" w:rsidRDefault="00000000">
      <w:pPr>
        <w:pStyle w:val="Heading2"/>
      </w:pPr>
      <w:r>
        <w:t>Sixteenth session (1997)</w:t>
      </w:r>
      <w:r>
        <w:rPr>
          <w:rStyle w:val="FootnoteReference"/>
          <w:vertAlign w:val="baseline"/>
        </w:rPr>
        <w:footnoteReference w:customMarkFollows="1" w:id="63"/>
        <w:t>*</w:t>
      </w:r>
    </w:p>
    <w:p w:rsidR="00000000" w:rsidRDefault="00000000">
      <w:pPr>
        <w:pStyle w:val="Heading2"/>
      </w:pPr>
      <w:r>
        <w:t>General recommendation No. 23:  Political and public life</w:t>
      </w:r>
    </w:p>
    <w:p w:rsidR="00000000" w:rsidRDefault="00000000">
      <w:r>
        <w:tab/>
        <w:t>States parties shall take all appropriate measures to eliminate discrimination against women in the political and public life of the country and, in particular, shall ensure to women, on equal terms with men, the right:</w:t>
      </w:r>
    </w:p>
    <w:p w:rsidR="00000000" w:rsidRDefault="00000000">
      <w:r>
        <w:tab/>
        <w:t>(a)</w:t>
      </w:r>
      <w:r>
        <w:tab/>
        <w:t>To vote in all elections and public referendums and to be eligible for election to all publicly elected bodies;</w:t>
      </w:r>
    </w:p>
    <w:p w:rsidR="00000000" w:rsidRDefault="00000000">
      <w:r>
        <w:tab/>
        <w:t>(b)</w:t>
      </w:r>
      <w:r>
        <w:tab/>
        <w:t>To participate in the formulation of government policy and the implementation thereof and to hold public office and perform all public functions at all levels of government;</w:t>
      </w:r>
    </w:p>
    <w:p w:rsidR="00000000" w:rsidRDefault="00000000">
      <w:r>
        <w:tab/>
        <w:t>(c)</w:t>
      </w:r>
      <w:r>
        <w:tab/>
        <w:t>To participate in non-governmental organizations and associations concerned with the public and political life of the country.</w:t>
      </w:r>
    </w:p>
    <w:p w:rsidR="00000000" w:rsidRDefault="00000000">
      <w:pPr>
        <w:pStyle w:val="Heading3"/>
      </w:pPr>
      <w:r>
        <w:t>Background</w:t>
      </w:r>
    </w:p>
    <w:p w:rsidR="00000000" w:rsidRDefault="00000000">
      <w:r>
        <w:t>1.</w:t>
      </w:r>
      <w:r>
        <w:tab/>
        <w:t>The Convention on the Elimination of All Forms of Discrimination against Women places special importance on the participation of women in the public life of their countries.  The preamble to the Convention states in part:</w:t>
      </w:r>
    </w:p>
    <w:p w:rsidR="00000000" w:rsidRDefault="00000000">
      <w:pPr>
        <w:ind w:left="720"/>
      </w:pPr>
      <w:r>
        <w:tab/>
        <w:t>“</w:t>
      </w:r>
      <w:r>
        <w:rPr>
          <w:i/>
          <w:iCs/>
        </w:rPr>
        <w:t>Recalling</w:t>
      </w:r>
      <w:r>
        <w:t xml:space="preserve"> that discrimination against women violates the principles of equality of rights and respect for human dignity, is an obstacle to the participation of women, on equal terms with men, in the political, social, economic and cultural life of their countries, hampers the growth of the prosperity of society and the family and makes more difficult the full development of the potentialities of women in the service of their countries and of humanity.”</w:t>
      </w:r>
    </w:p>
    <w:p w:rsidR="00000000" w:rsidRDefault="00000000">
      <w:r>
        <w:t>2.</w:t>
      </w:r>
      <w:r>
        <w:tab/>
        <w:t>The Convention further reiterates in its preamble the importance of women’s participation in decision-making as follows:</w:t>
      </w:r>
    </w:p>
    <w:p w:rsidR="00000000" w:rsidRDefault="00000000">
      <w:pPr>
        <w:ind w:left="720"/>
      </w:pPr>
      <w:r>
        <w:tab/>
        <w:t>“</w:t>
      </w:r>
      <w:r>
        <w:rPr>
          <w:i/>
          <w:iCs/>
        </w:rPr>
        <w:t>Convinced</w:t>
      </w:r>
      <w:r>
        <w:t xml:space="preserve"> that the full and complete development of a country, the welfare of the world and the cause of peace require the maximum participation of women on equal terms with men in all fields.”</w:t>
      </w:r>
    </w:p>
    <w:p w:rsidR="00000000" w:rsidRDefault="00000000">
      <w:r>
        <w:t>3.</w:t>
      </w:r>
      <w:r>
        <w:tab/>
        <w:t>Moreover, in article 1 of the Convention, the term “discrimination against women” is interpreted to mean:</w:t>
      </w:r>
    </w:p>
    <w:p w:rsidR="00000000" w:rsidRDefault="00000000">
      <w:pPr>
        <w:ind w:left="720"/>
      </w:pPr>
      <w:r>
        <w:t>“any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r>
        <w:t>4.</w:t>
      </w:r>
      <w:r>
        <w:tab/>
        <w:t>Other conventions, declarations and international analyses place great importance on the participation of women in public life and have set a framework of international standards of equality.  These include the Universal Declaration of Human Rights,</w:t>
      </w:r>
      <w:r>
        <w:rPr>
          <w:rStyle w:val="EndnoteReference"/>
        </w:rPr>
        <w:endnoteReference w:id="192"/>
      </w:r>
      <w:r>
        <w:t xml:space="preserve"> the International Covenant on Civil and Political Rights,</w:t>
      </w:r>
      <w:r>
        <w:rPr>
          <w:rStyle w:val="EndnoteReference"/>
        </w:rPr>
        <w:endnoteReference w:id="193"/>
      </w:r>
      <w:r>
        <w:t xml:space="preserve"> the Convention on the Political Rights of Women,</w:t>
      </w:r>
      <w:r>
        <w:rPr>
          <w:rStyle w:val="EndnoteReference"/>
        </w:rPr>
        <w:endnoteReference w:id="194"/>
      </w:r>
      <w:r>
        <w:t xml:space="preserve"> the Vienna Declaration,</w:t>
      </w:r>
      <w:r>
        <w:rPr>
          <w:rStyle w:val="EndnoteReference"/>
        </w:rPr>
        <w:endnoteReference w:id="195"/>
      </w:r>
      <w:r>
        <w:t xml:space="preserve"> paragraph 13 of the Beijing Declaration and Platform for Action,</w:t>
      </w:r>
      <w:r>
        <w:rPr>
          <w:rStyle w:val="EndnoteReference"/>
        </w:rPr>
        <w:endnoteReference w:id="196"/>
      </w:r>
      <w:r>
        <w:t xml:space="preserve"> general recommendations 5 and 8 under the Convention,</w:t>
      </w:r>
      <w:r>
        <w:rPr>
          <w:rStyle w:val="EndnoteReference"/>
        </w:rPr>
        <w:endnoteReference w:id="197"/>
      </w:r>
      <w:r>
        <w:t xml:space="preserve"> general comment No. 25 adopted by the Human Rights Committee,</w:t>
      </w:r>
      <w:r>
        <w:rPr>
          <w:rStyle w:val="EndnoteReference"/>
        </w:rPr>
        <w:endnoteReference w:id="198"/>
      </w:r>
      <w:r>
        <w:t xml:space="preserve"> the recommendation adopted by the Council of the European Union on balanced participation of women and men in the decision-making process</w:t>
      </w:r>
      <w:r>
        <w:rPr>
          <w:rStyle w:val="EndnoteReference"/>
        </w:rPr>
        <w:endnoteReference w:id="199"/>
      </w:r>
      <w:r>
        <w:t xml:space="preserve"> and the European Commission’s “How to Create a Gender Balance in Political Decision-making”.</w:t>
      </w:r>
      <w:r>
        <w:rPr>
          <w:rStyle w:val="EndnoteReference"/>
        </w:rPr>
        <w:endnoteReference w:id="200"/>
      </w:r>
    </w:p>
    <w:p w:rsidR="00000000" w:rsidRDefault="00000000">
      <w:r>
        <w:t>5.</w:t>
      </w:r>
      <w:r>
        <w:tab/>
        <w:t>Article 7 obliges States parties to take all appropriate measures to eliminate discrimination against women in political and public life and to ensure that they enjoy equality with men in political and public life.  The obligation specified in article 7 extends to all areas of public and political life and is not limited to those areas specified in subparagraphs (a), (b) and (c).  The political and public life of a country is a broad concept.  It refers to the exercise of political power, in particular the exercise of legislative, judicial, executive and administrative powers.  The term covers all aspects of public administration and the formulation and implementation of policy at the international, national, regional and local levels.  The concept also includes many aspects of civil society, including public boards and local councils and the activities of organizations such as political parties, trade unions, professional or industry associations, women’s organizations, community-based organizations and other organizations concerned with public and political life.</w:t>
      </w:r>
    </w:p>
    <w:p w:rsidR="00000000" w:rsidRDefault="00000000">
      <w:r>
        <w:t>6.</w:t>
      </w:r>
      <w:r>
        <w:tab/>
        <w:t>The Convention envisages that, to be effective, this equality must be achieved within the framework of a political system in which each citizen enjoys the right to vote and be elected at genuine periodic elections held on the basis of universal suffrage and by secret ballot, in such a way as to guarantee the free expression of the will of the electorate, as provided for under international human rights instruments, such as article 21 of the Universal Declaration of Human Rights and article 25 of the International Covenant on Civil and Political Rights.</w:t>
      </w:r>
    </w:p>
    <w:p w:rsidR="00000000" w:rsidRDefault="00000000">
      <w:r>
        <w:t>7.</w:t>
      </w:r>
      <w:r>
        <w:tab/>
        <w:t>The Convention’s emphasis on the importance of equality of opportunity and of participation in public life and decision-making has led the Committee to review article 7 and to suggest to States parties that in reviewing their laws and policies and in reporting under the Convention, they should take into account the comments and recommendations set out below.</w:t>
      </w:r>
    </w:p>
    <w:p w:rsidR="00000000" w:rsidRDefault="00000000">
      <w:pPr>
        <w:pStyle w:val="Heading3"/>
      </w:pPr>
      <w:r>
        <w:t>Comments</w:t>
      </w:r>
    </w:p>
    <w:p w:rsidR="00000000" w:rsidRDefault="00000000">
      <w:r>
        <w:t>8.</w:t>
      </w:r>
      <w:r>
        <w:tab/>
        <w:t>Public and private spheres of human activity have always been considered distinct, and have been regulated accordingly.  Invariably, women have been assigned to the private or domestic sphere, associated with reproduction and the raising of children, and in all societies these activities have been treated as inferior.  By contrast, public life, which is respected and honoured, extends to a broad range of activity outside the private and domestic sphere.  Men historically have both dominated public life and exercised the power to confine and subordinate women within the private sphere.</w:t>
      </w:r>
    </w:p>
    <w:p w:rsidR="00000000" w:rsidRDefault="00000000">
      <w:r>
        <w:t>9.</w:t>
      </w:r>
      <w:r>
        <w:tab/>
        <w:t>Despite women’s central role in sustaining the family and society and their contribution to development, they have been excluded from political life and the decision-making process, which nonetheless determine the pattern of their daily lives and the future of societies.  Particularly in times of crisis, this exclusion has silenced women’s voices and rendered invisible their contribution and experiences.</w:t>
      </w:r>
    </w:p>
    <w:p w:rsidR="00000000" w:rsidRDefault="00000000">
      <w:r>
        <w:t>10.</w:t>
      </w:r>
      <w:r>
        <w:tab/>
        <w:t>In all nations, the most significant factors inhibiting women’s ability to participate in public life have been the cultural framework of values and religious beliefs, the lack of services and men’s failure to share the tasks associated with the organization of the household and with the care and raising of children.  In all nations, cultural traditions and religious beliefs have played a part in confining women to the private spheres of activity and excluding them from active participation in public life.</w:t>
      </w:r>
    </w:p>
    <w:p w:rsidR="00000000" w:rsidRDefault="00000000">
      <w:r>
        <w:t>11.</w:t>
      </w:r>
      <w:r>
        <w:tab/>
        <w:t>Relieving women of some of the burdens of domestic work would allow them to engage more fully in the life of their communities.  Women’s economic dependence on men often prevents them from making important political decisions and from participating actively in public life.  Their double burden of work and their economic dependence, coupled with the long or inflexible hours of both public and political work, prevent women from being more active.</w:t>
      </w:r>
    </w:p>
    <w:p w:rsidR="00000000" w:rsidRDefault="00000000">
      <w:r>
        <w:t>12.</w:t>
      </w:r>
      <w:r>
        <w:tab/>
        <w:t>Stereotyping, including that perpetrated by the media, confines women in political life to issues such as the environment, children and health, and excludes them from responsibility for finance, budgetary control and conflict resolution.  The low involvement of women in the professions from which politicians are recruited can create another obstacle.  In countries where women leaders do assume power this can be the result of the influence of their fathers, husbands or male relatives rather than electoral success in their own right.</w:t>
      </w:r>
    </w:p>
    <w:p w:rsidR="00000000" w:rsidRDefault="00000000">
      <w:pPr>
        <w:pStyle w:val="Heading3"/>
      </w:pPr>
      <w:r>
        <w:t>Political systems</w:t>
      </w:r>
    </w:p>
    <w:p w:rsidR="00000000" w:rsidRDefault="00000000">
      <w:r>
        <w:t>13.</w:t>
      </w:r>
      <w:r>
        <w:tab/>
        <w:t>The principle of equality of women and men has been affirmed in the constitutions and laws of most countries and in all international instruments.  Nonetheless, in the last 50 years, women have not achieved equality, and their inequality has been reinforced by their low level of participation in public and political life.  Policies developed and decisions made by men alone reflect only part of human experience and potential.  The just and effective organization of society demands the inclusion and participation of all its members.</w:t>
      </w:r>
    </w:p>
    <w:p w:rsidR="00000000" w:rsidRDefault="00000000">
      <w:r>
        <w:t>14.</w:t>
      </w:r>
      <w:r>
        <w:tab/>
        <w:t>No political system has conferred on women both the right to and the benefit of full and equal participation.  While democratic systems have improved women’s opportunities for involvement in political life, the many economic, social and cultural barriers they continue to face have seriously limited their participation.  Even historically stable democracies have failed to integrate fully and equally the opinions and interests of the female half of the population.  Societies in which women are excluded from public life and decision-making cannot be described as democratic.  The concept of democracy will have real and dynamic meaning and lasting effect only when political decision-making is shared by women and men and takes equal account of the interests of both.  The examination of States parties’ reports shows that where there is full and equal participation of women in public life and decision-making, the implementation of their rights and compliance with the Convention improves.</w:t>
      </w:r>
    </w:p>
    <w:p w:rsidR="00000000" w:rsidRDefault="00000000">
      <w:pPr>
        <w:pStyle w:val="Heading3"/>
      </w:pPr>
      <w:r>
        <w:t>Temporary special measures</w:t>
      </w:r>
    </w:p>
    <w:p w:rsidR="00000000" w:rsidRDefault="00000000">
      <w:r>
        <w:t>15.</w:t>
      </w:r>
      <w:r>
        <w:tab/>
        <w:t>While removal of de jure barriers is necessary, it is not sufficient.  Failure to achieve full and equal participation of women can be unintentional and the result of outmoded practices and procedures which inadvertently promote men.  Under article 4, the Convention encourages the use of temporary special measures in order to give full effect to articles 7 and 8.  Where countries have developed effective temporary strategies in an attempt to achieve equality of participation, a wide range of measures has been implemented, including recruiting, financially assisting and training women candidates, amending electoral procedures, developing campaigns directed at equal participation, setting numerical goals and quotas and targeting women for appointment to public positions such as the judiciary or other professional groups that play an essential part in the everyday life of all societies.  The formal removal of barriers and the introduction of temporary special measures to encourage the equal participation of both men and women in the public life of their societies are essential prerequisites to true equality in political life.  In order, however, to overcome centuries of male domination of the public sphere, women also require the encouragement and support of all sectors of society to achieve full and effective participation, encouragement which must be led by States parties to the Convention, as well as by political parties and public officials.  States parties have an obligation to ensure that temporary special measures are clearly designed to support the principle of equality and therefore comply with constitutional principles which guarantee equality to all citizens.</w:t>
      </w:r>
    </w:p>
    <w:p w:rsidR="00000000" w:rsidRDefault="00000000">
      <w:pPr>
        <w:pStyle w:val="Heading3"/>
      </w:pPr>
      <w:r>
        <w:t>Summary</w:t>
      </w:r>
    </w:p>
    <w:p w:rsidR="00000000" w:rsidRDefault="00000000">
      <w:r>
        <w:t>16.</w:t>
      </w:r>
      <w:r>
        <w:tab/>
        <w:t>The critical issue, emphasized in the Beijing Platform for Action,</w:t>
      </w:r>
      <w:r>
        <w:rPr>
          <w:b/>
          <w:bCs/>
          <w:vertAlign w:val="superscript"/>
        </w:rPr>
        <w:t>5</w:t>
      </w:r>
      <w:r>
        <w:t xml:space="preserve"> is the gap between the de jure and de facto, or the right as against the reality of women’s participation in politics and public life generally.  Research demonstrates that if women’s participation reaches 30 to 35 per cent (generally termed a “critical mass”), there is a real impact on political style and the content of decisions, and political life is revitalized.</w:t>
      </w:r>
    </w:p>
    <w:p w:rsidR="00000000" w:rsidRDefault="00000000">
      <w:r>
        <w:t>17.</w:t>
      </w:r>
      <w:r>
        <w:tab/>
        <w:t>In order to achieve broad representation in public life, women must have full equality in the exercise of political and economic power; they must be fully and equally involved in decision-making at all levels, both nationally and internationally, so that they may make their contribution to the goals of equality, development and the achievement of peace.  A gender perspective is critical if these goals are to be met and if true democracy is to be assured.  For these reasons, it is essential to involve women in public life to take advantage of their contribution, to assure their interests are protected and to fulfil the guarantee that the enjoyment of human rights is for all people regardless of gender.  Women’s full participation is essential not only for their empowerment but also for the advancement of society as a whole.</w:t>
      </w:r>
    </w:p>
    <w:p w:rsidR="00000000" w:rsidRDefault="00000000">
      <w:pPr>
        <w:pStyle w:val="Heading3"/>
      </w:pPr>
      <w:r>
        <w:t>The right to vote and to be elected (art. 7, para. (a))</w:t>
      </w:r>
    </w:p>
    <w:p w:rsidR="00000000" w:rsidRDefault="00000000">
      <w:r>
        <w:t>18.</w:t>
      </w:r>
      <w:r>
        <w:tab/>
        <w:t>The Convention obliges States parties in constitutions or legislation to take appropriate steps to ensure that women, on the basis of equality with men, enjoy the right to vote in all elections and referendums, and to be elected.  These rights must be enjoyed both de jure and de facto.</w:t>
      </w:r>
    </w:p>
    <w:p w:rsidR="00000000" w:rsidRDefault="00000000">
      <w:r>
        <w:t>19.</w:t>
      </w:r>
      <w:r>
        <w:tab/>
        <w:t>The examination of the reports of States parties demonstrates that, while almost all have adopted constitutional or other legal provisions that grant to both women and men the equal right to vote in all elections and public referendums, in many nations women continue to experience difficulties in exercising this right.</w:t>
      </w:r>
    </w:p>
    <w:p w:rsidR="00000000" w:rsidRDefault="00000000">
      <w:r>
        <w:t>20.</w:t>
      </w:r>
      <w:r>
        <w:tab/>
        <w:t>Factors which impede these rights include the following:</w:t>
      </w:r>
    </w:p>
    <w:p w:rsidR="00000000" w:rsidRDefault="00000000">
      <w:r>
        <w:tab/>
        <w:t>(a)</w:t>
      </w:r>
      <w:r>
        <w:tab/>
        <w:t>Women frequently have less access than men to information about candidates and about party political platforms and voting procedures, information which Governments and political parties have failed to provide.  Other important factors that inhibit women’s full and equal exercise of their right to vote include their illiteracy, their lack of knowledge and understanding of political systems or about the impact that political initiatives and policies will have upon their lives.  Failure to understand the rights, responsibilities and opportunities for change conferred by franchise also means that women are not always registered to vote;</w:t>
      </w:r>
    </w:p>
    <w:p w:rsidR="00000000" w:rsidRDefault="00000000">
      <w:r>
        <w:tab/>
        <w:t>(b)</w:t>
      </w:r>
      <w:r>
        <w:tab/>
        <w:t>Women’s double burden of work, as well as financial constraints, will limit women’s time or opportunity to follow electoral campaigns and to have the full freedom to exercise their vote;</w:t>
      </w:r>
    </w:p>
    <w:p w:rsidR="00000000" w:rsidRDefault="00000000">
      <w:r>
        <w:tab/>
        <w:t>(c)</w:t>
      </w:r>
      <w:r>
        <w:tab/>
        <w:t xml:space="preserve">In many nations, traditions and social and cultural stereotypes discourage women from exercising their right to vote.  Many men influence or control the votes of women by persuasion or direct action, including voting on their behalf.  Any such practices should be prevented; </w:t>
      </w:r>
    </w:p>
    <w:p w:rsidR="00000000" w:rsidRDefault="00000000">
      <w:r>
        <w:tab/>
        <w:t>(d)</w:t>
      </w:r>
      <w:r>
        <w:tab/>
        <w:t>Other factors that in some countries inhibit women’s involvement in the public or political lives of their communities include restrictions on their freedom of movement or right to participate, prevailing negative attitudes towards women’s political participation, or a lack of confidence in and support for female candidates by the electorate.  In addition, some women consider involvement in politics to be distasteful and avoid participation in political campaigns.</w:t>
      </w:r>
    </w:p>
    <w:p w:rsidR="00000000" w:rsidRDefault="00000000">
      <w:r>
        <w:t>21.</w:t>
      </w:r>
      <w:r>
        <w:tab/>
        <w:t>These factors at least partially explain the paradox that women, who represent half of all electorates, do not wield their political power or form blocs which would promote their interests or change government, or eliminate discriminatory policies.</w:t>
      </w:r>
    </w:p>
    <w:p w:rsidR="00000000" w:rsidRDefault="00000000">
      <w:r>
        <w:t>22.</w:t>
      </w:r>
      <w:r>
        <w:tab/>
        <w:t>The system of balloting, the distribution of seats in Parliament, the choice of district, all have a significant impact on the proportion of women elected to Parliament.  Political parties must embrace the principles of equal opportunity and democracy and endeavour to balance the number of male and female candidates.</w:t>
      </w:r>
    </w:p>
    <w:p w:rsidR="00000000" w:rsidRDefault="00000000">
      <w:r>
        <w:t>23.</w:t>
      </w:r>
      <w:r>
        <w:tab/>
        <w:t>The enjoyment of the right to vote by women should not be subject to restrictions or conditions that do not apply to men or that have a disproportionate impact on women.  For example, limiting the right to vote to persons who have a specified level of education, who possess a minimum property qualification or who are literate is not only unreasonable, it may violate the universal guarantee of human rights.  It is also likely to have a disproportionate impact on women, thereby contravening the provisions of the Convention.</w:t>
      </w:r>
    </w:p>
    <w:p w:rsidR="00000000" w:rsidRDefault="00000000">
      <w:pPr>
        <w:pStyle w:val="Heading3"/>
      </w:pPr>
      <w:r>
        <w:t>The right to participate in formulation of government policy (art. 7, para. (b))</w:t>
      </w:r>
    </w:p>
    <w:p w:rsidR="00000000" w:rsidRDefault="00000000">
      <w:r>
        <w:t>24.</w:t>
      </w:r>
      <w:r>
        <w:tab/>
        <w:t>The participation of women in government at the policy level continues to be low in general.  Although significant progress has been made and in some countries equality has been achieved, in many countries women’s participation has actually been reduced.</w:t>
      </w:r>
    </w:p>
    <w:p w:rsidR="00000000" w:rsidRDefault="00000000">
      <w:r>
        <w:t>25.</w:t>
      </w:r>
      <w:r>
        <w:tab/>
        <w:t>Article 7 (b) also requires States parties to ensure that women have the right to participate fully in and be represented in public policy formulation in all sectors and at all levels.  This would facilitate the mainstreaming of gender issues and contribute a gender perspective to public policy-making.</w:t>
      </w:r>
    </w:p>
    <w:p w:rsidR="00000000" w:rsidRDefault="00000000">
      <w:r>
        <w:t>26.</w:t>
      </w:r>
      <w:r>
        <w:tab/>
        <w:t>States parties have a responsibility, where it is within their control, both to appoint women to senior decision-making roles and, as a matter of course, to consult and incorporate the advice of groups which are broadly representative of women’s views and interests.</w:t>
      </w:r>
    </w:p>
    <w:p w:rsidR="00000000" w:rsidRDefault="00000000">
      <w:r>
        <w:t>27.</w:t>
      </w:r>
      <w:r>
        <w:tab/>
        <w:t>States parties have a further obligation to ensure that barriers to women’s full participation in the formulation of government policy are identified and overcome.  These barriers include complacency when token women are appointed, and traditional and customary attitudes that discourage women’s participation.  When women are not broadly represented in the senior levels of government or are inadequately or not consulted at all, government policy will not be comprehensive and effective.</w:t>
      </w:r>
    </w:p>
    <w:p w:rsidR="00000000" w:rsidRDefault="00000000">
      <w:r>
        <w:t>28.</w:t>
      </w:r>
      <w:r>
        <w:tab/>
        <w:t>While States parties generally hold the power to appoint women to senior cabinet and administrative positions, political parties also have a responsibility to ensure that women are included in party lists and nominated for election in areas where they have a likelihood of electoral success.  States parties should also endeavour to ensure that women are appointed to government advisory bodies on an equal basis with men and that these bodies take into account, as appropriate, the views of representative women’s groups.  It is the Government’s fundamental responsibility to encourage these initiatives to lead and guide public opinion and change attitudes that discriminate against women or discourage women’s involvement in political and public life.</w:t>
      </w:r>
    </w:p>
    <w:p w:rsidR="00000000" w:rsidRDefault="00000000">
      <w:r>
        <w:t>29.</w:t>
      </w:r>
      <w:r>
        <w:tab/>
        <w:t>Measures that have been adopted by a number of States parties in order to ensure equal participation by women in senior cabinet and administrative positions and as members of government advisory bodies include:  adoption of a rule whereby, when potential appointees are equally qualified, preference will be given to a woman nominee; the adoption of a rule that neither sex should constitute less than 40 per cent of the members of a public body; a quota for women members of cabinet and for appointment to public office; and consultation with women’s organizations to ensure that qualified women are nominated for membership in public bodies and offices and the development and maintenance of registers of such women in order to facilitate the nomination of women for appointment to public bodies and posts.  Where members are appointed to advisory bodies upon the nomination of private organizations, States parties should encourage these organizations to nominate qualified and suitable women for membership in these bodies.</w:t>
      </w:r>
    </w:p>
    <w:p w:rsidR="00000000" w:rsidRDefault="00000000">
      <w:pPr>
        <w:pStyle w:val="Heading3"/>
      </w:pPr>
      <w:r>
        <w:t>The right to hold public office and to perform all public functions (art. 7, para. (b))</w:t>
      </w:r>
    </w:p>
    <w:p w:rsidR="00000000" w:rsidRDefault="00000000">
      <w:r>
        <w:t>30.</w:t>
      </w:r>
      <w:r>
        <w:tab/>
        <w:t>The examination of the reports of States parties demonstrates that women are excluded from top-ranking positions in cabinets, the civil service and in public administration, in the judiciary and in justice systems.  Women are rarely appointed to these senior or influential positions and while their numbers may in some States be increasing at the lower levels and in posts usually associated with the home or the family, they form only a tiny minority in decision</w:t>
      </w:r>
      <w:r>
        <w:noBreakHyphen/>
        <w:t>making positions concerned with economic policy or development, political affairs, defence, peacemaking missions, conflict resolution or constitutional interpretation and determination.</w:t>
      </w:r>
    </w:p>
    <w:p w:rsidR="00000000" w:rsidRDefault="00000000">
      <w:r>
        <w:t>31.</w:t>
      </w:r>
      <w:r>
        <w:tab/>
        <w:t>Examination of the reports of States parties also demonstrates that in certain cases the law excludes women from exercising royal powers, from serving as judges in religious or traditional tribunals vested with jurisdiction on behalf of the State or from full participation in the military.  These provisions discriminate against women, deny to society the advantages of their involvement and skills in these areas of the life of their communities and contravene the principles of the Convention.</w:t>
      </w:r>
    </w:p>
    <w:p w:rsidR="00000000" w:rsidRDefault="00000000">
      <w:pPr>
        <w:pStyle w:val="Heading3"/>
      </w:pPr>
      <w:r>
        <w:t xml:space="preserve">The right to participate in non-governmental and public and political organizations </w:t>
      </w:r>
      <w:r>
        <w:br/>
        <w:t>(art. 7, para. (c))</w:t>
      </w:r>
    </w:p>
    <w:p w:rsidR="00000000" w:rsidRDefault="00000000">
      <w:r>
        <w:t>32.</w:t>
      </w:r>
      <w:r>
        <w:tab/>
        <w:t>An examination of the reports of States parties demonstrates that, on the few occasions when information concerning political parties is provided, women are underrepresented or concentrated in less influential roles than men.  As political parties are an important vehicle in decision-making roles, Governments should encourage political parties to examine the extent to which women are full and equal participants in their activities and, where this is not the case, should identify the reasons for this.  Political parties should be encouraged to adopt effective measures, including the provision of information, financial and other resources, to overcome obstacles to women’s full participation and representation and ensure that women have an equal opportunity in practice to serve as party officials and to be nominated as candidates for election.</w:t>
      </w:r>
    </w:p>
    <w:p w:rsidR="00000000" w:rsidRDefault="00000000">
      <w:r>
        <w:t>33.</w:t>
      </w:r>
      <w:r>
        <w:tab/>
        <w:t>Measures that have been adopted by some political parties include setting aside for women a certain minimum number or percentage of positions on their executive bodies, ensuring that there is a balance between the number of male and female candidates nominated for election, and ensuring that women are not consistently assigned to less favourable constituencies or to the least advantageous positions on a party list.  States parties should ensure that such temporary special measures are specifically permitted under anti-discrimination legislation or other constitutional guarantees of equality.</w:t>
      </w:r>
    </w:p>
    <w:p w:rsidR="00000000" w:rsidRDefault="00000000">
      <w:r>
        <w:t>34.</w:t>
      </w:r>
      <w:r>
        <w:tab/>
        <w:t>Other organizations such as trade unions and political parties have an obligation to demonstrate their commitment to the principle of gender equality in their constitutions, in the application of those rules and in the composition of their memberships with gender-balanced representation on their executive boards so that these bodies may benefit from the full and equal participation of all sectors of society and from contributions made by both sexes.  These organizations also provide a valuable training ground for women in political skills, participation and leadership, as do non-governmental organizations (NGOs).</w:t>
      </w:r>
    </w:p>
    <w:p w:rsidR="00000000" w:rsidRDefault="00000000">
      <w:pPr>
        <w:pStyle w:val="Heading2"/>
      </w:pPr>
      <w:r>
        <w:t>Article 8 (international level)</w:t>
      </w:r>
    </w:p>
    <w:p w:rsidR="00000000" w:rsidRDefault="00000000">
      <w:pPr>
        <w:ind w:firstLine="720"/>
      </w:pPr>
      <w:r>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pStyle w:val="Heading3"/>
      </w:pPr>
      <w:r>
        <w:t>Comments</w:t>
      </w:r>
    </w:p>
    <w:p w:rsidR="00000000" w:rsidRDefault="00000000">
      <w:r>
        <w:t>35.</w:t>
      </w:r>
      <w:r>
        <w:tab/>
        <w:t>Under article 8, Governments are obliged to ensure the presence of women at all levels and in all areas of international affairs.  This requires that they be included in economic and military matters, in both multilateral and bilateral diplomacy, and in official delegations to international and regional conferences.</w:t>
      </w:r>
    </w:p>
    <w:p w:rsidR="00000000" w:rsidRDefault="00000000">
      <w:r>
        <w:t>36.</w:t>
      </w:r>
      <w:r>
        <w:tab/>
        <w:t>From an examination of the reports of States parties, it is evident that women are grossly underrepresented in the diplomatic and foreign services of most Governments, and particularly at the highest ranks.  Women tend to be assigned to embassies of lesser importance to the country’s foreign relations and in some cases women are discriminated against in terms of their appointments by restrictions pertaining to their marital status.  In other instances spousal and family benefits accorded to male diplomats are not available to women in parallel positions.  Opportunities for women to engage in international work are often denied because of assumptions about their domestic responsibilities, including that the care of family dependants will prevent them accepting appointment.</w:t>
      </w:r>
    </w:p>
    <w:p w:rsidR="00000000" w:rsidRDefault="00000000">
      <w:r>
        <w:t>37.</w:t>
      </w:r>
      <w:r>
        <w:tab/>
        <w:t>Many Permanent Missions to the United Nations and to other international organizations have no women among their diplomats and very few at senior levels.  The situation is similar at expert meetings and conferences that establish international and global goals, agendas and priorities.  Organizations of the United Nations system and various economic, political and military structures at the regional level have become important international public employers, but here, too, women have remained a minority concentrated in lower-level positions.</w:t>
      </w:r>
    </w:p>
    <w:p w:rsidR="00000000" w:rsidRDefault="00000000">
      <w:r>
        <w:t>38.</w:t>
      </w:r>
      <w:r>
        <w:tab/>
        <w:t>There are few opportunities for women and men, on equal terms, to represent Governments at the international level and to participate in the work of international organizations.  This is frequently the result of an absence of objective criteria and processes for appointment and promotion to relevant positions and official delegations.</w:t>
      </w:r>
    </w:p>
    <w:p w:rsidR="00000000" w:rsidRDefault="00000000">
      <w:r>
        <w:t>39.</w:t>
      </w:r>
      <w:r>
        <w:tab/>
        <w:t>The globalization of the contemporary world makes the inclusion of women and their participation in international organizations, on equal terms with men, increasingly important.  The integration of a gender perspective and women’s human rights into the agenda of all international bodies is a government imperative.  Many crucial decisions on global issues, such as peacemaking and conflict resolution, military expenditure and nuclear disarmament, development and the environment, foreign aid and economic restructuring, are taken with limited participation of women.  This is in stark contrast to their participation in these areas at the non-governmental level.</w:t>
      </w:r>
    </w:p>
    <w:p w:rsidR="00000000" w:rsidRDefault="00000000">
      <w:r>
        <w:t>40.</w:t>
      </w:r>
      <w:r>
        <w:tab/>
        <w:t>The inclusion of a critical mass of women in international negotiations, peacekeeping activities, all levels of preventive diplomacy, mediation, humanitarian assistance, social reconciliation, peace negotiations and the international criminal justice system will make a difference.  In addressing armed or other conflicts, a gender perspective and analysis is necessary to understand their differing effects on women and men.</w:t>
      </w:r>
      <w:r>
        <w:rPr>
          <w:rStyle w:val="EndnoteReference"/>
        </w:rPr>
        <w:endnoteReference w:id="201"/>
      </w:r>
    </w:p>
    <w:p w:rsidR="00000000" w:rsidRDefault="00000000">
      <w:pPr>
        <w:pStyle w:val="Heading3"/>
      </w:pPr>
      <w:r>
        <w:t>Recommendations</w:t>
      </w:r>
    </w:p>
    <w:p w:rsidR="00000000" w:rsidRDefault="00000000">
      <w:pPr>
        <w:pStyle w:val="Heading2"/>
      </w:pPr>
      <w:r>
        <w:t>Articles 7 and 8</w:t>
      </w:r>
    </w:p>
    <w:p w:rsidR="00000000" w:rsidRDefault="00000000">
      <w:r>
        <w:t>41.</w:t>
      </w:r>
      <w:r>
        <w:tab/>
        <w:t>States parties should ensure that their constitutions and legislation comply with the principles of the Convention, and in particular with articles 7 and 8.</w:t>
      </w:r>
    </w:p>
    <w:p w:rsidR="00000000" w:rsidRDefault="00000000">
      <w:r>
        <w:t>42.</w:t>
      </w:r>
      <w:r>
        <w:tab/>
        <w:t>States parties are under an obligation to take all appropriate measures, including the enactment of appropriate legislation that complies with their Constitution, to ensure that organizations such as political parties and trade unions, which may not be subject directly to obligations under the Convention, do not discriminate against women and respect the principles contained in articles 7 and 8.</w:t>
      </w:r>
    </w:p>
    <w:p w:rsidR="00000000" w:rsidRDefault="00000000">
      <w:r>
        <w:t>43.</w:t>
      </w:r>
      <w:r>
        <w:tab/>
        <w:t>States parties should identify and implement temporary special measures to ensure the equal representation of women in all fields covered by articles 7 and 8.</w:t>
      </w:r>
    </w:p>
    <w:p w:rsidR="00000000" w:rsidRDefault="00000000">
      <w:r>
        <w:t>44.</w:t>
      </w:r>
      <w:r>
        <w:tab/>
        <w:t>States parties should explain the reason for, and effect of, any reservations to articles 7 or 8 and indicate where the reservations reflect traditional, customary or stereotyped attitudes towards women’s roles in society, as well as the steps being taken by the States parties to change those attitudes.  States parties should keep the necessity for such reservations under close review and in their reports include a timetable for their removal.</w:t>
      </w:r>
    </w:p>
    <w:p w:rsidR="00000000" w:rsidRDefault="00000000">
      <w:pPr>
        <w:pStyle w:val="Heading2"/>
      </w:pPr>
      <w:r>
        <w:t>Article 7</w:t>
      </w:r>
    </w:p>
    <w:p w:rsidR="00000000" w:rsidRDefault="00000000">
      <w:r>
        <w:t>45.</w:t>
      </w:r>
      <w:r>
        <w:tab/>
        <w:t>Measures that should be identified, implemented and monitored for effectiveness include, under article 7, paragraph (a), those designed to:</w:t>
      </w:r>
    </w:p>
    <w:p w:rsidR="00000000" w:rsidRDefault="00000000">
      <w:r>
        <w:tab/>
        <w:t>(a)</w:t>
      </w:r>
      <w:r>
        <w:tab/>
        <w:t>Achieve a balance between women and men holding publicly elected positions;</w:t>
      </w:r>
    </w:p>
    <w:p w:rsidR="00000000" w:rsidRDefault="00000000">
      <w:r>
        <w:tab/>
        <w:t>(b)</w:t>
      </w:r>
      <w:r>
        <w:tab/>
        <w:t>Ensure that women understand their right to vote, the importance of this right and how to exercise it;</w:t>
      </w:r>
    </w:p>
    <w:p w:rsidR="00000000" w:rsidRDefault="00000000">
      <w:r>
        <w:tab/>
        <w:t>(c)</w:t>
      </w:r>
      <w:r>
        <w:tab/>
        <w:t>Ensure that barriers to equality are overcome, including those resulting from illiteracy, language, poverty and impediments to women’s freedom of movement;</w:t>
      </w:r>
    </w:p>
    <w:p w:rsidR="00000000" w:rsidRDefault="00000000">
      <w:r>
        <w:tab/>
        <w:t>(d)</w:t>
      </w:r>
      <w:r>
        <w:tab/>
        <w:t>Assist women experiencing such disadvantages to exercise their right to vote and to be elected.</w:t>
      </w:r>
    </w:p>
    <w:p w:rsidR="00000000" w:rsidRDefault="00000000">
      <w:r>
        <w:t>46.</w:t>
      </w:r>
      <w:r>
        <w:tab/>
        <w:t>Under article 7, paragraph (b), such measures include those designed to ensure:</w:t>
      </w:r>
    </w:p>
    <w:p w:rsidR="00000000" w:rsidRDefault="00000000">
      <w:r>
        <w:tab/>
        <w:t>(a)</w:t>
      </w:r>
      <w:r>
        <w:tab/>
        <w:t>Equality of representation of women in the formulation of government policy;</w:t>
      </w:r>
    </w:p>
    <w:p w:rsidR="00000000" w:rsidRDefault="00000000">
      <w:r>
        <w:tab/>
        <w:t>(b)</w:t>
      </w:r>
      <w:r>
        <w:tab/>
        <w:t>Women’s enjoyment in practice of the equal right to hold public office;</w:t>
      </w:r>
    </w:p>
    <w:p w:rsidR="00000000" w:rsidRDefault="00000000">
      <w:r>
        <w:tab/>
        <w:t>(c)</w:t>
      </w:r>
      <w:r>
        <w:tab/>
        <w:t>Recruiting processes directed at women that are open and subject to appeal.</w:t>
      </w:r>
    </w:p>
    <w:p w:rsidR="00000000" w:rsidRDefault="00000000">
      <w:r>
        <w:t>47.</w:t>
      </w:r>
      <w:r>
        <w:tab/>
        <w:t>Under article 7, paragraph (c), such measures include those designed to:</w:t>
      </w:r>
    </w:p>
    <w:p w:rsidR="00000000" w:rsidRDefault="00000000">
      <w:r>
        <w:tab/>
        <w:t>(a)</w:t>
      </w:r>
      <w:r>
        <w:tab/>
        <w:t>Ensure that effective legislation is enacted prohibiting discrimination against women;</w:t>
      </w:r>
    </w:p>
    <w:p w:rsidR="00000000" w:rsidRDefault="00000000">
      <w:r>
        <w:tab/>
        <w:t>(b)</w:t>
      </w:r>
      <w:r>
        <w:tab/>
        <w:t>Encourage non-governmental organizations and public and political associations to adopt strategies that encourage women’s representation and participation in their work.</w:t>
      </w:r>
    </w:p>
    <w:p w:rsidR="00000000" w:rsidRDefault="00000000">
      <w:r>
        <w:t>48.</w:t>
      </w:r>
      <w:r>
        <w:tab/>
        <w:t>When reporting under article 7, States parties should:</w:t>
      </w:r>
    </w:p>
    <w:p w:rsidR="00000000" w:rsidRDefault="00000000">
      <w:r>
        <w:tab/>
        <w:t>(a)</w:t>
      </w:r>
      <w:r>
        <w:tab/>
        <w:t>Describe the legal provisions that give effect to the rights contained in article 7;</w:t>
      </w:r>
    </w:p>
    <w:p w:rsidR="00000000" w:rsidRDefault="00000000">
      <w:r>
        <w:tab/>
        <w:t>(b)</w:t>
      </w:r>
      <w:r>
        <w:tab/>
        <w:t>Provide details of any restrictions to those rights, whether arising from legal provisions or from traditional, religious or cultural practices;</w:t>
      </w:r>
    </w:p>
    <w:p w:rsidR="00000000" w:rsidRDefault="00000000">
      <w:r>
        <w:tab/>
        <w:t>(c)</w:t>
      </w:r>
      <w:r>
        <w:tab/>
        <w:t>Describe the measures introduced and designed to overcome barriers to the exercise of those rights;</w:t>
      </w:r>
    </w:p>
    <w:p w:rsidR="00000000" w:rsidRDefault="00000000">
      <w:r>
        <w:tab/>
        <w:t>(d)</w:t>
      </w:r>
      <w:r>
        <w:tab/>
        <w:t>Include statistical data, disaggregated by sex, showing the percentage of women relative to men who enjoy those rights;</w:t>
      </w:r>
    </w:p>
    <w:p w:rsidR="00000000" w:rsidRDefault="00000000">
      <w:r>
        <w:tab/>
        <w:t>(e)</w:t>
      </w:r>
      <w:r>
        <w:tab/>
        <w:t>Describe the types of policy formulation, including that associated with development programmes, in which women participate and the level and extent of their participation;</w:t>
      </w:r>
    </w:p>
    <w:p w:rsidR="00000000" w:rsidRDefault="00000000">
      <w:r>
        <w:tab/>
        <w:t>(f)</w:t>
      </w:r>
      <w:r>
        <w:tab/>
        <w:t>Under article 7, paragraph (c), describe the extent to which women participate in non-governmental organizations in their countries, including in women’s organizations;</w:t>
      </w:r>
    </w:p>
    <w:p w:rsidR="00000000" w:rsidRDefault="00000000">
      <w:r>
        <w:tab/>
        <w:t>(g)</w:t>
      </w:r>
      <w:r>
        <w:tab/>
        <w:t>Analyse the extent to which the State party ensures that those organizations are consulted and the impact of their advice on all levels of government policy formulation and implementation;</w:t>
      </w:r>
    </w:p>
    <w:p w:rsidR="00000000" w:rsidRDefault="00000000">
      <w:r>
        <w:tab/>
        <w:t>(h)</w:t>
      </w:r>
      <w:r>
        <w:tab/>
        <w:t>Provide information concerning, and analyse factors contributing to, the underrepresentation of women as members and officials of political parties, trade unions, employers’ organizations and professional associations.</w:t>
      </w:r>
    </w:p>
    <w:p w:rsidR="00000000" w:rsidRDefault="00000000">
      <w:pPr>
        <w:pStyle w:val="Heading2"/>
      </w:pPr>
      <w:r>
        <w:t>Article 8</w:t>
      </w:r>
    </w:p>
    <w:p w:rsidR="00000000" w:rsidRDefault="00000000">
      <w:r>
        <w:t>49.</w:t>
      </w:r>
      <w:r>
        <w:tab/>
        <w:t>Measures which should be identified, implemented and monitored for effectiveness include those designed to ensure a better gender balance in membership of all United Nations bodies, including the Main Committees of the General Assembly, the Economic and Social Council and expert bodies, including treaty bodies, and in appointments to independent working groups or as country or special rapporteurs.</w:t>
      </w:r>
    </w:p>
    <w:p w:rsidR="00000000" w:rsidRDefault="00000000">
      <w:r>
        <w:t>50.</w:t>
      </w:r>
      <w:r>
        <w:tab/>
        <w:t>When reporting under article 8, States parties should:</w:t>
      </w:r>
    </w:p>
    <w:p w:rsidR="00000000" w:rsidRDefault="00000000">
      <w:r>
        <w:tab/>
        <w:t>(a)</w:t>
      </w:r>
      <w:r>
        <w:tab/>
        <w:t>Provide statistics, disaggregated by sex, showing the percentage of women in their foreign service or regularly engaged in international representation or in work on behalf of the State, including membership in government delegations to international conferences and nominations for peacekeeping or conflict resolution roles, and their seniority in the relevant sector;</w:t>
      </w:r>
    </w:p>
    <w:p w:rsidR="00000000" w:rsidRDefault="00000000">
      <w:r>
        <w:tab/>
        <w:t>(b)</w:t>
      </w:r>
      <w:r>
        <w:tab/>
        <w:t>Describe efforts to establish objective criteria and processes for appointment and promotion of women to relevant positions and official delegations;</w:t>
      </w:r>
    </w:p>
    <w:p w:rsidR="00000000" w:rsidRDefault="00000000">
      <w:r>
        <w:tab/>
        <w:t>(c)</w:t>
      </w:r>
      <w:r>
        <w:tab/>
        <w:t>Describe steps taken to disseminate widely information on the Government’s international commitments affecting women and official documents issued by multilateral forums, in particular, to both governmental and non-governmental bodies responsible for the advancement of women;</w:t>
      </w:r>
    </w:p>
    <w:p w:rsidR="00000000" w:rsidRDefault="00000000">
      <w:pPr>
        <w:spacing w:after="480"/>
      </w:pPr>
      <w:r>
        <w:tab/>
        <w:t>(d)</w:t>
      </w:r>
      <w:r>
        <w:tab/>
        <w:t>Provide information concerning discrimination against women because of their political activities, whether as individuals or as members of women’s or other organizations.</w:t>
      </w:r>
    </w:p>
    <w:p w:rsidR="00000000" w:rsidRDefault="00000000">
      <w:pPr>
        <w:pStyle w:val="Heading1"/>
        <w:spacing w:after="0"/>
        <w:rPr>
          <w:caps w:val="0"/>
        </w:rPr>
        <w:sectPr w:rsidR="00000000">
          <w:headerReference w:type="even" r:id="rId55"/>
          <w:headerReference w:type="default" r:id="rId56"/>
          <w:footerReference w:type="default" r:id="rId57"/>
          <w:endnotePr>
            <w:numFmt w:val="decimal"/>
            <w:numRestart w:val="eachSect"/>
          </w:endnotePr>
          <w:type w:val="continuous"/>
          <w:pgSz w:w="11907" w:h="16840" w:code="9"/>
          <w:pgMar w:top="567" w:right="851" w:bottom="1985" w:left="1701" w:header="851" w:footer="1985" w:gutter="0"/>
          <w:paperSrc w:first="84" w:other="84"/>
          <w:cols w:space="720"/>
        </w:sectPr>
      </w:pPr>
      <w:r>
        <w:rPr>
          <w:caps w:val="0"/>
        </w:rPr>
        <w:br w:type="page"/>
        <w:t>Notes</w:t>
      </w:r>
    </w:p>
    <w:p w:rsidR="00000000" w:rsidRDefault="00000000">
      <w:pPr>
        <w:pStyle w:val="Heading2"/>
      </w:pPr>
      <w:r>
        <w:t>Twentieth session (1999)</w:t>
      </w:r>
      <w:r>
        <w:rPr>
          <w:rStyle w:val="FootnoteReference"/>
          <w:vertAlign w:val="baseline"/>
        </w:rPr>
        <w:footnoteReference w:customMarkFollows="1" w:id="64"/>
        <w:t>*</w:t>
      </w:r>
    </w:p>
    <w:p w:rsidR="00000000" w:rsidRDefault="00000000">
      <w:pPr>
        <w:pStyle w:val="Heading2"/>
      </w:pPr>
      <w:r>
        <w:t>General recommendation No. 24:  Article 12 of the Convention (women and health)</w:t>
      </w:r>
    </w:p>
    <w:p w:rsidR="00000000" w:rsidRDefault="00000000">
      <w:r>
        <w:t>1.</w:t>
      </w:r>
      <w:r>
        <w:tab/>
        <w:t>The Committee on the Elimination of Discrimination against Women, affirming that access to health care, including reproductive health, is a basic right under the Convention on the Elimination of All Forms of Discrimination against Women, decided at its twentieth session, pursuant to article 21, to elaborate a general recommendation on article 12 of the Convention.</w:t>
      </w:r>
    </w:p>
    <w:p w:rsidR="00000000" w:rsidRDefault="00000000">
      <w:pPr>
        <w:pStyle w:val="Heading3"/>
      </w:pPr>
      <w:r>
        <w:t>Background</w:t>
      </w:r>
    </w:p>
    <w:p w:rsidR="00000000" w:rsidRDefault="00000000">
      <w:r>
        <w:t>2.</w:t>
      </w:r>
      <w:r>
        <w:tab/>
        <w:t>States parties’ compliance with article 12 of the Convention is central to the health and well-being of women.  It requires States to eliminate discrimination against women in their access to health-care services throughout the life cycle, particularly in the areas of family planning, pregnancy and confinement and during the post-natal period.  The examination of reports submitted by States parties pursuant to article 18 of the Convention demonstrates that women’s health is an issue that is recognized as a central concern in promoting the health and well-being of women.  For the benefit of States parties and those who have a particular interest in and concern with the issues surrounding women’s health, the present general recommendation seeks to elaborate the Committee’s understanding of article 12 and to address measures to eliminate discrimination in order to realize the right of women to the highest attainable standard of health.</w:t>
      </w:r>
    </w:p>
    <w:p w:rsidR="00000000" w:rsidRDefault="00000000">
      <w:r>
        <w:t>3.</w:t>
      </w:r>
      <w:r>
        <w:tab/>
        <w:t>Recent United Nations world conferences have also considered these objectives.  In preparing this general recommendation, the Committee has taken into account relevant programmes of action adopted at United Nations world conferences and, in particular, those of the 1993 World Conference on Human Rights, the 1994 International Conference on Population and Development and the 1995 Fourth World Conference on Women.  The Committee has also noted the work of the World Health Organization (WHO), the United Nations Population Fund (UNFPA) and other United Nations bodies.  It has collaborated with a large number of non-governmental organizations with a special expertise in women’s health in preparing this general recommendation.</w:t>
      </w:r>
    </w:p>
    <w:p w:rsidR="00000000" w:rsidRDefault="00000000">
      <w:r>
        <w:t>4.</w:t>
      </w:r>
      <w:r>
        <w:tab/>
        <w:t>The Committee notes the emphasis that other United Nations instruments place on the right to health and to the conditions that enable good health to be achieved.  Among such instruments are the Universal Declaration of Human Rights, the International Covenant on Economic, Social and Cultural Rights, the International Covenant on Civil and Political Rights, the Convention on the Rights of the Child and the Convention on the Elimination of All Forms of Racial Discrimination.</w:t>
      </w:r>
    </w:p>
    <w:p w:rsidR="00000000" w:rsidRDefault="00000000">
      <w:r>
        <w:t>5.</w:t>
      </w:r>
      <w:r>
        <w:tab/>
        <w:t>The Committee refers also to its earlier general recommendations on female circumcision, human immunodeficiency virus/acquired immunodeficiency syndrome (HIV/AIDS), disabled women, violence against women and equality in family relations, all of which refer to issues that are integral to full compliance with article 12 of the Convention.</w:t>
      </w:r>
    </w:p>
    <w:p w:rsidR="00000000" w:rsidRDefault="00000000">
      <w:r>
        <w:t>6.</w:t>
      </w:r>
      <w:r>
        <w:tab/>
        <w:t>While biological differences between women and men may lead to differences in health status, there are societal factors that are determinative of the health status of women and men and can vary among women themselves.  For that reason, special attention should be given to the health needs and rights of women belonging to vulnerable and disadvantaged groups, such as migrant women, refugee and internally displaced women, the girl child and older women, women in prostitution, indigenous women and women with physical or mental disabilities.</w:t>
      </w:r>
    </w:p>
    <w:p w:rsidR="00000000" w:rsidRDefault="00000000">
      <w:r>
        <w:t>7.</w:t>
      </w:r>
      <w:r>
        <w:tab/>
        <w:t>The Committee notes that the full realization of women’s right to health can be achieved only when States parties fulfil their obligation to respect, protect and promote women’s fundamental human right to nutritional well-being throughout their lifespan by means of a food supply that is safe, nutritious and adapted to local conditions.  To this end, States parties should take steps to facilitate physical and economic access to productive resources, especially for rural women, and to otherwise ensure that the special nutritional needs of all women within their jurisdiction are met.</w:t>
      </w:r>
    </w:p>
    <w:p w:rsidR="00000000" w:rsidRDefault="00000000">
      <w:pPr>
        <w:pStyle w:val="Heading2"/>
      </w:pPr>
      <w:r>
        <w:t>Article 12</w:t>
      </w:r>
    </w:p>
    <w:p w:rsidR="00000000" w:rsidRDefault="00000000">
      <w:r>
        <w:t>8.</w:t>
      </w:r>
      <w:r>
        <w:tab/>
        <w:t>Article 12 reads as follows:</w:t>
      </w:r>
    </w:p>
    <w:p w:rsidR="00000000" w:rsidRDefault="00000000">
      <w:pPr>
        <w:ind w:left="720"/>
      </w:pPr>
      <w:r>
        <w:t>“1.</w:t>
      </w:r>
      <w:r>
        <w:tab/>
        <w:t>States parties shall take all appropriate measures to eliminate discrimination against women in the field of health care in order to ensure, on a basis of equality of men and women, access to health-care services, including those related to family planning.</w:t>
      </w:r>
    </w:p>
    <w:p w:rsidR="00000000" w:rsidRDefault="00000000">
      <w:pPr>
        <w:ind w:left="720"/>
      </w:pPr>
      <w:r>
        <w:t>“2.</w:t>
      </w:r>
      <w:r>
        <w:tab/>
        <w:t>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w:t>
      </w:r>
    </w:p>
    <w:p w:rsidR="00000000" w:rsidRDefault="00000000">
      <w:r>
        <w:t>States parties are encouraged to address the issue of women’s health throughout the woman’s lifespan.  For the purposes of the present general recommendation, therefore, “women” includes girls and adolescents.  The general recommendation will set out the Committee’s analysis of the key elements of article 12.</w:t>
      </w:r>
    </w:p>
    <w:p w:rsidR="00000000" w:rsidRDefault="00000000">
      <w:pPr>
        <w:pStyle w:val="Heading3"/>
      </w:pPr>
      <w:r>
        <w:t>Key elements</w:t>
      </w:r>
    </w:p>
    <w:p w:rsidR="00000000" w:rsidRDefault="00000000">
      <w:pPr>
        <w:pStyle w:val="Heading2"/>
      </w:pPr>
      <w:r>
        <w:t>Article 12 (1)</w:t>
      </w:r>
    </w:p>
    <w:p w:rsidR="00000000" w:rsidRDefault="00000000">
      <w:r>
        <w:t>9.</w:t>
      </w:r>
      <w:r>
        <w:tab/>
        <w:t>States parties are in the best position to report on the most critical health issues affecting women in that country.  Therefore, in order to enable the Committee to evaluate whether measures to eliminate discrimination against women in the field of health care are appropriate, States parties must report on their health legislation, plans and policies for women with reliable data disaggregated by sex on the incidence and severity of diseases and conditions hazardous to women’s health and nutrition and on the availability and cost-effectiveness of preventive and curative measures.  Reports to the Committee must demonstrate that health legislation, plans and policies are based on scientific and ethical research and assessment of the health status and needs of women in that country and take into account any ethnic, regional or community variations or practices based on religion, tradition or culture.</w:t>
      </w:r>
    </w:p>
    <w:p w:rsidR="00000000" w:rsidRDefault="00000000">
      <w:r>
        <w:t>10.</w:t>
      </w:r>
      <w:r>
        <w:tab/>
        <w:t>States parties are encouraged to include in their reports information on diseases, health conditions and conditions hazardous to health that affect women or certain groups of women differently from men, as well as information on possible intervention in this regard.</w:t>
      </w:r>
    </w:p>
    <w:p w:rsidR="00000000" w:rsidRDefault="00000000">
      <w:r>
        <w:t>11.</w:t>
      </w:r>
      <w:r>
        <w:tab/>
        <w:t>Measures to eliminate discrimination against women are considered to be inappropriate if a health-care system lacks services to prevent, detect and treat illnesses specific to women.  It is discriminatory for a State party to refuse to provide legally for the performance of certain reproductive health services for women.  For instance, if health service providers refuse to perform such services based on conscientious objection, measures should be introduced to ensure that women are referred to alternative health providers.</w:t>
      </w:r>
    </w:p>
    <w:p w:rsidR="00000000" w:rsidRDefault="00000000">
      <w:r>
        <w:t>12.</w:t>
      </w:r>
      <w:r>
        <w:tab/>
        <w:t>States parties should report on their understanding of how policies and measures on health care address the health rights of women from the perspective of women’s needs and interests and how it addresses distinctive features and factors that differ for women in comparison to men, such as:</w:t>
      </w:r>
    </w:p>
    <w:p w:rsidR="00000000" w:rsidRDefault="00000000">
      <w:r>
        <w:tab/>
        <w:t>(a)</w:t>
      </w:r>
      <w:r>
        <w:tab/>
        <w:t>Biological factors that differ for women in comparison with men, such as their menstrual cycle, their reproductive function and menopause.  Another example is the higher risk of exposure to sexually transmitted diseases that women face;</w:t>
      </w:r>
    </w:p>
    <w:p w:rsidR="00000000" w:rsidRDefault="00000000">
      <w:r>
        <w:tab/>
        <w:t>(b)</w:t>
      </w:r>
      <w:r>
        <w:tab/>
        <w:t>Socio-economic factors that vary for women in general and some groups of women in particular.  For example, unequal power relationships between women and men in the home and workplace may negatively affect women’s nutrition and health.  They may also be exposed to different forms of violence which can affect their health.  Girl children and adolescent girls are often vulnerable to sexual abuse by older men and family members, placing them at risk of physical and psychological harm and unwanted and early pregnancy.  Some cultural or traditional practices such as female genital mutilation also carry a high risk of death and disability;</w:t>
      </w:r>
    </w:p>
    <w:p w:rsidR="00000000" w:rsidRDefault="00000000">
      <w:r>
        <w:tab/>
        <w:t>(c)</w:t>
      </w:r>
      <w:r>
        <w:tab/>
        <w:t>Psychosocial factors that vary between women and men include depression in general and post-partum depression in particular as well as other psychological conditions, such as those that lead to eating disorders such as anorexia and bulimia;</w:t>
      </w:r>
    </w:p>
    <w:p w:rsidR="00000000" w:rsidRDefault="00000000">
      <w:r>
        <w:tab/>
        <w:t>(d)</w:t>
      </w:r>
      <w:r>
        <w:tab/>
        <w:t>While lack of respect for the confidentiality of patients will affect both men and women, it may deter women from seeking advice and treatment and thereby adversely affect their health and well-being.  Women will be less willing, for that reason, to seek medical care for diseases of the genital tract, for contraception or for incomplete abortion and in cases where they have suffered sexual or physical violence.</w:t>
      </w:r>
    </w:p>
    <w:p w:rsidR="00000000" w:rsidRDefault="00000000">
      <w:r>
        <w:t>13.</w:t>
      </w:r>
      <w:r>
        <w:tab/>
        <w:t>The duty of States parties to ensure, on a basis of equality of men and women, access to health-care services, information and education implies an obligation to respect, protect and fulfil women’s rights to health care.  States parties have the responsibility to ensure that legislation and executive action and policy comply with these three obligations.  They must also put in place a system that ensures effective judicial action.  Failure to do so will constitute a violation of article 12.</w:t>
      </w:r>
    </w:p>
    <w:p w:rsidR="00000000" w:rsidRDefault="00000000">
      <w:r>
        <w:t>14.</w:t>
      </w:r>
      <w:r>
        <w:tab/>
        <w:t>The obligation to respect rights requires States parties to refrain from obstructing action taken by women in pursuit of their health goals.  States parties should report on how public and private health-care providers meet their duties to respect women’s rights to have access to health care.  For example, States parties should not restrict women’s access to health services or to the clinics that provide those services on the ground that women do not have the authorization of husbands, partners, parents or health authorities, because they are unmarried</w:t>
      </w:r>
      <w:r>
        <w:rPr>
          <w:rStyle w:val="FootnoteReference"/>
          <w:b w:val="0"/>
          <w:vertAlign w:val="baseline"/>
        </w:rPr>
        <w:footnoteReference w:customMarkFollows="1" w:id="65"/>
        <w:t>*</w:t>
      </w:r>
      <w:r>
        <w:t xml:space="preserve"> or because they are women.  Other barriers to women’s access to appropriate health care include laws that criminalize medical procedures only needed by women punish women who undergo those procedures.</w:t>
      </w:r>
    </w:p>
    <w:p w:rsidR="00000000" w:rsidRDefault="00000000">
      <w:r>
        <w:br w:type="page"/>
        <w:t>15.</w:t>
      </w:r>
      <w:r>
        <w:tab/>
        <w:t>The obligation to protect rights relating to women’s health requires States parties, their agents and officials to take action to prevent and impose sanctions for violations of rights by private persons and organizations.  Since gender-based violence is a critical health issue for women, States parties should ensure:</w:t>
      </w:r>
    </w:p>
    <w:p w:rsidR="00000000" w:rsidRDefault="00000000">
      <w:r>
        <w:tab/>
        <w:t>(a)</w:t>
      </w:r>
      <w:r>
        <w:tab/>
        <w:t>The enactment and effective enforcement of laws and the formulation of policies, including health-care protocols and hospital procedures to address violence against women and sexual abuse of girl children and the provision of appropriate health services;</w:t>
      </w:r>
    </w:p>
    <w:p w:rsidR="00000000" w:rsidRDefault="00000000">
      <w:r>
        <w:tab/>
        <w:t>(b)</w:t>
      </w:r>
      <w:r>
        <w:tab/>
        <w:t>Gender-sensitive training to enable health-care workers to detect and manage the health consequences of gender-based violence;</w:t>
      </w:r>
    </w:p>
    <w:p w:rsidR="00000000" w:rsidRDefault="00000000">
      <w:r>
        <w:tab/>
        <w:t>(c)</w:t>
      </w:r>
      <w:r>
        <w:tab/>
        <w:t>Fair and protective procedures for hearing complaints and imposing appropriate sanctions on health-care professionals guilty of sexual abuse of women patients;</w:t>
      </w:r>
    </w:p>
    <w:p w:rsidR="00000000" w:rsidRDefault="00000000">
      <w:r>
        <w:tab/>
        <w:t>(d)</w:t>
      </w:r>
      <w:r>
        <w:tab/>
        <w:t>The enactment and effective enforcement of laws that prohibit female genital mutilation and marriage of girl children.</w:t>
      </w:r>
    </w:p>
    <w:p w:rsidR="00000000" w:rsidRDefault="00000000">
      <w:r>
        <w:t>16.</w:t>
      </w:r>
      <w:r>
        <w:tab/>
        <w:t>States parties should ensure that adequate protection and health services, including trauma treatment and counselling, are provided for women in especially difficult circumstances, such as those trapped in situations of armed conflict and women refugees.</w:t>
      </w:r>
    </w:p>
    <w:p w:rsidR="00000000" w:rsidRDefault="00000000">
      <w:r>
        <w:t>17.</w:t>
      </w:r>
      <w:r>
        <w:tab/>
        <w:t>The duty to fulfil rights places an obligation on States parties to take appropriate legislative, judicial, administrative, budgetary, economic and other measures to the maximum extent of their available resources to ensure that women realize their rights to health care.  Studies such as those that emphasize the high maternal mortality and morbidity rates worldwide and the large numbers of couples who would like to limit their family size but lack access to or do not use any form of contraception provide an important indication for States parties of possible breaches of their duties to ensure women’s access to health care.  The Committee asks States parties to report on what they have done to address the magnitude of women’s ill-health, in particular when it arises from preventable conditions, such as tuberculosis and HIV/AIDS.  The Committee is concerned about the evidence that States are relinquishing these obligations as they transfer State health functions to private agencies.  States and parties cannot absolve themselves of responsibility in these areas by delegating or transferring these powers to private sector agencies.  States parties should therefore report on what they have done to organize governmental processes and all structures through which public power is exercised to promote and protect women’s health.  They should include information on positive measures taken to curb violations of women’s rights by third parties and to protect their health and the measures they have taken to ensure the provision of such services.</w:t>
      </w:r>
    </w:p>
    <w:p w:rsidR="00000000" w:rsidRDefault="00000000">
      <w:r>
        <w:t>18.</w:t>
      </w:r>
      <w:r>
        <w:tab/>
        <w:t>The issues of HIV/AIDS and other sexually transmitted diseases are central to the rights of women and adolescent girls to sexual health.  Adolescent girls and women in many countries lack adequate access to information and services necessary to ensure sexual health.  As a consequence of unequal power relations based on gender, women and adolescent girls are often unable to refuse sex or insist on safe and responsible sex practices.  Harmful traditional practices, such as female genital mutilation, polygamy, as well as marital rape, may also expose girls and women to the risk of contracting HIV/AIDS and other sexually transmitted diseases.  Women in prostitution are also particularly vulnerable to these diseases.  States parties should ensure, without prejudice or discrimination, the right to sexual health information, education and services for all women and girls, including those who have been trafficked, even if they are not legally resident in the country.  In particular, States parties should ensure the rights of female and male adolescents to sexual and reproductive health education by properly trained personnel in specially designed programmes that respect their right to privacy and confidentiality.</w:t>
      </w:r>
    </w:p>
    <w:p w:rsidR="00000000" w:rsidRDefault="00000000">
      <w:r>
        <w:t>19.</w:t>
      </w:r>
      <w:r>
        <w:tab/>
        <w:t>In their reports, States parties should identify the test by which they assess whether women have access to health care on a basis of equality of men and women in order to demonstrate compliance with article 12.  In applying these tests, States parties should bear in mind the provisions of article 1 of the Convention.  Reports should therefore include comments on the impact that health policies, procedures, laws and protocols have on women when compared with men.</w:t>
      </w:r>
    </w:p>
    <w:p w:rsidR="00000000" w:rsidRDefault="00000000">
      <w:r>
        <w:t>20.</w:t>
      </w:r>
      <w:r>
        <w:tab/>
        <w:t>Women have the right to be fully informed, by properly trained personnel, of their options in agreeing to treatment or research, including likely benefits and potential adverse effects of proposed procedures and available alternatives.</w:t>
      </w:r>
    </w:p>
    <w:p w:rsidR="00000000" w:rsidRDefault="00000000">
      <w:r>
        <w:t>21.</w:t>
      </w:r>
      <w:r>
        <w:tab/>
        <w:t>States parties should report on measures taken to eliminate barriers that women face in access to health-care services and what measures they have taken to ensure women timely and affordable access to such services.  Barriers include requirements or conditions that prejudice women’s access, such as high fees for health-care services, the requirement for preliminary authorization by spouse, parent or hospital authorities, distance from health facilities and the absence of convenient and affordable public transport.</w:t>
      </w:r>
    </w:p>
    <w:p w:rsidR="00000000" w:rsidRDefault="00000000">
      <w:r>
        <w:t>22.</w:t>
      </w:r>
      <w:r>
        <w:tab/>
        <w:t>States parties should also report on measures taken to ensure access to quality health-care services, for example, by making them acceptable to women.  Acceptable services are those that are delivered in a way that ensures that a woman gives her fully informed consent, respects her dignity, guarantees her confidentiality and is sensitive to her needs and perspectives.  States parties should not permit forms of coercion, such as non-consensual sterilization, mandatory testing for sexually transmitted diseases or mandatory pregnancy testing as a condition of employment that violate women’s rights to informed consent and dignity.</w:t>
      </w:r>
    </w:p>
    <w:p w:rsidR="00000000" w:rsidRDefault="00000000">
      <w:r>
        <w:t>23.</w:t>
      </w:r>
      <w:r>
        <w:tab/>
        <w:t>In their reports, States parties should state what measures they have taken to ensure timely access to the range of services that are related to family planning, in particular, and to sexual and reproductive health in general.  Particular attention should be paid to the health education of adolescents, including information and counselling on all methods of family planning.</w:t>
      </w:r>
      <w:r>
        <w:rPr>
          <w:rStyle w:val="FootnoteReference"/>
          <w:b w:val="0"/>
          <w:vertAlign w:val="baseline"/>
        </w:rPr>
        <w:footnoteReference w:customMarkFollows="1" w:id="66"/>
        <w:t>*</w:t>
      </w:r>
    </w:p>
    <w:p w:rsidR="00000000" w:rsidRDefault="00000000">
      <w:r>
        <w:t>24.</w:t>
      </w:r>
      <w:r>
        <w:tab/>
        <w:t>The Committee is concerned about the conditions of health-care services for older women, not only because women often live longer than men and are more likely than men to suffer from disabling and degenerative chronic diseases, such as osteoporosis and dementia, but because they often have the responsibility for their ageing spouses.  Therefore, States parties should take appropriate measures to ensure the access of older women to health services that address the handicaps and disabilities associated with ageing.</w:t>
      </w:r>
    </w:p>
    <w:p w:rsidR="00000000" w:rsidRDefault="00000000">
      <w:r>
        <w:t>25.</w:t>
      </w:r>
      <w:r>
        <w:tab/>
        <w:t>Women with disabilities, of all ages, often have difficulty with physical access to health services.  Women with mental disabilities are particularly vulnerable, while there is limited understanding, in general, of the broad range of risks to mental health to which women are disproportionately susceptible as a result of gender discrimination, violence, poverty, armed conflict, dislocation and other forms of social deprivation.  States parties should take appropriate measures to ensure that health services are sensitive to the needs of women with disabilities and are respectful of their human rights and dignity.</w:t>
      </w:r>
    </w:p>
    <w:p w:rsidR="00000000" w:rsidRDefault="00000000">
      <w:pPr>
        <w:pStyle w:val="Heading2"/>
      </w:pPr>
      <w:r>
        <w:t>Article 12 (2)</w:t>
      </w:r>
    </w:p>
    <w:p w:rsidR="00000000" w:rsidRDefault="00000000">
      <w:r>
        <w:t>26.</w:t>
      </w:r>
      <w:r>
        <w:tab/>
        <w:t>Reports should also include what measures States parties have taken to ensure women appropriate services in connection with pregnancy, confinement and the post-natal period.  Information on the rates at which these measures have reduced maternal mortality and morbidity in their countries, in general, and in vulnerable groups, regions and communities, in particular, should also be included.</w:t>
      </w:r>
    </w:p>
    <w:p w:rsidR="00000000" w:rsidRDefault="00000000">
      <w:r>
        <w:t>27.</w:t>
      </w:r>
      <w:r>
        <w:tab/>
        <w:t>States parties should include in their reports how they supply free services where necessary to ensure safe pregnancies, childbirth and post-partum periods for women.  Many women are at risk of death or disability from pregnancy-related causes because they lack the funds to obtain or access the necessary services, which include antenatal, maternity and post</w:t>
      </w:r>
      <w:r>
        <w:noBreakHyphen/>
        <w:t>natal services.  The Committee notes that it is the duty of States parties to ensure women’s right to safe motherhood and emergency obstetric services and they should allocate to these services the maximum extent of available resources.</w:t>
      </w:r>
    </w:p>
    <w:p w:rsidR="00000000" w:rsidRDefault="00000000">
      <w:pPr>
        <w:pStyle w:val="Heading3"/>
      </w:pPr>
      <w:r>
        <w:t>Other relevant articles in the Convention</w:t>
      </w:r>
    </w:p>
    <w:p w:rsidR="00000000" w:rsidRDefault="00000000">
      <w:r>
        <w:t>28.</w:t>
      </w:r>
      <w:r>
        <w:tab/>
        <w:t>When reporting on measures taken to comply with article 12, States parties are urged to recognize its interconnection with other articles in the Convention that have a bearing on women’s health.  Those articles include article 5 (b), which requires States parties to ensure that family education includes a proper understanding of maternity as a social function; article 10, which requires States parties to ensure equal access to education, thus enabling women to access health care more readily and reducing female student drop-out rates, which are often a result of premature pregnancy; article 10 (h), which requires that States parties provide to women and girls access to specific educational information to help ensure the health and well-being of families, including information and advice on family planning; article 11, which is concerned, in part, with the protection of women’s health and safety in working conditions, including the safeguarding of the reproductive function, special protection from harmful types of work during pregnancy and with the provision of paid maternity leave; article 14, paragraph 2 (b), which requires States parties to ensure access for rural women to adequate health-care facilities, including information, counselling and services in family planning, and (h), which obliges States parties to take all appropriate measures to ensure adequate living conditions, particularly housing, sanitation, electricity and water supply, transport and communications, all of which are critical for the prevention of disease and the promotion of good health care; and article 16, paragraph 1 (e), which requires States parties to ensure that women have the same rights as men to decide freely and responsibly on the number and spacing of their children and to have access to the information, education and means to enable them to exercise those rights.  Article 16, paragraph 2, proscribes the betrothal and marriage of children, an important factor in preventing the physical and emotional harm which arise from early childbirth.</w:t>
      </w:r>
    </w:p>
    <w:p w:rsidR="00000000" w:rsidRDefault="00000000">
      <w:pPr>
        <w:pStyle w:val="Heading3"/>
      </w:pPr>
      <w:r>
        <w:t>Recommendations for government action</w:t>
      </w:r>
    </w:p>
    <w:p w:rsidR="00000000" w:rsidRDefault="00000000">
      <w:r>
        <w:t>29.</w:t>
      </w:r>
      <w:r>
        <w:tab/>
        <w:t>States parties should implement a comprehensive national strategy to promote women’s health throughout their lifespan.  This will include interventions aimed at both the prevention and treatment of diseases and conditions affecting women, as well as responding to violence against women, and will ensure universal access for all women to a full range of high-quality and affordable health care, including sexual and reproductive health services.</w:t>
      </w:r>
    </w:p>
    <w:p w:rsidR="00000000" w:rsidRDefault="00000000">
      <w:r>
        <w:t>30.</w:t>
      </w:r>
      <w:r>
        <w:tab/>
        <w:t>States parties should allocate adequate budgetary, human and administrative resources to ensure that women’s health receives a share of the overall health budget comparable with that for men’s health, taking into account their different health needs.</w:t>
      </w:r>
    </w:p>
    <w:p w:rsidR="00000000" w:rsidRDefault="00000000">
      <w:r>
        <w:t>31.</w:t>
      </w:r>
      <w:r>
        <w:tab/>
        <w:t>States parties should also, in particular:</w:t>
      </w:r>
    </w:p>
    <w:p w:rsidR="00000000" w:rsidRDefault="00000000">
      <w:r>
        <w:tab/>
        <w:t>(a)</w:t>
      </w:r>
      <w:r>
        <w:tab/>
        <w:t>Place a gender perspective at the centre of all policies and programmes affecting women’s health and should involve women in the planning, implementation and monitoring of such policies and programmes and in the provision of health services to women;</w:t>
      </w:r>
    </w:p>
    <w:p w:rsidR="00000000" w:rsidRDefault="00000000">
      <w:r>
        <w:tab/>
        <w:t>(b)</w:t>
      </w:r>
      <w:r>
        <w:tab/>
        <w:t>Ensure the removal of all barriers to women’s access to health services, education and information, including in the area of sexual and reproductive health, and, in particular, allocate resources for programmes directed at adolescents for the prevention and treatment of sexually transmitted diseases, including HIV/AIDS;</w:t>
      </w:r>
    </w:p>
    <w:p w:rsidR="00000000" w:rsidRDefault="00000000">
      <w:r>
        <w:tab/>
        <w:t>(c)</w:t>
      </w:r>
      <w:r>
        <w:tab/>
        <w:t>Prioritize the prevention of unwanted pregnancy through family planning and sex education and reduce maternal mortality rates through safe motherhood services and prenatal assistance.  When possible, legislation criminalizing abortion should be amended, in order to withdraw punitive measures imposed on women who undergo abortion;</w:t>
      </w:r>
    </w:p>
    <w:p w:rsidR="00000000" w:rsidRDefault="00000000">
      <w:r>
        <w:tab/>
        <w:t>(d)</w:t>
      </w:r>
      <w:r>
        <w:tab/>
        <w:t>Monitor the provision of health services to women by public, non-governmental and private organizations, to ensure equal access and quality of care;</w:t>
      </w:r>
    </w:p>
    <w:p w:rsidR="00000000" w:rsidRDefault="00000000">
      <w:r>
        <w:tab/>
        <w:t>(e)</w:t>
      </w:r>
      <w:r>
        <w:tab/>
        <w:t>Require all health services to be consistent with the human rights of women, including the rights to autonomy, privacy, confidentiality, informed consent and choice;</w:t>
      </w:r>
    </w:p>
    <w:p w:rsidR="00000000" w:rsidRDefault="00000000">
      <w:r>
        <w:tab/>
        <w:t>(f)</w:t>
      </w:r>
      <w:r>
        <w:tab/>
        <w:t>Ensure that the training curricula of health workers include comprehensive, mandatory, gender-sensitive courses on women’s health and human rights, in particular gender</w:t>
      </w:r>
      <w:r>
        <w:noBreakHyphen/>
        <w:t>based violence.</w:t>
      </w:r>
    </w:p>
    <w:p w:rsidR="00000000" w:rsidRDefault="00000000">
      <w:pPr>
        <w:pStyle w:val="Heading2"/>
      </w:pPr>
      <w:r>
        <w:t>Thirtieth session (2004)</w:t>
      </w:r>
    </w:p>
    <w:p w:rsidR="00000000" w:rsidRDefault="00000000">
      <w:pPr>
        <w:pStyle w:val="Heading2"/>
      </w:pPr>
      <w:r>
        <w:t xml:space="preserve">General recommendation No. 25:  Article 4, paragraph 1, </w:t>
      </w:r>
      <w:r>
        <w:br/>
        <w:t>of the Convention (temporary special measures)</w:t>
      </w:r>
    </w:p>
    <w:p w:rsidR="00000000" w:rsidRDefault="00000000">
      <w:pPr>
        <w:pStyle w:val="Heading2"/>
      </w:pPr>
      <w:r>
        <w:t>I.  Introduction</w:t>
      </w:r>
    </w:p>
    <w:p w:rsidR="00000000" w:rsidRDefault="00000000">
      <w:r>
        <w:t>1.</w:t>
      </w:r>
      <w:r>
        <w:tab/>
        <w:t>The Committee on the Elimination of Discrimination against Women decided at its twentieth session (1999), pursuant to article 21 of the Convention, to elaborate a general recommendation on article 4, paragraph 1, of the Convention on the Elimination of All Forms of Discrimination against Women.  This new general recommendation would build, inter alia, on earlier general recommendations, including general recommendation No. 5 (seventh session, 1988), on temporary special measures, No. 8 (seventh session, 1988), on implementation of article 8 of the Convention, and No. 23 (sixteenth session, 1997), on women in public life, as well as on reports of States parties to the Convention and on the Committee’s concluding comments to those reports.</w:t>
      </w:r>
    </w:p>
    <w:p w:rsidR="00000000" w:rsidRDefault="00000000">
      <w:r>
        <w:t>2.</w:t>
      </w:r>
      <w:r>
        <w:tab/>
        <w:t>With the present general recommendation, the Committee aims to clarify the nature and meaning of article 4, paragraph 1, in order to facilitate and ensure its full utilization by States parties in the implementation of the Convention.  The Committee encourages States parties to translate this general recommendation into national and local languages and to disseminate it widely to the legislative, executive and judicial branches of government, including their administrative structures, as well as civil society, including the media, academia, and human rights and women’s associations and institutions.</w:t>
      </w:r>
    </w:p>
    <w:p w:rsidR="00000000" w:rsidRDefault="00000000">
      <w:pPr>
        <w:pStyle w:val="Heading2"/>
      </w:pPr>
      <w:r>
        <w:t>II.  Background:  the object and purpose of the Convention</w:t>
      </w:r>
    </w:p>
    <w:p w:rsidR="00000000" w:rsidRDefault="00000000">
      <w:r>
        <w:t>3.</w:t>
      </w:r>
      <w:r>
        <w:tab/>
        <w:t>The Convention is a dynamic instrument.  Since the adoption of the Convention in 1979, the Committee, as well as other actors at the national and international levels, have contributed through progressive thinking to the clarification and understanding of the substantive content of the Convention’s articles and the specific nature of discrimination against women and the instruments for combating such discrimination.</w:t>
      </w:r>
    </w:p>
    <w:p w:rsidR="00000000" w:rsidRDefault="00000000">
      <w:r>
        <w:t>4.</w:t>
      </w:r>
      <w:r>
        <w:tab/>
        <w:t>The scope and meaning of article 4, paragraph 1, must be determined in the context of the overall object and purpose of the Convention, which is to eliminate all forms of discrimination against women with a view to achieving women’s de jure and de facto equality with men in the enjoyment of their human rights and fundamental freedoms.  States parties to the Convention are under a legal obligation to respect, protect, promote and fulfil this right to non-discrimination for women and to ensure the development and advancement of women in order to improve their position to one of de jure as well as de facto equality with men.</w:t>
      </w:r>
    </w:p>
    <w:p w:rsidR="00000000" w:rsidRDefault="00000000">
      <w:r>
        <w:t>5.</w:t>
      </w:r>
      <w:r>
        <w:tab/>
        <w:t>The Convention goes beyond the concept of discrimination used in many national and international legal standards and norms.  While such standards and norms prohibit discrimination on the grounds of sex and protect both men and women from treatment based on arbitrary, unfair and/or unjustifiable distinctions, the Convention focuses on discrimination against women, emphasizing that women have suffered, and continue to suffer from various forms of discrimination because they are women.</w:t>
      </w:r>
    </w:p>
    <w:p w:rsidR="00000000" w:rsidRDefault="00000000">
      <w:r>
        <w:t>6.</w:t>
      </w:r>
      <w:r>
        <w:tab/>
        <w:t>A joint reading of articles 1 to 5 and 24, which form the general interpretative framework for all of the Convention’s substantive articles, indicates that three obligations are central to States parties’ efforts to eliminate discrimination against women.  These obligations should be implemented in an integrated fashion and extend beyond a purely formal legal obligation of equal treatment of women with men.</w:t>
      </w:r>
    </w:p>
    <w:p w:rsidR="00000000" w:rsidRDefault="00000000">
      <w:r>
        <w:t>7.</w:t>
      </w:r>
      <w:r>
        <w:tab/>
        <w:t>Firstly, States parties’ obligation is to ensure that there is no direct or indirect</w:t>
      </w:r>
      <w:r>
        <w:rPr>
          <w:rStyle w:val="EndnoteReference"/>
        </w:rPr>
        <w:endnoteReference w:id="202"/>
      </w:r>
      <w:r>
        <w:t xml:space="preserve"> discrimination against women in their laws and that women are protected against discrimination - committed by public authorities, the judiciary, organizations, enterprises or private individuals - in the public as well as the private spheres by competent tribunals as well as sanctions and other remedies.  Secondly, States parties’ obligation is to improve the de facto position of women through concrete and effective policies and programmes.  Thirdly, States parties’ obligation is to address prevailing gender relations</w:t>
      </w:r>
      <w:r>
        <w:rPr>
          <w:rStyle w:val="EndnoteReference"/>
        </w:rPr>
        <w:endnoteReference w:id="203"/>
      </w:r>
      <w:r>
        <w:t xml:space="preserve"> and the persistence of gender</w:t>
      </w:r>
      <w:r>
        <w:noBreakHyphen/>
        <w:t>based stereotypes that affect women not only through individual acts by individuals but also in law, and legal and societal structures and institutions.</w:t>
      </w:r>
    </w:p>
    <w:p w:rsidR="00000000" w:rsidRDefault="00000000">
      <w:r>
        <w:t>8.</w:t>
      </w:r>
      <w:r>
        <w:tab/>
        <w:t>In the Committee’s view, a purely formal legal or programmatic approach is not sufficient to achieve women’s de facto equality with men, which the Committee interprets as substantive equality.  In addition, the Convention requires that women be given an equal start and that they be empowered by an enabling environment to achieve equality of results.  It is not enough to guarantee women treatment that is identical to that of men.  Rather, biological as well as socially and culturally constructed differences between women and men must be taken into account.  Under certain circumstances, non-identical treatment of women and men will be required in order to address such differences.  Pursuit of the goal of substantive equality also calls for an effective strategy aimed at overcoming underrepresentation of women and a redistribution of resources and power between men and women.</w:t>
      </w:r>
    </w:p>
    <w:p w:rsidR="00000000" w:rsidRDefault="00000000">
      <w:r>
        <w:t>9.</w:t>
      </w:r>
      <w:r>
        <w:tab/>
        <w:t>Equality of results is the logical corollary of de facto or substantive equality.  These results may be quantitative and/or qualitative in nature; that is, women enjoying their rights in various fields in fairly equal numbers with men, enjoying the same income levels, equality in decision-making and political influence, and women enjoying freedom from violence.</w:t>
      </w:r>
    </w:p>
    <w:p w:rsidR="00000000" w:rsidRDefault="00000000">
      <w:r>
        <w:t>10.</w:t>
      </w:r>
      <w:r>
        <w:tab/>
        <w:t>The position of women will not be improved as long as the underlying causes of discrimination against women, and of their inequality, are not effectively addressed.  The lives of women and men must be considered in a contextual way, and measures adopted towards a real transformation of opportunities, institutions and systems so that they are no longer grounded in historically determined male paradigms of power and life patterns.</w:t>
      </w:r>
    </w:p>
    <w:p w:rsidR="00000000" w:rsidRDefault="00000000">
      <w:r>
        <w:t>11.</w:t>
      </w:r>
      <w:r>
        <w:tab/>
        <w:t>Women’s biologically determined permanent needs and experiences should be distinguished from other needs that may be the result of past and present discrimination against women by individual actors, the dominant gender ideology, or by manifestations of such discrimination in social and cultural structures and institutions.  As steps are being taken to eliminate discrimination against women, women’s needs may change or disappear, or become the needs of both women and men.  Thus, continuous monitoring of laws, programmes and practices directed at the achievement of women’s de facto or substantive equality is needed so as to avoid a perpetuation of non-identical treatment that may no longer be warranted.</w:t>
      </w:r>
    </w:p>
    <w:p w:rsidR="00000000" w:rsidRDefault="00000000">
      <w:r>
        <w:t>12.</w:t>
      </w:r>
      <w:r>
        <w:tab/>
        <w:t>Certain groups of women, in addition to suffering from discrimination directed against them as women, may also suffer from multiple forms of discrimination based on additional grounds such as race, ethnic or religious identity, disability, age, class, caste or other factors.  Such discrimination may affect these groups of women primarily, or to a different degree or in different ways than men.  States parties may need to take specific temporary special measures to eliminate such multiple forms of discrimination against women and its compounded negative impact on them.</w:t>
      </w:r>
    </w:p>
    <w:p w:rsidR="00000000" w:rsidRDefault="00000000">
      <w:r>
        <w:t>13.</w:t>
      </w:r>
      <w:r>
        <w:tab/>
        <w:t>In addition to the Convention on the Elimination of All Forms of Discrimination against Women, other international human rights instruments and policy documents adopted in the United Nations system contain provisions on temporary special measures to support the achievement of equality.  Such measures are described in different terminology, and the meaning and interpretation given to such measures also differs.  It is the Committee’s hope that the present general recommendation on article 4, paragraph 1, will contribute to a clarification of terminology.</w:t>
      </w:r>
      <w:r>
        <w:rPr>
          <w:rStyle w:val="EndnoteReference"/>
        </w:rPr>
        <w:endnoteReference w:id="204"/>
      </w:r>
    </w:p>
    <w:p w:rsidR="00000000" w:rsidRDefault="00000000">
      <w:r>
        <w:t>14.</w:t>
      </w:r>
      <w:r>
        <w:tab/>
        <w:t>The Convention targets discriminatory dimensions of past and current societal and cultural contexts which impede women’s enjoyment of their human rights and fundamental freedoms.  It aims at the elimination of all forms of discrimination against women, including the elimination of the causes and consequences of their de facto or substantive inequality.  Therefore, the application of temporary special measures in accordance with the Convention is one of the means to realize de facto or substantive equality for women, rather than an exception to the norms of non-discrimination and equality.</w:t>
      </w:r>
    </w:p>
    <w:p w:rsidR="00000000" w:rsidRDefault="00000000">
      <w:pPr>
        <w:pStyle w:val="Heading2"/>
        <w:ind w:left="1219" w:hanging="510"/>
        <w:jc w:val="left"/>
      </w:pPr>
      <w:r>
        <w:t xml:space="preserve">III.  The meaning and scope of temporary special measures in the Convention </w:t>
      </w:r>
      <w:r>
        <w:br/>
        <w:t>on the Elimination of All Forms of Discrimination against Women</w:t>
      </w:r>
    </w:p>
    <w:p w:rsidR="00000000" w:rsidRDefault="00000000">
      <w:pPr>
        <w:pStyle w:val="Heading2"/>
      </w:pPr>
      <w:r>
        <w:t>Article 4, paragraph 1</w:t>
      </w:r>
    </w:p>
    <w:p w:rsidR="00000000" w:rsidRDefault="00000000">
      <w:r>
        <w:tab/>
        <w:t>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000000" w:rsidRDefault="00000000">
      <w:pPr>
        <w:pStyle w:val="Heading2"/>
      </w:pPr>
      <w:r>
        <w:t>Article 4, paragraph 2</w:t>
      </w:r>
    </w:p>
    <w:p w:rsidR="00000000" w:rsidRDefault="00000000">
      <w:r>
        <w:tab/>
        <w:t>Adoption by States parties of special measures, including those measures contained in the present Convention, aimed at protecting maternity shall not be considered discriminatory.</w:t>
      </w:r>
    </w:p>
    <w:p w:rsidR="00000000" w:rsidRDefault="00000000">
      <w:pPr>
        <w:pStyle w:val="Heading2"/>
      </w:pPr>
      <w:r>
        <w:t>A.  Relationship between paragraphs 1 and 2 of article 4</w:t>
      </w:r>
    </w:p>
    <w:p w:rsidR="00000000" w:rsidRDefault="00000000">
      <w:r>
        <w:t>15.</w:t>
      </w:r>
      <w:r>
        <w:tab/>
        <w:t xml:space="preserve">There is a clear difference between the purpose of the “special measures” under article 4, paragraph 1, and those of paragraph 2.  The purpose of article 4, paragraph 1, is to accelerate the improvement of the position of women to achieve their de facto or substantive equality with </w:t>
      </w:r>
    </w:p>
    <w:p w:rsidR="00000000" w:rsidRDefault="00000000">
      <w:r>
        <w:br w:type="page"/>
        <w:t>men, and to effect the structural, social and cultural changes necessary to correct past and current forms and effects of discrimination against women, as well as to provide them with compensation.  These measures are of a temporary nature.</w:t>
      </w:r>
    </w:p>
    <w:p w:rsidR="00000000" w:rsidRDefault="00000000">
      <w:r>
        <w:t>16.</w:t>
      </w:r>
      <w:r>
        <w:tab/>
        <w:t>Article 4, paragraph 2, provides for non-identical treatment of women and men due to their biological differences.  These measures are of a permanent nature, at least until such time as the scientific and technological knowledge referred to in article 11, paragraph 3, would warrant a review.</w:t>
      </w:r>
    </w:p>
    <w:p w:rsidR="00000000" w:rsidRDefault="00000000">
      <w:pPr>
        <w:pStyle w:val="Heading2"/>
      </w:pPr>
      <w:r>
        <w:t>B.  Terminology</w:t>
      </w:r>
    </w:p>
    <w:p w:rsidR="00000000" w:rsidRDefault="00000000">
      <w:r>
        <w:t>17.</w:t>
      </w:r>
      <w:r>
        <w:tab/>
        <w:t xml:space="preserve">The </w:t>
      </w:r>
      <w:r>
        <w:rPr>
          <w:i/>
          <w:iCs/>
        </w:rPr>
        <w:t>travaux préparatoires</w:t>
      </w:r>
      <w:r>
        <w:t xml:space="preserve"> of the Convention use different terms to describe the “temporary special measures” included in article 4, paragraph 1.  The Committee itself, in its previous general recommendations, used various terms.  States parties often equate “special measures” in its corrective, compensatory and promotional sense with the terms “affirmative action”, “positive action”, “positive measures”, “reverse discrimination”, and “positive discrimination”.  These terms emerge from the discussions and varied practices found in different national contexts.</w:t>
      </w:r>
      <w:r>
        <w:rPr>
          <w:rStyle w:val="EndnoteReference"/>
        </w:rPr>
        <w:endnoteReference w:id="205"/>
      </w:r>
      <w:r>
        <w:t xml:space="preserve">  In the present general recommendation, and in accordance with its practice in the consideration of reports of States parties, the Committee uses solely the term “temporary special measures”, as called for in article 4, paragraph 1.</w:t>
      </w:r>
    </w:p>
    <w:p w:rsidR="00000000" w:rsidRDefault="00000000">
      <w:pPr>
        <w:pStyle w:val="Heading2"/>
      </w:pPr>
      <w:r>
        <w:t>C.  Key elements of article 4, paragraph 1</w:t>
      </w:r>
    </w:p>
    <w:p w:rsidR="00000000" w:rsidRDefault="00000000">
      <w:r>
        <w:t>18.</w:t>
      </w:r>
      <w:r>
        <w:tab/>
        <w:t>Measures taken under article 4, paragraph 1, by States parties should aim to accelerate the equal participation of women in the political, economic, social, cultural, civil or any other field.  The Committee views the application of these measures not as an exception to the norm of non-discrimination, but rather as an emphasis that temporary special measures are part of a necessary strategy by States parties directed towards the achievement of de facto or substantive equality of women with men in the enjoyment of their human rights and fundamental freedoms.  While the application of temporary special measures often remedies the effects of past discrimination against women, the obligation of States parties under the Convention to improve the position of women to one of de facto or substantive equality with men exists irrespective of any proof of past discrimination.  The Committee considers that States parties that adopt and implement such measures under the Convention do not discriminate against men.</w:t>
      </w:r>
    </w:p>
    <w:p w:rsidR="00000000" w:rsidRDefault="00000000">
      <w:r>
        <w:t>19.</w:t>
      </w:r>
      <w:r>
        <w:tab/>
        <w:t>States parties should clearly distinguish between temporary special measures taken under article 4, paragraph 1, to accelerate the achievement of a concrete goal for women of de facto or substantive equality, and other general social policies adopted to improve the situation of women and the girl child.  Not all measures that potentially are, or will be, favourable to women are temporary special measures.  The provision of general conditions in order to guarantee the civil, political, economic, social and cultural rights of women and the girl child, designed to ensure for them a life of dignity and non-discrimination, cannot be called temporary special measures.</w:t>
      </w:r>
    </w:p>
    <w:p w:rsidR="00000000" w:rsidRDefault="00000000">
      <w:r>
        <w:t>20.</w:t>
      </w:r>
      <w:r>
        <w:tab/>
        <w:t>Article 4, paragraph 1, explicitly states the “temporary” nature of such special measures.  Such measures should therefore not be deemed necessary forever, even though the meaning of “temporary” may, in fact, result in the application of such measures for a long period of time.  The duration of a temporary special measure should be determined by its functional result in response to a concrete problem and not by a predetermined passage of time.  Temporary special measures must be discontinued when their desired results have been achieved and sustained for a period of time.</w:t>
      </w:r>
    </w:p>
    <w:p w:rsidR="00000000" w:rsidRDefault="00000000">
      <w:r>
        <w:t>21.</w:t>
      </w:r>
      <w:r>
        <w:tab/>
        <w:t>The term “special”, though being in conformity with human rights discourse, also needs to be carefully explained.  Its use sometimes casts women and other groups who are subject to discrimination as weak, vulnerable and in need of extra or “special” measures in order to participate or compete in society.  However, the real meaning of “special” in the formulation of article 4, paragraph 1, is that the measures are designed to serve a specific goal.</w:t>
      </w:r>
    </w:p>
    <w:p w:rsidR="00000000" w:rsidRDefault="00000000">
      <w:r>
        <w:t>22.</w:t>
      </w:r>
      <w:r>
        <w:tab/>
        <w:t>The term “measures” encompasses a wide variety of legislative, executive, administrative and other regulatory instruments, policies and practices, such as outreach or support programmes; allocation and/or reallocation of resources; preferential treatment; targeted recruitment, hiring and promotion; numerical goals connected with time frames; and quota systems.  The choice of a particular “measure” will depend on the context in which article 4, paragraph 1, is applied and on the specific goal it aims to achieve.</w:t>
      </w:r>
    </w:p>
    <w:p w:rsidR="00000000" w:rsidRDefault="00000000">
      <w:r>
        <w:t>23.</w:t>
      </w:r>
      <w:r>
        <w:tab/>
        <w:t>The adoption and implementation of temporary special measures may lead to a discussion of qualifications and merit of the group or individuals so targeted, and an argument against preferences for allegedly lesser-qualified women over men in areas such as politics, education and employment.  As temporary special measures aim at accelerating achievement of de facto or substantive equality, questions of qualification and merit, in particular in the area of employment in the public and private sectors, need to be reviewed carefully for gender bias as they are normatively and culturally determined.  For appointment, selection or election to public and political office, factors other than qualification and merit, including the application of the principles of democratic fairness and electoral choice, may also have to play a role.</w:t>
      </w:r>
    </w:p>
    <w:p w:rsidR="00000000" w:rsidRDefault="00000000">
      <w:r>
        <w:t>24.</w:t>
      </w:r>
      <w:r>
        <w:tab/>
        <w:t>Article 4, paragraph 1, read in conjunction with articles 1, 2, 3, 5 and 24, needs to be applied in relation to articles 6 to 16 which stipulate that States parties “shall take all appropriate measures”.  Consequently, the Committee considers that States parties are obliged to adopt and implement temporary special measures in relation to any of these articles if such measures can be shown to be necessary and appropriate in order to accelerate the achievement of the overall, or a specific goal of, women’s de facto or substantive equality.</w:t>
      </w:r>
    </w:p>
    <w:p w:rsidR="00000000" w:rsidRDefault="00000000">
      <w:pPr>
        <w:pStyle w:val="Heading2"/>
      </w:pPr>
      <w:r>
        <w:t>IV.  Recommendations to States parties</w:t>
      </w:r>
    </w:p>
    <w:p w:rsidR="00000000" w:rsidRDefault="00000000">
      <w:r>
        <w:t>25.</w:t>
      </w:r>
      <w:r>
        <w:tab/>
        <w:t>Reports of States parties should include information on the adoption, or lack thereof, of temporary special measures in accordance with article 4, paragraph 1, of the Convention, and States parties should preferably adhere to the terminology “temporary special measures”, to avoid confusion.</w:t>
      </w:r>
    </w:p>
    <w:p w:rsidR="00000000" w:rsidRDefault="00000000">
      <w:r>
        <w:t>26.</w:t>
      </w:r>
      <w:r>
        <w:tab/>
        <w:t>States parties should clearly distinguish between temporary special measures aimed at accelerating the achievement of a concrete goal of women’s de facto or substantive equality, and other general social policies adopted and implemented in order to improve the situation of women and the girl child.  States parties should bear in mind that not all measures which potentially are or would be favourable to women qualify as temporary special measures.</w:t>
      </w:r>
    </w:p>
    <w:p w:rsidR="00000000" w:rsidRDefault="00000000">
      <w:r>
        <w:t>27.</w:t>
      </w:r>
      <w:r>
        <w:tab/>
        <w:t>States parties should analyse the context of women’s situation in all spheres of life, as well as in the specific, targeted area, when applying temporary special measures to accelerate achievement of women’s de facto or substantive equality.  They should evaluate the potential impact of temporary special measures with regard to a particular goal within their national context and adopt those temporary special measures which they consider to be the most appropriate in order to accelerate the achievement of de facto or substantive equality for women.</w:t>
      </w:r>
    </w:p>
    <w:p w:rsidR="00000000" w:rsidRDefault="00000000">
      <w:r>
        <w:t>28.</w:t>
      </w:r>
      <w:r>
        <w:tab/>
        <w:t>States parties should explain the reasons for choosing one type of measure over another.  The justification for applying such measures should include a description of the actual life situation of women, including the conditions and influences which shape their lives and opportunities - or that of a specific group of women, suffering from multiple forms of discrimination - and whose position the State party intends to improve in an accelerated manner with the application of such temporary special measures.  At the same time, the relationship between such measures and general measures and efforts to improve the position of women should be clarified.</w:t>
      </w:r>
    </w:p>
    <w:p w:rsidR="00000000" w:rsidRDefault="00000000">
      <w:r>
        <w:t>29.</w:t>
      </w:r>
      <w:r>
        <w:tab/>
        <w:t>States parties should provide adequate explanations with regard to any failure to adopt temporary special measures.  Such failures may not be justified simply by averring powerlessness, or by explaining inaction through predominant market or political forces, such as those inherent in the private sector, private organizations, or political parties.  States parties are reminded that article 2 of the Convention, which needs to be read in conjunction with all other articles, imposes accountability on the State party for action by these actors.</w:t>
      </w:r>
    </w:p>
    <w:p w:rsidR="00000000" w:rsidRDefault="00000000">
      <w:r>
        <w:t>30.</w:t>
      </w:r>
      <w:r>
        <w:tab/>
        <w:t>States parties may report on temporary special measures under several articles.  Under article 2, States parties are invited to report on the legal or other basis for such measures, and their justification for choosing a particular approach.  States parties are further invited to give details about any legislation concerning temporary special measures, and in particular whether such legislation provides for the mandatory or voluntary nature of temporary special measures.</w:t>
      </w:r>
    </w:p>
    <w:p w:rsidR="00000000" w:rsidRDefault="00000000">
      <w:r>
        <w:t>31.</w:t>
      </w:r>
      <w:r>
        <w:tab/>
        <w:t>States parties should include, in their constitutions or in their national legislation, provisions that allow for the adoption of temporary special measures.  The Committee reminds States parties that legislation, such as comprehensive anti-discrimination acts, equal opportunities acts or executive orders on women’s equality, can give guidance on the type of temporary special measures that should be applied to achieve a stated goal, or goals, in given areas.  Such guidance can also be contained in specific legislation on employment or education.  Relevant legislation on non-discrimination and temporary special measures should cover governmental actors as well as private organizations or enterprises.</w:t>
      </w:r>
    </w:p>
    <w:p w:rsidR="00000000" w:rsidRDefault="00000000">
      <w:r>
        <w:t>32.</w:t>
      </w:r>
      <w:r>
        <w:tab/>
        <w:t>The Committee draws the attention of States parties to the fact that temporary special measures may also be based on decrees, policy directives and/or administrative guidelines formulated and adopted by national, regional or local executive branches of government to cover the public employment and education sectors.  Such temporary special measures may include the civil service, the political sphere and the private education and employment sectors.  The Committee further draws the attention of States parties to the fact that such measures may also be negotiated between social partners of the public or private employment sector or be applied on a voluntary basis by public or private enterprises, organizations, institutions and political parties.</w:t>
      </w:r>
    </w:p>
    <w:p w:rsidR="00000000" w:rsidRDefault="00000000">
      <w:r>
        <w:t>33.</w:t>
      </w:r>
      <w:r>
        <w:tab/>
        <w:t>The Committee reiterates that action plans for temporary special measures need to be designed, applied and evaluated within the specific national context and against the background of the specific nature of the problem which they are intended to overcome.  The Committee recommends that States parties provide in their reports details of any action plans which may be directed at creating access for women and overcoming their underrepresentation in certain fields, at redistributing resources and power in particular areas, and/or at initiating institutional change to overcome past or present discrimination and accelerate the achievement of de facto equality.  Reports should also explain whether such action plans include considerations of unintended potential adverse side-effects of such measures as well as on possible action to protect women against them.  States parties should also describe in their reports the results of temporary special measures and assess the causes of the possible failure of such measures.</w:t>
      </w:r>
    </w:p>
    <w:p w:rsidR="00000000" w:rsidRDefault="00000000">
      <w:r>
        <w:t>34.</w:t>
      </w:r>
      <w:r>
        <w:tab/>
        <w:t>Under article 3, States parties are invited to report on the institution(s) responsible for designing, implementing, monitoring, evaluating and enforcing such temporary special measures.  Such responsibility may be vested in existing or planned national institutions, such as women’s ministries, women’s departments within ministries or presidential offices, ombudspersons, tribunals or other entities of a public or private nature with the requisite mandate to design specific programmes, monitor their implementation, and evaluate their impact and outcomes.  The Committee recommends that States parties ensure that women in general, and affected groups of women in particular, have a role in the design, implementation and evaluation of such programmes.  Collaboration and consultation with civil society and non-governmental organizations representing various groups of women is especially recommended.</w:t>
      </w:r>
    </w:p>
    <w:p w:rsidR="00000000" w:rsidRDefault="00000000">
      <w:r>
        <w:t>35.</w:t>
      </w:r>
      <w:r>
        <w:tab/>
        <w:t>The Committee draws attention to and reiterates its general recommendation 9, on statistical data concerning the situation of women, and recommends that States parties provide statistical data disaggregated by sex in order to measure the achievement of progress towards women’s de facto or substantive equality and the effectiveness of temporary special measures.</w:t>
      </w:r>
    </w:p>
    <w:p w:rsidR="00000000" w:rsidRDefault="00000000">
      <w:r>
        <w:t>36.</w:t>
      </w:r>
      <w:r>
        <w:tab/>
        <w:t>States parties should report on the type of temporary special measures taken in specific fields under the relevant article(s) of the Convention.  Reporting under the respective article(s) should include references to concrete goals and targets, timetables, the reasons for choosing particular measures, steps to enable women to access such measures, and the institution accountable for monitoring implementation and progress.  States parties are also asked to describe how many women are affected by a measure, how many would gain access and participate in a certain field because of a temporary special measure, or the amount of resources and power it aims to redistribute to how many women, and within what time frame.</w:t>
      </w:r>
    </w:p>
    <w:p w:rsidR="00000000" w:rsidRDefault="00000000">
      <w:r>
        <w:t>37.</w:t>
      </w:r>
      <w:r>
        <w:tab/>
        <w:t>The Committee reiterates its general recommendations 5, 8 and 23, wherein it recommended the application of temporary special measures in the fields of education, the economy, politics and employment, in the area of women representing their Governments at the international level and participating in the work of international organizations, and in the area of political and public life.  States parties should intensify, within their national contexts, such efforts especially with regard to all facets of education at all levels as well as all facets and levels of training, employment and representation in public and political life.  The Committee recalls that in all instances, but particularly in the area of health, States parties should carefully distinguish in each field between measures of an ongoing and permanent nature and those of a temporary nature.</w:t>
      </w:r>
    </w:p>
    <w:p w:rsidR="00000000" w:rsidRDefault="00000000">
      <w:r>
        <w:t>38.</w:t>
      </w:r>
      <w:r>
        <w:tab/>
        <w:t>States parties are reminded that temporary special measures should be adopted to accelerate the modification and elimination of cultural practices and stereotypical attitudes and behaviour that discriminate against or are disadvantageous for women.  Temporary special measures should also be implemented in the areas of credit and loans, sports, culture and recreation, and legal awareness.  Where necessary, such measures should be directed at women subjected to multiple discrimination, including rural women.</w:t>
      </w:r>
    </w:p>
    <w:p w:rsidR="00000000" w:rsidRDefault="00000000">
      <w:pPr>
        <w:spacing w:after="480"/>
      </w:pPr>
      <w:r>
        <w:t>39.</w:t>
      </w:r>
      <w:r>
        <w:tab/>
        <w:t>Although the application of temporary special measures may not be possible under all the articles of the Convention, the Committee recommends that their adoption be considered whenever issues of accelerating access to equal participation, on the one hand, and accelerating the redistribution of power and resources, on the other hand, are involved as well as where it can be shown that these measures will be necessary and most appropriate under the circumstances.</w:t>
      </w:r>
    </w:p>
    <w:p w:rsidR="00000000" w:rsidRDefault="00000000">
      <w:pPr>
        <w:spacing w:after="0"/>
        <w:jc w:val="center"/>
        <w:rPr>
          <w:b/>
        </w:rPr>
        <w:sectPr w:rsidR="00000000">
          <w:headerReference w:type="even" r:id="rId58"/>
          <w:headerReference w:type="default" r:id="rId59"/>
          <w:endnotePr>
            <w:numFmt w:val="decimal"/>
            <w:numRestart w:val="eachSect"/>
          </w:endnotePr>
          <w:type w:val="continuous"/>
          <w:pgSz w:w="11907" w:h="16840" w:code="9"/>
          <w:pgMar w:top="567" w:right="851" w:bottom="1985" w:left="1701" w:header="851" w:footer="1985" w:gutter="0"/>
          <w:paperSrc w:first="84" w:other="84"/>
          <w:cols w:space="720"/>
        </w:sectPr>
      </w:pPr>
      <w:r>
        <w:rPr>
          <w:b/>
        </w:rPr>
        <w:t>Notes</w:t>
      </w:r>
    </w:p>
    <w:p w:rsidR="00000000" w:rsidRDefault="00000000">
      <w:pPr>
        <w:pStyle w:val="Heading1"/>
        <w:ind w:left="2439" w:hanging="454"/>
        <w:jc w:val="left"/>
      </w:pPr>
      <w:r>
        <w:br w:type="page"/>
        <w:t>V.</w:t>
      </w:r>
      <w:r>
        <w:tab/>
        <w:t xml:space="preserve">GENERAL COMMENT ADOPTED BY THE </w:t>
      </w:r>
      <w:r>
        <w:br/>
        <w:t>COMMITTEE AGAINST TORTURE</w:t>
      </w:r>
    </w:p>
    <w:p w:rsidR="00000000" w:rsidRDefault="00000000">
      <w:r>
        <w:t>1.</w:t>
      </w:r>
      <w:r>
        <w:tab/>
        <w:t>The Committee against Torture at its sixteenth session decided, on 10 May 1996, to set up a working group to examine questions relating to articles 3 and 22 of the Convention.  The Committee had noticed that most of the individual communications received under article 22 of the Convention in recent years had concerned cases of persons under an order of expulsion, return or extradition who alleged that they would have been in danger of being subjected to torture if they were expelled, returned or extradited.  The Committee felt that some guidance should be given to the States parties and to the authors of communications to enable them to apply correctly the provisions of article 3 in the context of the procedure set forth in article 22 of the Convention.  On 21 November 1997, the Committee adopted the general comment on the implementation of article 3 in the context of article 22 of the Convention (A/53/44, para. 258).</w:t>
      </w:r>
    </w:p>
    <w:p w:rsidR="00000000" w:rsidRDefault="00000000">
      <w:pPr>
        <w:pStyle w:val="Heading2"/>
      </w:pPr>
      <w:r>
        <w:t>Sixteenth session (1996)</w:t>
      </w:r>
      <w:r>
        <w:rPr>
          <w:rStyle w:val="FootnoteReference"/>
          <w:vertAlign w:val="baseline"/>
        </w:rPr>
        <w:footnoteReference w:customMarkFollows="1" w:id="67"/>
        <w:t>*</w:t>
      </w:r>
    </w:p>
    <w:p w:rsidR="00000000" w:rsidRDefault="00000000">
      <w:pPr>
        <w:pStyle w:val="Heading2"/>
      </w:pPr>
      <w:r>
        <w:t xml:space="preserve">General comment No. 1:  Implementation of article 3 of the Convention </w:t>
      </w:r>
      <w:r>
        <w:br/>
        <w:t>in the context of article 22 (Refoulement and communications)</w:t>
      </w:r>
    </w:p>
    <w:p w:rsidR="00000000" w:rsidRDefault="00000000">
      <w:r>
        <w:tab/>
        <w:t>In view of the requirements of article 22, paragraph 4, of the Convention against Torture and Other Cruel, Inhuman or Degrading Treatment or Punishment that the Committee against Torture “shall consider communications received under article 22 in the light of all information made available to it by or on behalf of the individual and by the State party concerned”,</w:t>
      </w:r>
    </w:p>
    <w:p w:rsidR="00000000" w:rsidRDefault="00000000">
      <w:r>
        <w:tab/>
        <w:t>In view of the need arising as a consequence of the application of rule 111, paragraph 3, of the rules of procedure of the Committee (CAT/C/3/Rev.2), and</w:t>
      </w:r>
    </w:p>
    <w:p w:rsidR="00000000" w:rsidRDefault="00000000">
      <w:r>
        <w:tab/>
        <w:t>In view of the need for guidelines for the implementation of article 3 under the procedure foreseen in article 22 of the Convention,</w:t>
      </w:r>
    </w:p>
    <w:p w:rsidR="00000000" w:rsidRDefault="00000000">
      <w:r>
        <w:tab/>
        <w:t>The Committee against Torture, at its nineteenth session, 317th meeting, held on 21 November 1997, adopted the following general comment for the guidance of States parties and authors of communications:</w:t>
      </w:r>
    </w:p>
    <w:p w:rsidR="00000000" w:rsidRDefault="00000000">
      <w:r>
        <w:tab/>
        <w:t>1.</w:t>
      </w:r>
      <w:r>
        <w:tab/>
        <w:t>Article 3 is confined in its application to cases where there are substantial grounds for believing that the author would be in danger of being subjected to torture as defined in article 1 of the Convention.</w:t>
      </w:r>
    </w:p>
    <w:p w:rsidR="00000000" w:rsidRDefault="00000000">
      <w:r>
        <w:tab/>
        <w:t>2.</w:t>
      </w:r>
      <w:r>
        <w:tab/>
        <w:t>The Committee is of the view that the phrase “another State” in article 3 refers to the State to which the individual concerned is being expelled, returned or extradited, as well as to any State to which the author may subsequently be expelled, returned or extradited.</w:t>
      </w:r>
    </w:p>
    <w:p w:rsidR="00000000" w:rsidRDefault="00000000">
      <w:r>
        <w:br w:type="page"/>
      </w:r>
      <w:r>
        <w:tab/>
        <w:t>3.</w:t>
      </w:r>
      <w:r>
        <w:tab/>
        <w:t>Pursuant to article 1, the criterion, mentioned in article 3, paragraph 2, of “a consistent pattern or gross, flagrant or mass violations of human rights” refers only to violations by or at the instigation of or with the consent or acquiescence of a public official or other person acting in an official capacity.</w:t>
      </w:r>
    </w:p>
    <w:p w:rsidR="00000000" w:rsidRDefault="00000000">
      <w:pPr>
        <w:pStyle w:val="Heading3"/>
      </w:pPr>
      <w:r>
        <w:t>Admissibility</w:t>
      </w:r>
    </w:p>
    <w:p w:rsidR="00000000" w:rsidRDefault="00000000">
      <w:r>
        <w:tab/>
        <w:t>4.</w:t>
      </w:r>
      <w:r>
        <w:tab/>
        <w:t>The Committee is of the opinion that it is the responsibility of the author to establish a prima facie case for the purpose of admissibility of his or her communication under article 22 of the Convention by fulfilling each of the requirements of rule 107 of the rules of procedure of the Committee.</w:t>
      </w:r>
    </w:p>
    <w:p w:rsidR="00000000" w:rsidRDefault="00000000">
      <w:pPr>
        <w:pStyle w:val="Heading3"/>
      </w:pPr>
      <w:r>
        <w:t>Merits</w:t>
      </w:r>
    </w:p>
    <w:p w:rsidR="00000000" w:rsidRDefault="00000000">
      <w:r>
        <w:tab/>
        <w:t>5.</w:t>
      </w:r>
      <w:r>
        <w:tab/>
        <w:t>With respect to the application of article 3 of the Convention to the merits of a case, the burden is upon the author to present an arguable case.  This means that there must be a factual basis for the author’s position sufficient to require a response from the State party.</w:t>
      </w:r>
    </w:p>
    <w:p w:rsidR="00000000" w:rsidRDefault="00000000">
      <w:r>
        <w:tab/>
        <w:t>6.</w:t>
      </w:r>
      <w:r>
        <w:tab/>
        <w:t>Bearing in mind that the State party and the Committee are obliged to assess whether there are substantial grounds for believing that the author would be in danger of being subjected to torture were he/she to be expelled, returned or extradited, the risk of torture must be assessed on grounds that go beyond mere theory or suspicion.  However, the risk does not have to meet the test of being highly probable.</w:t>
      </w:r>
    </w:p>
    <w:p w:rsidR="00000000" w:rsidRDefault="00000000">
      <w:r>
        <w:tab/>
        <w:t>7.</w:t>
      </w:r>
      <w:r>
        <w:tab/>
        <w:t>The author must establish that he/she would be in danger of being tortured and that the grounds for so believing are substantial in the way described, and that such danger is personal and present.  All pertinent information may be introduced by either party to bear on this matter.</w:t>
      </w:r>
    </w:p>
    <w:p w:rsidR="00000000" w:rsidRDefault="00000000">
      <w:r>
        <w:tab/>
        <w:t>8.</w:t>
      </w:r>
      <w:r>
        <w:tab/>
        <w:t>The following information, while not exhaustive, would be pertinent:</w:t>
      </w:r>
    </w:p>
    <w:p w:rsidR="00000000" w:rsidRDefault="00000000">
      <w:r>
        <w:tab/>
        <w:t>(a)</w:t>
      </w:r>
      <w:r>
        <w:tab/>
        <w:t>Is the State concerned one in which there is evidence of a consistent pattern of gross, flagrant or mass violations of human rights (see article 3, paragraph 2)?</w:t>
      </w:r>
    </w:p>
    <w:p w:rsidR="00000000" w:rsidRDefault="00000000">
      <w:r>
        <w:tab/>
        <w:t>(b)</w:t>
      </w:r>
      <w:r>
        <w:tab/>
        <w:t>Has the author been tortured or maltreated by or at the instigation of or with the consent of acquiescence of a public official or other person acting in an official capacity in the past?  If so, was this the recent past?</w:t>
      </w:r>
    </w:p>
    <w:p w:rsidR="00000000" w:rsidRDefault="00000000">
      <w:r>
        <w:tab/>
        <w:t>(c)</w:t>
      </w:r>
      <w:r>
        <w:tab/>
        <w:t>Is there medical or other independent evidence to support a claim by the author that he/she has been tortured or maltreated in the past?  Has the torture had after-effects?</w:t>
      </w:r>
    </w:p>
    <w:p w:rsidR="00000000" w:rsidRDefault="00000000">
      <w:r>
        <w:tab/>
        <w:t>(d)</w:t>
      </w:r>
      <w:r>
        <w:tab/>
        <w:t>Has the situation referred to in (a) above changed?  Has the internal situation in respect of human rights altered?</w:t>
      </w:r>
    </w:p>
    <w:p w:rsidR="00000000" w:rsidRDefault="00000000">
      <w:r>
        <w:tab/>
        <w:t>(e)</w:t>
      </w:r>
      <w:r>
        <w:tab/>
        <w:t>Has the author engaged in political or other activity within or outside the State concerned which would appear to make him/her particularly vulnerable to the risk of being placed in danger of torture were he/she to be expelled, returned or extradited to the State in question?</w:t>
      </w:r>
    </w:p>
    <w:p w:rsidR="00000000" w:rsidRDefault="00000000">
      <w:r>
        <w:tab/>
        <w:t>(f)</w:t>
      </w:r>
      <w:r>
        <w:tab/>
        <w:t>Is there any evidence as to the credibility of the author?</w:t>
      </w:r>
    </w:p>
    <w:p w:rsidR="00000000" w:rsidRDefault="00000000">
      <w:r>
        <w:tab/>
        <w:t>(g)</w:t>
      </w:r>
      <w:r>
        <w:tab/>
        <w:t>Are there factual inconsistencies in the claim of the author?  If so, are they relevant?</w:t>
      </w:r>
    </w:p>
    <w:p w:rsidR="00000000" w:rsidRDefault="00000000">
      <w:r>
        <w:tab/>
        <w:t>9.</w:t>
      </w:r>
      <w:r>
        <w:tab/>
        <w:t>Bearing in mind that the Committee against Torture is not an appellate, a quasi</w:t>
      </w:r>
      <w:r>
        <w:noBreakHyphen/>
        <w:t>judicial or an administrative body, but rather a monitoring body created by the States parties themselves with declaratory powers only, it follows that:</w:t>
      </w:r>
    </w:p>
    <w:p w:rsidR="00000000" w:rsidRDefault="00000000">
      <w:r>
        <w:tab/>
        <w:t>(a)</w:t>
      </w:r>
      <w:r>
        <w:tab/>
        <w:t>Considerable weight will be given, in exercising the Committee’s jurisdiction pursuant to article 3 of the Convention, to findings of fact that are made by organs of the State party concerned; but</w:t>
      </w:r>
    </w:p>
    <w:p w:rsidR="00000000" w:rsidRDefault="00000000">
      <w:r>
        <w:tab/>
        <w:t>(b)</w:t>
      </w:r>
      <w:r>
        <w:tab/>
        <w:t>The Committee is not bound by such findings and instead has the power, provided by article 22, paragraph 4, of the Convention, of free assessment of the facts based upon the full set of circumstances in every case.</w:t>
      </w:r>
    </w:p>
    <w:p w:rsidR="00000000" w:rsidRDefault="00000000">
      <w:pPr>
        <w:pStyle w:val="Heading2"/>
      </w:pPr>
    </w:p>
    <w:p w:rsidR="00000000" w:rsidRDefault="00000000">
      <w:pPr>
        <w:pStyle w:val="Heading1"/>
        <w:keepNext w:val="0"/>
        <w:ind w:left="1588" w:hanging="454"/>
        <w:jc w:val="left"/>
      </w:pPr>
      <w:r>
        <w:br w:type="page"/>
      </w:r>
      <w:bookmarkStart w:id="272" w:name="_Toc481083512"/>
      <w:bookmarkStart w:id="273" w:name="_Toc70389111"/>
      <w:bookmarkStart w:id="274" w:name="_Toc70517043"/>
      <w:r>
        <w:t>vi.</w:t>
      </w:r>
      <w:r>
        <w:tab/>
        <w:t>general comment adopted by THE COMMITTEE</w:t>
      </w:r>
      <w:r>
        <w:br/>
        <w:t>on the rights of the child</w:t>
      </w:r>
      <w:bookmarkEnd w:id="272"/>
      <w:bookmarkEnd w:id="273"/>
      <w:bookmarkEnd w:id="274"/>
    </w:p>
    <w:p w:rsidR="00000000" w:rsidRDefault="00000000">
      <w:pPr>
        <w:pStyle w:val="Heading2"/>
      </w:pPr>
      <w:r>
        <w:t>Twenty-sixth session (2001)</w:t>
      </w:r>
    </w:p>
    <w:p w:rsidR="00000000" w:rsidRDefault="00000000">
      <w:pPr>
        <w:pStyle w:val="Heading2"/>
      </w:pPr>
      <w:bookmarkStart w:id="275" w:name="_Toc481083513"/>
      <w:bookmarkStart w:id="276" w:name="_Toc70389112"/>
      <w:bookmarkStart w:id="277" w:name="_Toc70517044"/>
      <w:r>
        <w:t>General comment No. 1:  The aims of education</w:t>
      </w:r>
      <w:bookmarkEnd w:id="275"/>
      <w:bookmarkEnd w:id="276"/>
      <w:bookmarkEnd w:id="277"/>
    </w:p>
    <w:p w:rsidR="00000000" w:rsidRDefault="00000000">
      <w:pPr>
        <w:pStyle w:val="Heading3"/>
      </w:pPr>
      <w:r>
        <w:t>The significance of article 29 (1)</w:t>
      </w:r>
    </w:p>
    <w:p w:rsidR="00000000" w:rsidRDefault="00000000">
      <w:r>
        <w:t>1.</w:t>
      </w:r>
      <w:r>
        <w:tab/>
        <w:t>Article 29, paragraph 1, of the Convention on the Rights of the Child is of far</w:t>
      </w:r>
      <w:r>
        <w:noBreakHyphen/>
        <w:t>reaching importance.  The aims of education that it sets out, which have been agreed to by all States parties, promote, support and protect the core value of the Convention:  the human dignity innate in every child and his or her equal and inalienable rights.  These aims, set out in the five subparagraphs of article 29 (1), are all linked directly to the realization of the child’s human dignity and rights, taking into account the child’s special developmental needs and diverse evolving capacities.  The aims are:  the holistic development of the full potential of the child (29 (1) (a)), including development of respect for human rights (29 (1) (b)), an enhanced sense of identity and affiliation (29 (1) (c)), and his or her socialization and interaction with others (29 (1) (d)) and with the environment (29 (1) (e)).</w:t>
      </w:r>
    </w:p>
    <w:p w:rsidR="00000000" w:rsidRDefault="00000000">
      <w:r>
        <w:t>2.</w:t>
      </w:r>
      <w:r>
        <w:tab/>
        <w:t>Article 29 (1) not only adds to the right to education recognized in article 28 a qualitative dimension which reflects the rights and inherent dignity of the child; it also insists upon the need for education to be child</w:t>
      </w:r>
      <w:r>
        <w:noBreakHyphen/>
        <w:t>centred, child</w:t>
      </w:r>
      <w:r>
        <w:noBreakHyphen/>
        <w:t>friendly and empowering, and it highlights the need for educational processes to be based upon the very principles it enunciates.</w:t>
      </w:r>
      <w:r>
        <w:rPr>
          <w:rStyle w:val="EndnoteReference"/>
        </w:rPr>
        <w:endnoteReference w:id="206"/>
      </w:r>
      <w:r>
        <w:t xml:space="preserve">  The education to which every child has a right is one designed to provide the child with life skills, to strengthen the child’s capacity to enjoy the full range of human rights and to promote a culture which is infused by appropriate human rights values.  The goal is to empower the child by developing his or her skills, learning and other capacities, human dignity, self</w:t>
      </w:r>
      <w:r>
        <w:noBreakHyphen/>
        <w:t>esteem and self</w:t>
      </w:r>
      <w:r>
        <w:noBreakHyphen/>
        <w:t>confidence.  “Education” in this context goes far beyond formal schooling to embrace the broad range of life experiences and learning processes which enable children, individually and collectively, to develop their personalities, talents and abilities and to live a full and satisfying life within society.</w:t>
      </w:r>
    </w:p>
    <w:p w:rsidR="00000000" w:rsidRDefault="00000000">
      <w:r>
        <w:t>3.</w:t>
      </w:r>
      <w:r>
        <w:tab/>
        <w:t>The child’s right to education is not only a matter of access (art. 28) but also of content.  An education with its contents firmly rooted in the values of article 29 (1) is for every child an indispensable tool for her or his efforts to achieve in the course of her or his life a balanced, human rights</w:t>
      </w:r>
      <w:r>
        <w:noBreakHyphen/>
        <w:t>friendly response to the challenges that accompany a period of fundamental change driven by globalization, new technologies and related phenomena.  Such challenges include the tensions between, inter alia, the global and the local; the individual and the collective; tradition and modernity; long</w:t>
      </w:r>
      <w:r>
        <w:noBreakHyphen/>
        <w:t xml:space="preserve"> and short</w:t>
      </w:r>
      <w:r>
        <w:noBreakHyphen/>
        <w:t>term considerations; competition and equality of opportunity; the expansion of knowledge and the capacity to assimilate it; and the spiritual and the material.</w:t>
      </w:r>
      <w:r>
        <w:rPr>
          <w:rStyle w:val="EndnoteReference"/>
        </w:rPr>
        <w:endnoteReference w:id="207"/>
      </w:r>
      <w:r>
        <w:t xml:space="preserve">  And yet, in the national and international programmes and policies on education that really count, the elements embodied in article 29 (1) seem all too often to be either largely missing or present only as a cosmetic afterthought.</w:t>
      </w:r>
    </w:p>
    <w:p w:rsidR="00000000" w:rsidRDefault="00000000">
      <w:r>
        <w:br w:type="page"/>
        <w:t>4.</w:t>
      </w:r>
      <w:r>
        <w:tab/>
        <w:t>Article 29 (1) states that the States parties agree that education should be directed to a wide range of values.  This agreement overcomes the boundaries of religion, nation and culture built across many parts of the world.  At first sight, some of the diverse values expressed in article 29 (1) might be thought to be in conflict with one another in certain situations.  Thus, efforts to promote understanding, tolerance and friendship among all peoples, to which paragraph (1) (d) refers, might not always be automatically compatible with policies designed, in accordance with paragraph (1) (c), to develop respect for the child’s own cultural identity, language and values, for the national values of the country in which the child is living, the country from which he or she may originate, and for civilizations different from his or her own.  But in fact, part of the importance of this provision lies precisely in its recognition of the need for a balanced approach to education and one which succeeds in reconciling diverse values through dialogue and respect for difference.  Moreover, children are capable of playing a unique role in bridging many of the differences that have historically separated groups of people from one another.</w:t>
      </w:r>
    </w:p>
    <w:p w:rsidR="00000000" w:rsidRDefault="00000000">
      <w:pPr>
        <w:pStyle w:val="Heading3"/>
      </w:pPr>
      <w:r>
        <w:t xml:space="preserve">The functions of article 29 (1): </w:t>
      </w:r>
    </w:p>
    <w:p w:rsidR="00000000" w:rsidRDefault="00000000">
      <w:r>
        <w:t>5.</w:t>
      </w:r>
      <w:r>
        <w:tab/>
        <w:t>Article 29 (1) is much more than an inventory or listing of different objectives which education should seek to achieve.  Within the overall context of the Convention it serves to highlight, inter alia, the following dimensions.</w:t>
      </w:r>
    </w:p>
    <w:p w:rsidR="00000000" w:rsidRDefault="00000000">
      <w:r>
        <w:t>6.</w:t>
      </w:r>
      <w:r>
        <w:tab/>
        <w:t>First, it emphasizes the indispensable interconnected nature of the Convention’s provisions.  It draws upon, reinforces, integrates and complements a variety of other provisions and cannot be properly understood in isolation from them.  In addition to the general principles of the Convention - non</w:t>
      </w:r>
      <w:r>
        <w:noBreakHyphen/>
        <w:t>discrimination (art. 2), the best interest of the child (art. 3), the right to life, survival and development (art. 6) and the right to express views and have them taken into account (art. 12) - many other provisions may be mentioned, such as but not limited to the rights and responsibilities of parents (arts. 5 and 18), freedom of expression (art. 13), freedom of thought (art. 14), the right to information (art. 17), the rights of children with disabilities (art. 23), the right to education for health (art. 24), the right to education (art. 28), and the linguistic and cultural rights of children belonging to minority groups (art. 30).</w:t>
      </w:r>
    </w:p>
    <w:p w:rsidR="00000000" w:rsidRDefault="00000000">
      <w:r>
        <w:t>7.</w:t>
      </w:r>
      <w:r>
        <w:tab/>
        <w:t>Children’s rights are not detached or isolated values devoid of context, but exist within a broader ethical framework which is partly described in article 29 (1) and in the preamble to the Convention.  Many of the criticisms that have been made of the Convention are specifically answered by this provision.  Thus, for example, this article underlines the importance of respect for parents, of the need to view rights within their broader ethical, moral, spiritual, cultural or social framework and of the fact that most children’s rights, far from being externally imposed, are embedded within the values of local communities.</w:t>
      </w:r>
    </w:p>
    <w:p w:rsidR="00000000" w:rsidRDefault="00000000">
      <w:r>
        <w:t>8.</w:t>
      </w:r>
      <w:r>
        <w:tab/>
        <w:t>Second, the article attaches importance to the process by which the right to education is to be promoted.  Thus, efforts to promote the enjoyment of other rights must not be undermined, and should be reinforced, by the values imparted in the educational process.  This includes not only the content of the curriculum but also the educational processes, the pedagogical methods and the environment within which education takes place, whether it be the home, school, or elsewhere.  Children do not lose their human rights by virtue of passing through the school gates.  Thus, for example, education must be provided in a way that respects the inherent dignity of the child and enables the child to express his or her views freely in accordance with article 12 (1) and to participate in school life.  Education must also be provided in a way that respects the strict limits on discipline reflected in article 28 (2) and promotes non</w:t>
      </w:r>
      <w:r>
        <w:noBreakHyphen/>
        <w:t>violence in school.  The Committee has repeatedly made clear in its concluding observations that the use of corporal punishment does not respect the inherent dignity of the child nor the strict limits on school discipline.  Compliance with the values recognized in article 29 (1) clearly requires that schools be child</w:t>
      </w:r>
      <w:r>
        <w:noBreakHyphen/>
        <w:t>friendly in the fullest sense of the term and that they be consistent in all respects with the dignity of the child.  The participation of children in school life, the creation of school communities and student councils, peer education and peer counselling, and the involvement of children in school disciplinary proceedings should be promoted as part of the process of learning and experiencing the realization of rights.</w:t>
      </w:r>
    </w:p>
    <w:p w:rsidR="00000000" w:rsidRDefault="00000000">
      <w:r>
        <w:t>9.</w:t>
      </w:r>
      <w:r>
        <w:tab/>
        <w:t>Third, while article 28 focuses upon the obligations of State parties in relation to the establishment of educational systems and in ensuring access thereto, article 29 (1) underlies the individual and subjective right to a specific quality of education.  Consistent with the Convention’s emphasis on the importance of acting in the best interests of the child, this article emphasizes the message of child</w:t>
      </w:r>
      <w:r>
        <w:noBreakHyphen/>
        <w:t>centred education:  that the key goal of education is the development of the individual child’s personality, talents and abilities, in recognition of the fact that every child has unique characteristics, interests, abilities, and learning needs.</w:t>
      </w:r>
      <w:r>
        <w:rPr>
          <w:rStyle w:val="EndnoteReference"/>
        </w:rPr>
        <w:endnoteReference w:id="208"/>
      </w:r>
      <w:r>
        <w:t xml:space="preserve">  Thus, the curriculum must be of direct relevance to the child’s social, cultural, environmental and economic context and to his or her present and future needs and take full account of the child’s evolving capacities; teaching methods should be tailored to the different needs of different children.  Education must also be aimed at ensuring that essential life skills are learnt by every child and that no child leaves school without being equipped to face the challenges that he or she can expect to be confronted with in life.  Basic skills include not only literacy and numeracy but also life skills such as the ability to make well</w:t>
      </w:r>
      <w:r>
        <w:noBreakHyphen/>
        <w:t>balanced decisions; to resolve conflicts in a non</w:t>
      </w:r>
      <w:r>
        <w:noBreakHyphen/>
        <w:t>violent manner; and to develop a healthy lifestyle, good social relationships and responsibility, critical thinking, creative talents, and other abilities which give children the tools needed to pursue their options in life.</w:t>
      </w:r>
    </w:p>
    <w:p w:rsidR="00000000" w:rsidRDefault="00000000">
      <w:r>
        <w:t>10.</w:t>
      </w:r>
      <w:r>
        <w:tab/>
        <w:t>Discrimination on the basis of any of the grounds listed in article 2 of the Convention, whether it is overt or hidden, offends the human dignity of the child and is capable of undermining or even destroying the capacity of the child to benefit from educational opportunities.  While denying a child’s access to educational opportunities is primarily a matter which relates to article 28 of the Convention, there are many ways in which failure to comply with the principles contained in article 29 (1) can have a similar effect.  To take an extreme example, gender discrimination can be reinforced by practices such as a curriculum which is inconsistent with the principles of gender equality, by arrangements which limit the benefits girls can obtain from the educational opportunities offered, and by unsafe or unfriendly environments which discourage girls’ participation.  Discrimination against children with disabilities is also pervasive in many formal educational systems and in a great many informal educational settings, including in the home.</w:t>
      </w:r>
      <w:r>
        <w:rPr>
          <w:rStyle w:val="EndnoteReference"/>
        </w:rPr>
        <w:endnoteReference w:id="209"/>
      </w:r>
      <w:r>
        <w:t xml:space="preserve">  Children with HIV/AIDS are also heavily discriminated against in both settings.</w:t>
      </w:r>
      <w:r>
        <w:rPr>
          <w:rStyle w:val="EndnoteReference"/>
        </w:rPr>
        <w:endnoteReference w:id="210"/>
      </w:r>
      <w:r>
        <w:t xml:space="preserve">  All such discriminatory practices are in direct contradiction with the requirements in article 29 (1) (a) that education be directed to the development of the child’s personality, talents and mental and physical abilities to their fullest potential.</w:t>
      </w:r>
    </w:p>
    <w:p w:rsidR="00000000" w:rsidRDefault="00000000">
      <w:r>
        <w:t>11.</w:t>
      </w:r>
      <w:r>
        <w:tab/>
        <w:t>The Committee also wishes to highlight the links between article 29 (1) and the struggle against racism, racial discrimination, xenophobia and related intolerance.  Racism and related phenomena thrive where there is ignorance, unfounded fears of racial, ethnic, religious, cultural and linguistic or other forms of difference, the exploitation of prejudices, or the teaching or dissemination of distorted values.  A reliable and enduring antidote to all of these failings is the provision of education which promotes an understanding and appreciation of the values reflected in article 29 (1), including respect for differences, and challenges all aspects of discrimination and prejudice.  Education should thus be accorded one of the highest priorities in all campaigns against the evils of racism and related phenomena.  Emphasis must also be placed upon the importance of teaching about racism as it has been practised historically, and particularly as it manifests or has manifested itself within particular communities.  Racist behaviour is not something engaged in only by “others”.  It is therefore important to focus on the child’s own community when teaching human and children’s rights and the principle of non</w:t>
      </w:r>
      <w:r>
        <w:noBreakHyphen/>
        <w:t>discrimination.  Such teaching can effectively contribute to the prevention and elimination of racism, ethnic discrimination, xenophobia and related intolerance.</w:t>
      </w:r>
    </w:p>
    <w:p w:rsidR="00000000" w:rsidRDefault="00000000">
      <w:r>
        <w:t>12.</w:t>
      </w:r>
      <w:r>
        <w:tab/>
        <w:t>Fourth, article 29 (1) insists upon a holistic approach to education which ensures that the educational opportunities made available reflect an appropriate balance between promoting the physical, mental, spiritual and emotional aspects of education, the intellectual, social and practical dimensions, and the childhood and lifelong aspects.  The overall objective of education is to maximize the child’s ability and opportunity to participate fully and responsibly in a free society.  It should be emphasized that the type of teaching that is focused primarily on accumulation of knowledge, prompting competition and leading to an excessive burden of work on children, may seriously hamper the harmonious development of the child to the fullest potential of his or her abilities and talents.  Education should be child</w:t>
      </w:r>
      <w:r>
        <w:noBreakHyphen/>
        <w:t>friendly, inspiring and motivating the individual child.  Schools should foster a humane atmosphere and allow children to develop according to their evolving capacities.</w:t>
      </w:r>
    </w:p>
    <w:p w:rsidR="00000000" w:rsidRDefault="00000000">
      <w:r>
        <w:t>13.</w:t>
      </w:r>
      <w:r>
        <w:tab/>
        <w:t>Fifth, it emphasizes the need for education to be designed and provided in such a way that it promotes and reinforces the range of specific ethical values enshrined in the Convention, including education for peace, tolerance, and respect for the natural environment, in an integrated and holistic manner.  This may require a multidisciplinary approach.  The promotion and reinforcement of the values of article 29 (1) are not only necessary because of problems elsewhere, but must also focus on problems within the child’s own community.  Education in this regard should take place within the family, but schools and communities must also play an important role.  For example, for the development of respect for the natural environment, education must link issues of environmental and sustainable development with socio</w:t>
      </w:r>
      <w:r>
        <w:noBreakHyphen/>
        <w:t>economic, sociocultural and demographic issues.  Similarly, respect for the natural environment should be learnt by children at home, in school and within the community, encompass both national and international problems, and actively involve children in local, regional or global environmental projects.</w:t>
      </w:r>
    </w:p>
    <w:p w:rsidR="00000000" w:rsidRDefault="00000000">
      <w:r>
        <w:t>14.</w:t>
      </w:r>
      <w:r>
        <w:tab/>
        <w:t>Sixth, it reflects the vital role of appropriate educational opportunities in the promotion of all other human rights and the understanding of their indivisibility.  A child’s capacity to participate fully and responsibly in a free society can be impaired or undermined not only by outright denial of access to education but also by a failure to promote an understanding of the values recognized in this article.</w:t>
      </w:r>
    </w:p>
    <w:p w:rsidR="00000000" w:rsidRDefault="00000000">
      <w:pPr>
        <w:pStyle w:val="Heading3"/>
      </w:pPr>
      <w:r>
        <w:t>Human rights education</w:t>
      </w:r>
    </w:p>
    <w:p w:rsidR="00000000" w:rsidRDefault="00000000">
      <w:r>
        <w:t>15.</w:t>
      </w:r>
      <w:r>
        <w:tab/>
        <w:t>Article 29 (1) can also be seen as a foundation stone for the various programmes of human rights education called for by the World Conference on Human Rights, held in Vienna in 1993, and promoted by international agencies.  Nevertheless, the rights of the child have not always been given the prominence they require in the context of such activities.  Human rights education should provide information on the content of human rights treaties.  But children should also learn about human rights by seeing human rights standards implemented in practice, whether at home, in school, or within the community.  Human rights education should be a comprehensive, lifelong process and start with the reflection of human rights values in the daily life and experiences of children.</w:t>
      </w:r>
      <w:r>
        <w:rPr>
          <w:rStyle w:val="EndnoteReference"/>
        </w:rPr>
        <w:endnoteReference w:id="211"/>
      </w:r>
    </w:p>
    <w:p w:rsidR="00000000" w:rsidRDefault="00000000">
      <w:r>
        <w:t>16.</w:t>
      </w:r>
      <w:r>
        <w:tab/>
        <w:t>The values embodied in article 29 (1) are relevant to children living in zones of peace but they are even more important for those living in situations of conflict or emergency.  As the Dakar Framework for Action notes, it is important in the context of education systems affected by conflict, natural calamities and instability that educational programmes be conducted in ways that promote mutual understanding, peace and tolerance, and that help to prevent violence and conflict.</w:t>
      </w:r>
      <w:r>
        <w:rPr>
          <w:rStyle w:val="EndnoteReference"/>
        </w:rPr>
        <w:endnoteReference w:id="212"/>
      </w:r>
      <w:r>
        <w:t xml:space="preserve">  Education about international humanitarian law also constitutes an important, but all too often neglected, dimension of efforts to give effect to article 29 (1).</w:t>
      </w:r>
    </w:p>
    <w:p w:rsidR="00000000" w:rsidRDefault="00000000">
      <w:pPr>
        <w:pStyle w:val="Heading3"/>
      </w:pPr>
      <w:r>
        <w:t>Implementation, monitoring and review</w:t>
      </w:r>
    </w:p>
    <w:p w:rsidR="00000000" w:rsidRDefault="00000000">
      <w:r>
        <w:t>17.</w:t>
      </w:r>
      <w:r>
        <w:tab/>
        <w:t>The aims and values reflected in this article are stated in quite general terms and their implications are potentially very wide</w:t>
      </w:r>
      <w:r>
        <w:noBreakHyphen/>
        <w:t>ranging.  This seems to have led many States parties to assume that it is unnecessary, or even inappropriate, to ensure that the relevant principles are reflected in legislation or in administrative directives.  This assumption is unwarranted.  In the absence of any specific formal endorsement in national law or policy, it seems unlikely that the relevant principles are or will be used to genuinely inform educational policies.  The Committee therefore calls upon all States parties to take the necessary steps to formally incorporate these principles into their education policies and legislation at all levels.</w:t>
      </w:r>
    </w:p>
    <w:p w:rsidR="00000000" w:rsidRDefault="00000000">
      <w:r>
        <w:t>18.</w:t>
      </w:r>
      <w:r>
        <w:tab/>
        <w:t>The effective promotion of article 29 (1) requires the fundamental reworking of curricula to include the various aims of education and the systematic revision of textbooks and other teaching materials and technologies, as well as school policies.  Approaches which do no more than seek to superimpose the aims and values of the article on the existing system without encouraging any deeper changes are clearly inadequate.  The relevant values cannot be effectively integrated into, and thus be rendered consistent with, a broader curriculum unless those who are expected to transmit, promote, teach and, as far as possible, exemplify the values have themselves been convinced of their importance.  Pre</w:t>
      </w:r>
      <w:r>
        <w:noBreakHyphen/>
        <w:t>service and in</w:t>
      </w:r>
      <w:r>
        <w:noBreakHyphen/>
        <w:t>service training schemes which promote the principles reflected in article 29 (1) are thus essential for teachers, educational administrators and others involved in child education.  It is also important that the teaching methods used in schools reflect the spirit and educational philosophy of the Convention on the Rights of the Child and the aims of education laid down in article 29 (1).</w:t>
      </w:r>
    </w:p>
    <w:p w:rsidR="00000000" w:rsidRDefault="00000000">
      <w:r>
        <w:t>19.</w:t>
      </w:r>
      <w:r>
        <w:tab/>
        <w:t>In addition, the school environment itself must thus reflect the freedom and the spirit of understanding, peace, tolerance, equality of sexes, and friendship among all peoples, ethnic, national and religious groups and persons of indigenous origin called for in article 29 (1) (b) and (d).  A school which allows bullying or other violent and exclusionary practices to occur is not one which meets the requirements of article 29 (1).  The term “human rights education” is too often used in a way which greatly oversimplifies its connotations.  What is needed, in addition to formal human rights education, is the promotion of values and policies conducive to human rights not only within schools and universities but also within the broader community.</w:t>
      </w:r>
    </w:p>
    <w:p w:rsidR="00000000" w:rsidRDefault="00000000">
      <w:r>
        <w:t>20.</w:t>
      </w:r>
      <w:r>
        <w:tab/>
        <w:t>In general terms, the various initiatives that States parties are required to take pursuant to their Convention obligations will be insufficiently grounded in the absence of widespread dissemination of the text of the Convention itself, in accordance with the provisions of article 42.  This will also facilitate the role of children as promoters and defenders of children’s rights in their daily lives.  In order to facilitate broader dissemination, States parties should report on the measures they have taken to achieve this objective and the Office of the High Commissioner for Human Rights should develop a comprehensive database of the language versions of the Convention that have been produced.</w:t>
      </w:r>
    </w:p>
    <w:p w:rsidR="00000000" w:rsidRDefault="00000000">
      <w:r>
        <w:t>21.</w:t>
      </w:r>
      <w:r>
        <w:tab/>
        <w:t>The media, broadly defined, also have a central role to play, both in promoting the values and aims reflected in article 29 (1) and in ensuring that their activities do not undermine the efforts of others to promote those objectives.  Governments are obligated by the Convention, pursuant to article 17 (a), to take all appropriate steps to “encourage the mass media to disseminate information and material of social and cultural benefit to the child”.</w:t>
      </w:r>
      <w:r>
        <w:rPr>
          <w:rStyle w:val="EndnoteReference"/>
        </w:rPr>
        <w:endnoteReference w:id="213"/>
      </w:r>
    </w:p>
    <w:p w:rsidR="00000000" w:rsidRDefault="00000000">
      <w:r>
        <w:t>22.</w:t>
      </w:r>
      <w:r>
        <w:tab/>
        <w:t>The Committee calls upon States parties to devote more attention to education as a dynamic process and to devising means by which to measure changes over time in relation to article 29 (1).  Every child has the right to receive an education of good quality which in turn requires a focus on the quality of the learning environment, of teaching and learning processes and materials, and of learning outputs.  The Committee notes the importance of surveys that may provide an opportunity to assess the progress made, based upon consideration of the views of all actors involved in the process, including children currently in or out of school, teachers and youth leaders, parents, and educational administrators and supervisors.  In this respect, the Committee emphasizes the role of national</w:t>
      </w:r>
      <w:r>
        <w:noBreakHyphen/>
        <w:t>level monitoring which seeks to ensure that children, parents and teachers can have an input in decisions relevant to education.</w:t>
      </w:r>
    </w:p>
    <w:p w:rsidR="00000000" w:rsidRDefault="00000000">
      <w:r>
        <w:t>23.</w:t>
      </w:r>
      <w:r>
        <w:tab/>
        <w:t>The Committee calls upon States parties to develop a comprehensive national plan of action to promote and monitor realization of the objectives listed in article 29 (1).  If such a plan is drawn up in the larger context of a national action plan for children, a national human rights action plan, or a national human rights education strategy, the Government must ensure that it nonetheless addresses all of the issues dealt with in article 29 (1) and does so from a child</w:t>
      </w:r>
      <w:r>
        <w:noBreakHyphen/>
        <w:t>rights perspective.  The Committee urges that the United Nations and other international bodies concerned with educational policy and human rights education seek better coordination so as to enhance the effectiveness of the implementation of article 29 (1).</w:t>
      </w:r>
    </w:p>
    <w:p w:rsidR="00000000" w:rsidRDefault="00000000">
      <w:r>
        <w:t>24.</w:t>
      </w:r>
      <w:r>
        <w:tab/>
        <w:t xml:space="preserve">The design and implementation of programmes to promote the values reflected in this article should become part of the standard response by Governments to almost all situations in which patterns of human rights violations have occurred.  Thus, for example, where major incidents of racism, racial discrimination, xenophobia and related intolerance occur which involve those under 18, it can reasonably be presumed that the Government has not done all that </w:t>
      </w:r>
      <w:r>
        <w:br w:type="page"/>
        <w:t>it should to promote the values reflected in the Convention generally, and in article 29 (1) in particular.  Appropriate additional measures under article 29 (1) should therefore be adopted which include research on and adoption of whatever educational techniques might have a positive impact in achieving the rights recognized in the Convention.</w:t>
      </w:r>
    </w:p>
    <w:p w:rsidR="00000000" w:rsidRDefault="00000000">
      <w:r>
        <w:t>25.</w:t>
      </w:r>
      <w:r>
        <w:tab/>
        <w:t>States parties should also consider establishing a review procedure which responds to complaints that existing policies or practices are not consistent with article 29 (1).  Such review procedures need not necessarily entail the creation of new legal, administrative, or educational bodies.  They might also be entrusted to national human rights institutions or to existing administrative bodies.  The Committee requests each State party when reporting on this article to identify the genuine possibilities that exist at the national or local level to obtain a review of existing approaches which are claimed to be incompatible with the Convention.  Information should be provided as to how such reviews can be initiated and how many such review procedures have been undertaken within the reporting period.</w:t>
      </w:r>
    </w:p>
    <w:p w:rsidR="00000000" w:rsidRDefault="00000000">
      <w:r>
        <w:t>26.</w:t>
      </w:r>
      <w:r>
        <w:tab/>
        <w:t>In order to better focus the process of examining States parties’ reports dealing with article 29 (1), and in accordance with the requirement in article 44 that reports shall indicate factors and difficulties, the Committee requests each State party to provide a detailed indication in its periodic reports of what it considers to be the most important priorities within its jurisdiction which call for a more concerted effort to promote the values reflected in this provision and to outline the programme of activities which it proposes to take over the succeeding five years in order to address the problems identified.</w:t>
      </w:r>
    </w:p>
    <w:p w:rsidR="00000000" w:rsidRDefault="00000000">
      <w:r>
        <w:t>27.</w:t>
      </w:r>
      <w:r>
        <w:tab/>
        <w:t>The Committee calls upon United Nations bodies and agencies and other competent bodies whose role is underscored in article 45 of the Convention to contribute more actively and systematically to the Committee’s work in relation to article 29 (1).</w:t>
      </w:r>
    </w:p>
    <w:p w:rsidR="00000000" w:rsidRDefault="00000000">
      <w:pPr>
        <w:spacing w:after="480"/>
      </w:pPr>
      <w:r>
        <w:t>28.</w:t>
      </w:r>
      <w:r>
        <w:tab/>
        <w:t>Implementation of comprehensive national plans of action to enhance compliance with article 29 (1) will require human and financial resources which should be available to the maximum extent possible, in accordance with article 4.  Therefore, the Committee considers that resource constraints cannot provide a justification for a State party’s failure to take any, or enough, of the measures that are required.  In this context, and in light of the obligations upon States parties to promote and encourage international cooperation both in general terms (articles 4 and 45 of the Convention) and in relation to education (art. 28 (3)), the Committee urges States parties providing development cooperation to ensure that their programmes are designed so as to take full account of the principles contained in article 29 (1).</w:t>
      </w:r>
    </w:p>
    <w:p w:rsidR="00000000" w:rsidRDefault="00000000">
      <w:pPr>
        <w:spacing w:after="0"/>
        <w:jc w:val="center"/>
        <w:sectPr w:rsidR="00000000">
          <w:headerReference w:type="even" r:id="rId60"/>
          <w:headerReference w:type="default" r:id="rId61"/>
          <w:endnotePr>
            <w:numFmt w:val="decimal"/>
            <w:numRestart w:val="eachSect"/>
          </w:endnotePr>
          <w:type w:val="continuous"/>
          <w:pgSz w:w="11909" w:h="16834"/>
          <w:pgMar w:top="567" w:right="851" w:bottom="1985" w:left="1701" w:header="851" w:footer="1985" w:gutter="0"/>
          <w:paperSrc w:first="84" w:other="84"/>
          <w:cols w:space="60"/>
        </w:sectPr>
      </w:pPr>
      <w:r>
        <w:rPr>
          <w:b/>
        </w:rPr>
        <w:t>Notes</w:t>
      </w:r>
      <w:r>
        <w:t xml:space="preserve"> </w:t>
      </w:r>
    </w:p>
    <w:p w:rsidR="00000000" w:rsidRDefault="00000000">
      <w:pPr>
        <w:pStyle w:val="Heading2"/>
      </w:pPr>
      <w:r>
        <w:t>Thirty-first session (2002)</w:t>
      </w:r>
    </w:p>
    <w:p w:rsidR="00000000" w:rsidRDefault="00000000">
      <w:pPr>
        <w:pStyle w:val="Heading2"/>
      </w:pPr>
      <w:bookmarkStart w:id="278" w:name="_Toc481083515"/>
      <w:bookmarkStart w:id="279" w:name="_Toc70389114"/>
      <w:bookmarkStart w:id="280" w:name="_Toc70517045"/>
      <w:r>
        <w:t>General comment No. 2:  The role of independent national human rights</w:t>
      </w:r>
      <w:r>
        <w:br/>
        <w:t>institutions in the promotion and protection of the rights of the child</w:t>
      </w:r>
      <w:bookmarkEnd w:id="278"/>
      <w:bookmarkEnd w:id="279"/>
      <w:bookmarkEnd w:id="280"/>
    </w:p>
    <w:p w:rsidR="00000000" w:rsidRDefault="00000000">
      <w:r>
        <w:t>1.</w:t>
      </w:r>
      <w:r>
        <w:tab/>
        <w:t>Article 4 of the Convention on the Rights of the Child obliges States parties to “undertake all appropriate legislative, administrative and other measures for the implementation of the rights recognized in the present Convention”.  Independent national human rights institutions (NHRIs) are an important mechanism to promote and ensure the implementation of the Convention, and the Committee on the Rights of the Child considers the establishment of such bodies to fall within the commitment made by States parties upon ratification to ensure the implementation of the Convention and advance the universal realization of children’s rights.  In this regard, the Committee has welcomed the establishment of NHRIs and children’s ombudspersons/children’s commissioners and similar independent bodies for the promotion and monitoring of the implementation of the Convention in a number of States parties.</w:t>
      </w:r>
    </w:p>
    <w:p w:rsidR="00000000" w:rsidRDefault="00000000">
      <w:r>
        <w:t>2.</w:t>
      </w:r>
      <w:r>
        <w:tab/>
        <w:t>The Committee issues this general comment in order to encourage States parties to establish an independent institution for the promotion and monitoring of implementation of the Convention and to support them in this regard by elaborating the essential elements of such institutions and the activities which should be carried out by them.  Where such institutions have already been established, the Committee calls upon States to review their status and effectiveness for promoting and protecting children’s rights, as enshrined in the Convention on the Rights of the Child and other relevant international instruments.</w:t>
      </w:r>
    </w:p>
    <w:p w:rsidR="00000000" w:rsidRDefault="00000000">
      <w:r>
        <w:t>3.</w:t>
      </w:r>
      <w:r>
        <w:tab/>
        <w:t>The World Conference on Human Rights, held in 1993, in the Vienna Declaration and Programme of Action reaffirmed “… the important and constructive role played by national institutions for the promotion and protection of human rights”, and encouraged “… the establishment and strengthening of national institutions”.  The General Assembly and the Commission on Human Rights have repeatedly called for the establishment of national human rights institutions, underlining the important role NHRIs play in promoting and protecting human rights and enhancing public awareness of those rights.  In its general guidelines for periodic reports, the Committee requires that States parties furnish information on “any independent body established to promote and protect the rights of the child …”,</w:t>
      </w:r>
      <w:r>
        <w:rPr>
          <w:rStyle w:val="EndnoteReference"/>
        </w:rPr>
        <w:endnoteReference w:id="214"/>
      </w:r>
      <w:r>
        <w:t xml:space="preserve"> hence, it consistently addresses this issue during its dialogue with States parties.</w:t>
      </w:r>
    </w:p>
    <w:p w:rsidR="00000000" w:rsidRDefault="00000000">
      <w:r>
        <w:t>4.</w:t>
      </w:r>
      <w:r>
        <w:tab/>
        <w:t>NHRIs should be established in compliance with the Principles relating to the status of national institutions for the promotion and protection of human rights (the “Paris Principles”) adopted by the General Assembly in 1993</w:t>
      </w:r>
      <w:r>
        <w:rPr>
          <w:rStyle w:val="EndnoteReference"/>
        </w:rPr>
        <w:endnoteReference w:id="215"/>
      </w:r>
      <w:r>
        <w:t xml:space="preserve"> transmitted by the Commission on Human Rights in 1992.</w:t>
      </w:r>
      <w:r>
        <w:rPr>
          <w:rStyle w:val="EndnoteReference"/>
        </w:rPr>
        <w:endnoteReference w:id="216"/>
      </w:r>
      <w:r>
        <w:t xml:space="preserve">  These minimum standards provide guidance for the establishment, competence, responsibilities, composition, including pluralism, independence, methods of operation, and quasi-judicial activities of such national bodies.</w:t>
      </w:r>
    </w:p>
    <w:p w:rsidR="00000000" w:rsidRDefault="00000000">
      <w:r>
        <w:t>5.</w:t>
      </w:r>
      <w:r>
        <w:tab/>
        <w:t>While adults and children alike need independent NHRIs to protect their human rights, additional justifications exist for ensuring that children’s human rights are given special attention.  These include the facts that children’s developmental state makes them particularly vulnerable to human rights violations; their opinions are still rarely taken into account; most children have no vote and cannot play a meaningful role in the political process that determines Governments’ response to human rights; children encounter significant problems in using the judicial system to protect their rights or to seek remedies for violations of their rights; and children’s access to organizations that may protect their rights is generally limited.</w:t>
      </w:r>
    </w:p>
    <w:p w:rsidR="00000000" w:rsidRDefault="00000000">
      <w:r>
        <w:t>6.</w:t>
      </w:r>
      <w:r>
        <w:tab/>
        <w:t>Specialist independent human rights institutions for children, ombudspersons or commissioners for children’s rights have been established in a growing number of States parties.  Where resources are limited, consideration must be given to ensuring that the available resources are used most effectively for the promotion and protection of everyone’s human rights, including children’s, and in this context development of a broad-based NHRI that includes a specific focus on children is likely to constitute the best approach.  A broad-based NHRI should include within its structure either an identifiable commissioner specifically responsible for children’s rights, or a specific section or division responsible for children’s rights.</w:t>
      </w:r>
    </w:p>
    <w:p w:rsidR="00000000" w:rsidRDefault="00000000">
      <w:r>
        <w:t>7.</w:t>
      </w:r>
      <w:r>
        <w:tab/>
        <w:t>It is the view of the Committee that every State needs an independent human rights institution with responsibility for promoting and protecting children’s rights.  The Committee’s principal concern is that the institution, whatever its form, should be able, independently and effectively, to monitor, promote and protect children’s rights.  It is essential that promotion and protection of children’s rights is “mainstreamed” and that all human rights institutions existing in a country work closely together to this end.</w:t>
      </w:r>
    </w:p>
    <w:p w:rsidR="00000000" w:rsidRDefault="00000000">
      <w:pPr>
        <w:pStyle w:val="Heading3"/>
      </w:pPr>
      <w:r>
        <w:t>Mandate and powers</w:t>
      </w:r>
    </w:p>
    <w:p w:rsidR="00000000" w:rsidRDefault="00000000">
      <w:r>
        <w:t>8.</w:t>
      </w:r>
      <w:r>
        <w:tab/>
        <w:t xml:space="preserve">NHRIs should, if possible, be constitutionally entrenched and must at least be legislatively mandated.  It is the view of the Committee that their mandate should include as broad a scope as possible for promoting and protecting human rights, incorporating the Convention on the Rights of the Child, its Optional Protocols and other relevant international human rights instruments </w:t>
      </w:r>
      <w:r>
        <w:noBreakHyphen/>
        <w:t xml:space="preserve"> thus effectively covering children’s human rights, in particular their civil, political, economic, social and cultural rights.  The legislation should include provisions setting out specific functions, powers and duties relating to children linked to the Convention on the Rights of the Child and its Optional Protocols.  If the NHRI was established before the existence of the Convention, or without expressly incorporating it, necessary arrangements, including the enactment or amendment of legislation, should be put in place so as to ensure conformity of the institution’s mandate with the principles and provisions of the Convention.</w:t>
      </w:r>
      <w:r>
        <w:cr/>
        <w:t>9.</w:t>
      </w:r>
      <w:r>
        <w:tab/>
        <w:t>NHRIs should be accorded such powers as are necessary to enable them to discharge their mandate effectively, including the power to hear any person and obtain any information and document necessary for assessing the situations falling within their competence.  These powers should include the promotion and protection of the rights of all children under the jurisdiction of the State party in relation not only to the State but to all relevant public and private entities.</w:t>
      </w:r>
    </w:p>
    <w:p w:rsidR="00000000" w:rsidRDefault="00000000">
      <w:pPr>
        <w:pStyle w:val="Heading3"/>
      </w:pPr>
      <w:r>
        <w:t>Establishment process</w:t>
      </w:r>
    </w:p>
    <w:p w:rsidR="00000000" w:rsidRDefault="00000000">
      <w:r>
        <w:t>10.</w:t>
      </w:r>
      <w:r>
        <w:tab/>
        <w:t xml:space="preserve">The NHRI establishment process should be consultative, inclusive and transparent, initiated and supported at the highest levels of Government and inclusive of all relevant elements of the State, the legislature and civil society.  In order to ensure their independence and effective functioning, NHRIs must have adequate infrastructure, funding (including specifically for children’s rights, within broad-based institutions), staff, premises, and freedom from forms of financial control that might affect their independence.  </w:t>
      </w:r>
    </w:p>
    <w:p w:rsidR="00000000" w:rsidRDefault="00000000">
      <w:pPr>
        <w:pStyle w:val="Heading3"/>
      </w:pPr>
      <w:r>
        <w:t>Resources</w:t>
      </w:r>
    </w:p>
    <w:p w:rsidR="00000000" w:rsidRDefault="00000000">
      <w:r>
        <w:t>11.</w:t>
      </w:r>
      <w:r>
        <w:tab/>
        <w:t>While the Committee acknowledges that this is a very sensitive issue and that State parties function with varying levels of economic resources, the Committee believes that it is the duty of States to make reasonable financial provision for the operation of national human rights institutions in light of article 4 of the Convention.  The mandate and powers of national institutions may be meaningless, or the exercise of their powers limited, if the national institution does not have the means to operate effectively to discharge its powers.</w:t>
      </w:r>
    </w:p>
    <w:p w:rsidR="00000000" w:rsidRDefault="00000000">
      <w:pPr>
        <w:pStyle w:val="Heading3"/>
      </w:pPr>
      <w:r>
        <w:t>Pluralistic representation</w:t>
      </w:r>
    </w:p>
    <w:p w:rsidR="00000000" w:rsidRDefault="00000000">
      <w:r>
        <w:t>12.</w:t>
      </w:r>
      <w:r>
        <w:tab/>
        <w:t>NHRIs should ensure that their composition includes pluralistic representation of the various elements of civil society involved in the promotion and protection of human rights.  They should seek to involve, among others, the following:  human rights, anti-discrimination and children’s rights, non-governmental organizations (NGOs), including child- and youth-led organizations; trade unions; social and professional organizations (of doctors, lawyers, journalists, scientists, etc.); universities and experts, including children’s rights experts.  Government departments should be involved in an advisory capacity only.  NHRIs should have appropriate and transparent appointment procedures, including an open and competitive selection process.</w:t>
      </w:r>
    </w:p>
    <w:p w:rsidR="00000000" w:rsidRDefault="00000000">
      <w:pPr>
        <w:pStyle w:val="Heading3"/>
      </w:pPr>
      <w:r>
        <w:t>Providing remedies for breaches of children’s rights</w:t>
      </w:r>
    </w:p>
    <w:p w:rsidR="00000000" w:rsidRDefault="00000000">
      <w:r>
        <w:t>13.</w:t>
      </w:r>
      <w:r>
        <w:tab/>
        <w:t>NHRIs must have the power to consider individual complaints and petitions and carry out investigations, including those submitted on behalf of or directly by children.  In order to be able to effectively carry out such investigations, they must have the powers to compel and question witnesses, access relevant documentary evidence and access places of detention.  They also have a duty to seek to ensure that children have effective remedies - independent advice, advocacy and complaints procedures - for any breaches of their rights.  Where appropriate, NHRIs should undertake mediation and conciliation of complaints.</w:t>
      </w:r>
    </w:p>
    <w:p w:rsidR="00000000" w:rsidRDefault="00000000">
      <w:r>
        <w:t>14.</w:t>
      </w:r>
      <w:r>
        <w:tab/>
        <w:t xml:space="preserve">NHRIs should have the power to support children taking cases to court, including </w:t>
      </w:r>
      <w:r>
        <w:br/>
        <w:t xml:space="preserve">the power (a) to take cases concerning children’s issues in the name of the NHRI and </w:t>
      </w:r>
      <w:r>
        <w:br/>
        <w:t xml:space="preserve">(b) to intervene in court cases to inform the court about the human rights issues involved in the case. </w:t>
      </w:r>
    </w:p>
    <w:p w:rsidR="00000000" w:rsidRDefault="00000000">
      <w:pPr>
        <w:pStyle w:val="Heading3"/>
      </w:pPr>
      <w:r>
        <w:t>Accessibility and participation</w:t>
      </w:r>
    </w:p>
    <w:p w:rsidR="00000000" w:rsidRDefault="00000000">
      <w:r>
        <w:t>15.</w:t>
      </w:r>
      <w:r>
        <w:tab/>
        <w:t xml:space="preserve">NHRIs should be geographically and physically accessible to all children.  In the spirit of article 2 of the Convention, they should proactively reach out to all groups of children, in particular the most vulnerable and disadvantaged, such as (but not limited to) children in care or detention, children from minority and indigenous groups, children with disabilities, children living in poverty, refugee and migrant children, street children and children with special needs in areas such as culture, language, health and education.  NHRI legislation should include the right of the institution to have access in conditions of privacy to children in all forms of alternative care and to all institutions that include children.  </w:t>
      </w:r>
    </w:p>
    <w:p w:rsidR="00000000" w:rsidRDefault="00000000">
      <w:r>
        <w:t>16.</w:t>
      </w:r>
      <w:r>
        <w:tab/>
        <w:t xml:space="preserve">NHRIs have a key role to play in promoting respect for the views of children in all matters affecting them, as articulated in article 12 of the Convention, by Government and throughout society.  This general principle should be applied to the establishment, organization and activities of national human rights institutions.  Institutions must ensure that they have direct contact with children and that children are appropriately involved and consulted.  Children’s councils, for example, could be created as advisory bodies for NHRIs to facilitate the participation of children in matters of concern to them.  </w:t>
      </w:r>
    </w:p>
    <w:p w:rsidR="00000000" w:rsidRDefault="00000000">
      <w:r>
        <w:t>17.</w:t>
      </w:r>
      <w:r>
        <w:tab/>
        <w:t>NHRIs should devise specially tailored consultation programmes and imaginative communication strategies to ensure full compliance with article 12 of the Convention.  A range of suitable ways in which children can communicate with the institution should be established.</w:t>
      </w:r>
    </w:p>
    <w:p w:rsidR="00000000" w:rsidRDefault="00000000">
      <w:r>
        <w:t>18.</w:t>
      </w:r>
      <w:r>
        <w:tab/>
        <w:t>NHRIs must have the right to report directly, independently and separately on the state of children’s rights to the public and to parliamentary bodies.  In this respect, States parties must ensure that an annual debate is held in Parliament to provide parliamentarians with an opportunity to discuss the work of the NHRI in respect of children’s rights and the State’s compliance with the Convention.</w:t>
      </w:r>
    </w:p>
    <w:p w:rsidR="00000000" w:rsidRDefault="00000000">
      <w:pPr>
        <w:pStyle w:val="Heading3"/>
      </w:pPr>
      <w:r>
        <w:t>Recommended activities</w:t>
      </w:r>
    </w:p>
    <w:p w:rsidR="00000000" w:rsidRDefault="00000000">
      <w:r>
        <w:t>19.</w:t>
      </w:r>
      <w:r>
        <w:tab/>
        <w:t>The following is an indicative, but not exhaustive, list of the types of activities which NHRIs should carry out in relation to the implementation of children’s rights in light of the general principles of the Convention.  They should:</w:t>
      </w:r>
    </w:p>
    <w:p w:rsidR="00000000" w:rsidRDefault="00000000">
      <w:r>
        <w:tab/>
        <w:t>(a)</w:t>
      </w:r>
      <w:r>
        <w:tab/>
        <w:t>Undertake investigations into any situation of violation of children’s rights, on complaint or on their own initiative, within the scope of their mandate;</w:t>
      </w:r>
    </w:p>
    <w:p w:rsidR="00000000" w:rsidRDefault="00000000">
      <w:r>
        <w:tab/>
        <w:t>(b)</w:t>
      </w:r>
      <w:r>
        <w:tab/>
        <w:t>Conduct inquiries on matters relating to children’s rights;</w:t>
      </w:r>
    </w:p>
    <w:p w:rsidR="00000000" w:rsidRDefault="00000000">
      <w:r>
        <w:tab/>
        <w:t>(c)</w:t>
      </w:r>
      <w:r>
        <w:tab/>
        <w:t>Prepare and publicize opinions, recommendations and reports, either at the request of national authorities or on their own initiative, on any matter relating to the promotion and protection of children’s rights;</w:t>
      </w:r>
    </w:p>
    <w:p w:rsidR="00000000" w:rsidRDefault="00000000">
      <w:r>
        <w:tab/>
        <w:t>(d)</w:t>
      </w:r>
      <w:r>
        <w:tab/>
        <w:t>Keep under review the adequacy and effectiveness of law and practice relating to the protection of children’s rights;</w:t>
      </w:r>
    </w:p>
    <w:p w:rsidR="00000000" w:rsidRDefault="00000000">
      <w:r>
        <w:tab/>
        <w:t>(e)</w:t>
      </w:r>
      <w:r>
        <w:tab/>
        <w:t>Promote harmonization of national legislation, regulations and practices with the Convention on the Rights of the Child, its Optional Protocols and other international human rights instruments relevant to children’s rights and promote their effective implementation, including through the provision of advice to public and private bodies in construing and applying the Convention;</w:t>
      </w:r>
    </w:p>
    <w:p w:rsidR="00000000" w:rsidRDefault="00000000">
      <w:r>
        <w:tab/>
        <w:t>(f)</w:t>
      </w:r>
      <w:r>
        <w:tab/>
        <w:t>Ensure that national economic policy makers take children’s rights into account in setting and evaluating national economic and development plans;</w:t>
      </w:r>
    </w:p>
    <w:p w:rsidR="00000000" w:rsidRDefault="00000000">
      <w:r>
        <w:tab/>
        <w:t>(g)</w:t>
      </w:r>
      <w:r>
        <w:tab/>
        <w:t>Review and report on the Government’s implementation and monitoring of the state of children’s rights, seeking to ensure that statistics are appropriately disaggregated and other information collected on a regular basis in order to determine what must be done to realize children’s rights;</w:t>
      </w:r>
    </w:p>
    <w:p w:rsidR="00000000" w:rsidRDefault="00000000">
      <w:r>
        <w:tab/>
        <w:t>(h)</w:t>
      </w:r>
      <w:r>
        <w:tab/>
        <w:t>Encourage ratification of or accession to any relevant international human rights instruments;</w:t>
      </w:r>
    </w:p>
    <w:p w:rsidR="00000000" w:rsidRDefault="00000000">
      <w:r>
        <w:tab/>
        <w:t>(i)</w:t>
      </w:r>
      <w:r>
        <w:tab/>
        <w:t>In accordance with article 3 of the Convention requiring that the best interests of children should be a primary consideration in all actions concerning them, ensure that the impact of laws and policies on children is carefully considered from development to implementation and beyond;</w:t>
      </w:r>
    </w:p>
    <w:p w:rsidR="00000000" w:rsidRDefault="00000000">
      <w:r>
        <w:tab/>
        <w:t>(j)</w:t>
      </w:r>
      <w:r>
        <w:tab/>
        <w:t>In light of article 12, ensure that the views of children are expressed and heard on matters concerning their human rights and in defining issues relating to their rights;</w:t>
      </w:r>
    </w:p>
    <w:p w:rsidR="00000000" w:rsidRDefault="00000000">
      <w:r>
        <w:tab/>
        <w:t>(k)</w:t>
      </w:r>
      <w:r>
        <w:tab/>
        <w:t>Advocate for and facilitate meaningful participation by children’s rights NGOs, including organizations comprised of children themselves, in the development of domestic legislation and international instruments on issues affecting children;</w:t>
      </w:r>
    </w:p>
    <w:p w:rsidR="00000000" w:rsidRDefault="00000000">
      <w:r>
        <w:tab/>
        <w:t>(l)</w:t>
      </w:r>
      <w:r>
        <w:tab/>
        <w:t>Promote public understanding and awareness of the importance of children’s rights and, for this purpose, work closely with the media and undertake or sponsor research and educational activities in the field;</w:t>
      </w:r>
    </w:p>
    <w:p w:rsidR="00000000" w:rsidRDefault="00000000">
      <w:r>
        <w:tab/>
        <w:t>(m)</w:t>
      </w:r>
      <w:r>
        <w:tab/>
        <w:t>In accordance with article 42 of the Convention which obligates State parties to “make the principles and provisions of the Convention widely known, by appropriate and active means, to adults and children alike”, sensitize the Government, public agencies and the general public to the provisions of the Convention and monitor ways in which the State is meeting its obligations in this regard;</w:t>
      </w:r>
    </w:p>
    <w:p w:rsidR="00000000" w:rsidRDefault="00000000">
      <w:r>
        <w:tab/>
        <w:t>(n)</w:t>
      </w:r>
      <w:r>
        <w:tab/>
        <w:t>Assist in the formulation of programmes for the teaching of, research into and integration of children’s rights in the curricula of schools and universities and in professional circles;</w:t>
      </w:r>
    </w:p>
    <w:p w:rsidR="00000000" w:rsidRDefault="00000000">
      <w:r>
        <w:tab/>
        <w:t>(o)</w:t>
      </w:r>
      <w:r>
        <w:tab/>
        <w:t>Undertake human rights education which specifically focuses on children (in addition to promoting general public understanding about the importance of children’s rights);</w:t>
      </w:r>
    </w:p>
    <w:p w:rsidR="00000000" w:rsidRDefault="00000000">
      <w:r>
        <w:tab/>
        <w:t>(p)</w:t>
      </w:r>
      <w:r>
        <w:tab/>
        <w:t>Take legal proceedings to vindicate children’s rights in the State or provide legal assistance to children;</w:t>
      </w:r>
    </w:p>
    <w:p w:rsidR="00000000" w:rsidRDefault="00000000">
      <w:r>
        <w:tab/>
        <w:t>(q)</w:t>
      </w:r>
      <w:r>
        <w:tab/>
        <w:t>Engage in mediation or conciliation processes before taking cases to court, where appropriate;</w:t>
      </w:r>
    </w:p>
    <w:p w:rsidR="00000000" w:rsidRDefault="00000000">
      <w:r>
        <w:tab/>
        <w:t>(r)</w:t>
      </w:r>
      <w:r>
        <w:tab/>
        <w:t xml:space="preserve">Provide expertise in children’s rights to the courts, in suitable cases as </w:t>
      </w:r>
      <w:r>
        <w:rPr>
          <w:i/>
        </w:rPr>
        <w:t>amicus curiae</w:t>
      </w:r>
      <w:r>
        <w:t xml:space="preserve"> or intervenor;</w:t>
      </w:r>
    </w:p>
    <w:p w:rsidR="00000000" w:rsidRDefault="00000000">
      <w:r>
        <w:tab/>
        <w:t>(s)</w:t>
      </w:r>
      <w:r>
        <w:tab/>
        <w:t>In accordance with article 3 of the Convention which obliges States parties to “ensure that the institutions, services and facilities responsible for the care or protection of children shall conform with the standards established by competent authorities, particularly in the areas of safety, health, in the number and suitability of their staff, as well as competent supervision”, undertake visits to juvenile homes (and all places where children are detained for reform or punishment) and care institutions to report on the situation and to make recommendations for improvement;</w:t>
      </w:r>
    </w:p>
    <w:p w:rsidR="00000000" w:rsidRDefault="00000000">
      <w:r>
        <w:tab/>
        <w:t>(t)</w:t>
      </w:r>
      <w:r>
        <w:tab/>
        <w:t>Undertake such other activities as are incidental to the above.</w:t>
      </w:r>
    </w:p>
    <w:p w:rsidR="00000000" w:rsidRDefault="00000000">
      <w:pPr>
        <w:pStyle w:val="Heading3"/>
      </w:pPr>
      <w:r>
        <w:t>Reporting to the Committee on the Rights of the Child and cooperation between NHRIs and United Nations agencies and human rights mechanisms</w:t>
      </w:r>
    </w:p>
    <w:p w:rsidR="00000000" w:rsidRDefault="00000000">
      <w:r>
        <w:t>20.</w:t>
      </w:r>
      <w:r>
        <w:tab/>
        <w:t>NHRIs should contribute independently to the reporting process under the Convention and other relevant international instruments and monitor the integrity of government reports to international treaty bodies with respect to children’s rights, including through dialogue with the Committee on the Rights of the Child at its pre-sessional working group and with other relevant treaty bodies.</w:t>
      </w:r>
    </w:p>
    <w:p w:rsidR="00000000" w:rsidRDefault="00000000">
      <w:pPr>
        <w:spacing w:after="120"/>
      </w:pPr>
      <w:r>
        <w:t>21.</w:t>
      </w:r>
      <w:r>
        <w:tab/>
        <w:t>The Committee requests that States parties include detailed information on the legislative basis and mandate and principal relevant activities of NHRIs in their reports to the Committee.  It is appropriate for States parties to consult with independent human rights institutions during the preparation of reports to the Committee.  However, States parties must respect the independence of these bodies and their independent role in providing information to the Committee.  It is not appropriate to delegate to NHRIs the drafting of reports or to include them in the government delegation when reports are examined by the Committee.</w:t>
      </w:r>
    </w:p>
    <w:p w:rsidR="00000000" w:rsidRDefault="00000000">
      <w:pPr>
        <w:spacing w:after="120"/>
      </w:pPr>
      <w:r>
        <w:t>22.</w:t>
      </w:r>
      <w:r>
        <w:tab/>
        <w:t>NHRIs should also cooperate with the special procedures of the Commission on Human Rights, including country and thematic mechanisms, in particular the Special Rapporteur on the sale of children, child prostitution and child pornography and the Special Representative of the Secretary-General for Children and Armed Conflict.</w:t>
      </w:r>
    </w:p>
    <w:p w:rsidR="00000000" w:rsidRDefault="00000000">
      <w:pPr>
        <w:spacing w:after="120"/>
      </w:pPr>
      <w:r>
        <w:t>23.</w:t>
      </w:r>
      <w:r>
        <w:tab/>
        <w:t>The United Nations has a long-standing programme of assistance for the establishment and strengthening of national human rights institutions.  This programme, which is based in the Office of the High Commissioner for Human Rights (OHCHR), provides technical assistance and facilitates regional and global cooperation and exchanges among national human rights institutions.  States parties should avail themselves of this assistance where necessary.  The United Nations Children’s Fund (UNICEF) also offers expertise and technical cooperation in this area.</w:t>
      </w:r>
    </w:p>
    <w:p w:rsidR="00000000" w:rsidRDefault="00000000">
      <w:pPr>
        <w:spacing w:after="120"/>
      </w:pPr>
      <w:r>
        <w:t>24.</w:t>
      </w:r>
      <w:r>
        <w:tab/>
        <w:t xml:space="preserve">As articulated in article 45 of the Convention, the Committee may also transmit, as it considers appropriate, to any specialized United Nations agency, OHCHR and any other competent body any reports from States parties that contain a request or indicate a need for technical advice or assistance in the establishment of NHRIs.  </w:t>
      </w:r>
    </w:p>
    <w:p w:rsidR="00000000" w:rsidRDefault="00000000">
      <w:pPr>
        <w:pStyle w:val="Heading3"/>
      </w:pPr>
      <w:r>
        <w:t>NHRIs and States parties</w:t>
      </w:r>
    </w:p>
    <w:p w:rsidR="00000000" w:rsidRDefault="00000000">
      <w:r>
        <w:t>25.</w:t>
      </w:r>
      <w:r>
        <w:tab/>
        <w:t xml:space="preserve">The State ratifies the Convention on the Rights of the Child and takes on obligations to implement it fully.  The role of NHRIs is to monitor independently the State’s compliance and progress towards implementation and to do all it can to ensure full respect for children’s rights.  While this may require the institution to develop projects to enhance the promotion and protection of children’s rights, it should not lead to the Government delegating its monitoring obligations to the national institution.  It is essential that institutions remain entirely free to set their own agenda and determine their own activities. </w:t>
      </w:r>
    </w:p>
    <w:p w:rsidR="00000000" w:rsidRDefault="00000000">
      <w:pPr>
        <w:pStyle w:val="Heading3"/>
      </w:pPr>
      <w:r>
        <w:t>NHRIs and NGOs</w:t>
      </w:r>
    </w:p>
    <w:p w:rsidR="00000000" w:rsidRDefault="00000000">
      <w:r>
        <w:t>26.</w:t>
      </w:r>
      <w:r>
        <w:tab/>
        <w:t xml:space="preserve">Non-governmental organizations play a vital role in promoting human rights and children’s rights.  The role of NHRIs, with their legislative base and specific powers, is complementary.  It is essential that institutions work closely with NGOs and that Governments respect the independence of both NHRIs and NGOs.  </w:t>
      </w:r>
    </w:p>
    <w:p w:rsidR="00000000" w:rsidRDefault="00000000">
      <w:pPr>
        <w:pStyle w:val="Heading3"/>
      </w:pPr>
      <w:r>
        <w:t>Regional and international cooperation</w:t>
      </w:r>
    </w:p>
    <w:p w:rsidR="00000000" w:rsidRDefault="00000000">
      <w:r>
        <w:t>27.</w:t>
      </w:r>
      <w:r>
        <w:tab/>
        <w:t>Regional and international processes and mechanisms can strengthen and consolidate NHRIs through shared experience and skills, as NHRIs share common problems in the promotion and protection of human rights in their respective countries.</w:t>
      </w:r>
    </w:p>
    <w:p w:rsidR="00000000" w:rsidRDefault="00000000">
      <w:r>
        <w:t>28.</w:t>
      </w:r>
      <w:r>
        <w:tab/>
        <w:t>In this respect, NHRIs should consult and cooperate with relevant national, regional and international bodies and institutions on children’s rights issues.</w:t>
      </w:r>
    </w:p>
    <w:p w:rsidR="00000000" w:rsidRDefault="00000000">
      <w:pPr>
        <w:spacing w:after="480"/>
      </w:pPr>
      <w:r>
        <w:t>29.</w:t>
      </w:r>
      <w:r>
        <w:tab/>
        <w:t>Children’s human rights issues are not constrained by national borders and it has become increasingly necessary to devise appropriate regional and international responses to a variety of child rights issues (including, but not limited to, the trafficking of women and children, child pornography, child soldiers, child labour, child abuse, refugee and migrant children, etc.).  International and regional mechanisms and exchanges are encouraged, as they provide NHRIs with an opportunity to learn from each other’s experience, collectively strengthen each other’s positions and contribute to resolving human rights problems affecting both countries and region.</w:t>
      </w:r>
    </w:p>
    <w:p w:rsidR="00000000" w:rsidRDefault="00000000">
      <w:pPr>
        <w:pStyle w:val="Heading2"/>
        <w:spacing w:after="0"/>
        <w:sectPr w:rsidR="00000000">
          <w:headerReference w:type="even" r:id="rId62"/>
          <w:headerReference w:type="default" r:id="rId63"/>
          <w:endnotePr>
            <w:numFmt w:val="decimal"/>
            <w:numRestart w:val="eachSect"/>
          </w:endnotePr>
          <w:type w:val="continuous"/>
          <w:pgSz w:w="11909" w:h="16834"/>
          <w:pgMar w:top="567" w:right="851" w:bottom="1985" w:left="1701" w:header="851" w:footer="1985" w:gutter="0"/>
          <w:paperSrc w:first="84" w:other="84"/>
          <w:cols w:space="60"/>
        </w:sectPr>
      </w:pPr>
      <w:r>
        <w:t>Notes</w:t>
      </w:r>
    </w:p>
    <w:p w:rsidR="00000000" w:rsidRDefault="00000000">
      <w:pPr>
        <w:pStyle w:val="Heading2"/>
      </w:pPr>
      <w:r>
        <w:t>Thirty-second session (2003)</w:t>
      </w:r>
    </w:p>
    <w:p w:rsidR="00000000" w:rsidRDefault="00000000">
      <w:pPr>
        <w:pStyle w:val="Heading2"/>
      </w:pPr>
      <w:bookmarkStart w:id="281" w:name="_Toc70517046"/>
      <w:r>
        <w:t>General comment No. 3:  HIV/AIDS and the rights of the child</w:t>
      </w:r>
      <w:bookmarkEnd w:id="281"/>
    </w:p>
    <w:p w:rsidR="00000000" w:rsidRDefault="00000000">
      <w:pPr>
        <w:pStyle w:val="Heading2"/>
        <w:rPr>
          <w:vertAlign w:val="superscript"/>
        </w:rPr>
      </w:pPr>
      <w:r>
        <w:t>I.  Introduction</w:t>
      </w:r>
      <w:r>
        <w:rPr>
          <w:rStyle w:val="EndnoteReference"/>
          <w:b/>
          <w:bCs/>
        </w:rPr>
        <w:endnoteReference w:id="217"/>
      </w:r>
    </w:p>
    <w:p w:rsidR="00000000" w:rsidRDefault="00000000">
      <w:r>
        <w:t>1.</w:t>
      </w:r>
      <w:r>
        <w:tab/>
        <w:t>The HIV/AIDS epidemics have drastically changed the world in which children live.  Millions of children have been infected and have died and many more are gravely affected as HIV spreads through their families and communities.  The epidemics impact on the daily life on younger children, and increase the victimization and marginalization of children especially on those living in particularly difficult circumstances.  HIV/AIDS is not a problem of some countries but of the entire world.  To truly bring its impact on children under control will require concerted and well-targeted efforts from all countries at all stages of development.</w:t>
      </w:r>
    </w:p>
    <w:p w:rsidR="00000000" w:rsidRDefault="00000000">
      <w:r>
        <w:tab/>
        <w:t>Initially children were considered to be only marginally affected by the epidemic.  However, the international community has discovered that unfortunately, children are at the heart of the problem.  According to UNAIDS - the Joint United Nations Programme on HIV/AIDS - the most recent trends are alarming:  in most parts of the world the majority of new infections are in young people between the ages of 15 and 24, sometimes younger.  Women including young girls are also increasingly becoming infected.  In most regions of the world, the vast majority of infected women do not know that they are infected and may unknowingly infect their children.  Consequently many States have recently registered an increase in their infant and child mortality rates and child mortality rate.  Adolescents are also vulnerable to HIV/AIDS because their first sexual experience may take place in an environment in which they have no access to proper information and guidance.  Children who use drugs are at high risk.</w:t>
      </w:r>
    </w:p>
    <w:p w:rsidR="00000000" w:rsidRDefault="00000000">
      <w:r>
        <w:br w:type="page"/>
      </w:r>
      <w:r>
        <w:tab/>
        <w:t>Yet all children can be rendered vulnerable by the particular circumstances of their lives being mainly:  (a) children who are themselves HIV-infected; (b) children who are affected by the epidemics because the loss of parental caregiver or teacher and/or because their families or communities are severely strained by its consequences; and (c) children who are most vulnerable to be infected or affected.</w:t>
      </w:r>
    </w:p>
    <w:p w:rsidR="00000000" w:rsidRDefault="00000000">
      <w:pPr>
        <w:pStyle w:val="Heading2"/>
      </w:pPr>
      <w:r>
        <w:t>II.  The objectives of this general comment</w:t>
      </w:r>
    </w:p>
    <w:p w:rsidR="00000000" w:rsidRDefault="00000000">
      <w:r>
        <w:t>2.</w:t>
      </w:r>
      <w:r>
        <w:tab/>
        <w:t>The objectives of this general comment are:</w:t>
      </w:r>
    </w:p>
    <w:p w:rsidR="00000000" w:rsidRDefault="00000000">
      <w:r>
        <w:tab/>
        <w:t>(a)</w:t>
      </w:r>
      <w:r>
        <w:tab/>
        <w:t>To strengthen the identification and understanding of all the human rights of children in the context of HIV/AIDS;</w:t>
      </w:r>
    </w:p>
    <w:p w:rsidR="00000000" w:rsidRDefault="00000000">
      <w:r>
        <w:tab/>
        <w:t>(b)</w:t>
      </w:r>
      <w:r>
        <w:tab/>
        <w:t>To promote the realization of human rights of children in the context of HIV/AIDS as guaranteed under the Convention on the Rights of the Child (hereafter, the Convention);</w:t>
      </w:r>
    </w:p>
    <w:p w:rsidR="00000000" w:rsidRDefault="00000000">
      <w:r>
        <w:tab/>
        <w:t>(c)</w:t>
      </w:r>
      <w:r>
        <w:tab/>
        <w:t>To identify measures and good practices to increase the level of implementation by the States of rights related to the prevention of HIV/AIDS and the support, care and protection of children infected with or affected by this pandemic;</w:t>
      </w:r>
    </w:p>
    <w:p w:rsidR="00000000" w:rsidRDefault="00000000">
      <w:r>
        <w:tab/>
        <w:t>(d)</w:t>
      </w:r>
      <w:r>
        <w:tab/>
        <w:t>To contribute to the formulation and promotion of child oriented Plans of Action, strategies, laws, policies and programmes to combat the spread and mitigate the impact of HIV/AIDS at the national and international level.</w:t>
      </w:r>
    </w:p>
    <w:p w:rsidR="00000000" w:rsidRDefault="00000000">
      <w:pPr>
        <w:pStyle w:val="Heading2"/>
        <w:ind w:left="2552" w:hanging="454"/>
        <w:jc w:val="left"/>
      </w:pPr>
      <w:r>
        <w:t>III.</w:t>
      </w:r>
      <w:r>
        <w:tab/>
        <w:t xml:space="preserve">The Convention’s perspectives to HIV/AIDS - </w:t>
      </w:r>
      <w:r>
        <w:br/>
        <w:t>the holistic child rights-based approach</w:t>
      </w:r>
    </w:p>
    <w:p w:rsidR="00000000" w:rsidRDefault="00000000">
      <w:r>
        <w:t>3.</w:t>
      </w:r>
      <w:r>
        <w:tab/>
        <w:t>The issue of children and HIV/AIDS is perceived as mainly a medical or health problem, although in reality it involves a much wider range of issues.  In this regard the right to health (article 24 of the Convention) is, however, central.  But HIV/AIDS impacts so heavily on the lives of all children that it affects all their rights - civil, political, economic, social and cultural.  The rights in the general principles of the Convention - the right to non-discrimination, (art. 2), the rights of the child to have her/his interest to be a primary consideration (art. 3), the right to life, survival and development (art. 6) and the rights to have her/his views respected (art. 12) - should therefore be the guiding themes in the consideration of HIV/AIDS at all levels of prevention, treatment, care and support.</w:t>
      </w:r>
    </w:p>
    <w:p w:rsidR="00000000" w:rsidRDefault="00000000">
      <w:r>
        <w:t>4.</w:t>
      </w:r>
      <w:r>
        <w:tab/>
        <w:t>Adequate measures to address HIV/AIDS can be provided to children and adolescents only if their rights are fully respected.  The most relevant rights in this regard are - in addition to the four above-referred general principles - the following:  the right to access information and material aimed at the promotion of their social, spiritual and moral well-being, physical and mental health (art.</w:t>
      </w:r>
      <w:r>
        <w:rPr>
          <w:i/>
        </w:rPr>
        <w:t xml:space="preserve"> </w:t>
      </w:r>
      <w:r>
        <w:t>17),</w:t>
      </w:r>
      <w:r>
        <w:rPr>
          <w:i/>
        </w:rPr>
        <w:t xml:space="preserve"> </w:t>
      </w:r>
      <w:r>
        <w:t>their right to preventive health care, sex education and family planning education and services (art. 24 (f)), their right to an appropriate standard of living (art. 27) their rights to privacy (art. 6), the right not to be separated from parents (art. 9), the right to be protected from violence (art. 19), the rights to special protection and assistance by the State (art. 20), the rights of children with disabilities (art. 23), the right to health (art. 24), the right to social security, including</w:t>
      </w:r>
      <w:r>
        <w:rPr>
          <w:i/>
        </w:rPr>
        <w:t xml:space="preserve"> </w:t>
      </w:r>
      <w:r>
        <w:t>social insurance (art. 26), the right to education and leisure (arts. 28 and 31), the right to be protected from economic and sexual exploitation and abuse, from illicit use of narcotic drugs (arts. 32, 33, 34 and 36), the right to be protected from abduction, sale and trafficking as well as torture or other cruel inhuman or degrading treatment or punishment (arts. 35 and 37) and the right to physical and psychological recovery and social reintegration (art. 39).  Children are confronted with serious challenges to their above-mentioned rights as a result of the epidemics.  The Convention and in particular the four general principles with its comprehensive approach provide a powerful framework for efforts to reduce the negative impact of the pandemic on the lives of children.  The holistic rights-based approach required to implement the Convention is the optimal tool to address the broader range of issues that relate to prevention, treatment and care efforts.</w:t>
      </w:r>
    </w:p>
    <w:p w:rsidR="00000000" w:rsidRDefault="00000000">
      <w:pPr>
        <w:pStyle w:val="Heading3"/>
      </w:pPr>
      <w:r>
        <w:t>(a)</w:t>
      </w:r>
      <w:r>
        <w:tab/>
        <w:t>The right to non-discrimination (art. 2)</w:t>
      </w:r>
    </w:p>
    <w:p w:rsidR="00000000" w:rsidRDefault="00000000">
      <w:r>
        <w:t>5.</w:t>
      </w:r>
      <w:r>
        <w:tab/>
        <w:t>Discrimination is responsible for heightening the vulnerability of children to HIV and AIDS, as well as seriously impacting the lives of children who are affected by HIV/AIDS, or are themselves HIV infected.  Girls and boys of parents living with HIV/AIDS are often the victims of stigma and discrimination as they too are often assumed to be infected.  As a result of discrimination children are denied access to information, education (reference to general comment No.1 on the aims of education), health or social care services or from community life.  At its extreme, discrimination against HIV-infected children has resulted in their abandonment by their family, community and/or society.  Discrimination also fuels the epidemic by making children in particular those belonging to certain groups like children living in remote or rural areas where services are less accessible, more vulnerable to infection.  These children are thereby doubly victimized.</w:t>
      </w:r>
    </w:p>
    <w:p w:rsidR="00000000" w:rsidRDefault="00000000">
      <w:r>
        <w:t>6.</w:t>
      </w:r>
      <w:r>
        <w:tab/>
        <w:t>Of particular concern is gender-based discrimination combined with taboos or negative or judgemental attitudes to sexual activity of girls, often limiting their access to preventive measures and other services.  Of concern also is discrimination based on sexual orientation.  In the design of HIV/AIDS related strategies, and in keeping with their obligations under the Convention, State parties must give careful consideration to prescribed gender norms within their societies with a view to eliminating gender-based discrimination as these impact on the vulnerability of both girls and boys to HIV/AIDS.  States parties should in particular recognize that discrimination in the context of HIV/AIDS often impacts girls more severely than boys.</w:t>
      </w:r>
    </w:p>
    <w:p w:rsidR="00000000" w:rsidRDefault="00000000">
      <w:r>
        <w:t>7.</w:t>
      </w:r>
      <w:r>
        <w:tab/>
        <w:t>All the above-mentioned discriminatory practices are violations of children’s rights under the Convention.  Article 2 of the Convention obliges States to ensure all the rights under the Convention without discrimination of any kind, and “irrespective of the child’s or her or his parent’s or legal guardian’s race, colour, sex, language, religion, political or other opinion, national, ethnic or social origin, property, disability, birth or other status”.  The Committee interprets “other status” under article 2 of the Convention to include HIV/AIDS status of the child or her/his parent(s).  Laws, policies, strategies and practices should address all forms of discrimination that contribute to increasing the impact of the epidemics.  Strategies should also promote education and training programmes explicitly designed to change attitudes of discrimination and stigmatization associated with HIV/AIDS.</w:t>
      </w:r>
    </w:p>
    <w:p w:rsidR="00000000" w:rsidRDefault="00000000">
      <w:pPr>
        <w:pStyle w:val="Heading3"/>
      </w:pPr>
      <w:r>
        <w:t>(b)</w:t>
      </w:r>
      <w:r>
        <w:tab/>
        <w:t>Best interests of the child (art. 3)</w:t>
      </w:r>
    </w:p>
    <w:p w:rsidR="00000000" w:rsidRDefault="00000000">
      <w:r>
        <w:t>8.</w:t>
      </w:r>
      <w:r>
        <w:tab/>
        <w:t>Policies and programmes for prevention, care and treatment of HIV/AIDS have generally been designed for adults with scarce attention to the principle of the best interest of the child as a primary consideration.  Article 3 of the CRC, states:  “In all actions concerning children, whether undertaken by public or private social welfare institutions, courts of law, administrative authorities or legislative bodies, the best interests of the child shall be a primary consideration.” The obligations attached to this right are fundamental to guiding the action of States in relation to HIV/AIDS.  The child should be put at the centre of the response to the pandemic, adapting strategies to children’s rights and needs.</w:t>
      </w:r>
    </w:p>
    <w:p w:rsidR="00000000" w:rsidRDefault="00000000">
      <w:pPr>
        <w:pStyle w:val="Heading3"/>
      </w:pPr>
      <w:r>
        <w:t>(c)</w:t>
      </w:r>
      <w:r>
        <w:tab/>
        <w:t>The right to survival, life and development (art. 6)</w:t>
      </w:r>
    </w:p>
    <w:p w:rsidR="00000000" w:rsidRDefault="00000000">
      <w:r>
        <w:t>9.</w:t>
      </w:r>
      <w:r>
        <w:tab/>
        <w:t>Children have the right not to have their lives arbitrarily taken, as well as to benefit from economic and social policies which will allow them to survive into adulthood and develop in the broadest sense of the word.  State obligation to realize the right to survival, life and development also highlights the need to give careful attention to sexuality as well as to the behaviours and lifestyle of children, even if they do not conform to the society’s determination of what is acceptable under prevailing cultural norms for a particular age group.  In this regard, the female child is often subject to harmful traditional practices such as early and or forced marriage, which violate her rights and make her more vulnerable to HIV infection, including because such practices often interrupt access to education and information.  Effective prevention programmes are only those that acknowledge the realities of the lives of adolescents, while addressing sexuality by ensuring equal access to appropriate information, life-skills, and to preventive measures.</w:t>
      </w:r>
    </w:p>
    <w:p w:rsidR="00000000" w:rsidRDefault="00000000">
      <w:pPr>
        <w:pStyle w:val="Heading3"/>
      </w:pPr>
      <w:r>
        <w:t>(d)</w:t>
      </w:r>
      <w:r>
        <w:tab/>
        <w:t>The right to express views and have them taken into account (art. l2)</w:t>
      </w:r>
    </w:p>
    <w:p w:rsidR="00000000" w:rsidRDefault="00000000">
      <w:r>
        <w:t>10.</w:t>
      </w:r>
      <w:r>
        <w:tab/>
        <w:t xml:space="preserve">Children are rights holders and have a right to participate, in accordance with their evolving capacities, in raising awareness by speaking out about the impact of HIV/AIDS on their lives and in the development of HIV/AIDS policies and programmes.  Interventions have been found to benefit children most when they are actively involved in assessing needs, devising solutions, shaping strategies and carrying them out rather than being seen as objects for whom decisions are made.  In this regard, the participation of children as peer educators, both within and outside schools, should be actively promoted.  States, international agencies and NGOs must provide children with a supportive and enabling environment to carry out their own initiatives, and to fully participate at both community and national levels in HIV policy and programme conceptualization, design, implementation, coordination, monitoring and review.  A variety of approaches are likely to be necessary to ensure the participation of children from all sectors of society, including mechanisms which encourage children, consistent with their evolving capacities, to express their views, have them heard, and given due weight in accordance with their age and maturity (art. 12 (1)).  Where appropriate, the involvement of children living with HIV/AIDS in raising awareness, by sharing their experiences with their peers and others is critical both to effective prevention and to reduce stigma and discrimination.  States parties must </w:t>
      </w:r>
      <w:r>
        <w:br w:type="page"/>
        <w:t>ensure that children who participate in these awareness efforts do so voluntarily, after being counselled, and also that these children receive both the social support and legal protection to allow them to lead normal lives during and after their involvement.</w:t>
      </w:r>
    </w:p>
    <w:p w:rsidR="00000000" w:rsidRDefault="00000000">
      <w:pPr>
        <w:pStyle w:val="Heading3"/>
      </w:pPr>
      <w:r>
        <w:t>(e)</w:t>
      </w:r>
      <w:r>
        <w:tab/>
        <w:t>Obstacles</w:t>
      </w:r>
    </w:p>
    <w:p w:rsidR="00000000" w:rsidRDefault="00000000">
      <w:r>
        <w:t>11.</w:t>
      </w:r>
      <w:r>
        <w:tab/>
        <w:t>Experience has shown that many obstacles hinder delivery of effective prevention and care services and the support of community initiatives on HIV/AIDS.  These are mainly cultural, structural and financial.  Denial that a problem exists, cultural practices and attitudes, including taboos and stigmatization, poverty, patronizing attitudes towards children, are just some of the obstacles that may block the political and individual commitment needed for effective programmes.  Concerning financial, technical and human resources, the Committee is aware that those resources may not be immediately available.  But with regard to this obstacle the Committee likes to remind the States parties of their obligation under article 4.  It further notes that resources constraints should not be used to justify States parties failure to take any or enough of the technical or financial measures required.  Finally, the Committee wants to emphasize in this regard the essential role of international cooperation.</w:t>
      </w:r>
    </w:p>
    <w:p w:rsidR="00000000" w:rsidRDefault="00000000">
      <w:pPr>
        <w:pStyle w:val="Heading2"/>
      </w:pPr>
      <w:r>
        <w:t>IV.  Prevention, care,</w:t>
      </w:r>
      <w:r>
        <w:rPr>
          <w:i/>
        </w:rPr>
        <w:t xml:space="preserve"> </w:t>
      </w:r>
      <w:r>
        <w:t>treatment and support</w:t>
      </w:r>
    </w:p>
    <w:p w:rsidR="00000000" w:rsidRDefault="00000000">
      <w:r>
        <w:t>12.</w:t>
      </w:r>
      <w:r>
        <w:tab/>
        <w:t>The Committee wishes to stress that prevention, care, treatment and support are mutually reinforcing elements and provide a continuum within an effective response to HIV/AIDS.</w:t>
      </w:r>
    </w:p>
    <w:p w:rsidR="00000000" w:rsidRDefault="00000000">
      <w:pPr>
        <w:pStyle w:val="Heading3"/>
      </w:pPr>
      <w:r>
        <w:t>(a)</w:t>
      </w:r>
      <w:r>
        <w:tab/>
        <w:t>Information for HIV prevention and raising awareness</w:t>
      </w:r>
    </w:p>
    <w:p w:rsidR="00000000" w:rsidRDefault="00000000">
      <w:r>
        <w:t>13.</w:t>
      </w:r>
      <w:r>
        <w:tab/>
        <w:t>Consistent with State party obligations in relation to the rights to health and information (arts. 24, 13 and 17), children should have the right to access adequate information related to HIV/AIDS prevention and care, through formal channels (e.g. through educational opportunities and child-targeted media) as well as informal channels (e.g. targeted to street children, institutionalized children or children living in difficult circumstances).  States parties are reminded that children require relevant, appropriate and timely information which recognizes the differences in levels of understanding among them, is tailored appropriately to age level and capacity and enables them to deal positively and responsibly with their sexuality in order to protect themselves from HIV infection.  The Committee wishes to emphasize that effective HIV/AIDS prevention requires States to refrain from censoring, withholding or intentionally misrepresenting health-related information, including sexual education and information, and that consistent with their obligations to ensure the survival, life and development of the child (art. 6), States parties must ensure children have the ability to acquire the knowledge and skills to protect themselves and others as they begin to express their sexuality.</w:t>
      </w:r>
    </w:p>
    <w:p w:rsidR="00000000" w:rsidRDefault="00000000">
      <w:r>
        <w:t>14.</w:t>
      </w:r>
      <w:r>
        <w:tab/>
        <w:t>Dialogue with community, family and peer counsellors, and the provision of “life skills” education within schools, including skills in communicating on sexuality and healthy living, have been found to be useful approaches for delivering HIV prevention messages to both girls and boys, but different approaches may be necessary to reach different groups of children.  States parties must make efforts to address gender differences as they may impact the access children have to prevention messages, and ensure that children are reached with appropriate prevention messages even if they face constraints due to language, religion, disability or other factors of discrimination.  Particular attention must be paid to raising awareness in hard to reach populations.  In this respect, the role of the mass-media and/or oral tradition in ensuring children have access to information and material, as recognized in article 17 of the Convention, is crucial both to provide appropriate information and to reduce stigma and discrimination.  States parties should support the regular monitoring and evaluation of HIV/AIDS awareness campaigns to ascertain their effectiveness in providing information, reducing ignorance, stigma and discrimination, as well as addressing fear and misperceptions concerning HIV and its transmission among children, including adolescents.</w:t>
      </w:r>
    </w:p>
    <w:p w:rsidR="00000000" w:rsidRDefault="00000000">
      <w:pPr>
        <w:pStyle w:val="Heading3"/>
      </w:pPr>
      <w:r>
        <w:t>(b)</w:t>
      </w:r>
      <w:r>
        <w:tab/>
        <w:t>The role of education</w:t>
      </w:r>
    </w:p>
    <w:p w:rsidR="00000000" w:rsidRDefault="00000000">
      <w:r>
        <w:t>15.</w:t>
      </w:r>
      <w:r>
        <w:tab/>
        <w:t>Education plays a critical role in providing children with relevant and appropriate information on HIV/AIDS which can contribute to a better awareness and understanding of this phenomenon and prevent negative attitudes towards victims of HIV/AIDS (see also the Committee’s general comment No. 1 on the aims of education).  Furthermore, education can and should empower children to protect themselves from the risk of HIV infection.  In this regard, the Committee wants to remind the States parties of their obligation to ensure that primary education is available to all children, whether infected, orphaned or otherwise affected by HIV/AIDS.  In many communities where HIV has spread widely, children from affected families, in particular girls, are facing serious difficulties staying in school and the number of teachers and other school employees lost to AIDS is limiting and threatening to destroy the ability of children to access education.  States parties must make adequate provision to ensure children affected by HIV/AIDS can stay in school and ensure the qualified replacement of sick teachers so that children’s regular attendance at schools is not affected, and that the right to education (art. 28) of all children living within these communities is fully protected.</w:t>
      </w:r>
    </w:p>
    <w:p w:rsidR="00000000" w:rsidRDefault="00000000">
      <w:r>
        <w:t>16.</w:t>
      </w:r>
      <w:r>
        <w:tab/>
        <w:t>States parties must make every effort to ensure that schools are safe places for children, which offer them security and do not contribute to their vulnerability to HIV infection.  In accordance with article 34 of the Convention, States parties are obliged to take all appropriate measures to prevent, inter alia, the inducement or coercion of any child to engage in unlawful sexual activity.</w:t>
      </w:r>
    </w:p>
    <w:p w:rsidR="00000000" w:rsidRDefault="00000000">
      <w:pPr>
        <w:pStyle w:val="Heading3"/>
      </w:pPr>
      <w:r>
        <w:t>(c)</w:t>
      </w:r>
      <w:r>
        <w:tab/>
        <w:t>Child and adolescent sensitive health services</w:t>
      </w:r>
    </w:p>
    <w:p w:rsidR="00000000" w:rsidRDefault="00000000">
      <w:r>
        <w:t>17.</w:t>
      </w:r>
      <w:r>
        <w:tab/>
        <w:t xml:space="preserve">The Committee is concerned that health services are generally still insufficiently responsive to the needs of human beings below 18 years old, in particular adolescents.  As the Committee has noted on numerous occasions, children are more likely to use services that are friendly and supportive, provide a range of services and information, are geared to their needs, ensure their opportunity to participate in decisions affecting their health, and are accessible, affordable, confidential, non-judgemental, do not require parental consent and do not discriminate.  In the context of HIV/AIDS and taking into account the evolving capacities of the child, States parties are encouraged to ensure that health services employ trained personnel who fully respect the rights of children to privacy (art.  6) and non-discrimination in offering them access to HIV-related information, voluntary counselling and testing, knowledge of their HIV status, confidential sexual and reproductive health services, free or low cost contraception, </w:t>
      </w:r>
    </w:p>
    <w:p w:rsidR="00000000" w:rsidRDefault="00000000">
      <w:r>
        <w:br w:type="page"/>
        <w:t>condoms and services, as well as HIV-related care and treatment if and when needed, including for the prevention and treatment of health problems related to HIV/AIDS e.g. tuberculosis and opportunistic infections.</w:t>
      </w:r>
    </w:p>
    <w:p w:rsidR="00000000" w:rsidRDefault="00000000">
      <w:r>
        <w:t>18.</w:t>
      </w:r>
      <w:r>
        <w:tab/>
        <w:t>In some countries, even when child and adolescent friendly HIV-related services are available, they are not sufficiently accessible to children with disabilities, indigenous children, children belonging to minorities, children living in rural areas, children living in extreme poverty or children who are otherwise marginalized within the society.  In others, where the health system’s overall capacity is already strained, children with HIV have been routinely denied access to basic health care.  States parties must ensure that services are provided to the maximum extent possible to all children living within their borders, without discrimination, and that they sufficiently take into account differences in gender, age, and the social, economic, cultural and political context in which children live.</w:t>
      </w:r>
    </w:p>
    <w:p w:rsidR="00000000" w:rsidRDefault="00000000">
      <w:pPr>
        <w:pStyle w:val="Heading3"/>
      </w:pPr>
      <w:r>
        <w:t>(d)</w:t>
      </w:r>
      <w:r>
        <w:tab/>
        <w:t>HIV counselling and testing</w:t>
      </w:r>
    </w:p>
    <w:p w:rsidR="00000000" w:rsidRDefault="00000000">
      <w:r>
        <w:t>19.</w:t>
      </w:r>
      <w:r>
        <w:tab/>
        <w:t>The accessibility of voluntary, confidential HlV-counselling and testing services, with due attention to the evolving capacities of the child, is fundamental to the rights and health of children.  These services are critical to children’s ability to reduce their risk of acquiring or transmitting HIV, to accessing HIV-specific care, treatment and support, and to better plan for their futures.  Consistent with the obligation under article 24 of the Convention to ensure that no child is deprived of her or his right of access to necessary health services, States parties should ensure access to voluntary, confidential HIV counselling and testing for all children.</w:t>
      </w:r>
    </w:p>
    <w:p w:rsidR="00000000" w:rsidRDefault="00000000">
      <w:r>
        <w:t>20.</w:t>
      </w:r>
      <w:r>
        <w:tab/>
        <w:t>The Committee wishes to stress that as the duty of States parties is first and foremost to ensure that the rights of the child are protected, States parties must refrain from imposing mandatory HIV/AIDS testing of children in all circumstances and ensure protection against it.  While the evolving capacities of the child will determine whether consent is required from the child directly or from their parent or guardian, in all cases, consistent with the child’s right to receive information under articles 13 and 17 of the Convention, States parties must ensure that prior to any HIV</w:t>
      </w:r>
      <w:r>
        <w:noBreakHyphen/>
        <w:t>testing, whether by health-care providers in relation to children who are accessing health services for another medical condition or otherwise, the risks and benefits of such testing are sufficiently conveyed so that an informed decision can be made.</w:t>
      </w:r>
    </w:p>
    <w:p w:rsidR="00000000" w:rsidRDefault="00000000">
      <w:r>
        <w:t>21.</w:t>
      </w:r>
      <w:r>
        <w:tab/>
        <w:t>States parties must protect the confidentiality of HIV test results consistent with the obligation to protect the right to privacy of children (art. 16), including within health and social welfare settings, and information on the HIV status of children may not be disclosed to third parties including parents without consent.</w:t>
      </w:r>
    </w:p>
    <w:p w:rsidR="00000000" w:rsidRDefault="00000000">
      <w:pPr>
        <w:pStyle w:val="Heading3"/>
      </w:pPr>
      <w:r>
        <w:rPr>
          <w:i/>
        </w:rPr>
        <w:t>(</w:t>
      </w:r>
      <w:r>
        <w:t>e)</w:t>
      </w:r>
      <w:r>
        <w:tab/>
        <w:t>Mother-to-child transmission</w:t>
      </w:r>
    </w:p>
    <w:p w:rsidR="00000000" w:rsidRDefault="00000000">
      <w:r>
        <w:t>22.</w:t>
      </w:r>
      <w:r>
        <w:tab/>
        <w:t>Mother-to-child transmission (MTCT) is responsible for the majority of HIV infections in infants and young children.  Infants and young children can be infected with HIV during pregnancy, labour and delivery, and through breastfeeding.  States parties are requested to ensure implementation of the strategies recommended by the United Nations agencies to prevent HIV infection in infants and young children.  These include:  (1) the primary prevention of HIV infection among parents-to-be, (2) the prevention of unintended pregnancies in HIV-infected women, (3) the prevention of HIV transmission from HIV-infected women to their infants and (4) the provision of care, treatment and support to HIV-infected women, their infants and families.</w:t>
      </w:r>
    </w:p>
    <w:p w:rsidR="00000000" w:rsidRDefault="00000000">
      <w:r>
        <w:t>23.</w:t>
      </w:r>
      <w:r>
        <w:tab/>
        <w:t>To prevent MTCT of HIV, States parties must take steps, including the provision of essential drugs, e.g. antiretroviral drugs, appropriate antenatal, delivery and post-partum care, and making HIV voluntary counselling and testing services available to pregnant women and their partners.  The Committee recognizes that antiretroviral drugs given to a woman during pregnancy and/or labour and, in some regimens, to her infant, has been shown to significantly reduce the risk of transmission from mother to child.  However, in addition, State parties should provide support for mothers and children, including counselling on infant feeding options.  States parties are reminded that counselling of HIV-positive mothers should include information about the risks and benefits of different infant feeding options, and guidance in selecting the option most likely to be suitable for their situation.  Follow-up support is also required in order for women to be able to implement their selected option as safely as possible.</w:t>
      </w:r>
    </w:p>
    <w:p w:rsidR="00000000" w:rsidRDefault="00000000">
      <w:r>
        <w:t>24.</w:t>
      </w:r>
      <w:r>
        <w:tab/>
        <w:t>Even in populations with high HIV prevalence, the majority of infants are born to women who are not HIV-infected.  For the infants of HIV-negative women and women who do not know their HIV status, the Committee wishes to emphasize, consistent with articles 6 and 24 that breastfeeding remains the best feeding choice.  For the infants of HIV-positive mothers, available evidence indicates that breastfeeding can add to the risk of HIV transmission by 10</w:t>
      </w:r>
      <w:r>
        <w:noBreakHyphen/>
        <w:t>20 per cent, but that lack of breastfeeding can expose children to an increased risk of malnutrition or infectious disease other than HIV.  United Nations agencies have recommended that where replacement feeding is affordable, feasible, acceptable, sustainable and safe, avoidance of all breastfeeding by HIV-infected mothers is recommended - otherwise exclusive breastfeeding is recommended during the first months of life and should then be discontinued as soon as it is feasible.</w:t>
      </w:r>
    </w:p>
    <w:p w:rsidR="00000000" w:rsidRDefault="00000000">
      <w:pPr>
        <w:pStyle w:val="Heading3"/>
      </w:pPr>
      <w:r>
        <w:t>(f)</w:t>
      </w:r>
      <w:r>
        <w:tab/>
        <w:t>Treatment and care</w:t>
      </w:r>
    </w:p>
    <w:p w:rsidR="00000000" w:rsidRDefault="00000000">
      <w:r>
        <w:t>25.</w:t>
      </w:r>
      <w:r>
        <w:tab/>
        <w:t>The obligations of States parties under the Convention extend to ensuring that children have sustained and equal access to comprehensive treatment and care, including necessary HIV-related drugs, goods and services on a basis of non-discrimination.  It is now widely recognized that comprehensive treatment and care includes antiretroviral and other medicines, diagnostics and related technologies for the care of HIV/AIDS, related opportunistic infections and other conditions, good nutrition, and social, spiritual, and psychological support, as well as family, community and home-based care.  In this regard, States parties should negotiate with the pharmaceutical industry in order to make the necessary medicines available at the lowest costs possible at local level.  Furthermore States parties are requested to affirm, support and facilitate the involvement of communities as part of comprehensive HIV/AIDS treatment, care and support, while nonetheless complying with their own obligations under the Convention.  States parties are asked to pay special attention to addressing those factors within their societies that hinder equal access to treatment, care and support for all children.</w:t>
      </w:r>
    </w:p>
    <w:p w:rsidR="00000000" w:rsidRDefault="00000000">
      <w:pPr>
        <w:pStyle w:val="Heading3"/>
      </w:pPr>
      <w:r>
        <w:t>(g)</w:t>
      </w:r>
      <w:r>
        <w:tab/>
        <w:t>Involvement of children in research</w:t>
      </w:r>
    </w:p>
    <w:p w:rsidR="00000000" w:rsidRDefault="00000000">
      <w:r>
        <w:t>26.</w:t>
      </w:r>
      <w:r>
        <w:tab/>
        <w:t>Consistent with article 24 of the Convention, States parties must ensure that HIV/AIDS research programmes include specific studies that contribute to effective prevention, care, treatment, and impact reduction for children.  States parties must nonetheless ensure that children do not serve as research subjects until an intervention has already been thoroughly tested on adults. Rights and ethical concerns have arisen in relation to HIV/AIDS biomedical research, as well as HIV/AIDS operations, social, cultural and behavioural research.  Children have been subjected to unnecessary or inappropriately designed research with little or no voice to either refuse or consent to participation.  In line with the child’s evolving capacities, consent of the child should be sought and consent may be sought from parents or guardians if necessary, but in all cases consent must be based on full disclosure of the risks and benefits of research to the child States parties are further reminded to ensure that the privacy rights of children, in line with their obligation under article 16 of the Convention, are not inadvertently violated through the research process and that personal information about children which is accessed through research is, under no circumstances, used for purposes other than that for which consent was given.  States parties must make every effort to ensure that children, and according to their evolving capacities their parents and/or their guardians, participate in decisions on research priorities and that a supportive environment is created for children that participate in such research.</w:t>
      </w:r>
    </w:p>
    <w:p w:rsidR="00000000" w:rsidRDefault="00000000">
      <w:pPr>
        <w:pStyle w:val="Heading2"/>
      </w:pPr>
      <w:r>
        <w:t>V.  Vulnerability and children needing special protection</w:t>
      </w:r>
    </w:p>
    <w:p w:rsidR="00000000" w:rsidRDefault="00000000">
      <w:r>
        <w:t>27.</w:t>
      </w:r>
      <w:r>
        <w:tab/>
        <w:t>The vulnerability of children to HIV/AIDS resulting from political, economic, social, cultural and other factors determines their likelihood of being left with insufficient support to cope with the impact of HIV/AIDS on their families and communities, exposed to a risk of acquiring infection, subjected to inappropriate research, or deprived of access to treatment, care and support if HIV infection sets in.  HIV/AIDS-related vulnerability is most acute for children living in refugee and internally displaced persons (IDP) camps, children in detention, children living in institutions, as well as children living in extreme poverty, children living in situations of armed conflict, child-soldiers, economically and sexually exploited children, disabled, migrant, minority, indigenous, and street children, but all children can be rendered vulnerable by the particular circumstances of their lives.  Even in times of severe resource constraints, the Committee wishes to note that the rights of vulnerable members of society must be protected and that many measures can be pursued with minimum resource implications.  Reducing HIV/AIDS</w:t>
      </w:r>
      <w:r>
        <w:noBreakHyphen/>
        <w:t>related vulnerability requires first and foremost that children, their families and communities be empowered to make informed choices about decisions, practices or policies affecting them in relation to HIV/AIDS.</w:t>
      </w:r>
    </w:p>
    <w:p w:rsidR="00000000" w:rsidRDefault="00000000">
      <w:pPr>
        <w:pStyle w:val="Heading3"/>
      </w:pPr>
      <w:r>
        <w:t>(a)</w:t>
      </w:r>
      <w:r>
        <w:tab/>
        <w:t>Children affected and orphaned by HIV/AIDS</w:t>
      </w:r>
    </w:p>
    <w:p w:rsidR="00000000" w:rsidRDefault="00000000">
      <w:r>
        <w:t>28.</w:t>
      </w:r>
      <w:r>
        <w:tab/>
        <w:t>Special attention must be given to children orphaned by AIDS, children from affected families, including child-headed households, as these impact on vulnerability to HIV infection.  For children from families affected by HIV/AIDS, the stigmatization and social isolation they experience may be accentuated by the neglect or violation of their rights, in particular discrimination resulting in a decrease or loss of access to education, health and social services.  The Committee wishes to underline the necessity of legal, economic and social protections for affected children to ensure their access to education, inheritance, shelter, health and social services, as well as to feel secure in disclosing their HIV status and that of their family members when the children deem it appropriate.  In this respect, States parties are reminded that these measures are critical to realization of the rights of children and to give them the skills and support necessary to reduce their vulnerability and risk of becoming infected.</w:t>
      </w:r>
    </w:p>
    <w:p w:rsidR="00000000" w:rsidRDefault="00000000">
      <w:r>
        <w:t>29.</w:t>
      </w:r>
      <w:r>
        <w:tab/>
        <w:t>The Committee wishes to emphasize the critical implications of proof of identity for children affected by HIV/AIDS, as it relates to securing recognition as a person before the law, safeguarding the protection of rights, in particular to inheritance, education, health and other social services, as well as to making children less vulnerable to abuse and exploitation, particularly if separated from their families due to illness or death.  In this respect, birth registration is critical to ensure the rights of the child and is also necessary to minimize the impact of HIV/AIDS on the lives of affected children.  States parties are therefore reminded of their obligation under article 7 of the Convention to ensure that systems are in place for the registration of every child at or shortly after birth.</w:t>
      </w:r>
    </w:p>
    <w:p w:rsidR="00000000" w:rsidRDefault="00000000">
      <w:r>
        <w:t>30.</w:t>
      </w:r>
      <w:r>
        <w:tab/>
        <w:t>The trauma HIV/AIDS brings to the lives of orphans often begins with the illness and death of one of their parents, and is frequently compounded by the effects of stigma and discrimination.  In this respect, States parties are particularly reminded to ensure that both law and practice support the inheritance and property rights of orphans, with particular attention to underlying gender-based discrimination as it may interfere with the fulfilment of these rights.  Consistent with their obligations under article 27 of the Convention, States parties must also support and strengthen the capacity of families and communities of children orphaned by AIDS to provide them with a standard of living adequate for their physical, mental, spiritual, moral, economic and social development, including access to psychosocial care as needed.</w:t>
      </w:r>
    </w:p>
    <w:p w:rsidR="00000000" w:rsidRDefault="00000000">
      <w:r>
        <w:t>31.</w:t>
      </w:r>
      <w:r>
        <w:tab/>
        <w:t>Orphans are best protected and cared for when efforts are made to enable siblings to remain together, and in the care of relatives or family members.  The extended family, with the support of the surrounding community, may be the least traumatic and therefore the best way to care for orphans when there are no other feasible alternatives.  Assistance must be provided so that, to the maximum extent possible, children can remain within existing family structures.  This option may not be available due to the impact HIV/AIDS has on the extended family.  In that case, States parties should provide as far as possible for family-type alternative care (e.g. foster care).  States parties are encouraged to provide support, financial and otherwise, when necessary, to child-headed households.  States parties must ensure that their strategies recognize that communities are at the front line of the response to HIV/AIDS and that these strategies are designed to support communities in their determinations as to how best to provide support to the orphans living there.</w:t>
      </w:r>
    </w:p>
    <w:p w:rsidR="00000000" w:rsidRDefault="00000000">
      <w:r>
        <w:t>32.</w:t>
      </w:r>
      <w:r>
        <w:tab/>
        <w:t>Although institutionalized care may have detrimental effects on child development, States parties may nonetheless determine that it has an interim role to play in caring for children orphaned by HIV/AIDS when family-based care within their own communities is not a possibility.  It is the opinion of the Committee, that any form of institutionalized care for children can only serve as a last resort, and measures must be fully in place to protect the rights of the child and guard against all forms of abuse and exploitation.  In keeping with the right of children to special protection and assistance when within these environments, and consistent with articles 3, 20 and 25 under the Convention, strict measures are needed to ensure that such institutions meet specific standards of care and comply with legal protections.  States parties are reminded that limits must be placed on the length of time children spend in these institutions, and programmes must be developed to support any children who stay in these institutions, whether infected or affected by HIV/AIDS, to successfully reintegrate into their communities.</w:t>
      </w:r>
    </w:p>
    <w:p w:rsidR="00000000" w:rsidRDefault="00000000">
      <w:pPr>
        <w:pStyle w:val="Heading3"/>
      </w:pPr>
      <w:r>
        <w:t>(b)</w:t>
      </w:r>
      <w:r>
        <w:tab/>
        <w:t>Victims of sexual and economic exploitation</w:t>
      </w:r>
    </w:p>
    <w:p w:rsidR="00000000" w:rsidRDefault="00000000">
      <w:r>
        <w:t>33.</w:t>
      </w:r>
      <w:r>
        <w:tab/>
        <w:t>Girls and boys who are deprived of the means of survival and development, particularly children orphaned by AIDS, may be subjected to sexual and economic exploitation in a variety of forms, including the exchange of sexual services or hazardous work for money to survive, support their sick or dying parents and younger siblings, or to pay for school fees.  Children who are infected or immediately affected by HIV/AIDS may find themselves at a double disadvantage, experiencing discrimination on the basis of both their social and economic marginalization and their, or their parents, HIV status.  Consistent with the right of children under articles 32, 34, 35 and 36 of the Convention, and in order to decrease children’s vulnerability to HIV/AIDS, States parties are obliged to protect children from all forms of economic and sexual exploitation, including ensuring they do not fall prey to prostitution networks, and that they are protected from performing any work likely to be hazardous or to interfere with their education, health or physical, mental, spiritual, moral or social development.  States parties must take bold action to protect children from sexual and economic exploitation, trafficking and sale and consistent with the rights under article 39, create opportunities for those who have been subjected to such treatment to benefit from the support and caring services of the State and non</w:t>
      </w:r>
      <w:r>
        <w:noBreakHyphen/>
        <w:t>governmental entities engaged in these issues.</w:t>
      </w:r>
    </w:p>
    <w:p w:rsidR="00000000" w:rsidRDefault="00000000">
      <w:pPr>
        <w:pStyle w:val="Heading3"/>
      </w:pPr>
      <w:r>
        <w:t>(c)</w:t>
      </w:r>
      <w:r>
        <w:tab/>
        <w:t>Victims of violence and abuse</w:t>
      </w:r>
    </w:p>
    <w:p w:rsidR="00000000" w:rsidRDefault="00000000">
      <w:r>
        <w:t>34.</w:t>
      </w:r>
      <w:r>
        <w:tab/>
        <w:t>Children may be exposed to various forms of violence and abuse which may increase their risk of becoming HIV-infected, and they may also be subjected to violence as a result of their being infected or affected by HIV/AIDS.  Violence, including rape and other forms of sexual abuse, can occur in the family or foster setting or be perpetrated by those with specific responsibilities towards children, including teachers and employees of institutions working with children, such as prisons and institutions concerned with mental health and other disabilities.  In keeping with the rights of the child according to article 19 of the Convention, States parties have the obligation to protect children from all forms of violence and abuse, whether at home, in school or other institutions, or in the community.  Programmes must be specifically adapted to the environment in which children live, their ability to recognize and disclose abuses and their individual capacity and autonomy.  The Committee considers that the relationship between HIV/AIDS and the violence or abuse suffered by children in the context of war and armed conflict requires specific attention.  Measures to prevent violence and abuse in these situations are critical, and States parties must ensure the incorporation of HIV/AIDS and child rights issues in addressing and supporting children - girls and boys - who were used by military or other uniformed personnel to provide domestic help or sexual services, or who are internally displaced or living in refugee camps.  In keeping with States parties obligations, including under articles 38 and 39 of the Convention, active information campaigns combined with the counselling of children and mechanisms for prevention and early detection of violence and abuse must be put in place within conflict and disaster affected regions, as well as within national and community responses to HIV/AIDS.</w:t>
      </w:r>
    </w:p>
    <w:p w:rsidR="00000000" w:rsidRDefault="00000000">
      <w:pPr>
        <w:pStyle w:val="Heading3"/>
      </w:pPr>
      <w:r>
        <w:t>Substance abuse</w:t>
      </w:r>
    </w:p>
    <w:p w:rsidR="00000000" w:rsidRDefault="00000000">
      <w:r>
        <w:t>35.</w:t>
      </w:r>
      <w:r>
        <w:tab/>
        <w:t>The use of substances, including alcohol and drugs, may reduce the ability of children to exert control over their sexual conduct and, as a result, may increase their vulnerability to HIV infection.  Injecting practices with unsterile equipment further enhances the risk of HIV transmission.  The Committee notes that greater understanding is needed of substance-use behaviours among children, including the impact that neglect and violation of the rights of the child has on these behaviours.  In most countries, children have not benefited from pragmatic HIV prevention programmes related to substance use, which even when they do exist have largely been targeted at adults.  The Committee wishes to emphasize that policies and programmes aimed at reducing substance use and HIV transmission must recognize the particular sensitivities and lifestyles of children, including adolescents, in the context of HIV/AIDS prevention.  Consistent with the right of children under articles 33 and 24 of the Convention, States parties are obliged to ensure the implementation of programmes that aim to reduce the factors that expose children to the use of substances, as well as those that provide children that are abusing substances treatment and support.</w:t>
      </w:r>
    </w:p>
    <w:p w:rsidR="00000000" w:rsidRDefault="00000000">
      <w:pPr>
        <w:pStyle w:val="Heading2"/>
      </w:pPr>
      <w:r>
        <w:t>VI.  Recommendations</w:t>
      </w:r>
    </w:p>
    <w:p w:rsidR="00000000" w:rsidRDefault="00000000">
      <w:r>
        <w:t>36.</w:t>
      </w:r>
      <w:r>
        <w:tab/>
        <w:t>The Committee hereby reaffirms the recommendations, which emerged at the day of general discussion on HIV/AIDS (CRC/C/80) and calls upon States parties to:</w:t>
      </w:r>
    </w:p>
    <w:p w:rsidR="00000000" w:rsidRDefault="00000000">
      <w:r>
        <w:tab/>
        <w:t>1.</w:t>
      </w:r>
      <w:r>
        <w:tab/>
        <w:t>Adopt and implement national and local HIV/AIDS-related policies, including effective Plans of Action, strategies, and programmes that are child-centred rights</w:t>
      </w:r>
      <w:r>
        <w:noBreakHyphen/>
        <w:t>based and incorporating the rights of the child under the Convention including by taking into account the recommendations made in the previous paragraphs of this general comment and those adopted at the United Nations General Assembly Special Session on Children (2002).</w:t>
      </w:r>
    </w:p>
    <w:p w:rsidR="00000000" w:rsidRDefault="00000000">
      <w:r>
        <w:tab/>
        <w:t>2.</w:t>
      </w:r>
      <w:r>
        <w:tab/>
        <w:t>Allocate financial, technical and human resources to the maximum extent available to support national and community-based action (art. 4), and when appropriate within the context of international cooperation (see hereafter under 7).</w:t>
      </w:r>
    </w:p>
    <w:p w:rsidR="00000000" w:rsidRDefault="00000000">
      <w:r>
        <w:tab/>
        <w:t>3.</w:t>
      </w:r>
      <w:r>
        <w:tab/>
        <w:t>Review existing laws or enact new legislation with the view to implement fully article 2 of the Convention and in particular to prohibit expressly discrimination based on real or perceived HIV/AIDS status as to guarantee equal access of all children to all relevant services with particular attention for the child’s right to privacy and confidentiality and other recommendations the Committee made in the previous paragraphs relevant to legislation.</w:t>
      </w:r>
    </w:p>
    <w:p w:rsidR="00000000" w:rsidRDefault="00000000">
      <w:r>
        <w:tab/>
        <w:t>4.</w:t>
      </w:r>
      <w:r>
        <w:tab/>
        <w:t>Include HIV/AIDS Plans of Action, strategies, policies and programmes in the work of national mechanisms for monitoring and coordinating children’s rights and to consider the establishment of a review procedure, which responds specifically to complaints of neglect or violation of the rights of the child in relation to HIV/AIDS, whether this entails the creation of a new legislative or administrative body or is entrusted to an existing national institution.</w:t>
      </w:r>
    </w:p>
    <w:p w:rsidR="00000000" w:rsidRDefault="00000000">
      <w:r>
        <w:br w:type="page"/>
      </w:r>
      <w:r>
        <w:tab/>
        <w:t>5.</w:t>
      </w:r>
      <w:r>
        <w:tab/>
        <w:t>Reassess their HIV-related data collection and evaluation to ensure that they adequately cover children as defined under the Convention, disaggregated by age and gender and ideally be done in five-year age groups, and as far as possible reflect children belonging to vulnerable groups and in need of special protection.</w:t>
      </w:r>
    </w:p>
    <w:p w:rsidR="00000000" w:rsidRDefault="00000000">
      <w:r>
        <w:tab/>
        <w:t>6.</w:t>
      </w:r>
      <w:r>
        <w:tab/>
        <w:t>Include in their reporting process under article 44 of the CRC information on national HIV/AIDS policies and programmes and, to the extent possible, budgeting and resource allocations at national, regional and local levels, as well as within these breakdowns the proportions allocated to prevention, care, research and impact reduction.  Specific attention must be given to the extent to which these programmes and policies explicitly recognize children (in light of their evolving capacities) and their rights, and the extent to which HIV-related rights of children are dealt with in laws, policies and practices, with specific attention to discrimination against children on the basis of their HIV status, as well as because they are orphans or the children of parents living with HIV/AIDS.  The Committee requests States parties to provide a detailed indication in their reports of what it considers to be the most important priorities within its jurisdiction in relation to children and HIV/AIDS, and to outline the programme of activities it proposes to take over the succeeding five years in order to address the problems identified.  This will allow these to be progressively assessed over time.</w:t>
      </w:r>
    </w:p>
    <w:p w:rsidR="00000000" w:rsidRDefault="00000000">
      <w:r>
        <w:tab/>
        <w:t>7.</w:t>
      </w:r>
      <w:r>
        <w:tab/>
        <w:t>In order to promote international cooperation, the Committee calls upon UNICEF, WHO, UNFPA, UNAIDS and other relevant international bodies, organizations and agencies to contribute systematically, at the national level, to efforts to ensure the rights of children in the context of HIV/AIDS, and also to continue to work with the Committee to improve the rights of the child in the context of HIV/AIDS.  Further the Committee urges States providing development cooperation to ensure that HIV/AIDS strategies are designed so as to fully take into account the rights of the child.</w:t>
      </w:r>
    </w:p>
    <w:p w:rsidR="00000000" w:rsidRDefault="00000000">
      <w:pPr>
        <w:spacing w:after="480"/>
      </w:pPr>
      <w:r>
        <w:tab/>
        <w:t>8.</w:t>
      </w:r>
      <w:r>
        <w:tab/>
        <w:t>Non-governmental organizations, as well as community-based groups and other civil society actors, such as youth groups, faith-based organizations, women’s organizations, traditional leaders, including religious and cultural leaders, all have a vital role to play in the response to the HIV/AIDS pandemic.  States parties are requested to ensure an enabling environment for civil society participation, which includes facilitating collaboration and coordination among different players and that they are given the support to be able to operate effectively without impediment.  (In this regard, States parties are specifically encouraged to support the full involvement of People Living with HIV/AIDS, with particular attention to the inclusion of children, in the provision of HIV/AIDS prevention, care, treatment and support services.)</w:t>
      </w:r>
    </w:p>
    <w:p w:rsidR="00000000" w:rsidRDefault="00000000">
      <w:pPr>
        <w:spacing w:after="0"/>
        <w:jc w:val="center"/>
        <w:rPr>
          <w:b/>
        </w:rPr>
        <w:sectPr w:rsidR="00000000">
          <w:headerReference w:type="even" r:id="rId64"/>
          <w:headerReference w:type="default" r:id="rId65"/>
          <w:endnotePr>
            <w:numFmt w:val="decimal"/>
            <w:numRestart w:val="eachSect"/>
          </w:endnotePr>
          <w:type w:val="continuous"/>
          <w:pgSz w:w="11909" w:h="16834"/>
          <w:pgMar w:top="567" w:right="851" w:bottom="1985" w:left="1701" w:header="851" w:footer="1985" w:gutter="0"/>
          <w:paperSrc w:first="84" w:other="84"/>
          <w:cols w:space="60"/>
        </w:sectPr>
      </w:pPr>
      <w:r>
        <w:rPr>
          <w:b/>
        </w:rPr>
        <w:t>Note</w:t>
      </w:r>
    </w:p>
    <w:p w:rsidR="00000000" w:rsidRDefault="00000000">
      <w:pPr>
        <w:pStyle w:val="Heading2"/>
      </w:pPr>
      <w:r>
        <w:t>Thirty-third session (2003)</w:t>
      </w:r>
    </w:p>
    <w:p w:rsidR="00000000" w:rsidRDefault="00000000">
      <w:pPr>
        <w:pStyle w:val="Heading2"/>
      </w:pPr>
      <w:bookmarkStart w:id="282" w:name="_Toc481083517"/>
      <w:bookmarkStart w:id="283" w:name="_Toc70389116"/>
      <w:bookmarkStart w:id="284" w:name="_Toc70517047"/>
      <w:r>
        <w:t>General Comment No. 4:  Adolescent health and development</w:t>
      </w:r>
      <w:r>
        <w:br/>
        <w:t>in the context of the Convention on the Rights of the Child</w:t>
      </w:r>
      <w:bookmarkEnd w:id="282"/>
      <w:bookmarkEnd w:id="283"/>
      <w:bookmarkEnd w:id="284"/>
    </w:p>
    <w:p w:rsidR="00000000" w:rsidRDefault="00000000">
      <w:pPr>
        <w:pStyle w:val="Heading2"/>
      </w:pPr>
      <w:r>
        <w:t>Introduction</w:t>
      </w:r>
    </w:p>
    <w:p w:rsidR="00000000" w:rsidRDefault="00000000">
      <w:r>
        <w:tab/>
        <w:t>The Convention on the Rights of the Child defines a child as “every human being below the age of 18 years unless, under the law applicable, majority is attained earlier” (art. 1). Consequently, adolescents up to 18 years old are holders of all the rights enshrined in the Convention; they are entitled to special protection measures and, according to their evolving capacities, they can progressively exercise their rights (art. 5).</w:t>
      </w:r>
    </w:p>
    <w:p w:rsidR="00000000" w:rsidRDefault="00000000">
      <w:r>
        <w:tab/>
        <w:t>Adolescence is a period characterized by rapid physical, cognitive and social changes, including sexual and reproductive maturation; the gradual building up of the capacity to assume adult behaviours and roles involving new responsibilities requiring new knowledge and skills.  While adolescents are in general a healthy population group, adolescence also poses new challenges to health and development owing to their relative vulnerability and pressure from society, including peers, to adopt risky health behaviour.  These challenges include developing an individual identity and dealing with one’s sexuality.  The dynamic transition period to adulthood is also generally a period of positive changes, prompted by the significant capacity of adolescents to learn rapidly, to experience new and diverse situations, to develop and use critical thinking, to familiarize themselves with freedom, to be creative and to socialize.</w:t>
      </w:r>
    </w:p>
    <w:p w:rsidR="00000000" w:rsidRDefault="00000000">
      <w:r>
        <w:tab/>
        <w:t>The Committee on the Rights of the Child notes with concern that in implementing their obligations under the Convention, States parties have not given sufficient attention to the specific concerns of adolescents as rights holders and to promoting their health and development.  This has motivated the Committee to adopt the present general comment in order to raise awareness and provide States parties with guidance and support in their efforts to guarantee the respect for, protection and fulfilment of the rights of adolescents, including through the formulation of specific strategies and policies.</w:t>
      </w:r>
    </w:p>
    <w:p w:rsidR="00000000" w:rsidRDefault="00000000">
      <w:r>
        <w:tab/>
        <w:t>The Committee understands the concepts of “health and development” more broadly than being strictly limited to the provisions defined in articles 6 (right to life, survival and development) and 24 (right to health) of the Convention.  One of the aims of this general comment is precisely to identify the main human rights that need to be promoted and protected in order to ensure that adolescents do enjoy the highest attainable standard of health, develop in a well-balanced manner, and are adequately prepared to enter adulthood and assume a constructive role in their communities and in society at large.  This general comment should be read in conjunction with the Convention and its two Optional Protocols on the sale of children, child prostitution and child pornography, and on the involvement of children in armed conflict, as well as other relevant international human rights norms and standards.</w:t>
      </w:r>
      <w:r>
        <w:rPr>
          <w:rStyle w:val="EndnoteReference"/>
        </w:rPr>
        <w:endnoteReference w:id="218"/>
      </w:r>
    </w:p>
    <w:p w:rsidR="00000000" w:rsidRDefault="00000000">
      <w:pPr>
        <w:pStyle w:val="Heading2"/>
      </w:pPr>
      <w:r>
        <w:t>I.  Fundamental principles and other obligations of States parties</w:t>
      </w:r>
    </w:p>
    <w:p w:rsidR="00000000" w:rsidRDefault="00000000">
      <w:pPr>
        <w:pStyle w:val="ParaNo"/>
        <w:tabs>
          <w:tab w:val="clear" w:pos="737"/>
          <w:tab w:val="left" w:pos="-2410"/>
        </w:tabs>
      </w:pPr>
      <w:r>
        <w:t>As recognized by the World Conference on Human Rights (1993) and repeatedly stated by the Committee, children’s rights too are indivisible and interrelated.  In addition to articles 6 and 24, other provisions and principles of the Convention are crucial in guaranteeing that adolescents fully enjoy their right to health and development.</w:t>
      </w:r>
    </w:p>
    <w:p w:rsidR="00000000" w:rsidRDefault="00000000">
      <w:pPr>
        <w:pStyle w:val="Heading3"/>
        <w:tabs>
          <w:tab w:val="num" w:pos="600"/>
        </w:tabs>
      </w:pPr>
      <w:r>
        <w:t>The right to non-discrimination</w:t>
      </w:r>
    </w:p>
    <w:p w:rsidR="00000000" w:rsidRDefault="00000000">
      <w:pPr>
        <w:pStyle w:val="ParaNo"/>
        <w:tabs>
          <w:tab w:val="clear" w:pos="737"/>
          <w:tab w:val="left" w:pos="-2410"/>
        </w:tabs>
      </w:pPr>
      <w:r>
        <w:t>States parties have the obligation to ensure that all human beings below 18 enjoy all the rights set forth in the Convention without discrimination (art. 2), including with regard to “race, colour, sex, language, religion, political or other opinion, national, ethnic or social origin, property, disability, birth or other status”.  These grounds also cover adolescents’ sexual orientation and health status (including HIV/AIDS and mental health).  Adolescents who are subject to discrimination are more vulnerable to abuse, other types of violence and exploitation, and their health and development are put at greater risk.  They are therefore entitled to special attention and protection from all segments of society.</w:t>
      </w:r>
    </w:p>
    <w:p w:rsidR="00000000" w:rsidRDefault="00000000">
      <w:pPr>
        <w:pStyle w:val="Heading3"/>
        <w:tabs>
          <w:tab w:val="num" w:pos="600"/>
        </w:tabs>
      </w:pPr>
      <w:r>
        <w:t>Appropriate guidance in the exercise of rights</w:t>
      </w:r>
    </w:p>
    <w:p w:rsidR="00000000" w:rsidRDefault="00000000">
      <w:pPr>
        <w:pStyle w:val="ParaNo"/>
        <w:tabs>
          <w:tab w:val="clear" w:pos="737"/>
          <w:tab w:val="left" w:pos="-2410"/>
        </w:tabs>
      </w:pPr>
      <w:r>
        <w:t>The Convention acknowledges the responsibilities, rights and duties of parents (or other persons legally responsible for the child) “to provide, in a manner consistent with the evolving capacities of the child, appropriate direction and guidance in the exercise by the child of the rights recognized in the Convention” (art. 5).  The Committee believes that parents or other persons legally responsible for the child need to fulfil with care their right and responsibility to provide direction and guidance to their adolescent children in the exercise by the latter of their rights.  They have an obligation to take into account the adolescents’ views, in accordance with their age and maturity, and to provide a safe and supportive environment in which the adolescent can develop.  Adolescents need to be recognized by the members of their family environment as active rights holders who have the capacity to become full and responsible citizens, given the proper guidance and direction.</w:t>
      </w:r>
    </w:p>
    <w:p w:rsidR="00000000" w:rsidRDefault="00000000">
      <w:pPr>
        <w:pStyle w:val="Heading3"/>
        <w:tabs>
          <w:tab w:val="num" w:pos="600"/>
        </w:tabs>
      </w:pPr>
      <w:r>
        <w:t>Respect for the views of the child</w:t>
      </w:r>
    </w:p>
    <w:p w:rsidR="00000000" w:rsidRDefault="00000000">
      <w:pPr>
        <w:pStyle w:val="ParaNo"/>
        <w:tabs>
          <w:tab w:val="clear" w:pos="737"/>
          <w:tab w:val="left" w:pos="-2410"/>
        </w:tabs>
      </w:pPr>
      <w:r>
        <w:t>The right to express views freely and have them duly taken into account (art. 12) is also fundamental in realizing adolescents’ right to health and development.  States parties need to ensure that adolescents are given a genuine chance to express their views freely on all matters affecting them, especially within the family, in school, and in their communities.  In order for adolescents to be able safely and properly to exercise this right, public authorities, parents and other adults working with or for children need to create an environment based on trust, information</w:t>
      </w:r>
      <w:r>
        <w:noBreakHyphen/>
        <w:t>sharing, the capacity to listen and sound guidance that is conducive for adolescents’ participating equally including in decision-making processes.</w:t>
      </w:r>
    </w:p>
    <w:p w:rsidR="00000000" w:rsidRDefault="00000000">
      <w:pPr>
        <w:pStyle w:val="Heading3"/>
        <w:tabs>
          <w:tab w:val="num" w:pos="600"/>
        </w:tabs>
      </w:pPr>
      <w:r>
        <w:t>Legal and judicial measures and processes</w:t>
      </w:r>
    </w:p>
    <w:p w:rsidR="00000000" w:rsidRDefault="00000000">
      <w:pPr>
        <w:pStyle w:val="ParaNo"/>
        <w:tabs>
          <w:tab w:val="clear" w:pos="737"/>
          <w:tab w:val="left" w:pos="-2410"/>
        </w:tabs>
      </w:pPr>
      <w:r>
        <w:t>Under article 4 of the Convention, “States parties shall undertake all appropriate legislative, administrative and other measures for the implementation of the rights recognized” therein.  In the context of the rights of adolescents to health and development, States parties need to ensure that specific legal provisions are guaranteed under domestic law, including with regard to setting a minimum age for sexual consent, marriage and the possibility of medical treatment without parental consent.  These minimum ages should be the same for boys and girls (article 2 of the Convention) and closely reflect the recognition of the status of human beings under 18 years of age as rights holders, in accordance with their evolving capacity, age and maturity (arts. 5 and 12 to 17).  Further, adolescents need to have easy access to individual complaint systems as well as judicial and appropriate non-judicial redress mechanisms that guarantee fair and due process, with special attention to the right to privacy (art. 16).</w:t>
      </w:r>
    </w:p>
    <w:p w:rsidR="00000000" w:rsidRDefault="00000000">
      <w:pPr>
        <w:pStyle w:val="Heading3"/>
        <w:tabs>
          <w:tab w:val="num" w:pos="600"/>
        </w:tabs>
      </w:pPr>
      <w:r>
        <w:t>Civil rights and freedoms</w:t>
      </w:r>
    </w:p>
    <w:p w:rsidR="00000000" w:rsidRDefault="00000000">
      <w:pPr>
        <w:pStyle w:val="ParaNo"/>
        <w:tabs>
          <w:tab w:val="clear" w:pos="737"/>
          <w:tab w:val="left" w:pos="-2410"/>
        </w:tabs>
      </w:pPr>
      <w:r>
        <w:t>The Convention defines the civil rights and freedoms of children and adolescents in its articles 13 to 17.  These are fundamental in guaranteeing the right to health and development of adolescents.  Article 17 states that the child has the right to “access information and material from a diversity of national and international sources, especially those aimed at the promotion of his or her social, spiritual and moral well-being and physical and mental health”.  The right of adolescents to access appropriate information is crucial if States parties are to promote cost</w:t>
      </w:r>
      <w:r>
        <w:noBreakHyphen/>
        <w:t>effective measures, including through laws, policies and programmes, with regard to numerous health</w:t>
      </w:r>
      <w:r>
        <w:noBreakHyphen/>
        <w:t>related situations, including those covered in articles 24 and 33 such as family planning, prevention of accidents, protection from harmful traditional practices, including early marriages and female genital mutilation, and the abuse of alcohol, tobacco and other harmful substances.</w:t>
      </w:r>
    </w:p>
    <w:p w:rsidR="00000000" w:rsidRDefault="00000000">
      <w:pPr>
        <w:pStyle w:val="ParaNo"/>
        <w:tabs>
          <w:tab w:val="clear" w:pos="737"/>
          <w:tab w:val="left" w:pos="-2410"/>
        </w:tabs>
      </w:pPr>
      <w:r>
        <w:t>In order to promote the health and development of adolescents, States parties are also encouraged to respect strictly their right to privacy and confidentiality, including with respect to advice and counselling on health matters (art. 16).  Health-care providers have an obligation to keep confidential medical information concerning adolescents, bearing in mind the basic principles of the Convention.  Such information may only be disclosed with the consent of the adolescent, or in the same situations applying to the violation of an adult’s confidentiality.  Adolescents deemed mature enough to receive counselling without the presence of a parent or other person are entitled to privacy and may request confidential services, including treatment.</w:t>
      </w:r>
    </w:p>
    <w:p w:rsidR="00000000" w:rsidRDefault="00000000">
      <w:pPr>
        <w:pStyle w:val="Heading3"/>
      </w:pPr>
      <w:r>
        <w:t>Protection from all forms of abuse, neglect, violence and exploitation</w:t>
      </w:r>
      <w:r>
        <w:rPr>
          <w:rStyle w:val="EndnoteReference"/>
          <w:b/>
        </w:rPr>
        <w:endnoteReference w:id="219"/>
      </w:r>
    </w:p>
    <w:p w:rsidR="00000000" w:rsidRDefault="00000000">
      <w:pPr>
        <w:pStyle w:val="ParaNo"/>
        <w:tabs>
          <w:tab w:val="clear" w:pos="737"/>
          <w:tab w:val="left" w:pos="-2410"/>
        </w:tabs>
      </w:pPr>
      <w:r>
        <w:t>States parties must take effective measures to ensure that adolescents are protected from all forms of violence, abuse, neglect and exploitation (arts. 19, 32-36 and 38), paying increased attention to the specific forms of abuse, neglect, violence and exploitation that affects this age group.  In particular, they should adopt special measures to ensure the physical, sexual and mental integrity of adolescents with disabilities, who are particularly vulnerable to abuse and neglect.  States parties should also ensure that adolescents affected by poverty who are socially marginalized are not criminalized.  In this regard, financial and human resources need to be allocated to promote research that would inform the adoption of effective local and national laws, policies and programmes.  Policies and strategies should be reviewed regularly and revised accordingly.  In taking these measures, States parties have to take into account the evolving capacities of adolescents and involve them in an appropriate manner in developing measures, including programmes, designed to protect them.  In this context, the Committee emphasizes the positive impact that peer education can have, and the positive influence of proper role models, especially those in the worlds of arts, entertainment and sports.</w:t>
      </w:r>
    </w:p>
    <w:p w:rsidR="00000000" w:rsidRDefault="00000000">
      <w:pPr>
        <w:pStyle w:val="Heading3"/>
      </w:pPr>
      <w:r>
        <w:t>Data collection</w:t>
      </w:r>
    </w:p>
    <w:p w:rsidR="00000000" w:rsidRDefault="00000000">
      <w:pPr>
        <w:pStyle w:val="ParaNo"/>
        <w:tabs>
          <w:tab w:val="clear" w:pos="737"/>
          <w:tab w:val="left" w:pos="-2410"/>
        </w:tabs>
      </w:pPr>
      <w:r>
        <w:t>Systematic data collection is necessary for States parties to be able to monitor the health and development of adolescents.  States parties should adopt data-collection mechanisms that allow desegregation by sex, age, origin and socio-economic status so that the situation of different groups can be followed.  Data should also be collected to study the situation of specific groups such as ethnic and/or indigenous minorities, migrant or refugee adolescents, adolescents with disabilities, working adolescents, etc.  Where appropriate, adolescents should participate in the analysis to ensure that the information is understood and utilized in an adolescent</w:t>
      </w:r>
      <w:r>
        <w:noBreakHyphen/>
        <w:t>sensitive way.</w:t>
      </w:r>
    </w:p>
    <w:p w:rsidR="00000000" w:rsidRDefault="00000000">
      <w:pPr>
        <w:pStyle w:val="Heading2"/>
      </w:pPr>
      <w:bookmarkStart w:id="285" w:name="_Toc481083519"/>
      <w:bookmarkStart w:id="286" w:name="_Toc70389118"/>
      <w:r>
        <w:t>II.  Creating a safe and supportive environment</w:t>
      </w:r>
      <w:bookmarkEnd w:id="285"/>
      <w:bookmarkEnd w:id="286"/>
    </w:p>
    <w:p w:rsidR="00000000" w:rsidRDefault="00000000">
      <w:pPr>
        <w:pStyle w:val="ParaNo"/>
        <w:tabs>
          <w:tab w:val="clear" w:pos="737"/>
          <w:tab w:val="left" w:pos="-2410"/>
        </w:tabs>
      </w:pPr>
      <w:r>
        <w:t>The health and development of adolescents are strongly determined by the environments in which they live.  Creating a safe and supportive environment entails addressing attitudes and actions of both the immediate environment of the adolescent - family, peers, schools and services - as well as the wider environment created by, inter alia, community and religious leaders, the media, national and local policies and legislation.  The promotion and enforcement of the provisions and principles of the Convention, especially articles 2-6, 12-17, 24, 28, 29 and 31, are key to guaranteeing adolescents’ right to health and development.  States parties should take measures to raise awareness and stimulate and/or regulate action through the formulation of policy or the adoption of legislation and the implementation of programmes specifically for adolescents.</w:t>
      </w:r>
    </w:p>
    <w:p w:rsidR="00000000" w:rsidRDefault="00000000">
      <w:pPr>
        <w:pStyle w:val="ParaNo"/>
        <w:tabs>
          <w:tab w:val="clear" w:pos="737"/>
          <w:tab w:val="left" w:pos="-2410"/>
        </w:tabs>
      </w:pPr>
      <w:r>
        <w:t>The Committee stresses the importance of the family environment, including the members of the extended family and community or other persons legally responsible for the child or adolescent (arts. 5 and 18).  While most adolescents grow up in well</w:t>
      </w:r>
      <w:r>
        <w:noBreakHyphen/>
        <w:t>functioning family environments, for some the family does not constitute a safe and supportive milieu.</w:t>
      </w:r>
    </w:p>
    <w:p w:rsidR="00000000" w:rsidRDefault="00000000">
      <w:pPr>
        <w:pStyle w:val="ParaNo"/>
        <w:tabs>
          <w:tab w:val="clear" w:pos="737"/>
          <w:tab w:val="left" w:pos="-2410"/>
        </w:tabs>
      </w:pPr>
      <w:r>
        <w:t>The Committee calls upon States parties to develop and implement, in a manner consistent with adolescents’ evolving capacities, legislation, policies and programmes to promote the health and development of adolescents by (a) providing parents (or legal guardians) with appropriate assistance through the development of institutions, facilities and services that adequately support the well-being of adolescents, including, when needed, the provision of material assistance and support with regard to nutrition, clothing and housing (art. 27 (3)); (b) providing adequate information and parental support to facilitate the development of a relationship of trust and confidence in which issues regarding, for example, sexuality and sexual behaviour and risky lifestyles can be openly discussed and acceptable solutions found that respect the adolescent’s rights (art. 27 (3)); (c) providing adolescent mothers and fathers with support and guidance for both their own and their children’s well-being (art. 24 (f), 27 (2-3)); (d) giving, while respecting the values and norms of ethnic and other minorities, special attention, guidance and support to adolescents and parents (or legal guardians), whose traditions and norms may differ from those in the society where they live; and (e) ensuring that interventions in the family to protect the adolescent and, when necessary, separate her/him from the family, e.g. in case of abuse or neglect, are in accordance with applicable laws and procedures.  Such laws and procedures should be reviewed to ensure that they conform to the principles of the Convention.</w:t>
      </w:r>
    </w:p>
    <w:p w:rsidR="00000000" w:rsidRDefault="00000000">
      <w:pPr>
        <w:pStyle w:val="ParaNo"/>
        <w:tabs>
          <w:tab w:val="clear" w:pos="737"/>
          <w:tab w:val="left" w:pos="-2410"/>
        </w:tabs>
      </w:pPr>
      <w:r>
        <w:t>The school plays an important role in the life of many adolescents, as the venue for learning, development and socialization.  Article 29 (1) states that education must be directed to “the development of the child’s personality, talents and mental and physical abilities to their fullest potential”.  In addition, general comment No. 1 on the aims of education states that “Education must also be aimed at ensuring that … no child leaves school without being equipped to face the challenges that he or she can expect to be confronted with in life.  Basic skills should include … the ability to make well-balanced decisions; to resolve conflicts in a non</w:t>
      </w:r>
      <w:r>
        <w:noBreakHyphen/>
        <w:t xml:space="preserve">violent manner; and to develop a healthy lifestyle </w:t>
      </w:r>
      <w:r>
        <w:rPr>
          <w:sz w:val="22"/>
        </w:rPr>
        <w:t>[</w:t>
      </w:r>
      <w:r>
        <w:t>and] good social relationships …”.  Considering the importance of appropriate education for the current and future health and development of adolescents, as well as for their children, the Committee urges States parties, in line with articles 28 and 29 of the Convention to (a) ensure that quality primary education is compulsory and available, accessible and free to all and that secondary and higher education are available and accessible to all adolescents; (b) provide well-functioning school and recreational facilities which do not pose health risks to students, including water and sanitation and safe journeys to school; (c) take the necessary actions to prevent and prohibit all forms of violence and abuse, including sexual abuse, corporal punishment and other inhuman, degrading or humiliating treatment or punishment in school, by school personnel as well as among students; (d) initiate and support measures, attitudes and activities that promote healthy behaviour by including relevant topics in school curricula.</w:t>
      </w:r>
    </w:p>
    <w:p w:rsidR="00000000" w:rsidRDefault="00000000">
      <w:pPr>
        <w:pStyle w:val="ParaNo"/>
        <w:tabs>
          <w:tab w:val="clear" w:pos="737"/>
          <w:tab w:val="left" w:pos="-2410"/>
        </w:tabs>
      </w:pPr>
      <w:r>
        <w:t>During adolescence, an increasing number of young people are leaving school to start working to help support their families or for wages in the formal or informal sector.  Participation in work activities in accordance with international standards, as long as it does not jeopardize the enjoyment of any of the other rights of adolescents, including health and education, may be beneficial for the development of the adolescent.  The Committee urges States parties to take all necessary measures to abolish all forms of child labour, starting with the worst forms, to continuously review national regulations on minimum ages for employment with a view to making them compatible with international standards, and to regulate the working environment and conditions for adolescents who are working (in accordance with article 32 of the Convention, as well as ILO Conventions Nos. 138 and 182), so as to ensure that they are fully protected and have access to legal redress mechanisms.</w:t>
      </w:r>
    </w:p>
    <w:p w:rsidR="00000000" w:rsidRDefault="00000000">
      <w:pPr>
        <w:pStyle w:val="ParaNo"/>
        <w:tabs>
          <w:tab w:val="clear" w:pos="737"/>
          <w:tab w:val="left" w:pos="-2410"/>
        </w:tabs>
      </w:pPr>
      <w:r>
        <w:t>The Committee also stresses that in accordance with article 23 (3) of the Convention, the special rights of adolescents with disabilities should be taken into account and assistance provided to ensure that the disabled child/adolescent has effective access to and receives good quality education.  States should recognize the principle of equal primary, secondary and tertiary educational opportunities for disabled children/adolescents, where possible in regular schools.</w:t>
      </w:r>
    </w:p>
    <w:p w:rsidR="00000000" w:rsidRDefault="00000000">
      <w:pPr>
        <w:pStyle w:val="ParaNo"/>
        <w:tabs>
          <w:tab w:val="clear" w:pos="737"/>
          <w:tab w:val="left" w:pos="-2410"/>
        </w:tabs>
      </w:pPr>
      <w:r>
        <w:t>The Committee is concerned that early marriage and pregnancy are significant factors in health problems related to sexual and reproductive health, including HIV/AIDS.  Both the legal minimum age and actual age of marriage, particularly for girls, are still very low in several States parties.  There are also non-health-related concerns:  children who marry, especially girls, are often obliged to leave the education system and are marginalized from social activities.  Further, in some States parties married children are legally considered adults, even if they are under 18, depriving them of all the special protection measures they are entitled under the Convention.  The Committee strongly recommends that States parties review and, where necessary, reform their legislation and practice to increase the minimum age for marriage with and without parental consent to 18 years, for both girls and boys.  The Committee on the Elimination of Discrimination against Women has made a similar recommendation (general comment No. 21 of 1994).</w:t>
      </w:r>
    </w:p>
    <w:p w:rsidR="00000000" w:rsidRDefault="00000000">
      <w:pPr>
        <w:pStyle w:val="ParaNo"/>
        <w:tabs>
          <w:tab w:val="clear" w:pos="737"/>
          <w:tab w:val="left" w:pos="-2410"/>
        </w:tabs>
      </w:pPr>
      <w:r>
        <w:t>In most countries accidental injuries or injuries due to violence are a leading cause of death or permanent disability among adolescents.  In that respect, the Committee is concerned about the injuries and death resulting from road traffic accidents, which affect adolescents disproportionately.  States parties should adopt and enforce legislation and programmes to improve road safety, including driving education for and examination of adolescents and the adoption or strengthening of legislation known to be highly effective such as the obligations to have a valid driver’s licence, wear seat belts and crash helmets, and the designation of pedestrian areas.</w:t>
      </w:r>
    </w:p>
    <w:p w:rsidR="00000000" w:rsidRDefault="00000000">
      <w:pPr>
        <w:pStyle w:val="ParaNo"/>
        <w:tabs>
          <w:tab w:val="clear" w:pos="737"/>
          <w:tab w:val="left" w:pos="-2410"/>
        </w:tabs>
      </w:pPr>
      <w:r>
        <w:t>The Committee is also very concerned about the high rate of suicide among this age group. Mental disorders and psychosocial illness are relatively common among adolescents.  In many countries symptoms such as depression, eating disorders and self</w:t>
      </w:r>
      <w:r>
        <w:noBreakHyphen/>
        <w:t>destructive behaviours, sometimes leading to self-inflicted injuries and suicide, are increasing.  They may be related to, inter alia, violence, ill-treatment, abuse and neglect, including sexual abuse, unrealistically high expectations, and/or bullying or hazing in and outside school.  States parties should provide these adolescents with all the necessary services.</w:t>
      </w:r>
    </w:p>
    <w:p w:rsidR="00000000" w:rsidRDefault="00000000">
      <w:pPr>
        <w:pStyle w:val="ParaNo"/>
        <w:tabs>
          <w:tab w:val="clear" w:pos="737"/>
          <w:tab w:val="left" w:pos="-2410"/>
        </w:tabs>
      </w:pPr>
      <w:r>
        <w:t>Violence results from a complex interplay of individual, family, community and societal factors.  Vulnerable adolescents such as those who are homeless or who are living in institutions, who belong to gangs or who have been recruited as child soldiers are especially exposed to both institutional and interpersonal violence.  Under article 19 of the Convention, States parties must take all appropriate measures</w:t>
      </w:r>
      <w:r>
        <w:rPr>
          <w:rStyle w:val="EndnoteReference"/>
        </w:rPr>
        <w:endnoteReference w:id="220"/>
      </w:r>
      <w:r>
        <w:t xml:space="preserve"> to prevent and eliminate:  (a) institutional violence against adolescents, including through legislation and administrative measures in relation to public and private institutions for adolescents (schools, institutions for disabled adolescents, juvenile reformatories, etc.), and training and monitoring of personnel in charge of institutionalized children or who otherwise have contact with children through their work, including the police; and (b) interpersonal violence among adolescents, including by supporting adequate parenting and opportunities for social and educational development in early childhood, fostering non</w:t>
      </w:r>
      <w:r>
        <w:noBreakHyphen/>
        <w:t>violent cultural norms and values (as foreseen in article 29 of the Convention), strictly controlling firearms and restricting access to alcohol and drugs.</w:t>
      </w:r>
    </w:p>
    <w:p w:rsidR="00000000" w:rsidRDefault="00000000">
      <w:pPr>
        <w:pStyle w:val="ParaNo"/>
        <w:tabs>
          <w:tab w:val="clear" w:pos="737"/>
          <w:tab w:val="left" w:pos="-2410"/>
        </w:tabs>
      </w:pPr>
      <w:r>
        <w:t>In light of articles 3, 6, 12, 19 and 24 (3) of the Convention, States parties should take all effective measures to eliminate all acts and activities which threaten the right to life of adolescents, including honour killings.  The Committee strongly urges States parties to develop and implement awareness-raising campaigns, education programmes and legislation aimed at changing prevailing attitudes, and address gender roles and stereotypes that contribute to harmful traditional practices.  Further, States parties should facilitate the establishment of multidisciplinary information and advice centres regarding the harmful aspects of some traditional practices, including early marriage and female genital mutilation.</w:t>
      </w:r>
    </w:p>
    <w:p w:rsidR="00000000" w:rsidRDefault="00000000">
      <w:pPr>
        <w:pStyle w:val="ParaNo"/>
        <w:tabs>
          <w:tab w:val="clear" w:pos="737"/>
          <w:tab w:val="left" w:pos="-2410"/>
        </w:tabs>
      </w:pPr>
      <w:r>
        <w:t>The Committee is concerned about the influence exerted on adolescent health behaviours by the marketing of unhealthy products and lifestyles.  In line with article 17 of the Convention, States parties are urged to protect adolescents from information that is harmful to their health and development, while underscoring their right to information and material from diverse national and international sources.  States parties are therefore urged to regulate or prohibit information on and marketing of substances such as alcohol and tobacco, particularly when it targets children and adolescents.</w:t>
      </w:r>
      <w:r>
        <w:rPr>
          <w:rStyle w:val="EndnoteReference"/>
        </w:rPr>
        <w:endnoteReference w:id="221"/>
      </w:r>
    </w:p>
    <w:p w:rsidR="00000000" w:rsidRDefault="00000000">
      <w:pPr>
        <w:pStyle w:val="Heading2"/>
      </w:pPr>
      <w:r>
        <w:t>III.  Information, skills development, counselling, and health services</w:t>
      </w:r>
    </w:p>
    <w:p w:rsidR="00000000" w:rsidRDefault="00000000">
      <w:pPr>
        <w:pStyle w:val="ParaNo"/>
        <w:tabs>
          <w:tab w:val="clear" w:pos="737"/>
          <w:tab w:val="left" w:pos="-2410"/>
        </w:tabs>
      </w:pPr>
      <w:r>
        <w:t>Adolescents have the right to access adequate information essential for their health and development and for their ability to participate meaningfully in society.  It is the obligation of States parties to ensure that all adolescent girls and boys, both in and out of school, are provided with, and not denied, accurate and appropriate information on how to protect their health and development and practise healthy behaviours.  This should include information on the use and abuse, of tobacco, alcohol and other substances, safe and respectful social and sexual behaviours, diet and physical activity.</w:t>
      </w:r>
    </w:p>
    <w:p w:rsidR="00000000" w:rsidRDefault="00000000">
      <w:pPr>
        <w:pStyle w:val="ParaNo"/>
        <w:tabs>
          <w:tab w:val="clear" w:pos="737"/>
          <w:tab w:val="left" w:pos="-2410"/>
        </w:tabs>
      </w:pPr>
      <w:r>
        <w:t>In order to act adequately on the information, adolescents need to develop the skills necessary, including self-care skills, such as how to plan and prepare nutritionally balanced meals and proper personal hygiene habits, and skills for dealing with particular social situations such as interpersonal communication, decision-making, and coping with stress and conflict.  States parties should stimulate and support opportunities to build such skills through, inter alia, formal and informal education and training programmes, youth organizations and the media.</w:t>
      </w:r>
    </w:p>
    <w:p w:rsidR="00000000" w:rsidRDefault="00000000">
      <w:pPr>
        <w:pStyle w:val="ParaNo"/>
        <w:tabs>
          <w:tab w:val="clear" w:pos="737"/>
          <w:tab w:val="left" w:pos="-2410"/>
        </w:tabs>
      </w:pPr>
      <w:r>
        <w:t>In light of articles 3, 17 and 24 of the Convention, States parties should provide adolescents with access to sexual and reproductive information, including on family planning and contraceptives, the dangers of early pregnancy, the prevention of HIV/AIDS and the prevention and treatment of sexually transmitted diseases (STDs).  In addition, States parties should ensure that they have access to appropriate information, regardless of their marital status and whether their parents or guardians consent.  It is essential to find proper means and methods of providing information that is adequate and sensitive to the particularities and specific rights of adolescent girls and boys.  To this end, States parties are encouraged to ensure that adolescents are actively involved in the design and dissemination of information through a variety of channels beyond the school, including youth organizations, religious, community and other groups and the media.</w:t>
      </w:r>
    </w:p>
    <w:p w:rsidR="00000000" w:rsidRDefault="00000000">
      <w:pPr>
        <w:pStyle w:val="ParaNo"/>
        <w:tabs>
          <w:tab w:val="clear" w:pos="737"/>
          <w:tab w:val="left" w:pos="-2410"/>
        </w:tabs>
      </w:pPr>
      <w:r>
        <w:t>Under article 24 of the Convention, States parties are urged to provide adequate treatment and rehabilitation for adolescents with mental disorders, to make the community aware of the early signs and symptoms and the seriousness of these conditions, and to protect adolescents from undue pressures, including psychosocial stress.  States parties are also urged to combat discrimination and stigma surrounding mental disorders, in line with their obligations under article 2.  Every adolescent with a mental disorder has the right to be treated and cared for, as far as possible, in the community in which he or she lives.  Where hospitalization or placement in a psychiatric institution is necessary, this decision should be made in accordance with the principle of the best interests of the child.  In the event of hospitalization or institutionalization, the patient should be given the maximum possible opportunity to enjoy all his or her rights as recognized under the Convention, including the rights to education and to have access to recreational activities.</w:t>
      </w:r>
      <w:r>
        <w:rPr>
          <w:rStyle w:val="EndnoteReference"/>
        </w:rPr>
        <w:endnoteReference w:id="222"/>
      </w:r>
      <w:r>
        <w:t xml:space="preserve">  Where appropriate, adolescents should be separated from adults.  </w:t>
      </w:r>
      <w:r>
        <w:rPr>
          <w:shd w:val="clear" w:color="auto" w:fill="FFFFFF"/>
        </w:rPr>
        <w:t>States parties must ensure that adolescents have access to a personal representative other than a family member to represent their interests, when necessary and appropriate.</w:t>
      </w:r>
      <w:r>
        <w:rPr>
          <w:rStyle w:val="EndnoteReference"/>
          <w:shd w:val="clear" w:color="auto" w:fill="FFFFFF"/>
        </w:rPr>
        <w:endnoteReference w:id="223"/>
      </w:r>
      <w:r>
        <w:t xml:space="preserve">  In accordance with article 25 of the Convention, States parties should undertake periodic review of the placement of adolescents in hospitals or psychiatric institutions.</w:t>
      </w:r>
    </w:p>
    <w:p w:rsidR="00000000" w:rsidRDefault="00000000">
      <w:pPr>
        <w:pStyle w:val="ParaNo"/>
        <w:tabs>
          <w:tab w:val="clear" w:pos="737"/>
          <w:tab w:val="left" w:pos="-2410"/>
        </w:tabs>
      </w:pPr>
      <w:r>
        <w:t>Adolescents, both girls and boys, are at risk of being infected with and affected by STDs, including HIV/AIDS.</w:t>
      </w:r>
      <w:r>
        <w:rPr>
          <w:rStyle w:val="EndnoteReference"/>
        </w:rPr>
        <w:endnoteReference w:id="224"/>
      </w:r>
      <w:r>
        <w:t xml:space="preserve">  States should ensure that appropriate goods, services and information for the prevention and treatment of STDs, including HIV/AIDS, are available and accessible.  To this end, States parties are urged (a) to develop effective prevention programmes, including measures aimed at changing cultural views about adolescents’ need for contraception and STD prevention and addressing cultural and other taboos surrounding adolescent sexuality; (b) to adopt legislation to combat practices that either increase adolescents’ risk of infection or contribute to the marginalization of adolescents who are already infected with STDs, including HIV; (c) to take measures to remove all barriers hindering the access of adolescents to information, preventive measures such as condoms, and care.</w:t>
      </w:r>
    </w:p>
    <w:p w:rsidR="00000000" w:rsidRDefault="00000000">
      <w:pPr>
        <w:pStyle w:val="ParaNo"/>
        <w:tabs>
          <w:tab w:val="clear" w:pos="737"/>
          <w:tab w:val="left" w:pos="-2410"/>
        </w:tabs>
        <w:rPr>
          <w:rFonts w:ascii="Times" w:eastAsia="Times" w:hAnsi="Times"/>
        </w:rPr>
      </w:pPr>
      <w:r>
        <w:t>Adolescent girls should have access to information on the harm that early marriage and early pregnancy can cause, and those who become pregnant should have access to health services that are sensitive to their rights and particular needs.  States parties should take measures to reduce maternal morbidity and mortality in adolescent girls, particularly caused by early pregnancy and unsafe abortion practices, and to support adolescent parents.  Young mothers, especially where support is lacking, may be prone to depression and anxiety, compromising their ability to care for their child.  The Committee urges States parties (a) to develop and implement programmes that provide access to sexual and reproductive health services, including family planning, contraception and safe abortion services where abortion is not against the law, adequate and comprehensive obstetric care and counselling; (b) to foster positive and supportive attitudes towards adolescent parenthood for their mothers and fathers; and (c) to develop policies that will allow adolescent mothers to continue their education.</w:t>
      </w:r>
    </w:p>
    <w:p w:rsidR="00000000" w:rsidRDefault="00000000">
      <w:pPr>
        <w:pStyle w:val="ParaNo"/>
        <w:tabs>
          <w:tab w:val="clear" w:pos="737"/>
          <w:tab w:val="left" w:pos="-2410"/>
        </w:tabs>
        <w:rPr>
          <w:rFonts w:ascii="Times" w:eastAsia="Times" w:hAnsi="Times"/>
        </w:rPr>
      </w:pPr>
      <w:r>
        <w:rPr>
          <w:rFonts w:eastAsia="Times"/>
        </w:rPr>
        <w:t xml:space="preserve">Before parents give their consent, adolescents need to have a chance to express their views freely and their views should be given due weight, in accordance with article 12 of the Convention.  However, if the </w:t>
      </w:r>
      <w:r>
        <w:t>adolescent</w:t>
      </w:r>
      <w:r>
        <w:rPr>
          <w:rFonts w:eastAsia="Times"/>
        </w:rPr>
        <w:t xml:space="preserve"> is of sufficient maturity, informed consent shall be obtained from the adolescent her/himself, while informing the parents if that is in the “best interest of the child” (art. 3).</w:t>
      </w:r>
    </w:p>
    <w:p w:rsidR="00000000" w:rsidRDefault="00000000">
      <w:pPr>
        <w:pStyle w:val="ParaNo"/>
        <w:tabs>
          <w:tab w:val="clear" w:pos="737"/>
          <w:tab w:val="left" w:pos="-2410"/>
        </w:tabs>
        <w:rPr>
          <w:rFonts w:ascii="Times" w:eastAsia="Times" w:hAnsi="Times"/>
        </w:rPr>
      </w:pPr>
      <w:r>
        <w:rPr>
          <w:rFonts w:ascii="Times" w:eastAsia="Times" w:hAnsi="Times"/>
        </w:rPr>
        <w:t>With regard to privacy and confidentiality, and the related issue of informed consent to treatment, States parties should (a) enact laws or regulations to ensure that confidential advice concerning treatment is provided to adolescents so that they can give their informed consent.  Such laws or regulations should stipulate an age for this process, or refer to the evolving capacity of the child; and (b) provide training for health personnel on the rights of adolescents to privacy and confidentiality, to be informed about planned treatment and to give their informed consent to treatment.</w:t>
      </w:r>
    </w:p>
    <w:p w:rsidR="00000000" w:rsidRDefault="00000000">
      <w:pPr>
        <w:pStyle w:val="Heading2"/>
      </w:pPr>
      <w:r>
        <w:t>IV.  Vulnerability and risk</w:t>
      </w:r>
    </w:p>
    <w:p w:rsidR="00000000" w:rsidRDefault="00000000">
      <w:pPr>
        <w:pStyle w:val="ParaNo"/>
        <w:tabs>
          <w:tab w:val="clear" w:pos="737"/>
          <w:tab w:val="left" w:pos="-2410"/>
        </w:tabs>
        <w:rPr>
          <w:rFonts w:ascii="Times" w:eastAsia="Times" w:hAnsi="Times"/>
        </w:rPr>
      </w:pPr>
      <w:r>
        <w:rPr>
          <w:color w:val="000000"/>
        </w:rPr>
        <w:t xml:space="preserve">In ensuring respect for the right of adolescents to health and development, both </w:t>
      </w:r>
      <w:r>
        <w:t xml:space="preserve">individual behaviours </w:t>
      </w:r>
      <w:r>
        <w:rPr>
          <w:rFonts w:ascii="Times" w:eastAsia="Times" w:hAnsi="Times"/>
        </w:rPr>
        <w:t>and</w:t>
      </w:r>
      <w:r>
        <w:t xml:space="preserve"> environmental factors which increase their vulnerability and risk should be taken into consideration.  Environmental factors, such as armed conflict or social exclusion, increase the vulnerability of adolescents to abuse, other forms of violence and exploitation, thereby severely limiting adolescents’ abilities to make individual, healthy behaviour choices.  For example, the decision to engage in unsafe sex increases adolescents’ risk of ill</w:t>
      </w:r>
      <w:r>
        <w:noBreakHyphen/>
        <w:t>health.</w:t>
      </w:r>
    </w:p>
    <w:p w:rsidR="00000000" w:rsidRDefault="00000000">
      <w:pPr>
        <w:pStyle w:val="ParaNo"/>
        <w:tabs>
          <w:tab w:val="clear" w:pos="737"/>
          <w:tab w:val="left" w:pos="-2410"/>
        </w:tabs>
      </w:pPr>
      <w:r>
        <w:t xml:space="preserve">In accordance with article 23 of the Convention, adolescents with mental and/or physical disabilities have an equal right to the highest attainable standard of physical and mental health.  States parties have an </w:t>
      </w:r>
      <w:r>
        <w:rPr>
          <w:rFonts w:ascii="Times" w:eastAsia="Times" w:hAnsi="Times"/>
        </w:rPr>
        <w:t>obligation</w:t>
      </w:r>
      <w:r>
        <w:t xml:space="preserve"> to provide adolescents with disabilities with the means necessary to realize their rights.</w:t>
      </w:r>
      <w:r>
        <w:rPr>
          <w:rStyle w:val="EndnoteReference"/>
        </w:rPr>
        <w:endnoteReference w:id="225"/>
      </w:r>
      <w:r>
        <w:t xml:space="preserve">  States parties should (a) ensure that health facilities, goods and services are available and accessible to all adolescents with disabilities and that these facilities and services promote their self-reliance and their active participation in the community; (b) ensure that the necessary equipment and personal support are available to enable them to move around, participate and communicate; (c) pay specific attention to the special needs relating to the sexuality of adolescents with disabilities; and (d) remove barriers that hinder adolescents with disabilities in realizing their rights.</w:t>
      </w:r>
    </w:p>
    <w:p w:rsidR="00000000" w:rsidRDefault="00000000">
      <w:pPr>
        <w:pStyle w:val="ParaNo"/>
        <w:tabs>
          <w:tab w:val="clear" w:pos="737"/>
          <w:tab w:val="left" w:pos="-2410"/>
        </w:tabs>
      </w:pPr>
      <w:r>
        <w:t xml:space="preserve">States parties have to provide special protection to homeless adolescents, including those working in the informal sector.  Homeless adolescents are particularly vulnerable to violence, abuse and sexual exploitation from others, self-destructive behaviour, substance abuse and mental disorders.  In this </w:t>
      </w:r>
      <w:r>
        <w:rPr>
          <w:rFonts w:ascii="Times" w:eastAsia="Times" w:hAnsi="Times"/>
        </w:rPr>
        <w:t>regard</w:t>
      </w:r>
      <w:r>
        <w:t>, States parties are required to (a) develop policies and enact and enforce legislation that protect such adolescents from violence, e.g. by law enforcement officials; (b) develop strategies for the provision of appropriate education and access to health care, and of opportunities for the development of livelihood skills.</w:t>
      </w:r>
    </w:p>
    <w:p w:rsidR="00000000" w:rsidRDefault="00000000">
      <w:pPr>
        <w:pStyle w:val="ParaNo"/>
        <w:tabs>
          <w:tab w:val="clear" w:pos="737"/>
          <w:tab w:val="left" w:pos="-2410"/>
        </w:tabs>
      </w:pPr>
      <w:r>
        <w:t xml:space="preserve">Adolescents who are sexually exploited, including in prostitution and pornography, are exposed to significant health risks, including STDs, HIV/AIDS, unwanted pregnancies, unsafe abortions, violence and </w:t>
      </w:r>
      <w:r>
        <w:rPr>
          <w:rFonts w:ascii="Times" w:eastAsia="Times" w:hAnsi="Times"/>
        </w:rPr>
        <w:t>psychological</w:t>
      </w:r>
      <w:r>
        <w:t xml:space="preserve"> distress.  They have the right to physical and psychological recovery and social reintegration in an environment that fosters health, self</w:t>
      </w:r>
      <w:r>
        <w:noBreakHyphen/>
        <w:t>respect and dignity (art. 39).  It is the obligation of States parties to enact and enforce laws to prohibit all forms of sexual exploitation and related trafficking; to collaborate with other States parties to eliminate intercountry trafficking; and to provide appropriate health and counselling services to adolescents who have been sexually exploited, making sure that they are treated as victims and not as offenders.</w:t>
      </w:r>
    </w:p>
    <w:p w:rsidR="00000000" w:rsidRDefault="00000000">
      <w:pPr>
        <w:pStyle w:val="ParaNo"/>
        <w:tabs>
          <w:tab w:val="clear" w:pos="737"/>
          <w:tab w:val="left" w:pos="-2410"/>
        </w:tabs>
      </w:pPr>
      <w:r>
        <w:t xml:space="preserve">Additionally, adolescents experiencing poverty, armed conflicts, all forms of injustice, family breakdown, political, </w:t>
      </w:r>
      <w:r>
        <w:rPr>
          <w:rFonts w:ascii="Times" w:eastAsia="Times" w:hAnsi="Times"/>
        </w:rPr>
        <w:t>social</w:t>
      </w:r>
      <w:r>
        <w:t xml:space="preserve"> and economic instability and all types of migration may be particularly vulnerable.  These situations might seriously hamper their health and development.  By investing heavily in preventive policies and measures States parties can drastically reduce levels of vulnerability and risk factors; they will also provide cost-effective ways for society to help adolescents develop harmoniously in a free society.</w:t>
      </w:r>
    </w:p>
    <w:p w:rsidR="00000000" w:rsidRDefault="00000000">
      <w:pPr>
        <w:pStyle w:val="Heading2"/>
      </w:pPr>
      <w:r>
        <w:t>V.  Nature of States’ obligations</w:t>
      </w:r>
    </w:p>
    <w:p w:rsidR="00000000" w:rsidRDefault="00000000">
      <w:pPr>
        <w:pStyle w:val="ParaNo"/>
        <w:tabs>
          <w:tab w:val="clear" w:pos="737"/>
          <w:tab w:val="left" w:pos="-2410"/>
        </w:tabs>
      </w:pPr>
      <w:r>
        <w:t xml:space="preserve">In exercising their obligations in relation to the health and development of adolescents, States parties shall always take fully into account the four general principles of the Convention.  It is the view of the </w:t>
      </w:r>
      <w:r>
        <w:rPr>
          <w:rFonts w:ascii="Times" w:eastAsia="Times" w:hAnsi="Times"/>
        </w:rPr>
        <w:t>Committee</w:t>
      </w:r>
      <w:r>
        <w:t xml:space="preserve"> that States parties must take all appropriate legislative, administrative and other measures for the realization and monitoring of the rights of adolescents to health and development as recognized in the Convention.  To this end, States parties must notably fulfil the following obligations:</w:t>
      </w:r>
    </w:p>
    <w:p w:rsidR="00000000" w:rsidRDefault="00000000">
      <w:pPr>
        <w:tabs>
          <w:tab w:val="left" w:pos="-2410"/>
        </w:tabs>
        <w:rPr>
          <w:color w:val="000000"/>
        </w:rPr>
      </w:pPr>
      <w:r>
        <w:rPr>
          <w:color w:val="000000"/>
        </w:rPr>
        <w:tab/>
        <w:t>(a)</w:t>
      </w:r>
      <w:r>
        <w:rPr>
          <w:color w:val="000000"/>
        </w:rPr>
        <w:tab/>
        <w:t>To create a safe and supportive environment for adolescents, including within their family, in schools, in all types of institutions in which they may live, within their workplace and/or in the society at large;</w:t>
      </w:r>
    </w:p>
    <w:p w:rsidR="00000000" w:rsidRDefault="00000000">
      <w:pPr>
        <w:tabs>
          <w:tab w:val="left" w:pos="-2410"/>
        </w:tabs>
        <w:rPr>
          <w:color w:val="000000"/>
        </w:rPr>
      </w:pPr>
      <w:r>
        <w:rPr>
          <w:color w:val="000000"/>
        </w:rPr>
        <w:tab/>
        <w:t>(b)</w:t>
      </w:r>
      <w:r>
        <w:rPr>
          <w:color w:val="000000"/>
        </w:rPr>
        <w:tab/>
        <w:t>To ensure that adolescents have access to the information that is essential for their health and development and that they have opportunities to participate in decisions affecting their health (notably through informed consent and the right of confidentiality), to acquire life skills, to obtain adequate and age-appropriate information, and to make appropriate health behaviour choices;</w:t>
      </w:r>
    </w:p>
    <w:p w:rsidR="00000000" w:rsidRDefault="00000000">
      <w:pPr>
        <w:tabs>
          <w:tab w:val="left" w:pos="-2410"/>
        </w:tabs>
        <w:rPr>
          <w:color w:val="000000"/>
        </w:rPr>
      </w:pPr>
      <w:r>
        <w:rPr>
          <w:color w:val="000000"/>
        </w:rPr>
        <w:tab/>
        <w:t>(c)</w:t>
      </w:r>
      <w:r>
        <w:rPr>
          <w:color w:val="000000"/>
        </w:rPr>
        <w:tab/>
        <w:t>To ensure that health facilities, goods and services, including counselling and health services for mental and sexual and reproductive health, of appropriate quality and sensitive to adolescents’ concerns are available to all adolescents;</w:t>
      </w:r>
    </w:p>
    <w:p w:rsidR="00000000" w:rsidRDefault="00000000">
      <w:pPr>
        <w:tabs>
          <w:tab w:val="left" w:pos="-2410"/>
        </w:tabs>
        <w:rPr>
          <w:color w:val="000000"/>
        </w:rPr>
      </w:pPr>
      <w:r>
        <w:rPr>
          <w:color w:val="000000"/>
        </w:rPr>
        <w:tab/>
        <w:t>(d)</w:t>
      </w:r>
      <w:r>
        <w:rPr>
          <w:color w:val="000000"/>
        </w:rPr>
        <w:tab/>
        <w:t>To ensure that adolescent girls and boys have the opportunity to participate actively in planning and programming for their own health and development;</w:t>
      </w:r>
    </w:p>
    <w:p w:rsidR="00000000" w:rsidRDefault="00000000">
      <w:pPr>
        <w:tabs>
          <w:tab w:val="left" w:pos="-2410"/>
        </w:tabs>
        <w:rPr>
          <w:color w:val="000000"/>
        </w:rPr>
      </w:pPr>
      <w:r>
        <w:rPr>
          <w:color w:val="000000"/>
        </w:rPr>
        <w:tab/>
        <w:t>(e)</w:t>
      </w:r>
      <w:r>
        <w:rPr>
          <w:color w:val="000000"/>
        </w:rPr>
        <w:tab/>
        <w:t>To protect adolescents from all forms of labour which may jeopardize the enjoyment of their rights, notably by abolishing all forms of child labour and by regulating the working environment and conditions in accordance with international standards;</w:t>
      </w:r>
    </w:p>
    <w:p w:rsidR="00000000" w:rsidRDefault="00000000">
      <w:pPr>
        <w:tabs>
          <w:tab w:val="left" w:pos="-2410"/>
        </w:tabs>
        <w:rPr>
          <w:color w:val="000000"/>
        </w:rPr>
      </w:pPr>
      <w:r>
        <w:rPr>
          <w:color w:val="000000"/>
        </w:rPr>
        <w:tab/>
        <w:t>(f)</w:t>
      </w:r>
      <w:r>
        <w:rPr>
          <w:color w:val="000000"/>
        </w:rPr>
        <w:tab/>
        <w:t>To protect adolescents from all forms of intentional and unintentional injuries, including those resulting from violence and road traffic accidents;</w:t>
      </w:r>
    </w:p>
    <w:p w:rsidR="00000000" w:rsidRDefault="00000000">
      <w:pPr>
        <w:tabs>
          <w:tab w:val="left" w:pos="-2410"/>
        </w:tabs>
        <w:rPr>
          <w:color w:val="000000"/>
        </w:rPr>
      </w:pPr>
      <w:r>
        <w:rPr>
          <w:color w:val="000000"/>
        </w:rPr>
        <w:br w:type="page"/>
      </w:r>
      <w:r>
        <w:rPr>
          <w:color w:val="000000"/>
        </w:rPr>
        <w:tab/>
        <w:t>(g)</w:t>
      </w:r>
      <w:r>
        <w:rPr>
          <w:color w:val="000000"/>
        </w:rPr>
        <w:tab/>
        <w:t>To protect adolescents from all harmful traditional practices, such as early marriages, honour killings and female genital mutilation;</w:t>
      </w:r>
    </w:p>
    <w:p w:rsidR="00000000" w:rsidRDefault="00000000">
      <w:pPr>
        <w:tabs>
          <w:tab w:val="left" w:pos="-2410"/>
        </w:tabs>
        <w:rPr>
          <w:color w:val="000000"/>
        </w:rPr>
      </w:pPr>
      <w:r>
        <w:rPr>
          <w:color w:val="000000"/>
        </w:rPr>
        <w:tab/>
        <w:t>(h)</w:t>
      </w:r>
      <w:r>
        <w:rPr>
          <w:color w:val="000000"/>
        </w:rPr>
        <w:tab/>
        <w:t xml:space="preserve">To ensure that adolescents belonging to especially vulnerable groups </w:t>
      </w:r>
      <w:r>
        <w:t>are fully taken into account in the fulfilment of all aforementioned obligations</w:t>
      </w:r>
      <w:r>
        <w:rPr>
          <w:color w:val="000000"/>
        </w:rPr>
        <w:t>;</w:t>
      </w:r>
    </w:p>
    <w:p w:rsidR="00000000" w:rsidRDefault="00000000">
      <w:pPr>
        <w:tabs>
          <w:tab w:val="left" w:pos="-2410"/>
        </w:tabs>
        <w:rPr>
          <w:color w:val="000000"/>
        </w:rPr>
      </w:pPr>
      <w:r>
        <w:rPr>
          <w:color w:val="000000"/>
        </w:rPr>
        <w:tab/>
        <w:t>(i)</w:t>
      </w:r>
      <w:r>
        <w:rPr>
          <w:color w:val="000000"/>
        </w:rPr>
        <w:tab/>
        <w:t>To implement measures for the prevention of mental disorders and the promotion of mental health of adolescents.</w:t>
      </w:r>
    </w:p>
    <w:p w:rsidR="00000000" w:rsidRDefault="00000000">
      <w:pPr>
        <w:pStyle w:val="ParaNo"/>
        <w:tabs>
          <w:tab w:val="clear" w:pos="737"/>
          <w:tab w:val="left" w:pos="-2410"/>
        </w:tabs>
      </w:pPr>
      <w:r>
        <w:t>The Committee draws the attention of States parties to the general comment No. 14 on the right to the highest attainable standard of health of the Committee on Economic, Social and Cultural Rights which states that, “States parties should provide a safe and supportive environment for adolescents that ensures the opportunity to participate in decisions affecting their health, to build life skills, to acquire appropriate information, to receive counselling and to negotiate the health-behaviour choices they make.  The realization of the right to health of adolescents is dependent on the development of youth-sensitive health care, which respects confidentiality and privacy and includes appropriate sexual and reproductive health services.”</w:t>
      </w:r>
    </w:p>
    <w:p w:rsidR="00000000" w:rsidRDefault="00000000">
      <w:pPr>
        <w:pStyle w:val="ParaNo"/>
        <w:tabs>
          <w:tab w:val="clear" w:pos="737"/>
          <w:tab w:val="left" w:pos="-2410"/>
        </w:tabs>
      </w:pPr>
      <w:r>
        <w:t xml:space="preserve">In accordance with articles 24, 39 and other related provisions of the Convention, States parties </w:t>
      </w:r>
      <w:r>
        <w:rPr>
          <w:rFonts w:ascii="Times" w:eastAsia="Times" w:hAnsi="Times"/>
        </w:rPr>
        <w:t>should</w:t>
      </w:r>
      <w:r>
        <w:t xml:space="preserve"> provide health services that are sensitive to the particular needs and human rights of all adolescents, paying attention to the following characteristics:</w:t>
      </w:r>
    </w:p>
    <w:p w:rsidR="00000000" w:rsidRDefault="00000000">
      <w:pPr>
        <w:tabs>
          <w:tab w:val="left" w:pos="-2410"/>
        </w:tabs>
      </w:pPr>
      <w:r>
        <w:tab/>
        <w:t>(a)</w:t>
      </w:r>
      <w:r>
        <w:tab/>
      </w:r>
      <w:r>
        <w:rPr>
          <w:i/>
        </w:rPr>
        <w:t>Availability</w:t>
      </w:r>
      <w:r>
        <w:t>.  Primary health care should include services sensitive to the needs of adolescents, with special attention given to sexual and reproductive health and mental health;</w:t>
      </w:r>
    </w:p>
    <w:p w:rsidR="00000000" w:rsidRDefault="00000000">
      <w:pPr>
        <w:tabs>
          <w:tab w:val="left" w:pos="-2410"/>
        </w:tabs>
      </w:pPr>
      <w:r>
        <w:tab/>
        <w:t>(b)</w:t>
      </w:r>
      <w:r>
        <w:tab/>
      </w:r>
      <w:r>
        <w:rPr>
          <w:i/>
        </w:rPr>
        <w:t>Accessibility.</w:t>
      </w:r>
      <w:r>
        <w:rPr>
          <w:iCs/>
        </w:rPr>
        <w:t xml:space="preserve">  </w:t>
      </w:r>
      <w:r>
        <w:t>Health facilities, goods and services should be known and easily accessible (economically, physically and socially) to all adolescents, without discrimination.  Confidentiality should be guaranteed, when necessary;</w:t>
      </w:r>
    </w:p>
    <w:p w:rsidR="00000000" w:rsidRDefault="00000000">
      <w:pPr>
        <w:tabs>
          <w:tab w:val="left" w:pos="-2410"/>
        </w:tabs>
      </w:pPr>
      <w:r>
        <w:tab/>
        <w:t>(c)</w:t>
      </w:r>
      <w:r>
        <w:tab/>
      </w:r>
      <w:r>
        <w:rPr>
          <w:i/>
        </w:rPr>
        <w:t>Acceptability.</w:t>
      </w:r>
      <w:r>
        <w:rPr>
          <w:iCs/>
        </w:rPr>
        <w:t xml:space="preserve">  </w:t>
      </w:r>
      <w:r>
        <w:t>While fully respecting the provisions and principles of the Convention, all health facilities, goods and services should respect cultural values, be gender sensitive, be respectful of medical ethics and be acceptable to both adolescents and the communities in which they live;</w:t>
      </w:r>
    </w:p>
    <w:p w:rsidR="00000000" w:rsidRDefault="00000000">
      <w:pPr>
        <w:tabs>
          <w:tab w:val="left" w:pos="-2410"/>
        </w:tabs>
      </w:pPr>
      <w:r>
        <w:tab/>
        <w:t>(d)</w:t>
      </w:r>
      <w:r>
        <w:tab/>
      </w:r>
      <w:r>
        <w:rPr>
          <w:i/>
        </w:rPr>
        <w:t>Quality.</w:t>
      </w:r>
      <w:r>
        <w:rPr>
          <w:iCs/>
        </w:rPr>
        <w:t xml:space="preserve">  </w:t>
      </w:r>
      <w:r>
        <w:t>Health services and goods should be scientifically and medically appropriate, which requires personnel trained to care for adolescents, adequate facilities and scientifically accepted methods.</w:t>
      </w:r>
    </w:p>
    <w:p w:rsidR="00000000" w:rsidRDefault="00000000">
      <w:pPr>
        <w:pStyle w:val="ParaNo"/>
        <w:tabs>
          <w:tab w:val="clear" w:pos="737"/>
          <w:tab w:val="left" w:pos="-2410"/>
        </w:tabs>
        <w:rPr>
          <w:color w:val="000000"/>
        </w:rPr>
      </w:pPr>
      <w:r>
        <w:t xml:space="preserve">States parties should, where feasible, adopt a multisectoral approach to the promotion and protection of adolescent health and development by facilitating effective and sustainable linkages and partnerships among all relevant actors.  At the national level, such an approach calls for close and </w:t>
      </w:r>
      <w:r>
        <w:rPr>
          <w:rFonts w:ascii="Times" w:eastAsia="Times" w:hAnsi="Times"/>
        </w:rPr>
        <w:t>systematic</w:t>
      </w:r>
      <w:r>
        <w:t xml:space="preserve"> collaboration and coordination within Government, so as to ensure the necessary involvement of all relevant government entities.  Public health and other services utilized by adolescents should also be encouraged and assisted in seeking collaboration with, inter alia, private and/or traditional practitioners, professional associations, pharmacies and organizations that provide services to vulnerable groups of adolescents.</w:t>
      </w:r>
    </w:p>
    <w:p w:rsidR="00000000" w:rsidRDefault="00000000">
      <w:pPr>
        <w:pStyle w:val="ParaNo"/>
        <w:tabs>
          <w:tab w:val="clear" w:pos="737"/>
          <w:tab w:val="left" w:pos="-2410"/>
        </w:tabs>
        <w:rPr>
          <w:lang w:val="en-US"/>
        </w:rPr>
      </w:pPr>
      <w:r>
        <w:rPr>
          <w:color w:val="000000"/>
        </w:rPr>
        <w:t xml:space="preserve">A multisectoral approach to the promotion and protection of adolescent health and development will not be effective without international cooperation.  </w:t>
      </w:r>
      <w:r>
        <w:rPr>
          <w:color w:val="000000"/>
          <w:lang w:val="en-US"/>
        </w:rPr>
        <w:t xml:space="preserve">Therefore, States parties should, when appropriate, seek such cooperation with United Nations specialized agencies, programmes and bodies, </w:t>
      </w:r>
      <w:r>
        <w:rPr>
          <w:rFonts w:ascii="Times" w:eastAsia="Times" w:hAnsi="Times"/>
          <w:lang w:val="en-US"/>
        </w:rPr>
        <w:t>international</w:t>
      </w:r>
      <w:r>
        <w:rPr>
          <w:color w:val="000000"/>
          <w:lang w:val="en-US"/>
        </w:rPr>
        <w:t xml:space="preserve"> NGOs and bilateral aid</w:t>
      </w:r>
      <w:r>
        <w:rPr>
          <w:lang w:val="en-US"/>
        </w:rPr>
        <w:t xml:space="preserve"> agencies, international professional associations and other non-State actors.</w:t>
      </w:r>
    </w:p>
    <w:p w:rsidR="00000000" w:rsidRDefault="00000000">
      <w:pPr>
        <w:pStyle w:val="Heading2"/>
        <w:spacing w:after="0"/>
        <w:sectPr w:rsidR="00000000">
          <w:endnotePr>
            <w:numFmt w:val="decimal"/>
            <w:numRestart w:val="eachSect"/>
          </w:endnotePr>
          <w:type w:val="continuous"/>
          <w:pgSz w:w="11907" w:h="16840" w:code="9"/>
          <w:pgMar w:top="567" w:right="851" w:bottom="1985" w:left="1701" w:header="851" w:footer="1985" w:gutter="0"/>
          <w:paperSrc w:first="84" w:other="84"/>
          <w:cols w:space="720"/>
        </w:sectPr>
      </w:pPr>
      <w:r>
        <w:t>Notes</w:t>
      </w:r>
    </w:p>
    <w:p w:rsidR="00000000" w:rsidRDefault="00000000">
      <w:pPr>
        <w:pStyle w:val="Heading2"/>
      </w:pPr>
      <w:r>
        <w:t>Thirty-fourth session (2003)</w:t>
      </w:r>
    </w:p>
    <w:p w:rsidR="00000000" w:rsidRDefault="00000000">
      <w:pPr>
        <w:pStyle w:val="Heading2"/>
      </w:pPr>
      <w:r>
        <w:t xml:space="preserve">General comment No. 5:  General measures of implementation of the </w:t>
      </w:r>
      <w:r>
        <w:br/>
        <w:t>Convention on the Rights of the Child (arts. 4, 42 and 44, para. 6)</w:t>
      </w:r>
    </w:p>
    <w:p w:rsidR="00000000" w:rsidRDefault="00000000">
      <w:pPr>
        <w:pStyle w:val="Heading3"/>
      </w:pPr>
      <w:r>
        <w:t>Foreword</w:t>
      </w:r>
    </w:p>
    <w:p w:rsidR="00000000" w:rsidRDefault="00000000">
      <w:r>
        <w:t>1.</w:t>
      </w:r>
      <w:r>
        <w:tab/>
        <w:t xml:space="preserve">The Committee on the Rights of the Child has drafted this general comment to outline States parties’ obligations to develop what it has termed “general measures of implementation”. The various elements of the concept are complex and the Committee emphasizes that it is likely to issue more detailed general comments on individual elements in due course, to expand on this </w:t>
      </w:r>
    </w:p>
    <w:p w:rsidR="00000000" w:rsidRDefault="00000000">
      <w:r>
        <w:br w:type="page"/>
        <w:t>outline.  Its general comment No. 2 (2002) entitled “The role of independent national human rights institutions in the protection and promotion of the rights of the child” has already expanded on this concept.</w:t>
      </w:r>
    </w:p>
    <w:p w:rsidR="00000000" w:rsidRDefault="00000000">
      <w:pPr>
        <w:pStyle w:val="Heading2"/>
      </w:pPr>
      <w:r>
        <w:t>Article 4</w:t>
      </w:r>
    </w:p>
    <w:p w:rsidR="00000000" w:rsidRDefault="00000000">
      <w:pPr>
        <w:ind w:left="720"/>
      </w:pPr>
      <w:r>
        <w:tab/>
        <w:t xml:space="preserve">“States parties shall undertake all appropriate legislative, administrative, and other measures for the implementation of the rights recognized in the present Convention. With regard to economic, social and cultural rights, States parties shall undertake such measures to the maximum extent of their available resources and, where needed, within the framework of international cooperation.” </w:t>
      </w:r>
    </w:p>
    <w:p w:rsidR="00000000" w:rsidRDefault="00000000">
      <w:pPr>
        <w:pStyle w:val="Heading2"/>
      </w:pPr>
      <w:r>
        <w:t>I.  Introduction</w:t>
      </w:r>
    </w:p>
    <w:p w:rsidR="00000000" w:rsidRDefault="00000000">
      <w:r>
        <w:t>2.</w:t>
      </w:r>
      <w:r>
        <w:tab/>
        <w:t>When a State ratifies the Convention on the Rights of the Child, it takes on obligations under international law to implement it.  Implementation is the process whereby States parties take action to ensure the realization of all rights in the Convention for all children in their jurisdiction.</w:t>
      </w:r>
      <w:r>
        <w:rPr>
          <w:rStyle w:val="EndnoteReference"/>
        </w:rPr>
        <w:endnoteReference w:id="226"/>
      </w:r>
      <w:r>
        <w:t xml:space="preserve">  Article 4 requires States parties to take “all appropriate legislative, administrative and other measures” for implementation of the rights contained therein.  While it is the State which takes on obligations under the Convention, its task of implementation - of making reality of the human rights of children - needs to engage all sectors of society and, of course, children themselves.  Ensuring that all domestic legislation is fully compatible with the Convention and that the Convention’s principles and provisions can be directly applied and appropriately enforced is fundamental.  In addition, the Committee on the Rights of the Child has identified a wide range of measures that are needed for effective implementation, including the development of special structures and monitoring, training and other activities in Government, parliament and the judiciary at all levels.</w:t>
      </w:r>
      <w:r>
        <w:rPr>
          <w:rStyle w:val="EndnoteReference"/>
        </w:rPr>
        <w:endnoteReference w:id="227"/>
      </w:r>
    </w:p>
    <w:p w:rsidR="00000000" w:rsidRDefault="00000000">
      <w:r>
        <w:t>3.</w:t>
      </w:r>
      <w:r>
        <w:tab/>
        <w:t>In its periodic examination of States parties’ reports under the Convention, the Committee pays particular attention to what it has termed “general measures of implementation”.  In its concluding observations issued following examination, the Committee provides specific recommendations relating to general measures.  It expects the State party to describe action taken in response to these recommendations in its subsequent periodic report.  The Committee’s reporting guidelines arrange the Convention’s articles in clusters,</w:t>
      </w:r>
      <w:r>
        <w:rPr>
          <w:rStyle w:val="EndnoteReference"/>
        </w:rPr>
        <w:endnoteReference w:id="228"/>
      </w:r>
      <w:r>
        <w:t xml:space="preserve"> the first being on “general measures of implementation” and groups article 4 with article 42 (the obligation to make the content of the Convention widely known to children and adults; see paragraph 66 below) and article 44, paragraph 6 (the obligation to make reports widely available within the State; see paragraph 71 below).</w:t>
      </w:r>
    </w:p>
    <w:p w:rsidR="00000000" w:rsidRDefault="00000000">
      <w:r>
        <w:t>4.</w:t>
      </w:r>
      <w:r>
        <w:tab/>
        <w:t>In addition to these provisions, other general implementation obligations are set out in article 2:  “States parties shall respect and ensure the rights set forth in the present Convention to each child within their jurisdiction without discrimination of any kind …”.</w:t>
      </w:r>
    </w:p>
    <w:p w:rsidR="00000000" w:rsidRDefault="00000000">
      <w:r>
        <w:t>5.</w:t>
      </w:r>
      <w:r>
        <w:tab/>
        <w:t>Also under article 3, paragraph 2, “States parties undertake to ensure the child such protection and care as is necessary for his or her well-being, taking into account the rights and duties of his or her parents, legal guardians, or other individuals legally responsible for him or her, and, to this end, shall take all appropriate legislative and administrative measures.”</w:t>
      </w:r>
    </w:p>
    <w:p w:rsidR="00000000" w:rsidRDefault="00000000">
      <w:r>
        <w:t>6.</w:t>
      </w:r>
      <w:r>
        <w:tab/>
        <w:t>In international human rights law, there are articles similar to article 4 of the Convention, setting out overall implementation obligations, such as article 2 of the International Covenant on Civil and Political Rights and article 2 of the International Covenant on Economic, Social and Cultural Rights.  The Human Rights Committee and the Committee on Economic, Social and Cultural Rights have issued general comments in relation to these provisions which should be seen as complementary to the present general comment and which are referred to below.</w:t>
      </w:r>
      <w:r>
        <w:rPr>
          <w:rStyle w:val="EndnoteReference"/>
        </w:rPr>
        <w:endnoteReference w:id="229"/>
      </w:r>
      <w:r>
        <w:t xml:space="preserve"> </w:t>
      </w:r>
    </w:p>
    <w:p w:rsidR="00000000" w:rsidRDefault="00000000">
      <w:r>
        <w:t>7.</w:t>
      </w:r>
      <w:r>
        <w:tab/>
        <w:t>Article 4, while reflecting States parties’ overall implementation obligations, suggests a distinction between civil and political rights and economic, social and cultural rights in its second sentence:  “With regard to economic, social and cultural rights, States parties shall undertake such measures to the maximum extent of their available resources and, where needed, within the framework of international cooperation.”  There is no simple or authoritative division of human rights in general or of Convention rights into the two categories.  The Committee’s reporting guidelines group articles 7, 8, 13-17 and 37 (a) under the heading “Civil rights and freedoms”, but indicate by the context that these are not the only civil and political rights in the Convention.  Indeed, it is clear that many other articles, including articles 2, 3, 6 and 12 of the Convention, contain elements which constitute civil/political rights, thus reflecting the interdependence and indivisibility of all human rights.  Enjoyment of economic, social and cultural rights is inextricably intertwined with enjoyment of civil and political rights.  As noted in paragraph 25 below, the Committee believes that economic, social and cultural rights, as well as civil and political rights, should be regarded as justiciable.</w:t>
      </w:r>
    </w:p>
    <w:p w:rsidR="00000000" w:rsidRDefault="00000000">
      <w:r>
        <w:t>8.</w:t>
      </w:r>
      <w:r>
        <w:tab/>
        <w:t>The second sentence of article 4 reflects a realistic acceptance that lack of resources - financial and other resources - can hamper the full implementation of economic, social and cultural rights in some States; this introduces the concept of “progressive realization” of such rights:  States need to be able to demonstrate that they have implemented “to the maximum extent of their available resources” and, where necessary, have sought international cooperation.  When States ratify the Convention, they take upon themselves obligations not only to implement it within their jurisdiction, but also to contribute, through international cooperation, to global implementation (see paragraph 60 below).</w:t>
      </w:r>
    </w:p>
    <w:p w:rsidR="00000000" w:rsidRDefault="00000000">
      <w:r>
        <w:t>9.</w:t>
      </w:r>
      <w:r>
        <w:tab/>
        <w:t>The sentence is similar to the wording used in the International Covenant on Economic, Social and Cultural Rights and the Committee entirely concurs with the Committee on Economic, Social and Cultural Rights in asserting that “even where the available resources are demonstrably inadequate, the obligation remains for a State party to strive to ensure the widest possible enjoyment of the relevant rights under the prevailing circumstances …”.</w:t>
      </w:r>
      <w:r>
        <w:rPr>
          <w:rStyle w:val="EndnoteReference"/>
        </w:rPr>
        <w:endnoteReference w:id="230"/>
      </w:r>
      <w:r>
        <w:t xml:space="preserve">  Whatever their economic circumstances, States are required to undertake all possible measures towards the realization of the rights of the child, paying special attention to the most disadvantaged groups.</w:t>
      </w:r>
    </w:p>
    <w:p w:rsidR="00000000" w:rsidRDefault="00000000">
      <w:r>
        <w:t>10.</w:t>
      </w:r>
      <w:r>
        <w:tab/>
        <w:t>The general measures of implementation identified by the Committee and described in the present general comment are intended to promote the full enjoyment of all rights in the Convention by all children, through legislation, the establishment of coordinating and monitoring bodies - governmental and independent - comprehensive data collection, awareness-raising and training and the development and implementation of appropriate policies, services and programmes.  One of the satisfying results of the adoption and almost universal ratification of the Convention has been the development at the national level of a wide variety of new child</w:t>
      </w:r>
      <w:r>
        <w:noBreakHyphen/>
        <w:t>focused and child-sensitive bodies, structures and activities - children’s rights units at the heart of Government, ministers for children, inter-ministerial committees on children, parliamentary committees, child impact analysis, children’s budgets and “state of children’s rights” reports, NGO coalitions on children’s rights, children’s ombudspersons and children’s rights commissioners and so on.</w:t>
      </w:r>
    </w:p>
    <w:p w:rsidR="00000000" w:rsidRDefault="00000000">
      <w:r>
        <w:t>11.</w:t>
      </w:r>
      <w:r>
        <w:tab/>
        <w:t>While some of these developments may seem largely cosmetic, their emergence at the least indicates a change in the perception of the child’s place in society, a willingness to give higher political priority to children and an increasing sensitivity to the impact of governance on children and their human rights.</w:t>
      </w:r>
    </w:p>
    <w:p w:rsidR="00000000" w:rsidRDefault="00000000">
      <w:r>
        <w:t>12.</w:t>
      </w:r>
      <w:r>
        <w:tab/>
        <w:t>The Committee emphasizes that, in the context of the Convention, States must see their role as fulfilling clear legal obligations to each and every child.  Implementation of the human rights of children must not be seen as a charitable process, bestowing favours on children.</w:t>
      </w:r>
    </w:p>
    <w:p w:rsidR="00000000" w:rsidRDefault="00000000">
      <w:r>
        <w:tab/>
        <w:t>The development of a children’s rights perspective throughout Government, parliament and the judiciary is required for effective implementation of the whole Convention and, in particular, in the light of the following articles in the Convention identified by the Committee as general principles:</w:t>
      </w:r>
    </w:p>
    <w:p w:rsidR="00000000" w:rsidRDefault="00000000">
      <w:pPr>
        <w:ind w:left="720"/>
      </w:pPr>
      <w:r>
        <w:tab/>
      </w:r>
      <w:r>
        <w:rPr>
          <w:b/>
        </w:rPr>
        <w:t>Article 2:  the obligation of States to respect and ensure the rights set forth in the Convention to each child within their jurisdiction without discrimination of any kind</w:t>
      </w:r>
      <w:r>
        <w:t>.  This non-discrimination obligation requires States actively to identify individual children and groups of children the recognition and realization of whose rights may demand special measures.  For example, the Committee highlights, in particular, the need for data collection to be disaggregated to enable discrimination or potential discrimination to be identified.  Addressing discrimination may require changes in legislation, administration and resource allocation, as well as educational measures to change attitudes.  It should be emphasized that the application of the non-discrimination principle of equal access to rights does not mean identical treatment. A general comment by the Human Rights Committee has underlined the importance of taking special measures in order to diminish or eliminate conditions that cause discrimination.</w:t>
      </w:r>
      <w:r>
        <w:rPr>
          <w:rStyle w:val="EndnoteReference"/>
        </w:rPr>
        <w:endnoteReference w:id="231"/>
      </w:r>
      <w:r>
        <w:t xml:space="preserve"> </w:t>
      </w:r>
    </w:p>
    <w:p w:rsidR="00000000" w:rsidRDefault="00000000">
      <w:pPr>
        <w:ind w:left="720"/>
      </w:pPr>
      <w:r>
        <w:tab/>
      </w:r>
      <w:r>
        <w:rPr>
          <w:b/>
        </w:rPr>
        <w:t>Article 3 (1):  the best interests of the child as a primary consideration in all actions concerning children</w:t>
      </w:r>
      <w:r>
        <w:t>.  The article refers to actions undertaken by “public or private social welfare institutions, courts of law, administrative authorities or legislative bodies”.  The principle requires active measures throughout Government, parliament and the judiciary.  Every legislative, administrative and judicial body or institution is required to apply the best interests principle by systematically considering how children’s rights and interests are or will be affected by their decisions and actions - by, for example, a proposed or existing law or policy or administrative action or court decision, including those which are not directly concerned with children, but indirectly affect children.</w:t>
      </w:r>
    </w:p>
    <w:p w:rsidR="00000000" w:rsidRDefault="00000000">
      <w:pPr>
        <w:ind w:left="720"/>
      </w:pPr>
      <w:r>
        <w:br w:type="page"/>
      </w:r>
      <w:r>
        <w:tab/>
      </w:r>
      <w:r>
        <w:rPr>
          <w:b/>
        </w:rPr>
        <w:t>Article 6:  the child’s inherent right to life and States parties’ obligation to ensure to the maximum extent possible the survival and development of the child</w:t>
      </w:r>
      <w:r>
        <w:t>.  The Committee expects States to interpret “development” in its broadest sense as a holistic concept, embracing the child’s physical, mental, spiritual, moral, psychological and social development.  Implementation measures should be aimed at achieving the optimal development for all children.</w:t>
      </w:r>
    </w:p>
    <w:p w:rsidR="00000000" w:rsidRDefault="00000000">
      <w:pPr>
        <w:ind w:left="720"/>
      </w:pPr>
      <w:r>
        <w:tab/>
      </w:r>
      <w:r>
        <w:rPr>
          <w:b/>
        </w:rPr>
        <w:t>Article 12:  the child’s right to express his or her views freely in “all matters affecting the child”, those views being given due weight</w:t>
      </w:r>
      <w:r>
        <w:t xml:space="preserve">.  This principle, which highlights the role of the child as an active participant in the promotion, protection and monitoring of his or her rights, applies equally to all measures adopted by States to implement the Convention. </w:t>
      </w:r>
    </w:p>
    <w:p w:rsidR="00000000" w:rsidRDefault="00000000">
      <w:pPr>
        <w:ind w:left="720"/>
      </w:pPr>
      <w:r>
        <w:tab/>
        <w:t>Opening government decision-making processes to children is a positive challenge which the Committee finds States are increasingly responding to.  Given that few States as yet have reduced the voting age below 18, there is all the more reason to ensure respect for the views of unenfranchised children in Government and parliament.  If consultation is to be meaningful, documents as well as processes need to be made accessible. But appearing to “listen” to children is relatively unchallenging; giving due weight to their views requires real change.  Listening to children should not be seen as an end in itself, but rather as a means by which States make their interactions with children and their actions on behalf of children ever more sensitive to the implementation of children’s rights.</w:t>
      </w:r>
    </w:p>
    <w:p w:rsidR="00000000" w:rsidRDefault="00000000">
      <w:pPr>
        <w:ind w:left="720"/>
      </w:pPr>
      <w:r>
        <w:tab/>
        <w:t>One-off or regular events like Children’s Parliaments can be stimulating and raise general awareness.  But article 12 requires consistent and ongoing arrangements.  Involvement of and consultation with children must also avoid being tokenistic and aim to ascertain representative views.  The emphasis on “matters that affect them” in article 12 (1) implies the ascertainment of the views of particular groups of children on particular issues - for example children who have experience of the juvenile justice system on proposals for law reform in that area, or adopted children and children in adoptive families on adoption law and policy.  It is important that Governments develop a direct relationship with children, not simply one mediated through non-governmental organizations (NGOs) or human rights institutions.  In the early years of the Convention, NGOs had played a notable role in pioneering participatory approaches with children, but it is in the interests of both Governments and children to have appropriate direct contact.</w:t>
      </w:r>
    </w:p>
    <w:p w:rsidR="00000000" w:rsidRDefault="00000000">
      <w:pPr>
        <w:pStyle w:val="Heading2"/>
      </w:pPr>
      <w:r>
        <w:t>II.  Review of reservations</w:t>
      </w:r>
    </w:p>
    <w:p w:rsidR="00000000" w:rsidRDefault="00000000">
      <w:r>
        <w:t>13.</w:t>
      </w:r>
      <w:r>
        <w:tab/>
        <w:t>In its reporting guidelines on general measures of implementation, the Committee starts by inviting the State party to indicate whether it considers it necessary to maintain the reservations it has made, if any, or has the intention of withdrawing them.</w:t>
      </w:r>
      <w:r>
        <w:rPr>
          <w:rStyle w:val="EndnoteReference"/>
        </w:rPr>
        <w:endnoteReference w:id="232"/>
      </w:r>
      <w:r>
        <w:t xml:space="preserve">  States parties to the Convention are entitled to make reservations at the time of their ratification of or accession to it (art. 51).  The Committee’s aim of ensuring full and unqualified respect for the human rights of children can be achieved only if States withdraw their reservations.  It consistently recommends during its examination of reports that reservations be reviewed and withdrawn.  Where a State, after review, decides to maintain a reservation, the Committee requests that a full explanation be included in the next periodic report.  The Committee draws the attention of States parties to the encouragement given by the World Conference on Human Rights to the review and withdrawal of reservations.</w:t>
      </w:r>
      <w:r>
        <w:rPr>
          <w:rStyle w:val="EndnoteReference"/>
        </w:rPr>
        <w:endnoteReference w:id="233"/>
      </w:r>
      <w:r>
        <w:t xml:space="preserve"> </w:t>
      </w:r>
    </w:p>
    <w:p w:rsidR="00000000" w:rsidRDefault="00000000">
      <w:r>
        <w:t>14.</w:t>
      </w:r>
      <w:r>
        <w:tab/>
        <w:t>Article 2 of the Vienna Convention on the Law of Treaties defines “reservation” as a “unilateral statement, however phrased or named, made by a State, when signing, ratifying, accepting, approving or acceding to a Treaty, whereby it purports to exclude or to modify the legal effect of certain provisions of the Treaty in their application to that State”.  The Vienna Convention notes that States are entitled, at the time of ratification or accession to a treaty, to make a reservation unless it is “incompatible with the object and purpose of the treaty” (art. 19).</w:t>
      </w:r>
    </w:p>
    <w:p w:rsidR="00000000" w:rsidRDefault="00000000">
      <w:r>
        <w:t>15.</w:t>
      </w:r>
      <w:r>
        <w:tab/>
        <w:t>Article 51, paragraph 2, of the Convention on the Rights of the Child reflects this:  “A reservation incompatible with the object and purpose of the present Convention shall not be permitted.”  The Committee is deeply concerned that some States have made reservations which plainly breach article 51 (2) by suggesting, for example, that respect for the Convention is limited by the State’s existing Constitution or legislation, including in some cases religious law. Article 27 of the Vienna Convention on the Law of Treaties provides:  “A party may not invoke the provisions of its internal law as justification for its failure to perform a treaty.”</w:t>
      </w:r>
    </w:p>
    <w:p w:rsidR="00000000" w:rsidRDefault="00000000">
      <w:r>
        <w:t>16.</w:t>
      </w:r>
      <w:r>
        <w:tab/>
        <w:t>The Committee notes that, in some cases, States parties have lodged formal objections to such wide-ranging reservations made by other States parties.  It commends any action which contributes to ensuring the fullest possible respect for the Convention in all States parties.</w:t>
      </w:r>
    </w:p>
    <w:p w:rsidR="00000000" w:rsidRDefault="00000000">
      <w:pPr>
        <w:pStyle w:val="Heading2"/>
      </w:pPr>
      <w:r>
        <w:t xml:space="preserve">III.  Ratification of other key international human rights instruments </w:t>
      </w:r>
    </w:p>
    <w:p w:rsidR="00000000" w:rsidRDefault="00000000">
      <w:r>
        <w:t>17.</w:t>
      </w:r>
      <w:r>
        <w:tab/>
        <w:t>As part of its consideration of general measures of implementation, and in the light of the principles of indivisibility and interdependence of human rights, the Committee consistently urges States parties, if they have not already done so, to ratify the two Optional Protocols to the Convention on the Rights of the Child (on the involvement of children in armed conflict and on the sale of children, child prostitution and child pornography) and the six other major international human rights instruments.  During its dialogue with States parties the Committee often encourages them to consider ratifying other relevant international instruments.  A non</w:t>
      </w:r>
      <w:r>
        <w:noBreakHyphen/>
        <w:t>exhaustive list of these instruments is annexed to the present general comment, which the Committee will update from time to time.</w:t>
      </w:r>
    </w:p>
    <w:p w:rsidR="00000000" w:rsidRDefault="00000000">
      <w:pPr>
        <w:pStyle w:val="Heading2"/>
      </w:pPr>
      <w:r>
        <w:t>IV.  Legislative measures</w:t>
      </w:r>
    </w:p>
    <w:p w:rsidR="00000000" w:rsidRDefault="00000000">
      <w:r>
        <w:t>18.</w:t>
      </w:r>
      <w:r>
        <w:tab/>
        <w:t xml:space="preserve">The Committee believes a comprehensive review of all domestic legislation and related administrative guidance to ensure full compliance with the Convention is an obligation.  Its experience in examining not only initial but now second and third periodic reports under the Convention suggests that the review process at the national level has, in most cases, been started, but needs to be more rigorous.  The review needs to consider the Convention not only article by article, but also holistically, recognizing the interdependence and indivisibility of human rights.  The review needs to be continuous rather than one-off, reviewing proposed as well as existing legislation.  And while it is important that this review process should be built into the machinery </w:t>
      </w:r>
      <w:r>
        <w:br w:type="page"/>
        <w:t>of all relevant government departments, it is also advantageous to have independent review by, for example, parliamentary committees and hearings, national human rights institutions, NGOs, academics, affected children and young people and others.</w:t>
      </w:r>
    </w:p>
    <w:p w:rsidR="00000000" w:rsidRDefault="00000000">
      <w:r>
        <w:t>19.</w:t>
      </w:r>
      <w:r>
        <w:tab/>
        <w:t>States parties need to ensure, by all appropriate means, that the provisions of the Convention are given legal effect within their domestic legal systems.  This remains a challenge in many States parties.  Of particular importance is the need to clarify the extent of applicability of the Convention in States where the principle of “self-execution” applies and others where it is claimed that the Convention “has constitutional status” or has been incorporated into domestic law.</w:t>
      </w:r>
    </w:p>
    <w:p w:rsidR="00000000" w:rsidRDefault="00000000">
      <w:r>
        <w:t>20.</w:t>
      </w:r>
      <w:r>
        <w:tab/>
        <w:t>The Committee welcomes the incorporation of the Convention into domestic law, which is the traditional approach to the implementation of international human rights instruments in some but not all States.  Incorporation should mean that the provisions of the Convention can be directly invoked before the courts and applied by national authorities and that the Convention will prevail where there is a conflict with domestic legislation or common practice.  Incorporation by itself does not avoid the need to ensure that all relevant domestic law, including any local or customary law, is brought into compliance with the Convention.  In case of any conflict in legislation, predominance should always be given to the Convention, in the light of article 27 of the Vienna Convention on the Law of Treaties.  Where a State delegates powers to legislate to federated regional or territorial governments, it must also require these subsidiary governments to legislate within the framework of the Convention and to ensure effective implementation (see also paragraphs 40 et seq. below).</w:t>
      </w:r>
    </w:p>
    <w:p w:rsidR="00000000" w:rsidRDefault="00000000">
      <w:r>
        <w:t>21.</w:t>
      </w:r>
      <w:r>
        <w:tab/>
        <w:t>Some States have suggested to the Committee that the inclusion in their Constitution of guarantees of rights for “everyone” is adequate to ensure respect for these rights for children. The test must be whether the applicable rights are truly realized for children and can be directly invoked before the courts.  The Committee welcomes the inclusion of sections on the rights of the child in national constitutions, reflecting key principles in the Convention, which helps to underline the key message of the Convention - that children alongside adults are holders of human rights.  But this inclusion does not automatically ensure respect for the rights of children. In order to promote the full implementation of these rights, including, where appropriate, the exercise of rights by children themselves, additional legislative and other measures may be necessary.</w:t>
      </w:r>
    </w:p>
    <w:p w:rsidR="00000000" w:rsidRDefault="00000000">
      <w:r>
        <w:t>22.</w:t>
      </w:r>
      <w:r>
        <w:tab/>
        <w:t>The Committee emphasizes, in particular, the importance of ensuring that domestic law reflects the identified general principles in the Convention (arts. 2, 3, 6 and 12 (see paragraph 12 above)).  The Committee welcomes the development of consolidated children’s rights statutes, which can highlight and emphasize the Convention’s principles.  But the Committee emphasizes that it is crucial in addition that all relevant “sectoral” laws (on education, health, justice and so on) reflect consistently the principles and standards of the Convention.</w:t>
      </w:r>
    </w:p>
    <w:p w:rsidR="00000000" w:rsidRDefault="00000000">
      <w:r>
        <w:t>23.</w:t>
      </w:r>
      <w:r>
        <w:tab/>
        <w:t>The Committee encourages all States parties to enact and implement within their jurisdiction legal provisions that are more conducive to the realization of the rights of the child than those contained in the Convention, in the light of article 41.  The Committee emphasizes that the other international human rights instruments apply to all persons below the age of 18 years.</w:t>
      </w:r>
    </w:p>
    <w:p w:rsidR="00000000" w:rsidRDefault="00000000">
      <w:pPr>
        <w:pStyle w:val="Heading2"/>
      </w:pPr>
      <w:r>
        <w:t>V.  Justiciability of rights</w:t>
      </w:r>
    </w:p>
    <w:p w:rsidR="00000000" w:rsidRDefault="00000000">
      <w:r>
        <w:t>24.</w:t>
      </w:r>
      <w:r>
        <w:tab/>
        <w:t>For rights to have meaning, effective remedies must be available to redress violations. This requirement is implicit in the Convention and consistently referred to in the other six major international human rights treaties.  Children’s special and dependent status creates real difficulties for them in pursuing remedies for breaches of their rights.  So States need to give particular attention to ensuring that there are effective, child-sensitive procedures available to children and their representatives.  These should include the provision of child-friendly information, advice, advocacy, including support for self-advocacy, and access to independent complaints procedures and to the courts with necessary legal and other assistance.  Where rights are found to have been breached, there should be appropriate reparation, including compensation, and, where needed, measures to promote physical and psychological recovery, rehabilitation and reintegration, as required by article 39.</w:t>
      </w:r>
    </w:p>
    <w:p w:rsidR="00000000" w:rsidRDefault="00000000">
      <w:r>
        <w:t>25.</w:t>
      </w:r>
      <w:r>
        <w:tab/>
        <w:t>As noted in paragraph 6 above, the Committee emphasizes that economic, social and cultural rights, as well as civil and political rights, must be regarded as justiciable.  It is essential that domestic law sets out entitlements in sufficient detail to enable remedies for non-compliance to be effective.</w:t>
      </w:r>
    </w:p>
    <w:p w:rsidR="00000000" w:rsidRDefault="00000000">
      <w:pPr>
        <w:pStyle w:val="Heading2"/>
      </w:pPr>
      <w:r>
        <w:t>VI.  Administrative and other measures</w:t>
      </w:r>
    </w:p>
    <w:p w:rsidR="00000000" w:rsidRDefault="00000000">
      <w:r>
        <w:t>26.</w:t>
      </w:r>
      <w:r>
        <w:tab/>
        <w:t>The Committee cannot prescribe in detail the measures which each or every State party will find appropriate to ensure effective implementation of the Convention.  But from its first  decade’s experience of examining States parties’ reports and from its ongoing dialogue with Governments and with the United Nations and United Nations-related agencies, NGOs and other competent bodies, it has distilled here some key advice for States.</w:t>
      </w:r>
    </w:p>
    <w:p w:rsidR="00000000" w:rsidRDefault="00000000">
      <w:r>
        <w:t>27.</w:t>
      </w:r>
      <w:r>
        <w:tab/>
        <w:t>The Committee believes that effective implementation of the Convention requires visible cross-sectoral coordination to recognize and realize children’s rights across Government, between different levels of government and between Government and civil society - including in particular children and young people themselves. Invariably, many different government departments and other governmental or quasi-governmental bodies affect children’s lives and children’s enjoyment of their rights.  Few, if any, government departments have no effect on children’s lives, direct or indirect.  Rigorous monitoring of implementation is required, which should be built into the process of government at all levels but also independent monitoring by national human rights institutions, NGOs and others.</w:t>
      </w:r>
    </w:p>
    <w:p w:rsidR="00000000" w:rsidRDefault="00000000">
      <w:pPr>
        <w:pStyle w:val="Heading2"/>
      </w:pPr>
      <w:r>
        <w:t>A.  Developing a comprehensive national strategy rooted in the Convention</w:t>
      </w:r>
    </w:p>
    <w:p w:rsidR="00000000" w:rsidRDefault="00000000">
      <w:r>
        <w:t>28.</w:t>
      </w:r>
      <w:r>
        <w:tab/>
        <w:t>If Government as a whole and at all levels is to promote and respect the rights of the child, it needs to work on the basis of a unifying, comprehensive and rights-based national strategy, rooted in the Convention.</w:t>
      </w:r>
    </w:p>
    <w:p w:rsidR="00000000" w:rsidRDefault="00000000">
      <w:r>
        <w:t>29.</w:t>
      </w:r>
      <w:r>
        <w:tab/>
        <w:t>The Committee commends the development of a comprehensive national strategy or national plan of action for children, built on the framework of the Convention.  The Committee expects States parties to take account of the recommendations in its concluding observations on their periodic reports when developing and/or reviewing their national strategies.  If such a strategy is to be effective, it needs to relate to the situation of all children, and to all the rights in the Convention.  It will need to be developed through a process of consultation, including with children and young people and those living and working with them. As noted above (para. 12), meaningful consultation with children requires special child-sensitive materials and processes; it is not simply about extending to children access to adult processes.</w:t>
      </w:r>
    </w:p>
    <w:p w:rsidR="00000000" w:rsidRDefault="00000000">
      <w:r>
        <w:t>30.</w:t>
      </w:r>
      <w:r>
        <w:tab/>
        <w:t>Particular attention will need to be given to identifying and giving priority to marginalized and disadvantaged groups of children.  The non-discrimination principle in the Convention requires that all the rights guaranteed by the Convention should be recognized for all children within the jurisdiction of States.  As noted above (para. 12), the non-discrimination principle does not prevent the taking of special measures to diminish discrimination.</w:t>
      </w:r>
    </w:p>
    <w:p w:rsidR="00000000" w:rsidRDefault="00000000">
      <w:r>
        <w:t>31.</w:t>
      </w:r>
      <w:r>
        <w:tab/>
        <w:t>To give the strategy authority, it will need to be endorsed at the highest level of government.  Also, it needs to be linked to national development planning and included in national budgeting; otherwise, the strategy may remain marginalized outside key decision</w:t>
      </w:r>
      <w:r>
        <w:noBreakHyphen/>
        <w:t>making processes.</w:t>
      </w:r>
    </w:p>
    <w:p w:rsidR="00000000" w:rsidRDefault="00000000">
      <w:r>
        <w:t>32.</w:t>
      </w:r>
      <w:r>
        <w:tab/>
        <w:t>The strategy must not be simply a list of good intentions; it must include a description of a sustainable process for realizing the rights of children throughout the State; it must go beyond statements of policy and principle, to set real and achievable targets in relation to the full range of economic, social and cultural and civil and political rights for all children.  The comprehensive national strategy may be elaborated in sectoral national plans of action - for example for education and health - setting out specific goals, targeted implementation measures and allocation of financial and human resources.  The strategy will inevitably set priorities, but it must not neglect or dilute in any way the detailed obligations which States parties have accepted under the Convention.  The strategy needs to be adequately resourced, in human and financial terms.</w:t>
      </w:r>
    </w:p>
    <w:p w:rsidR="00000000" w:rsidRDefault="00000000">
      <w:r>
        <w:t>33.</w:t>
      </w:r>
      <w:r>
        <w:tab/>
        <w:t>Developing a national strategy is not a one-off task.  Once drafted the strategy will need to be widely disseminated throughout Government and to the public, including children (translated into child-friendly versions as well as into appropriate languages and forms).  The strategy will need to include arrangements for monitoring and continuous review, for regular updating and for periodic reports to parliament and to the public.</w:t>
      </w:r>
    </w:p>
    <w:p w:rsidR="00000000" w:rsidRDefault="00000000">
      <w:r>
        <w:t>34.</w:t>
      </w:r>
      <w:r>
        <w:tab/>
        <w:t>The “national plans of action” which States were encouraged to develop following the first World Summit for Children, held in 1990, were related to the particular commitments set by nations attending the Summit.</w:t>
      </w:r>
      <w:r>
        <w:rPr>
          <w:rStyle w:val="EndnoteReference"/>
        </w:rPr>
        <w:endnoteReference w:id="234"/>
      </w:r>
      <w:r>
        <w:t xml:space="preserve">  In 1993, the Vienna Declaration and Programme of Action, adopted by the World Conference on Human Rights, called on States to integrate the Convention on the Rights of the Child into their national human rights action plans.</w:t>
      </w:r>
      <w:r>
        <w:rPr>
          <w:rStyle w:val="EndnoteReference"/>
        </w:rPr>
        <w:endnoteReference w:id="235"/>
      </w:r>
      <w:r>
        <w:t xml:space="preserve"> </w:t>
      </w:r>
    </w:p>
    <w:p w:rsidR="00000000" w:rsidRDefault="00000000">
      <w:r>
        <w:t>35.</w:t>
      </w:r>
      <w:r>
        <w:tab/>
        <w:t>The outcome document of the United Nations General Assembly special session on children, in 2002, also commits States “to develop or strengthen as a matter of urgency if possible by the end of 2003 national and, where appropriate, regional action plans with a set of specific time-bound and measurable goals and targets based on this plan of action …”.</w:t>
      </w:r>
      <w:r>
        <w:rPr>
          <w:rStyle w:val="EndnoteReference"/>
        </w:rPr>
        <w:endnoteReference w:id="236"/>
      </w:r>
      <w:r>
        <w:t xml:space="preserve">  The Committee welcomes the commitments made by States to achieve the goals and targets set at the special session on children and identified in the outcome document, </w:t>
      </w:r>
      <w:r>
        <w:rPr>
          <w:i/>
        </w:rPr>
        <w:t>A World Fit for Children</w:t>
      </w:r>
      <w:r>
        <w:t>. But the Committee emphasizes that making particular commitments at global meetings does not in any way reduce States parties’ legal obligations under the Convention.  Similarly, preparing specific plans of action in response to the special session does not reduce the need for a comprehensive implementation strategy for the Convention.  States should integrate their response to the 2002 special session and to other relevant global conferences into their overall implementation strategy for the Convention as a whole.</w:t>
      </w:r>
    </w:p>
    <w:p w:rsidR="00000000" w:rsidRDefault="00000000">
      <w:r>
        <w:t>36.</w:t>
      </w:r>
      <w:r>
        <w:tab/>
        <w:t>The outcome document also encourages States parties to “consider including in their reports to the Committee on the Rights of the Child information on measures taken and results achieved in the implementation of the present Plan of Action”.</w:t>
      </w:r>
      <w:r>
        <w:rPr>
          <w:rStyle w:val="EndnoteReference"/>
        </w:rPr>
        <w:endnoteReference w:id="237"/>
      </w:r>
      <w:r>
        <w:t xml:space="preserve">  The Committee endorses this proposal; it is committed to monitoring progress towards meeting the commitments made at the special session and will provide further guidance in its revised guidelines for periodic reporting under the Convention.</w:t>
      </w:r>
    </w:p>
    <w:p w:rsidR="00000000" w:rsidRDefault="00000000">
      <w:pPr>
        <w:pStyle w:val="Heading2"/>
      </w:pPr>
      <w:r>
        <w:t>B.  Coordination of implementation of children’s rights</w:t>
      </w:r>
    </w:p>
    <w:p w:rsidR="00000000" w:rsidRDefault="00000000">
      <w:r>
        <w:t>37.</w:t>
      </w:r>
      <w:r>
        <w:tab/>
        <w:t>In examining States parties’ reports the Committee has almost invariably found it necessary to encourage further coordination of government to ensure effective implementation: coordination among central government departments, among different provinces and regions, between central and other levels of government and between Government and civil society.  The purpose of coordination is to ensure respect for all of the Convention’s principles and standards for all children within the State jurisdiction; to ensure that the obligations inherent in ratification of or accession to the Convention are not only recognized by those large departments which have a substantial impact on children - education, health or welfare and so on - but right across Government, including for example departments concerned with finance, planning, employment and defence, and at all levels.</w:t>
      </w:r>
    </w:p>
    <w:p w:rsidR="00000000" w:rsidRDefault="00000000">
      <w:r>
        <w:t>38.</w:t>
      </w:r>
      <w:r>
        <w:tab/>
        <w:t>The Committee believes that, as a treaty body, it is not advisable for it to attempt to prescribe detailed arrangements appropriate for very different systems of government across States parties.  There are many formal and informal ways of achieving effective coordination, including for example inter-ministerial and interdepartmental committees for children.  The Committee proposes that States parties, if they have not already done so, should review the machinery of government from the perspective of implementation of the Convention and in particular of the four articles identified as providing general principles (see paragraph 12 above).</w:t>
      </w:r>
    </w:p>
    <w:p w:rsidR="00000000" w:rsidRDefault="00000000">
      <w:r>
        <w:t>39.</w:t>
      </w:r>
      <w:r>
        <w:tab/>
        <w:t>Many States parties have with advantage developed a specific department or unit close to the heart of Government, in some cases in the President’s or Prime Minister’s or Cabinet office, with the objective of coordinating implementation and children’s policy.  As noted above, the actions of virtually all government departments impact on children’s lives.  It is not practicable to bring responsibility for all children’s services together into a single department, and in any case doing so could have the danger of further marginalizing children in Government.  But a special unit, if given high-level authority - reporting directly, for example, to the Prime Minister, the President or a Cabinet Committee on children - can contribute both to the overall purpose of making children more visible in Government and to coordination to ensure respect for children’s rights across Government and at all levels of Government.  Such a unit can be given responsibility for developing the comprehensive children’s strategy and monitoring its implementation, as well as for coordinating reporting under the Convention.</w:t>
      </w:r>
    </w:p>
    <w:p w:rsidR="00000000" w:rsidRDefault="00000000">
      <w:pPr>
        <w:pStyle w:val="Heading2"/>
      </w:pPr>
      <w:r>
        <w:t>C.  Decentralization, federalization and delegation</w:t>
      </w:r>
    </w:p>
    <w:p w:rsidR="00000000" w:rsidRDefault="00000000">
      <w:r>
        <w:t>40.</w:t>
      </w:r>
      <w:r>
        <w:tab/>
        <w:t>The Committee has found it necessary to emphasize to many States that decentralization of power, through devolution and delegation of government, does not in any way reduce the direct responsibility of the State party’s Government to fulfil its obligations to all children within its jurisdiction, regardless of the State structure.</w:t>
      </w:r>
    </w:p>
    <w:p w:rsidR="00000000" w:rsidRDefault="00000000">
      <w:r>
        <w:t>41.</w:t>
      </w:r>
      <w:r>
        <w:tab/>
        <w:t>The Committee reiterates that in all circumstances the State which ratified or acceded to the Convention remains responsible for ensuring the full implementation of the Convention throughout the territories under its jurisdiction.  In any process of devolution, States parties have to make sure that the devolved authorities do have the necessary financial, human and other resources effectively to discharge responsibilities for the implementation of the Convention.  The Governments of States parties must retain powers to require full compliance with the Convention by devolved administrations or local authorities and must establish permanent monitoring mechanisms to ensure that the Convention is respected and applied for all children within its jurisdiction without discrimination.  Further, there must be safeguards to ensure that decentralization or devolution does not lead to discrimination in the enjoyment of rights by children in different regions.</w:t>
      </w:r>
    </w:p>
    <w:p w:rsidR="00000000" w:rsidRDefault="00000000">
      <w:pPr>
        <w:pStyle w:val="Heading2"/>
      </w:pPr>
      <w:r>
        <w:t>D.  Privatization</w:t>
      </w:r>
    </w:p>
    <w:p w:rsidR="00000000" w:rsidRDefault="00000000">
      <w:r>
        <w:t>42.</w:t>
      </w:r>
      <w:r>
        <w:tab/>
        <w:t>The process of privatization of services can have a serious impact on the recognition and realization of children’s rights.  The Committee devoted its 2002 day of general discussion to the theme “The private sector as service provider and its role in implementing child rights”, defining the private sector as including businesses, NGOs and other private associations, both for profit and not-for-profit.  Following that day of general discussion, the Committee adopted detailed recommendations to which it draws the attention of States parties.</w:t>
      </w:r>
      <w:r>
        <w:rPr>
          <w:rStyle w:val="EndnoteReference"/>
        </w:rPr>
        <w:endnoteReference w:id="238"/>
      </w:r>
      <w:r>
        <w:t xml:space="preserve"> </w:t>
      </w:r>
    </w:p>
    <w:p w:rsidR="00000000" w:rsidRDefault="00000000">
      <w:r>
        <w:t>43.</w:t>
      </w:r>
      <w:r>
        <w:tab/>
        <w:t>The Committee emphasizes that States parties to the Convention have a legal obligation to respect and ensure the rights of children as stipulated in the Convention, which includes the obligation to ensure that non-State service providers operate in accordance with its provisions, thus creating indirect obligations on such actors.</w:t>
      </w:r>
    </w:p>
    <w:p w:rsidR="00000000" w:rsidRDefault="00000000">
      <w:r>
        <w:t>44.</w:t>
      </w:r>
      <w:r>
        <w:tab/>
        <w:t>The Committee emphasizes that enabling the private sector to provide services, run institutions and so on does not in any way lessen the State’s obligation to ensure for all children within its jurisdiction the full recognition and realization of all rights in the Convention (arts. 2 (1) and 3 (2)).  Article 3 (1) establishes that the best interests of the child shall be a primary consideration in all actions concerning children, whether undertaken by public or private bodies.  Article 3 (3) requires the establishment of appropriate standards by competent bodies (bodies with the appropriate legal competence), in particular, in the areas of health, and with regard to the number and suitability of staff.  This requires rigorous inspection to ensure compliance with the Convention.  The Committee proposes that there should be a permanent monitoring mechanism or process aimed at ensuring that all State and non-State service providers respect the Convention.</w:t>
      </w:r>
    </w:p>
    <w:p w:rsidR="00000000" w:rsidRDefault="00000000">
      <w:pPr>
        <w:pStyle w:val="Heading2"/>
        <w:ind w:left="2520" w:hanging="454"/>
        <w:jc w:val="left"/>
      </w:pPr>
      <w:r>
        <w:t>E.</w:t>
      </w:r>
      <w:r>
        <w:tab/>
        <w:t>Monitoring implementation - the need for child</w:t>
      </w:r>
      <w:r>
        <w:br/>
        <w:t>impact assessment and evaluation</w:t>
      </w:r>
    </w:p>
    <w:p w:rsidR="00000000" w:rsidRDefault="00000000">
      <w:r>
        <w:t>45.</w:t>
      </w:r>
      <w:r>
        <w:tab/>
        <w:t>Ensuring that the best interests of the child are a primary consideration in all actions concerning children (art. 3 (1)), and that all the provisions of the Convention are respected in legislation and policy development and delivery at all levels of government demands a continuous process of child impact assessment (predicting the impact of any proposed law, policy or budgetary allocation which affects children and the enjoyment of their rights) and child impact evaluation (evaluating the actual impact of implementation).  This process needs to be built into government at all levels and as early as possible in the development of policy.</w:t>
      </w:r>
    </w:p>
    <w:p w:rsidR="00000000" w:rsidRDefault="00000000">
      <w:r>
        <w:t>46.</w:t>
      </w:r>
      <w:r>
        <w:tab/>
        <w:t>Self-monitoring and evaluation is an obligation for Governments.  But the Committee also regards as essential the independent monitoring of progress towards implementation by, for example, parliamentary committees, NGOs, academic institutions, professional associations, youth groups and independent human rights institutions (see paragraph 65 below).</w:t>
      </w:r>
    </w:p>
    <w:p w:rsidR="00000000" w:rsidRDefault="00000000">
      <w:r>
        <w:t>47.</w:t>
      </w:r>
      <w:r>
        <w:tab/>
        <w:t>The Committee commends certain States which have adopted legislation requiring the preparation and presentation to parliament and/or the public of formal impact analysis statements.  Every State should consider how it can ensure compliance with article 3 (1) and do so in a way which further promotes the visible integration of children in policy-making and sensitivity to their rights.</w:t>
      </w:r>
    </w:p>
    <w:p w:rsidR="00000000" w:rsidRDefault="00000000">
      <w:pPr>
        <w:pStyle w:val="Heading2"/>
      </w:pPr>
      <w:r>
        <w:t xml:space="preserve">F.  Data collection and analysis and development of indicators </w:t>
      </w:r>
    </w:p>
    <w:p w:rsidR="00000000" w:rsidRDefault="00000000">
      <w:r>
        <w:t>48.</w:t>
      </w:r>
      <w:r>
        <w:tab/>
        <w:t>Collection of sufficient and reliable data on children, disaggregated to enable identification of discrimination and/or disparities in the realization of rights, is an essential part of implementation.  The Committee reminds States parties that data collection needs to extend over the whole period of childhood, up to the age of 18 years.  It also needs to be coordinated throughout the jurisdiction, ensuring nationally applicable indicators.  States should collaborate with appropriate research institutes and aim to build up a complete picture of progress towards implementation, with qualitative as well as quantitative studies.  The reporting guidelines for periodic reports call for detailed disaggregated statistical and other information covering all areas of the Convention.  It is essential not merely to establish effective systems for data collection, but to ensure that the data collected are evaluated and used to assess progress in implementation, to identify problems and to inform all policy development for children.  Evaluation requires the development of indicators related to all rights guaranteed by the Convention.</w:t>
      </w:r>
    </w:p>
    <w:p w:rsidR="00000000" w:rsidRDefault="00000000">
      <w:r>
        <w:t>49.</w:t>
      </w:r>
      <w:r>
        <w:tab/>
        <w:t>The Committee commends States parties which have introduced annual publication of comprehensive reports on the state of children’s rights throughout their jurisdiction.  Publication and wide dissemination of and debate on such reports, including in parliament, can provide a focus for broad public engagement in implementation.  Translations, including child-friendly versions, are essential for engaging children and minority groups in the process.</w:t>
      </w:r>
    </w:p>
    <w:p w:rsidR="00000000" w:rsidRDefault="00000000">
      <w:r>
        <w:t>50.</w:t>
      </w:r>
      <w:r>
        <w:tab/>
        <w:t xml:space="preserve">The Committee emphasizes that, in many cases, only children themselves are in a position to indicate whether their rights are being fully recognized and realized.  Interviewing children and using children as researchers (with appropriate safeguards) is likely to be an </w:t>
      </w:r>
      <w:r>
        <w:br w:type="page"/>
        <w:t>important way of finding out, for example, to what extent their civil rights, including the crucial right set out in article 12, to have their views heard and given due consideration, are respected within the family, in schools and so on.</w:t>
      </w:r>
    </w:p>
    <w:p w:rsidR="00000000" w:rsidRDefault="00000000">
      <w:pPr>
        <w:pStyle w:val="Heading2"/>
      </w:pPr>
      <w:r>
        <w:t xml:space="preserve">G.  Making children visible in budgets </w:t>
      </w:r>
    </w:p>
    <w:p w:rsidR="00000000" w:rsidRDefault="00000000">
      <w:r>
        <w:t>51.</w:t>
      </w:r>
      <w:r>
        <w:tab/>
        <w:t>In its reporting guidelines and in the consideration of States parties’ reports, the Committee has paid much attention to the identification and analysis of resources for children in national and other budgets.</w:t>
      </w:r>
      <w:r>
        <w:rPr>
          <w:rStyle w:val="EndnoteReference"/>
        </w:rPr>
        <w:endnoteReference w:id="239"/>
      </w:r>
      <w:r>
        <w:t xml:space="preserve">  No State can tell whether it is fulfilling children’s economic, social and cultural rights “to the maximum extent of … available resources”, as it is required to do under article 4, unless it can identify the proportion of national and other budgets allocated to the social sector and, within that, to children, both directly and indirectly.  Some States have claimed it is not possible to analyse national budgets in this way.  But others have done it and publish annual “children’s budgets”.  The Committee needs to know what steps are taken at all levels of Government to ensure that economic and social planning and decision-making and budgetary decisions are made with the best interests of children as a primary consideration and that children, including in particular marginalized and disadvantaged groups of children, are protected from the adverse effects of economic policies or financial downturns.</w:t>
      </w:r>
    </w:p>
    <w:p w:rsidR="00000000" w:rsidRDefault="00000000">
      <w:r>
        <w:t>52.</w:t>
      </w:r>
      <w:r>
        <w:tab/>
        <w:t>Emphasizing that economic policies are never neutral in their effect on children’s rights, the Committee has been deeply concerned by the often negative effects on children of structural adjustment programmes and transition to a market economy.  The implementation duties of article 4 and other provisions of the Convention demand rigorous monitoring of the effects of such changes and adjustment of policies to protect children’s economic, social and cultural rights.</w:t>
      </w:r>
    </w:p>
    <w:p w:rsidR="00000000" w:rsidRDefault="00000000">
      <w:pPr>
        <w:pStyle w:val="Heading2"/>
      </w:pPr>
      <w:r>
        <w:t>H.  Training and capacity-building</w:t>
      </w:r>
    </w:p>
    <w:p w:rsidR="00000000" w:rsidRDefault="00000000">
      <w:r>
        <w:t>53.</w:t>
      </w:r>
      <w:r>
        <w:tab/>
        <w:t>The Committee emphasizes States’ obligation to develop training and capacity-building for all those involved in the implementation process - government officials, parliamentarians and members of the judiciary - and for all those working with and for children.  These include, for example, community and religious leaders, teachers, social workers and other professionals, including those working with children in institutions and places of detention, the police and armed forces, including peacekeeping forces, those working in the media and many others.  Training needs to be systematic and ongoing - initial training and retraining.  The purpose of training is to emphasize the status of the child as a holder of human rights, to increase knowledge and understanding of the Convention and to encourage active respect for all its provisions.  The Committee expects to see the Convention reflected in professional training curricula, codes of conduct and educational curricula at all levels.  Understanding and knowledge of human rights must, of course, be promoted among children themselves, through the school curriculum and in other ways (see also paragraph 69 below and the Committee’s general comment No. 1 (2001) on the aims of education).</w:t>
      </w:r>
    </w:p>
    <w:p w:rsidR="00000000" w:rsidRDefault="00000000">
      <w:r>
        <w:br w:type="page"/>
        <w:t>54.</w:t>
      </w:r>
      <w:r>
        <w:tab/>
        <w:t xml:space="preserve">The Committee’s guidelines for periodic reports mention many aspects of training, including specialist training, which are essential if all children are to enjoy their rights.  The Convention highlights the importance of the family in its preamble and in many articles.  It is particularly important that the promotion of children’s rights should be integrated into preparation for parenthood and parenting education. </w:t>
      </w:r>
    </w:p>
    <w:p w:rsidR="00000000" w:rsidRDefault="00000000">
      <w:r>
        <w:t>55.</w:t>
      </w:r>
      <w:r>
        <w:tab/>
        <w:t>There should be periodic evaluation of the effectiveness of training, reviewing not only knowledge of the Convention and its provisions but also the extent to which it has contributed to developing attitudes and practice which actively promote enjoyment by children of their rights.</w:t>
      </w:r>
    </w:p>
    <w:p w:rsidR="00000000" w:rsidRDefault="00000000">
      <w:pPr>
        <w:pStyle w:val="Heading2"/>
      </w:pPr>
      <w:r>
        <w:t xml:space="preserve">I.  Cooperation with civil society </w:t>
      </w:r>
    </w:p>
    <w:p w:rsidR="00000000" w:rsidRDefault="00000000">
      <w:r>
        <w:t>56.</w:t>
      </w:r>
      <w:r>
        <w:tab/>
        <w:t>Implementation is an obligation for States parties, but needs to engage all sectors of society, including children themselves.  The Committee recognizes that responsibilities to respect and ensure the rights of children extend in practice beyond the State and State-controlled services and institutions to include children, parents and wider families, other adults, and non</w:t>
      </w:r>
      <w:r>
        <w:noBreakHyphen/>
        <w:t xml:space="preserve">State services and organizations.  The Committee concurs, for example, with general comment No. 14 (2000) of the Committee on Economic, Social and Cultural Rights on the right to the highest attainable standard of health, paragraph 42, of which states:  “While only States are parties to the Covenant and thus ultimately accountable for compliance with it, all members of society - individuals, including health professionals, families, local communities, intergovernmental and non-governmental organizations, civil society organizations, as well as the private business sector - have responsibilities regarding the realization of the right to health. States parties should therefore provide an environment which facilitates the discharge of these responsibilities.” </w:t>
      </w:r>
    </w:p>
    <w:p w:rsidR="00000000" w:rsidRDefault="00000000">
      <w:r>
        <w:t>57.</w:t>
      </w:r>
      <w:r>
        <w:tab/>
        <w:t xml:space="preserve">Article 12 of the Convention, as already emphasized (see paragraph 12 above), requires due weight to be given to children’s views in all matters affecting them, which plainly includes implementation of “their” Convention. </w:t>
      </w:r>
    </w:p>
    <w:p w:rsidR="00000000" w:rsidRDefault="00000000">
      <w:r>
        <w:t>58.</w:t>
      </w:r>
      <w:r>
        <w:tab/>
        <w:t xml:space="preserve">The State needs to work closely with NGOs in the widest sense, while respecting their autonomy; these include, for example, human rights NGOs, child- and youth-led organizations and youth groups, parent and family groups, faith groups, academic institutions and professional associations. NGOs played a crucial part in the drafting of the Convention and their involvement in the process of implementation is vital. </w:t>
      </w:r>
    </w:p>
    <w:p w:rsidR="00000000" w:rsidRDefault="00000000">
      <w:r>
        <w:t>59.</w:t>
      </w:r>
      <w:r>
        <w:tab/>
        <w:t>The Committee welcomes the development of NGO coalitions and alliances committed to promoting, protecting and monitoring children’s human rights and urges Governments to give them non-directive support and to develop positive formal as well as informal relationships with them.  The engagement of NGOs in the reporting process under the Convention, coming within the definition of “competent bodies” under article 45 (a), has in many cases given a real impetus to the process of implementation as well as reporting.  The NGO Group for the Convention on the Rights of the Child has a very welcome, strong and supportive impact on the reporting process and other aspects of the Committee’s work.  The Committee underlines in its reporting guidelines that the process of preparing a report “should encourage and facilitate popular participation and public scrutiny of government policies”.</w:t>
      </w:r>
      <w:r>
        <w:rPr>
          <w:rStyle w:val="EndnoteReference"/>
        </w:rPr>
        <w:endnoteReference w:id="240"/>
      </w:r>
      <w:r>
        <w:t xml:space="preserve">  The media can be valuable partners in the process of implementation (see also paragraph 70).</w:t>
      </w:r>
    </w:p>
    <w:p w:rsidR="00000000" w:rsidRDefault="00000000">
      <w:pPr>
        <w:pStyle w:val="Heading2"/>
      </w:pPr>
      <w:r>
        <w:t>J.  International cooperation</w:t>
      </w:r>
    </w:p>
    <w:p w:rsidR="00000000" w:rsidRDefault="00000000">
      <w:r>
        <w:t>60.</w:t>
      </w:r>
      <w:r>
        <w:tab/>
        <w:t>Article 4 emphasizes that implementation of the Convention is a cooperative exercise for the States of the world.  This article and others in the Convention highlight the need for international cooperation.</w:t>
      </w:r>
      <w:r>
        <w:rPr>
          <w:rStyle w:val="EndnoteReference"/>
        </w:rPr>
        <w:endnoteReference w:id="241"/>
      </w:r>
      <w:r>
        <w:t xml:space="preserve">  The Charter of the United Nations (Arts. 55 and 56) identifies the overall purposes of international economic and social cooperation, and members pledge themselves under the Charter “to take joint and separate action in cooperation with the Organization” to achieve these purposes.  In the United Nations Millennium Declaration and at other global meetings, including the United Nations General Assembly special session on children, States have pledged themselves, in particular, to international cooperation to eliminate poverty. </w:t>
      </w:r>
    </w:p>
    <w:p w:rsidR="00000000" w:rsidRDefault="00000000">
      <w:r>
        <w:t>61.</w:t>
      </w:r>
      <w:r>
        <w:tab/>
        <w:t>The Committee advises States parties that the Convention should form the framework for international development assistance related directly or indirectly to children and that programmes of donor States should be rights-based.  The Committee urges States to meet internationally agreed targets, including the United Nations target for international development assistance of 0.7 per cent of gross domestic product.  This goal was reiterated along with other targets in the Monterrey Consensus, arising from the 2002 International Conference on Financing for Development.</w:t>
      </w:r>
      <w:r>
        <w:rPr>
          <w:rStyle w:val="EndnoteReference"/>
        </w:rPr>
        <w:endnoteReference w:id="242"/>
      </w:r>
      <w:r>
        <w:t xml:space="preserve">  The Committee encourages States parties that receive international aid and assistance to allocate a substantive part of that aid specifically to children.  The Committee expects States parties to be able to identify on a yearly basis the amount and proportion of international support earmarked for the implementation of children’s rights. </w:t>
      </w:r>
    </w:p>
    <w:p w:rsidR="00000000" w:rsidRDefault="00000000">
      <w:r>
        <w:t>62.</w:t>
      </w:r>
      <w:r>
        <w:tab/>
        <w:t>The Committee endorses the aims of the 20/20 initiative, to achieve universal access to basic social services of good quality on a sustainable basis, as a shared responsibility of developing and donor States.  The Committee notes that international meetings held to review progress have concluded that many States are going to have difficulty meeting fundamental economic and social rights unless additional resources are allocated and efficiency in resource allocation is increased.  The Committee takes note of and encourages efforts being made to reduce poverty in the most heavily indebted countries through the Poverty Reduction Strategy Paper (PRSP).  As the central, country-led strategy for achieving the millennium development goals, PRSPs must include a strong focus on children’s rights.  The Committee urges Governments, donors and civil society to ensure that children are a prominent priority in the development of PRSPs and sectorwide approaches to development (SWAps).  Both PRSPs and SWAps should reflect children’s rights principles, with a holistic, child-centred approach recognizing children as holders of rights and the incorporation of development goals and objectives which are relevant to children.</w:t>
      </w:r>
    </w:p>
    <w:p w:rsidR="00000000" w:rsidRDefault="00000000">
      <w:r>
        <w:t>63.</w:t>
      </w:r>
      <w:r>
        <w:tab/>
        <w:t>The Committee encourages States to provide and to use, as appropriate, technical assistance in the process of implementing the Convention.  The United Nations Children’s Fund (UNICEF), the Office of the United Nations High Commissioner for Human Rights (OHCHR) and other United Nations and United Nations-related agencies can provide technical assistance with many aspects of implementation. States parties are encouraged to identify their interest in technical assistance in their reports under the Convention.</w:t>
      </w:r>
      <w:r>
        <w:br w:type="page"/>
        <w:t>64.</w:t>
      </w:r>
      <w:r>
        <w:tab/>
        <w:t>In their promotion of international cooperation and technical assistance, all United Nations and United Nations-related agencies should be guided by the Convention and should mainstream children’s rights throughout their activities.  They should seek to ensure within their influence that international cooperation is targeted at supporting States to fulfil their obligations under the Convention. Similarly the World Bank Group, the International Monetary Fund and World Trade Organization should ensure that their activities related to international cooperation and economic development give primary consideration to the best interests of children and promote full implementation of the Convention.</w:t>
      </w:r>
    </w:p>
    <w:p w:rsidR="00000000" w:rsidRDefault="00000000">
      <w:pPr>
        <w:pStyle w:val="Heading2"/>
      </w:pPr>
      <w:r>
        <w:t>K.  Independent human rights institutions</w:t>
      </w:r>
    </w:p>
    <w:p w:rsidR="00000000" w:rsidRDefault="00000000">
      <w:r>
        <w:t>65.</w:t>
      </w:r>
      <w:r>
        <w:tab/>
        <w:t>In its general comment No. 2 (2002) entitled “The role of independent national human rights institutions in the protection and promotion of the rights of the child”, the Committee notes that it “considers the establishment of such bodies to fall within the commitment made by States parties upon ratification to ensure the implementation of the Convention and advance the universal realization of children’s rights”.  Independent human rights institutions are complementary to effective government structures for children; the essential element is independence:  “The role of national human rights institutions is to monitor independently the State’s compliance and progress towards implementation and to do all it can to ensure full respect for children’s rights.  While this may require the institution to develop projects to enhance the promotion and protection of children’s rights, it should not lead to the Government delegating its monitoring obligations to the national institution.  It is essential that institutions remain entirely free to set their own agenda and determine their own activities.”</w:t>
      </w:r>
      <w:r>
        <w:rPr>
          <w:rStyle w:val="EndnoteReference"/>
        </w:rPr>
        <w:endnoteReference w:id="243"/>
      </w:r>
      <w:r>
        <w:t xml:space="preserve">  General comment No. 2 provides detailed guidance on the establishment and operation of independent human rights institutions for children.</w:t>
      </w:r>
    </w:p>
    <w:p w:rsidR="00000000" w:rsidRDefault="00000000">
      <w:pPr>
        <w:pStyle w:val="Heading2"/>
      </w:pPr>
      <w:r>
        <w:t>Article 42:  Making the Convention known to adults and children</w:t>
      </w:r>
    </w:p>
    <w:p w:rsidR="00000000" w:rsidRDefault="00000000">
      <w:pPr>
        <w:ind w:left="720"/>
      </w:pPr>
      <w:r>
        <w:tab/>
        <w:t xml:space="preserve">“States parties undertake to make the principles and provisions of the Convention widely known, by appropriate and active means, to adults and children alike.” </w:t>
      </w:r>
    </w:p>
    <w:p w:rsidR="00000000" w:rsidRDefault="00000000">
      <w:r>
        <w:t>66.</w:t>
      </w:r>
      <w:r>
        <w:tab/>
        <w:t xml:space="preserve">Individuals need to know what their rights are.  Traditionally in most, if not all, societies children have not been regarded as rights holders.  So article 42 acquires a particular importance. If the adults around children, their parents and other family members, teachers and carers do not understand the implications of the Convention, and above all its confirmation of the equal status of children as subjects of rights, it is most unlikely that the rights set out in the Convention will be realized for many children. </w:t>
      </w:r>
    </w:p>
    <w:p w:rsidR="00000000" w:rsidRDefault="00000000">
      <w:r>
        <w:t>67.</w:t>
      </w:r>
      <w:r>
        <w:tab/>
        <w:t xml:space="preserve">The Committee proposes that States should develop a comprehensive strategy for disseminating knowledge of the Convention throughout society.  This should include information on those bodies - governmental and independent - involved in implementation and monitoring and on how to contact them.  At the most basic level, the text of the Convention needs to be made widely available in all languages and the Committee commends the collection of official and unofficial translations of the Convention made by OHCHR.  There needs to be a strategy for dissemination of the Convention among illiterate people.  UNICEF and NGOs in </w:t>
      </w:r>
      <w:r>
        <w:br w:type="page"/>
        <w:t>many States have developed child-friendly versions of the Convention for children of various ages - a process the Committee welcomes and encourages; these should also inform children of sources of help and advice.</w:t>
      </w:r>
    </w:p>
    <w:p w:rsidR="00000000" w:rsidRDefault="00000000">
      <w:r>
        <w:t>68.</w:t>
      </w:r>
      <w:r>
        <w:tab/>
        <w:t>Children need to acquire knowledge of their rights and the Committee places special emphasis on incorporating learning about the Convention and human rights in general into the school curriculum at all stages.  The Committee’s general comment No. 1 (2001) entitled “The aims of education” (art. 29, para. 1), should be read in conjunction with this.  Article 29, paragraph 1, requires that the education of the child shall be directed to “… the development of respect for human rights and fundamental freedoms …”.  The general comment underlines: “Human rights education should provide information on the content of human rights treaties.  But children should also learn about human rights by seeing human rights standards implemented in practice whether at home, in school or within the community.  Human rights education should be a comprehensive, lifelong process and start with the reflection of human rights values in the daily life and experiences of children.”</w:t>
      </w:r>
      <w:r>
        <w:rPr>
          <w:rStyle w:val="EndnoteReference"/>
        </w:rPr>
        <w:endnoteReference w:id="244"/>
      </w:r>
      <w:r>
        <w:t xml:space="preserve">  </w:t>
      </w:r>
    </w:p>
    <w:p w:rsidR="00000000" w:rsidRDefault="00000000">
      <w:r>
        <w:t>69.</w:t>
      </w:r>
      <w:r>
        <w:tab/>
        <w:t>Similarly, learning about the Convention needs to be integrated into the initial and in</w:t>
      </w:r>
      <w:r>
        <w:noBreakHyphen/>
        <w:t>service training of all those working with and for children (see paragraph 53 above).  The Committee reminds States parties of the recommendations it made following its meeting on general measures of implementation held to commemorate the tenth anniversary of adoption of the Convention, in which it recalled that “dissemination and awareness-raising about the rights of the child are most effective when conceived as a process of social change, of interaction and dialogue rather than lecturing.  Raising awareness should involve all sectors of society, including children and young people.  Children, including adolescents, have the right to participate in raising awareness about their rights to the maximum extent of their evolving capacities”.</w:t>
      </w:r>
      <w:r>
        <w:rPr>
          <w:rStyle w:val="EndnoteReference"/>
        </w:rPr>
        <w:endnoteReference w:id="245"/>
      </w:r>
      <w:r>
        <w:t xml:space="preserve">  </w:t>
      </w:r>
    </w:p>
    <w:p w:rsidR="00000000" w:rsidRDefault="00000000">
      <w:pPr>
        <w:ind w:left="720"/>
      </w:pPr>
      <w:r>
        <w:tab/>
        <w:t>“The Committee recommends that all efforts to provide training on the rights of the child be practical, systematic and integrated into regular professional training in order to maximize its impact and sustainability.  Human rights training should use participatory methods, and equip professionals with skills and attitudes that enable them to interact with children and young people in a manner that respects their rights, dignity and self</w:t>
      </w:r>
      <w:r>
        <w:noBreakHyphen/>
        <w:t>respect.”</w:t>
      </w:r>
      <w:r>
        <w:rPr>
          <w:rStyle w:val="EndnoteReference"/>
        </w:rPr>
        <w:endnoteReference w:id="246"/>
      </w:r>
      <w:r>
        <w:t xml:space="preserve"> </w:t>
      </w:r>
    </w:p>
    <w:p w:rsidR="00000000" w:rsidRDefault="00000000">
      <w:r>
        <w:t>The media can play a crucial role in the dissemination of the Convention and knowledge and understanding of it and the Committee encourages their voluntary engagement in the process, which may be stimulated by Governments and by NGOs.</w:t>
      </w:r>
      <w:r>
        <w:rPr>
          <w:rStyle w:val="EndnoteReference"/>
        </w:rPr>
        <w:endnoteReference w:id="247"/>
      </w:r>
      <w:r>
        <w:t xml:space="preserve">  </w:t>
      </w:r>
    </w:p>
    <w:p w:rsidR="00000000" w:rsidRDefault="00000000">
      <w:pPr>
        <w:pStyle w:val="Heading2"/>
      </w:pPr>
      <w:r>
        <w:t>Article 44 (6):  Making reports under the Convention widely available</w:t>
      </w:r>
    </w:p>
    <w:p w:rsidR="00000000" w:rsidRDefault="00000000">
      <w:pPr>
        <w:ind w:left="720"/>
      </w:pPr>
      <w:r>
        <w:tab/>
        <w:t xml:space="preserve">“… States parties shall make their reports widely available to the public in their own countries.” </w:t>
      </w:r>
    </w:p>
    <w:p w:rsidR="00000000" w:rsidRDefault="00000000">
      <w:r>
        <w:t>70.</w:t>
      </w:r>
      <w:r>
        <w:tab/>
        <w:t xml:space="preserve">If reporting under the Convention is to play the important part it should in the process of implementation at the national level, it needs to be known about by adults and children throughout the State party.  The reporting process provides a unique form of international </w:t>
      </w:r>
      <w:r>
        <w:br w:type="page"/>
        <w:t xml:space="preserve">accountability for how States treat children and their rights.  But unless reports are disseminated and constructively debated at the national level, the process is unlikely to have substantial impact on children’s lives. </w:t>
      </w:r>
    </w:p>
    <w:p w:rsidR="00000000" w:rsidRDefault="00000000">
      <w:r>
        <w:t>71.</w:t>
      </w:r>
      <w:r>
        <w:tab/>
        <w:t xml:space="preserve">The Convention explicitly requires States to make their reports widely available to the public; this should be done when they are submitted to the Committee.  Reports should be made genuinely accessible, for example through translation into all languages, into appropriate forms for children and for people with disabilities and so on.  The Internet may greatly aid dissemination, and Governments and parliaments are strongly urged to place such reports on their web sites. </w:t>
      </w:r>
    </w:p>
    <w:p w:rsidR="00000000" w:rsidRDefault="00000000">
      <w:pPr>
        <w:spacing w:after="480"/>
      </w:pPr>
      <w:r>
        <w:t>72.</w:t>
      </w:r>
      <w:r>
        <w:tab/>
        <w:t xml:space="preserve">The Committee urges States to make all the other documentation of the examination of their reports under the Convention widely available to promote constructive debate and inform the process of implementation at all levels.  In particular, the Committee’s concluding observations should be disseminated to the public including children and should be the subject of detailed debate in parliament.  Independent human rights institutions and NGOs can play a crucial role in helping to ensure widespread debate.  The summary records of the examination of government representatives by the Committee aid understanding of the process and of the Committee’s requirements and should also be made available and discussed. </w:t>
      </w:r>
    </w:p>
    <w:p w:rsidR="00000000" w:rsidRDefault="00000000">
      <w:pPr>
        <w:spacing w:after="0"/>
        <w:jc w:val="center"/>
      </w:pPr>
      <w:r>
        <w:rPr>
          <w:b/>
        </w:rPr>
        <w:t>Notes</w:t>
      </w:r>
    </w:p>
    <w:p w:rsidR="00000000" w:rsidRDefault="00000000">
      <w:pPr>
        <w:pStyle w:val="Heading2"/>
        <w:sectPr w:rsidR="00000000">
          <w:headerReference w:type="even" r:id="rId66"/>
          <w:headerReference w:type="default" r:id="rId67"/>
          <w:endnotePr>
            <w:numFmt w:val="decimal"/>
            <w:numRestart w:val="eachSect"/>
          </w:endnotePr>
          <w:type w:val="continuous"/>
          <w:pgSz w:w="11907" w:h="16840" w:code="9"/>
          <w:pgMar w:top="567" w:right="851" w:bottom="1985" w:left="1701" w:header="851" w:footer="1985" w:gutter="0"/>
          <w:paperSrc w:first="84" w:other="84"/>
          <w:cols w:space="720"/>
        </w:sectPr>
      </w:pPr>
    </w:p>
    <w:p w:rsidR="00000000" w:rsidRDefault="00000000">
      <w:pPr>
        <w:pStyle w:val="Heading2"/>
      </w:pPr>
      <w:r>
        <w:br w:type="page"/>
        <w:t>Annex I</w:t>
      </w:r>
    </w:p>
    <w:p w:rsidR="00000000" w:rsidRDefault="00000000">
      <w:pPr>
        <w:pStyle w:val="Heading1"/>
      </w:pPr>
      <w:r>
        <w:t>Ratification of other key international</w:t>
      </w:r>
      <w:r>
        <w:br/>
        <w:t xml:space="preserve">human rights instruments </w:t>
      </w:r>
    </w:p>
    <w:p w:rsidR="00000000" w:rsidRDefault="00000000">
      <w:r>
        <w:tab/>
        <w:t xml:space="preserve">As noted in paragraph 17 of the present general comment, the Committee on the Rights of the Child, as part of its consideration of general measures of implementation, and in the light of the principles of indivisibility and interdependence of human rights, consistently urges States parties, if they have not already done so, to ratify the two Optional Protocols to the Convention on the Rights of the Child (on the involvement of children in armed conflict and on the sale of children, child prostitution and child pornography) and the six other major international human rights instruments.  During its dialogue with States parties the Committee often encourages them to consider ratifying other relevant international instruments.  A non-exhaustive list of these instruments is annexed here.  The Committee will update this from time to time. </w:t>
      </w:r>
    </w:p>
    <w:p w:rsidR="00000000" w:rsidRDefault="00000000">
      <w:pPr>
        <w:numPr>
          <w:ilvl w:val="0"/>
          <w:numId w:val="53"/>
        </w:numPr>
      </w:pPr>
      <w:r>
        <w:t>Optional Protocol to the International Covenant on Civil and Political Rights;</w:t>
      </w:r>
    </w:p>
    <w:p w:rsidR="00000000" w:rsidRDefault="00000000">
      <w:pPr>
        <w:numPr>
          <w:ilvl w:val="0"/>
          <w:numId w:val="53"/>
        </w:numPr>
      </w:pPr>
      <w:r>
        <w:t>Second Optional Protocol to the International Covenant on Civil and Political Rights, aiming at the abolition of the death penalty;</w:t>
      </w:r>
    </w:p>
    <w:p w:rsidR="00000000" w:rsidRDefault="00000000">
      <w:pPr>
        <w:numPr>
          <w:ilvl w:val="0"/>
          <w:numId w:val="53"/>
        </w:numPr>
      </w:pPr>
      <w:r>
        <w:t>Optional Protocol to the Convention on the Elimination of All Forms of Discrimination against Women;</w:t>
      </w:r>
    </w:p>
    <w:p w:rsidR="00000000" w:rsidRDefault="00000000">
      <w:pPr>
        <w:numPr>
          <w:ilvl w:val="0"/>
          <w:numId w:val="53"/>
        </w:numPr>
      </w:pPr>
      <w:r>
        <w:t>Optional Protocol to the Convention against Torture and Other Cruel, Inhuman or Degrading Treatment or Punishment;</w:t>
      </w:r>
    </w:p>
    <w:p w:rsidR="00000000" w:rsidRDefault="00000000">
      <w:pPr>
        <w:numPr>
          <w:ilvl w:val="0"/>
          <w:numId w:val="53"/>
        </w:numPr>
      </w:pPr>
      <w:r>
        <w:t>Convention against Discrimination in Education;</w:t>
      </w:r>
    </w:p>
    <w:p w:rsidR="00000000" w:rsidRDefault="00000000">
      <w:pPr>
        <w:numPr>
          <w:ilvl w:val="0"/>
          <w:numId w:val="53"/>
        </w:numPr>
      </w:pPr>
      <w:r>
        <w:t>ILO Forced Labour Convention No. 29, 1930;</w:t>
      </w:r>
    </w:p>
    <w:p w:rsidR="00000000" w:rsidRDefault="00000000">
      <w:pPr>
        <w:numPr>
          <w:ilvl w:val="0"/>
          <w:numId w:val="53"/>
        </w:numPr>
      </w:pPr>
      <w:r>
        <w:t>ILO Convention No. 105 on Abolition of Forced Labour, 1957;</w:t>
      </w:r>
    </w:p>
    <w:p w:rsidR="00000000" w:rsidRDefault="00000000">
      <w:pPr>
        <w:numPr>
          <w:ilvl w:val="0"/>
          <w:numId w:val="53"/>
        </w:numPr>
      </w:pPr>
      <w:r>
        <w:t>ILO Convention No. 138 Concerning Minimum Age for Admission to Employment, 1973;</w:t>
      </w:r>
    </w:p>
    <w:p w:rsidR="00000000" w:rsidRDefault="00000000">
      <w:pPr>
        <w:numPr>
          <w:ilvl w:val="0"/>
          <w:numId w:val="53"/>
        </w:numPr>
      </w:pPr>
      <w:r>
        <w:t xml:space="preserve">ILO Convention No. 182 on Worst Forms of Child Labour, 1999; </w:t>
      </w:r>
    </w:p>
    <w:p w:rsidR="00000000" w:rsidRDefault="00000000">
      <w:pPr>
        <w:numPr>
          <w:ilvl w:val="0"/>
          <w:numId w:val="53"/>
        </w:numPr>
      </w:pPr>
      <w:r>
        <w:t>ILO Convention No. 183 on Maternity Protection, 2000;</w:t>
      </w:r>
    </w:p>
    <w:p w:rsidR="00000000" w:rsidRDefault="00000000">
      <w:pPr>
        <w:numPr>
          <w:ilvl w:val="0"/>
          <w:numId w:val="53"/>
        </w:numPr>
      </w:pPr>
      <w:r>
        <w:t>Convention relating to the Status of Refugees of 1951, as amended by the Protocol relating to the Status of Refugees of 1967;</w:t>
      </w:r>
    </w:p>
    <w:p w:rsidR="00000000" w:rsidRDefault="00000000">
      <w:pPr>
        <w:numPr>
          <w:ilvl w:val="0"/>
          <w:numId w:val="53"/>
        </w:numPr>
      </w:pPr>
      <w:r>
        <w:t>Convention for the Suppression of the Traffic in Persons and of the Exploitation of the Prostitution of Others (1949);</w:t>
      </w:r>
    </w:p>
    <w:p w:rsidR="00000000" w:rsidRDefault="00000000">
      <w:pPr>
        <w:numPr>
          <w:ilvl w:val="0"/>
          <w:numId w:val="53"/>
        </w:numPr>
      </w:pPr>
      <w:r>
        <w:t xml:space="preserve">Slavery Convention (1926); </w:t>
      </w:r>
    </w:p>
    <w:p w:rsidR="00000000" w:rsidRDefault="00000000">
      <w:pPr>
        <w:numPr>
          <w:ilvl w:val="0"/>
          <w:numId w:val="53"/>
        </w:numPr>
      </w:pPr>
      <w:r>
        <w:t>Protocol amending the Slavery Convention (1953);</w:t>
      </w:r>
    </w:p>
    <w:p w:rsidR="00000000" w:rsidRDefault="00000000">
      <w:pPr>
        <w:numPr>
          <w:ilvl w:val="0"/>
          <w:numId w:val="53"/>
        </w:numPr>
      </w:pPr>
      <w:r>
        <w:t xml:space="preserve">The Supplementary Convention on the Abolition of Slavery, the Slave Trade and Institutions and Practices Similar to Slavery (1956); </w:t>
      </w:r>
    </w:p>
    <w:p w:rsidR="00000000" w:rsidRDefault="00000000">
      <w:pPr>
        <w:numPr>
          <w:ilvl w:val="0"/>
          <w:numId w:val="53"/>
        </w:numPr>
      </w:pPr>
      <w:r>
        <w:t>Protocol to Prevent, Suppress and Punish Trafficking in Persons, Especially Women and Children, supplementing the United Nations Convention against Transnational Organized Crime of 2000;</w:t>
      </w:r>
    </w:p>
    <w:p w:rsidR="00000000" w:rsidRDefault="00000000">
      <w:pPr>
        <w:numPr>
          <w:ilvl w:val="0"/>
          <w:numId w:val="53"/>
        </w:numPr>
      </w:pPr>
      <w:r>
        <w:t>Geneva Convention relative to the Protection of Civilians in Time of War;</w:t>
      </w:r>
    </w:p>
    <w:p w:rsidR="00000000" w:rsidRDefault="00000000">
      <w:pPr>
        <w:numPr>
          <w:ilvl w:val="0"/>
          <w:numId w:val="53"/>
        </w:numPr>
      </w:pPr>
      <w:r>
        <w:t>Protocol Additional to the Geneva Conventions of 12 August 1949 and relating to the Protection of Victims of International Armed Conflicts (Protocol I);</w:t>
      </w:r>
    </w:p>
    <w:p w:rsidR="00000000" w:rsidRDefault="00000000">
      <w:pPr>
        <w:numPr>
          <w:ilvl w:val="0"/>
          <w:numId w:val="53"/>
        </w:numPr>
      </w:pPr>
      <w:r>
        <w:t xml:space="preserve">Protocol Additional to the Geneva Conventions of 12 August 1949 and relating to the Protection of Victims of Non-International Armed Conflicts (Protocol II); </w:t>
      </w:r>
    </w:p>
    <w:p w:rsidR="00000000" w:rsidRDefault="00000000">
      <w:pPr>
        <w:numPr>
          <w:ilvl w:val="0"/>
          <w:numId w:val="53"/>
        </w:numPr>
      </w:pPr>
      <w:r>
        <w:t>Convention on the Prohibition of the Use, Stockpiling, Production and Transfer of Anti-perrsonnel Mines and of Their Destruction;</w:t>
      </w:r>
    </w:p>
    <w:p w:rsidR="00000000" w:rsidRDefault="00000000">
      <w:pPr>
        <w:numPr>
          <w:ilvl w:val="0"/>
          <w:numId w:val="53"/>
        </w:numPr>
      </w:pPr>
      <w:r>
        <w:t>Statute of the International Criminal Court;</w:t>
      </w:r>
    </w:p>
    <w:p w:rsidR="00000000" w:rsidRDefault="00000000">
      <w:pPr>
        <w:numPr>
          <w:ilvl w:val="0"/>
          <w:numId w:val="53"/>
        </w:numPr>
      </w:pPr>
      <w:r>
        <w:t>Hague Convention on the Protection of Children and Cooperation in respect of Intercountry Adoption;</w:t>
      </w:r>
    </w:p>
    <w:p w:rsidR="00000000" w:rsidRDefault="00000000">
      <w:pPr>
        <w:numPr>
          <w:ilvl w:val="0"/>
          <w:numId w:val="53"/>
        </w:numPr>
      </w:pPr>
      <w:r>
        <w:t>Hague Convention on the Civil Aspects of International Child Abduction;</w:t>
      </w:r>
    </w:p>
    <w:p w:rsidR="00000000" w:rsidRDefault="00000000">
      <w:pPr>
        <w:numPr>
          <w:ilvl w:val="0"/>
          <w:numId w:val="53"/>
        </w:numPr>
      </w:pPr>
      <w:r>
        <w:t>Hague Convention on Jurisdiction, Applicable Law, Recognition, Enforcement and Cooperation in respect of Parental Responsibility and Measures for the Protection of Children of 1996.</w:t>
      </w:r>
    </w:p>
    <w:p w:rsidR="00000000" w:rsidRDefault="00000000">
      <w:pPr>
        <w:jc w:val="center"/>
      </w:pPr>
      <w:r>
        <w:t>-----</w:t>
      </w:r>
    </w:p>
    <w:sectPr w:rsidR="00000000">
      <w:headerReference w:type="even" r:id="rId68"/>
      <w:headerReference w:type="default" r:id="rId69"/>
      <w:endnotePr>
        <w:numFmt w:val="decimal"/>
        <w:numRestart w:val="eachSect"/>
      </w:endnotePr>
      <w:type w:val="continuous"/>
      <w:pgSz w:w="11907" w:h="16840" w:code="9"/>
      <w:pgMar w:top="567" w:right="851" w:bottom="1985" w:left="1701" w:header="851" w:footer="1985" w:gutter="0"/>
      <w:paperSrc w:first="84" w:other="84"/>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“The international dimensions of the right to development as a human right in relation with other human rights based on international cooperation, including the right to peace, taking into account the requirements of the new international economic order and the fundamental human needs” (E/CN.4/1334, para.  314).</w:t>
      </w:r>
    </w:p>
  </w:endnote>
  <w:endnote w:id="3">
    <w:p w:rsidR="00000000" w:rsidRDefault="00000000">
      <w:pPr>
        <w:pStyle w:val="EndnoteText"/>
      </w:pPr>
      <w:r>
        <w:rPr>
          <w:rStyle w:val="EndnoteReference"/>
        </w:rPr>
        <w:endnoteRef/>
      </w:r>
      <w:r>
        <w:t xml:space="preserve">  G.A.  Cornia, R.  Jolly and F.  Steward, Eds., Oxford, Clarendon Press, 1987.</w:t>
      </w:r>
    </w:p>
  </w:endnote>
  <w:endnote w:id="4">
    <w:p w:rsidR="00000000" w:rsidRDefault="00000000">
      <w:pPr>
        <w:pStyle w:val="EndnoteText"/>
        <w:spacing w:after="0"/>
      </w:pPr>
      <w:r>
        <w:rPr>
          <w:rStyle w:val="EndnoteReference"/>
        </w:rPr>
        <w:endnoteRef/>
      </w:r>
      <w:r>
        <w:t xml:space="preserve">  Oxford, Oxford University Press, 1990.</w:t>
      </w:r>
    </w:p>
    <w:p w:rsidR="00000000" w:rsidRDefault="00000000">
      <w:pPr>
        <w:pStyle w:val="EndnoteText"/>
        <w:spacing w:after="0"/>
      </w:pPr>
    </w:p>
  </w:endnote>
  <w:endnote w:id="5">
    <w:p w:rsidR="00000000" w:rsidRDefault="00000000">
      <w:pPr>
        <w:pStyle w:val="EndnoteText"/>
        <w:spacing w:after="0"/>
      </w:pPr>
      <w:r>
        <w:rPr>
          <w:rStyle w:val="EndnoteReference"/>
        </w:rPr>
        <w:endnoteRef/>
      </w:r>
      <w:r>
        <w:t xml:space="preserve">  Oxford, Oxford University Press, 1990.</w:t>
      </w:r>
    </w:p>
  </w:endnote>
  <w:endnote w:id="6">
    <w:p w:rsidR="00000000" w:rsidRDefault="00000000">
      <w:pPr>
        <w:pStyle w:val="EndnoteText"/>
      </w:pPr>
      <w:r>
        <w:rPr>
          <w:rStyle w:val="EndnoteReference"/>
        </w:rPr>
        <w:endnoteRef/>
      </w:r>
      <w:r>
        <w:rPr>
          <w:i/>
        </w:rPr>
        <w:t xml:space="preserve">  Official Records of the General Assembly, Forty</w:t>
      </w:r>
      <w:r>
        <w:rPr>
          <w:i/>
        </w:rPr>
        <w:noBreakHyphen/>
        <w:t>third Session, Supplement No. 8</w:t>
      </w:r>
      <w:r>
        <w:t>, addendum (A/43/8/Add.1).</w:t>
      </w:r>
    </w:p>
  </w:endnote>
  <w:endnote w:id="7">
    <w:p w:rsidR="00000000" w:rsidRDefault="00000000">
      <w:pPr>
        <w:pStyle w:val="EndnoteText"/>
      </w:pPr>
      <w:r>
        <w:rPr>
          <w:rStyle w:val="EndnoteReference"/>
        </w:rPr>
        <w:endnoteRef/>
      </w:r>
      <w:r>
        <w:t xml:space="preserve">  Commission on Human Rights resolutions 1986/36 and 1987/22; reports by Mr.  Danilo Türk, Special Rapporteur of the Sub</w:t>
      </w:r>
      <w:r>
        <w:noBreakHyphen/>
        <w:t xml:space="preserve">Commission (E/CN.4/Sub.2/1990/19, paras.  </w:t>
      </w:r>
      <w:r>
        <w:rPr>
          <w:lang w:val="fr-FR"/>
        </w:rPr>
        <w:t>108</w:t>
      </w:r>
      <w:r>
        <w:rPr>
          <w:lang w:val="fr-FR"/>
        </w:rPr>
        <w:noBreakHyphen/>
        <w:t xml:space="preserve">120; E/CN.4/Sub.2/1991/17, paras.  </w:t>
      </w:r>
      <w:r>
        <w:t>137</w:t>
      </w:r>
      <w:r>
        <w:noBreakHyphen/>
        <w:t>139); see also Sub</w:t>
      </w:r>
      <w:r>
        <w:noBreakHyphen/>
        <w:t>Commission resolution 1991/26.</w:t>
      </w:r>
    </w:p>
  </w:endnote>
  <w:endnote w:id="8">
    <w:p w:rsidR="00000000" w:rsidRDefault="00000000">
      <w:pPr>
        <w:pStyle w:val="EndnoteText"/>
      </w:pPr>
      <w:r>
        <w:rPr>
          <w:rStyle w:val="EndnoteReference"/>
        </w:rPr>
        <w:endnoteRef/>
      </w:r>
      <w:r>
        <w:t xml:space="preserve">  See, for example, article 25 (1) of the Universal Declaration of Human Rights, article 5 (e) (iii) of the International Convention on the Elimination of All Forms of Racial Discrimination, article 14 (2) of the Convention on the Elimination of All Forms of Discrimination against Women, article 27 (3) of the Convention on the Rights of the Child, article 10 of the Declaration on Social Progress and Development, section III (8) of the Vancouver Declaration on Human Settlements, 1976 (</w:t>
      </w:r>
      <w:r>
        <w:rPr>
          <w:i/>
        </w:rPr>
        <w:t>Report of Habitat: United Nations Conference on Human Settlements</w:t>
      </w:r>
      <w:r>
        <w:t xml:space="preserve"> (United Nations publication, Sales No. E.76.IV.7 and corrigendum, chap. I), article 8 (1) of the Declaration on the Right to Development and the ILO Recommendation Concerning Workers’ Housing, 1961 (No. 115)).</w:t>
      </w:r>
    </w:p>
  </w:endnote>
  <w:endnote w:id="9">
    <w:p w:rsidR="00000000" w:rsidRDefault="00000000">
      <w:pPr>
        <w:pStyle w:val="EndnoteText"/>
      </w:pPr>
      <w:r>
        <w:rPr>
          <w:rStyle w:val="EndnoteReference"/>
        </w:rPr>
        <w:endnoteRef/>
      </w:r>
      <w:r>
        <w:t xml:space="preserve">  See note 1.</w:t>
      </w:r>
    </w:p>
  </w:endnote>
  <w:endnote w:id="10">
    <w:p w:rsidR="00000000" w:rsidRDefault="00000000">
      <w:pPr>
        <w:pStyle w:val="EndnoteText"/>
      </w:pPr>
      <w:r>
        <w:rPr>
          <w:rStyle w:val="EndnoteReference"/>
        </w:rPr>
        <w:endnoteRef/>
      </w:r>
      <w:r>
        <w:t xml:space="preserve">  Geneva, World Health Organization, 1990.</w:t>
      </w:r>
    </w:p>
  </w:endnote>
  <w:endnote w:id="11">
    <w:p w:rsidR="00000000" w:rsidRDefault="00000000">
      <w:pPr>
        <w:pStyle w:val="EndnoteText"/>
      </w:pPr>
      <w:r>
        <w:rPr>
          <w:rStyle w:val="EndnoteReference"/>
        </w:rPr>
        <w:endnoteRef/>
      </w:r>
      <w:r>
        <w:t xml:space="preserve">  For a comprehensive review of the question, see the final report prepared by Mr. Leandro Despouy, Special Rapporteur, on human rights and disability (E/CN.4/Sub.2/1991/31).</w:t>
      </w:r>
    </w:p>
  </w:endnote>
  <w:endnote w:id="12">
    <w:p w:rsidR="00000000" w:rsidRDefault="00000000">
      <w:pPr>
        <w:pStyle w:val="EndnoteText"/>
      </w:pPr>
      <w:r>
        <w:rPr>
          <w:rStyle w:val="EndnoteReference"/>
        </w:rPr>
        <w:endnoteRef/>
      </w:r>
      <w:r>
        <w:t xml:space="preserve">  See A/47/415, paragraph 5.</w:t>
      </w:r>
    </w:p>
  </w:endnote>
  <w:endnote w:id="13">
    <w:p w:rsidR="00000000" w:rsidRDefault="00000000">
      <w:pPr>
        <w:pStyle w:val="EndnoteText"/>
      </w:pPr>
      <w:r>
        <w:rPr>
          <w:rStyle w:val="EndnoteReference"/>
        </w:rPr>
        <w:endnoteRef/>
      </w:r>
      <w:r>
        <w:t xml:space="preserve">  See paragraph 165 of the World Programme of Action concerning Disabled Persons, adopted by the General Assembly by its resolution 37/52 of 3 December 1982 (para. 1).</w:t>
      </w:r>
    </w:p>
  </w:endnote>
  <w:endnote w:id="14">
    <w:p w:rsidR="00000000" w:rsidRDefault="00000000">
      <w:pPr>
        <w:pStyle w:val="EndnoteText"/>
      </w:pPr>
      <w:r>
        <w:rPr>
          <w:rStyle w:val="EndnoteReference"/>
        </w:rPr>
        <w:endnoteRef/>
      </w:r>
      <w:r>
        <w:t xml:space="preserve">  See Commission on Human Rights resolutions 1992/48, paragraph 4 and 1993/29, paragraph 7.</w:t>
      </w:r>
    </w:p>
  </w:endnote>
  <w:endnote w:id="15">
    <w:p w:rsidR="00000000" w:rsidRDefault="00000000">
      <w:pPr>
        <w:pStyle w:val="EndnoteText"/>
      </w:pPr>
      <w:r>
        <w:rPr>
          <w:rStyle w:val="EndnoteReference"/>
        </w:rPr>
        <w:endnoteRef/>
      </w:r>
      <w:r>
        <w:t xml:space="preserve">  See A/47/415, paragraph 6.</w:t>
      </w:r>
    </w:p>
  </w:endnote>
  <w:endnote w:id="16">
    <w:p w:rsidR="00000000" w:rsidRDefault="00000000">
      <w:pPr>
        <w:pStyle w:val="EndnoteText"/>
      </w:pPr>
      <w:r>
        <w:rPr>
          <w:rStyle w:val="EndnoteReference"/>
        </w:rPr>
        <w:endnoteRef/>
      </w:r>
      <w:r>
        <w:t xml:space="preserve">  Standard Rules on the Equalization of Opportunities for Persons with Disabilities, annexed to General Assembly resolution 48/96 of 20 December 1993 (Introduction, para. 17).</w:t>
      </w:r>
    </w:p>
  </w:endnote>
  <w:endnote w:id="17">
    <w:p w:rsidR="00000000" w:rsidRDefault="00000000">
      <w:pPr>
        <w:pStyle w:val="EndnoteText"/>
        <w:spacing w:after="960"/>
      </w:pPr>
      <w:r>
        <w:rPr>
          <w:rStyle w:val="EndnoteReference"/>
        </w:rPr>
        <w:endnoteRef/>
      </w:r>
      <w:r>
        <w:t xml:space="preserve">  World Programme of Action concerning Disabled Persons (see note 3 above), paragraph 1.</w:t>
      </w:r>
    </w:p>
  </w:endnote>
  <w:endnote w:id="18">
    <w:p w:rsidR="00000000" w:rsidRDefault="00000000">
      <w:pPr>
        <w:pStyle w:val="EndnoteText"/>
      </w:pPr>
      <w:r>
        <w:rPr>
          <w:rStyle w:val="EndnoteReference"/>
        </w:rPr>
        <w:endnoteRef/>
      </w:r>
      <w:r>
        <w:t xml:space="preserve">  A/C.3/46/4, annex I.  Also contained in the Report on the International Meeting on the Roles and Functions of National Coordinating Committees on Disability in Developing Countries, Beijing, 5</w:t>
      </w:r>
      <w:r>
        <w:noBreakHyphen/>
        <w:t>11 November 1990 (CSDHA/DDP/NDC/4).  See also Economic and Social Council resolution 1991/8 and General Assembly resolution 46/96 of 16 December 1991.</w:t>
      </w:r>
    </w:p>
  </w:endnote>
  <w:endnote w:id="19">
    <w:p w:rsidR="00000000" w:rsidRDefault="00000000">
      <w:pPr>
        <w:pStyle w:val="EndnoteText"/>
      </w:pPr>
      <w:r>
        <w:rPr>
          <w:rStyle w:val="EndnoteReference"/>
        </w:rPr>
        <w:endnoteRef/>
      </w:r>
      <w:r>
        <w:t xml:space="preserve">  General Assembly resolution 46/119 of 17 December 1991, annex.</w:t>
      </w:r>
    </w:p>
  </w:endnote>
  <w:endnote w:id="20">
    <w:p w:rsidR="00000000" w:rsidRDefault="00000000">
      <w:pPr>
        <w:pStyle w:val="EndnoteText"/>
      </w:pPr>
      <w:r>
        <w:rPr>
          <w:rStyle w:val="EndnoteReference"/>
        </w:rPr>
        <w:endnoteRef/>
      </w:r>
      <w:r>
        <w:t xml:space="preserve">  Standard Rules (see note 6 above), Introduction, paragraph 15.</w:t>
      </w:r>
    </w:p>
  </w:endnote>
  <w:endnote w:id="21">
    <w:p w:rsidR="00000000" w:rsidRDefault="00000000">
      <w:pPr>
        <w:pStyle w:val="EndnoteText"/>
      </w:pPr>
      <w:r>
        <w:rPr>
          <w:rStyle w:val="EndnoteReference"/>
        </w:rPr>
        <w:endnoteRef/>
      </w:r>
      <w:r>
        <w:t xml:space="preserve">  See A/47/415, </w:t>
      </w:r>
      <w:r>
        <w:rPr>
          <w:i/>
        </w:rPr>
        <w:t>passim</w:t>
      </w:r>
      <w:r>
        <w:t>.</w:t>
      </w:r>
    </w:p>
  </w:endnote>
  <w:endnote w:id="22">
    <w:p w:rsidR="00000000" w:rsidRDefault="00000000">
      <w:pPr>
        <w:pStyle w:val="EndnoteText"/>
      </w:pPr>
      <w:r>
        <w:rPr>
          <w:rStyle w:val="EndnoteReference"/>
        </w:rPr>
        <w:endnoteRef/>
      </w:r>
      <w:r>
        <w:t xml:space="preserve">  Ibid., paragraph 5.</w:t>
      </w:r>
    </w:p>
  </w:endnote>
  <w:endnote w:id="23">
    <w:p w:rsidR="00000000" w:rsidRDefault="00000000">
      <w:pPr>
        <w:pStyle w:val="EndnoteText"/>
      </w:pPr>
      <w:r>
        <w:rPr>
          <w:rStyle w:val="EndnoteReference"/>
        </w:rPr>
        <w:endnoteRef/>
      </w:r>
      <w:r>
        <w:t xml:space="preserve">  Standard Rules (see note 6 above), Rule 1.</w:t>
      </w:r>
    </w:p>
  </w:endnote>
  <w:endnote w:id="24">
    <w:p w:rsidR="00000000" w:rsidRDefault="00000000">
      <w:pPr>
        <w:pStyle w:val="EndnoteText"/>
      </w:pPr>
      <w:r>
        <w:rPr>
          <w:rStyle w:val="EndnoteReference"/>
        </w:rPr>
        <w:endnoteRef/>
      </w:r>
      <w:r>
        <w:t xml:space="preserve">  World Programme of Action concerning Disabled Persons (see note 3 above), paragraph 3.</w:t>
      </w:r>
    </w:p>
  </w:endnote>
  <w:endnote w:id="25">
    <w:p w:rsidR="00000000" w:rsidRDefault="00000000">
      <w:pPr>
        <w:pStyle w:val="EndnoteText"/>
      </w:pPr>
      <w:r>
        <w:rPr>
          <w:rStyle w:val="EndnoteReference"/>
        </w:rPr>
        <w:endnoteRef/>
      </w:r>
      <w:r>
        <w:t xml:space="preserve">  See note 8 above.</w:t>
      </w:r>
    </w:p>
  </w:endnote>
  <w:endnote w:id="26">
    <w:p w:rsidR="00000000" w:rsidRDefault="00000000">
      <w:pPr>
        <w:pStyle w:val="EndnoteText"/>
      </w:pPr>
      <w:r>
        <w:rPr>
          <w:rStyle w:val="EndnoteReference"/>
        </w:rPr>
        <w:endnoteRef/>
      </w:r>
      <w:r>
        <w:t xml:space="preserve">  See A/47/415, paragraphs 37</w:t>
      </w:r>
      <w:r>
        <w:noBreakHyphen/>
        <w:t>38.</w:t>
      </w:r>
    </w:p>
  </w:endnote>
  <w:endnote w:id="27">
    <w:p w:rsidR="00000000" w:rsidRDefault="00000000">
      <w:pPr>
        <w:pStyle w:val="EndnoteText"/>
      </w:pPr>
      <w:r>
        <w:rPr>
          <w:rStyle w:val="EndnoteReference"/>
        </w:rPr>
        <w:endnoteRef/>
      </w:r>
      <w:r>
        <w:t xml:space="preserve">  World Programme of Action concerning Disabled Persons (see note 3 above), paragraph 25.</w:t>
      </w:r>
    </w:p>
  </w:endnote>
  <w:endnote w:id="28">
    <w:p w:rsidR="00000000" w:rsidRDefault="00000000">
      <w:pPr>
        <w:pStyle w:val="EndnoteText"/>
      </w:pPr>
      <w:r>
        <w:rPr>
          <w:rStyle w:val="EndnoteReference"/>
        </w:rPr>
        <w:endnoteRef/>
      </w:r>
      <w:r>
        <w:t xml:space="preserve">  See E/CN.4/Sub.2/1991/31 (see note 1 above), paragraph 140.</w:t>
      </w:r>
    </w:p>
  </w:endnote>
  <w:endnote w:id="29">
    <w:p w:rsidR="00000000" w:rsidRDefault="00000000">
      <w:pPr>
        <w:pStyle w:val="EndnoteText"/>
      </w:pPr>
      <w:r>
        <w:rPr>
          <w:rStyle w:val="EndnoteReference"/>
        </w:rPr>
        <w:endnoteRef/>
      </w:r>
      <w:r>
        <w:t xml:space="preserve">  See A/47/415, paragraphs 35, 46, 74 and 77.</w:t>
      </w:r>
    </w:p>
  </w:endnote>
  <w:endnote w:id="30">
    <w:p w:rsidR="00000000" w:rsidRDefault="00000000">
      <w:pPr>
        <w:pStyle w:val="EndnoteText"/>
      </w:pPr>
      <w:r>
        <w:rPr>
          <w:rStyle w:val="EndnoteReference"/>
        </w:rPr>
        <w:endnoteRef/>
      </w:r>
      <w:r>
        <w:t xml:space="preserve">  See note 9 above.</w:t>
      </w:r>
    </w:p>
  </w:endnote>
  <w:endnote w:id="31">
    <w:p w:rsidR="00000000" w:rsidRDefault="00000000">
      <w:pPr>
        <w:pStyle w:val="EndnoteText"/>
      </w:pPr>
      <w:r>
        <w:rPr>
          <w:rStyle w:val="EndnoteReference"/>
        </w:rPr>
        <w:endnoteRef/>
      </w:r>
      <w:r>
        <w:t xml:space="preserve">  Standard Rules (see note 6 above), Rule 7.</w:t>
      </w:r>
    </w:p>
  </w:endnote>
  <w:endnote w:id="32">
    <w:p w:rsidR="00000000" w:rsidRDefault="00000000">
      <w:pPr>
        <w:pStyle w:val="EndnoteText"/>
      </w:pPr>
      <w:r>
        <w:rPr>
          <w:rStyle w:val="EndnoteReference"/>
        </w:rPr>
        <w:endnoteRef/>
      </w:r>
      <w:r>
        <w:t xml:space="preserve">  See A/CONF.157/PC/61/Add.10, p. 12.</w:t>
      </w:r>
    </w:p>
  </w:endnote>
  <w:endnote w:id="33">
    <w:p w:rsidR="00000000" w:rsidRDefault="00000000">
      <w:pPr>
        <w:pStyle w:val="EndnoteText"/>
      </w:pPr>
      <w:r>
        <w:rPr>
          <w:rStyle w:val="EndnoteReference"/>
        </w:rPr>
        <w:endnoteRef/>
      </w:r>
      <w:r>
        <w:t xml:space="preserve">  See also Recommendation No. 99 (1955) concerning vocational rehabilitation of the disabled, and Recommendation No. 168 (1983) concerning vocational rehabilitation and employment of persons with disabilities.</w:t>
      </w:r>
    </w:p>
  </w:endnote>
  <w:endnote w:id="34">
    <w:p w:rsidR="00000000" w:rsidRDefault="00000000">
      <w:pPr>
        <w:pStyle w:val="EndnoteText"/>
      </w:pPr>
      <w:r>
        <w:rPr>
          <w:rStyle w:val="EndnoteReference"/>
        </w:rPr>
        <w:endnoteRef/>
      </w:r>
      <w:r>
        <w:t xml:space="preserve">  Standard Rules (see note 6 above), Rule 8, paragraph 1.</w:t>
      </w:r>
    </w:p>
  </w:endnote>
  <w:endnote w:id="35">
    <w:p w:rsidR="00000000" w:rsidRDefault="00000000">
      <w:pPr>
        <w:pStyle w:val="EndnoteText"/>
      </w:pPr>
      <w:r>
        <w:rPr>
          <w:rStyle w:val="EndnoteReference"/>
        </w:rPr>
        <w:endnoteRef/>
      </w:r>
      <w:r>
        <w:t xml:space="preserve">  See A/47/415, paragraph 78.</w:t>
      </w:r>
    </w:p>
  </w:endnote>
  <w:endnote w:id="36">
    <w:p w:rsidR="00000000" w:rsidRDefault="00000000">
      <w:pPr>
        <w:pStyle w:val="EndnoteText"/>
      </w:pPr>
      <w:r>
        <w:rPr>
          <w:rStyle w:val="EndnoteReference"/>
        </w:rPr>
        <w:endnoteRef/>
      </w:r>
      <w:r>
        <w:t xml:space="preserve">  See E/CN.4/Sub.2/1991/31 (see note 1 above), paragraphs 190 and 193.</w:t>
      </w:r>
    </w:p>
  </w:endnote>
  <w:endnote w:id="37">
    <w:p w:rsidR="00000000" w:rsidRDefault="00000000">
      <w:pPr>
        <w:pStyle w:val="EndnoteText"/>
        <w:spacing w:after="1080"/>
      </w:pPr>
      <w:r>
        <w:rPr>
          <w:rStyle w:val="EndnoteReference"/>
        </w:rPr>
        <w:endnoteRef/>
      </w:r>
      <w:r>
        <w:t xml:space="preserve">  See the World Programme of Action concerning Disabled Persons (see note 3 above), paragraph 74.</w:t>
      </w:r>
    </w:p>
  </w:endnote>
  <w:endnote w:id="38">
    <w:p w:rsidR="00000000" w:rsidRDefault="00000000">
      <w:pPr>
        <w:pStyle w:val="EndnoteText"/>
      </w:pPr>
      <w:r>
        <w:rPr>
          <w:rStyle w:val="EndnoteReference"/>
        </w:rPr>
        <w:endnoteRef/>
      </w:r>
      <w:r>
        <w:t xml:space="preserve">  Standard Rules (see note 6 above), Rule 9, paragraph 2.</w:t>
      </w:r>
    </w:p>
  </w:endnote>
  <w:endnote w:id="39">
    <w:p w:rsidR="00000000" w:rsidRDefault="00000000">
      <w:pPr>
        <w:pStyle w:val="EndnoteText"/>
      </w:pPr>
      <w:r>
        <w:rPr>
          <w:rStyle w:val="EndnoteReference"/>
        </w:rPr>
        <w:endnoteRef/>
      </w:r>
      <w:r>
        <w:t xml:space="preserve">  See E/CN.6/1991/2, paragraphs 14 and 59</w:t>
      </w:r>
      <w:r>
        <w:noBreakHyphen/>
        <w:t>68.</w:t>
      </w:r>
    </w:p>
  </w:endnote>
  <w:endnote w:id="40">
    <w:p w:rsidR="00000000" w:rsidRDefault="00000000">
      <w:pPr>
        <w:pStyle w:val="EndnoteText"/>
      </w:pPr>
      <w:r>
        <w:rPr>
          <w:rStyle w:val="EndnoteReference"/>
        </w:rPr>
        <w:endnoteRef/>
      </w:r>
      <w:r>
        <w:t xml:space="preserve">  Standard Rules (see note 6 above), Rule 4.</w:t>
      </w:r>
    </w:p>
  </w:endnote>
  <w:endnote w:id="41">
    <w:p w:rsidR="00000000" w:rsidRDefault="00000000">
      <w:pPr>
        <w:pStyle w:val="EndnoteText"/>
      </w:pPr>
      <w:r>
        <w:rPr>
          <w:rStyle w:val="EndnoteReference"/>
        </w:rPr>
        <w:endnoteRef/>
      </w:r>
      <w:r>
        <w:t xml:space="preserve">  Ibid., Rule 2, paragraph 3.</w:t>
      </w:r>
    </w:p>
  </w:endnote>
  <w:endnote w:id="42">
    <w:p w:rsidR="00000000" w:rsidRDefault="00000000">
      <w:pPr>
        <w:pStyle w:val="EndnoteText"/>
      </w:pPr>
      <w:r>
        <w:rPr>
          <w:rStyle w:val="EndnoteReference"/>
        </w:rPr>
        <w:endnoteRef/>
      </w:r>
      <w:r>
        <w:t xml:space="preserve">  See the Declaration on the Rights of Disabled Persons (General Assembly resolution 3447 (XXX) of 9 December 1975), paragraph 6; and the World Programme of Action concerning Disabled Persons (see note 3 above), paragraphs 95</w:t>
      </w:r>
      <w:r>
        <w:noBreakHyphen/>
        <w:t>107.</w:t>
      </w:r>
    </w:p>
  </w:endnote>
  <w:endnote w:id="43">
    <w:p w:rsidR="00000000" w:rsidRDefault="00000000">
      <w:pPr>
        <w:pStyle w:val="EndnoteText"/>
      </w:pPr>
      <w:r>
        <w:rPr>
          <w:rStyle w:val="EndnoteReference"/>
        </w:rPr>
        <w:endnoteRef/>
      </w:r>
      <w:r>
        <w:t xml:space="preserve">  Standard Rules (see note 6 above), Rule 3.</w:t>
      </w:r>
    </w:p>
  </w:endnote>
  <w:endnote w:id="44">
    <w:p w:rsidR="00000000" w:rsidRDefault="00000000">
      <w:pPr>
        <w:pStyle w:val="EndnoteText"/>
      </w:pPr>
      <w:r>
        <w:rPr>
          <w:rStyle w:val="EndnoteReference"/>
        </w:rPr>
        <w:endnoteRef/>
      </w:r>
      <w:r>
        <w:t xml:space="preserve">  See A/47/415, paragraph 73.</w:t>
      </w:r>
    </w:p>
  </w:endnote>
  <w:endnote w:id="45">
    <w:p w:rsidR="00000000" w:rsidRDefault="00000000">
      <w:pPr>
        <w:pStyle w:val="EndnoteText"/>
      </w:pPr>
      <w:r>
        <w:rPr>
          <w:rStyle w:val="EndnoteReference"/>
        </w:rPr>
        <w:endnoteRef/>
      </w:r>
      <w:r>
        <w:t xml:space="preserve">  Standard Rules (see note 6 above), Rule 6.</w:t>
      </w:r>
    </w:p>
  </w:endnote>
  <w:endnote w:id="46">
    <w:p w:rsidR="00000000" w:rsidRDefault="00000000">
      <w:pPr>
        <w:pStyle w:val="EndnoteText"/>
      </w:pPr>
      <w:r>
        <w:rPr>
          <w:rStyle w:val="EndnoteReference"/>
        </w:rPr>
        <w:endnoteRef/>
      </w:r>
      <w:r>
        <w:t xml:space="preserve">  Ibid., Rule 10, paragraphs 1</w:t>
      </w:r>
      <w:r>
        <w:noBreakHyphen/>
        <w:t>2.</w:t>
      </w:r>
    </w:p>
  </w:endnote>
  <w:endnote w:id="47">
    <w:p w:rsidR="00000000" w:rsidRDefault="00000000">
      <w:pPr>
        <w:pStyle w:val="EndnoteText"/>
      </w:pPr>
      <w:r>
        <w:rPr>
          <w:rStyle w:val="EndnoteReference"/>
        </w:rPr>
        <w:endnoteRef/>
      </w:r>
      <w:r>
        <w:t xml:space="preserve">  See A/47/415, paragraph 79.</w:t>
      </w:r>
    </w:p>
  </w:endnote>
  <w:endnote w:id="48">
    <w:p w:rsidR="00000000" w:rsidRDefault="00000000">
      <w:pPr>
        <w:pStyle w:val="EndnoteText"/>
      </w:pPr>
      <w:r>
        <w:rPr>
          <w:rStyle w:val="EndnoteReference"/>
        </w:rPr>
        <w:endnoteRef/>
      </w:r>
      <w:r>
        <w:t xml:space="preserve">  Global targets on ageing for the year 2001:  a practical strategy.  Report of the Secretary</w:t>
      </w:r>
      <w:r>
        <w:noBreakHyphen/>
        <w:t>General (A/47/339), paragraph 5.</w:t>
      </w:r>
    </w:p>
  </w:endnote>
  <w:endnote w:id="49">
    <w:p w:rsidR="00000000" w:rsidRDefault="00000000">
      <w:pPr>
        <w:pStyle w:val="EndnoteText"/>
      </w:pPr>
      <w:r>
        <w:rPr>
          <w:rStyle w:val="EndnoteReference"/>
        </w:rPr>
        <w:endnoteRef/>
      </w:r>
      <w:r>
        <w:rPr>
          <w:i/>
        </w:rPr>
        <w:t xml:space="preserve">  Report of the World Assembly on Ageing</w:t>
      </w:r>
      <w:r>
        <w:t>, Vienna, 26 July</w:t>
      </w:r>
      <w:r>
        <w:noBreakHyphen/>
        <w:t>6 August 1982; (United Nations publication, Sales No. E.82.I.16).</w:t>
      </w:r>
    </w:p>
  </w:endnote>
  <w:endnote w:id="50">
    <w:p w:rsidR="00000000" w:rsidRDefault="00000000">
      <w:pPr>
        <w:pStyle w:val="EndnoteText"/>
      </w:pPr>
      <w:r>
        <w:rPr>
          <w:rStyle w:val="EndnoteReference"/>
        </w:rPr>
        <w:endnoteRef/>
      </w:r>
      <w:r>
        <w:t xml:space="preserve">  General Assembly resolution 46/91 of 16 December 1991, “Implementation of the International Plan of Action on Ageing and related activities”, annex.</w:t>
      </w:r>
    </w:p>
  </w:endnote>
  <w:endnote w:id="51">
    <w:p w:rsidR="00000000" w:rsidRDefault="00000000">
      <w:pPr>
        <w:pStyle w:val="EndnoteText"/>
      </w:pPr>
      <w:r>
        <w:rPr>
          <w:rStyle w:val="EndnoteReference"/>
        </w:rPr>
        <w:endnoteRef/>
      </w:r>
      <w:r>
        <w:t xml:space="preserve">  Global targets on ageing for the year 2001:  a practical strategy (A/47/339), chapters III and IV.</w:t>
      </w:r>
    </w:p>
  </w:endnote>
  <w:endnote w:id="52">
    <w:p w:rsidR="00000000" w:rsidRDefault="00000000">
      <w:pPr>
        <w:pStyle w:val="EndnoteText"/>
      </w:pPr>
      <w:r>
        <w:rPr>
          <w:rStyle w:val="EndnoteReference"/>
        </w:rPr>
        <w:endnoteRef/>
      </w:r>
      <w:r>
        <w:t xml:space="preserve">  General Assembly resolution 47/5 of 16 October 1992, “Proclamation on Ageing”.</w:t>
      </w:r>
    </w:p>
  </w:endnote>
  <w:endnote w:id="53">
    <w:p w:rsidR="00000000" w:rsidRDefault="00000000">
      <w:pPr>
        <w:pStyle w:val="EndnoteText"/>
      </w:pPr>
      <w:r>
        <w:rPr>
          <w:rStyle w:val="EndnoteReference"/>
        </w:rPr>
        <w:endnoteRef/>
      </w:r>
      <w:r>
        <w:t xml:space="preserve">  See ILO Recommendation 162 (1980) concerning Older Workers, paragraphs 3</w:t>
      </w:r>
      <w:r>
        <w:noBreakHyphen/>
        <w:t>10.</w:t>
      </w:r>
    </w:p>
  </w:endnote>
  <w:endnote w:id="54">
    <w:p w:rsidR="00000000" w:rsidRDefault="00000000">
      <w:pPr>
        <w:pStyle w:val="EndnoteText"/>
      </w:pPr>
      <w:r>
        <w:rPr>
          <w:rStyle w:val="EndnoteReference"/>
        </w:rPr>
        <w:endnoteRef/>
      </w:r>
      <w:r>
        <w:t xml:space="preserve">  Ibid., paragraphs 11</w:t>
      </w:r>
      <w:r>
        <w:noBreakHyphen/>
        <w:t>19.</w:t>
      </w:r>
    </w:p>
  </w:endnote>
  <w:endnote w:id="55">
    <w:p w:rsidR="00000000" w:rsidRDefault="00000000">
      <w:pPr>
        <w:pStyle w:val="EndnoteText"/>
        <w:spacing w:after="0"/>
      </w:pPr>
      <w:r>
        <w:rPr>
          <w:rStyle w:val="EndnoteReference"/>
        </w:rPr>
        <w:endnoteRef/>
      </w:r>
      <w:r>
        <w:t xml:space="preserve">  Ibid., paragraph 30.</w:t>
      </w:r>
    </w:p>
  </w:endnote>
  <w:endnote w:id="56">
    <w:p w:rsidR="00000000" w:rsidRDefault="00000000">
      <w:pPr>
        <w:pStyle w:val="EndnoteText"/>
        <w:rPr>
          <w:lang w:val="fr-FR"/>
        </w:rPr>
      </w:pPr>
      <w:r>
        <w:rPr>
          <w:rStyle w:val="EndnoteReference"/>
        </w:rPr>
        <w:endnoteRef/>
      </w:r>
      <w:r>
        <w:t xml:space="preserve">  Report of Habitat:  United Nations Conference on Human Settlements, Vancouver, 31 May</w:t>
      </w:r>
      <w:r>
        <w:noBreakHyphen/>
        <w:t xml:space="preserve">11 June 1976 (A/CONF.70/15), chap. </w:t>
      </w:r>
      <w:r>
        <w:rPr>
          <w:lang w:val="fr-FR"/>
        </w:rPr>
        <w:t>II, recommendation B.8, paragraph C (ii).</w:t>
      </w:r>
    </w:p>
  </w:endnote>
  <w:endnote w:id="57">
    <w:p w:rsidR="00000000" w:rsidRDefault="00000000">
      <w:pPr>
        <w:pStyle w:val="EndnoteText"/>
      </w:pPr>
      <w:r>
        <w:rPr>
          <w:rStyle w:val="EndnoteReference"/>
        </w:rPr>
        <w:endnoteRef/>
      </w:r>
      <w:r>
        <w:t xml:space="preserve">  Report of the Commission on Human Settlements on the work of its eleventh session, Addendum (A/43/8/Add.1), paragraph 13.  </w:t>
      </w:r>
    </w:p>
  </w:endnote>
  <w:endnote w:id="58">
    <w:p w:rsidR="00000000" w:rsidRDefault="00000000">
      <w:pPr>
        <w:pStyle w:val="EndnoteText"/>
      </w:pPr>
      <w:r>
        <w:rPr>
          <w:rStyle w:val="EndnoteReference"/>
        </w:rPr>
        <w:endnoteRef/>
      </w:r>
      <w:r>
        <w:t xml:space="preserve">  Report of the United Nations Conference on Environment and Development, Rio de Janeiro, 3</w:t>
      </w:r>
      <w:r>
        <w:noBreakHyphen/>
        <w:t>14 June 1992, volume I (A/CONF.151/26/Rev.1 (vol.  I), annex II, Agenda 21, chapter 7.9 (b)).</w:t>
      </w:r>
    </w:p>
  </w:endnote>
  <w:endnote w:id="59">
    <w:p w:rsidR="00000000" w:rsidRDefault="00000000">
      <w:pPr>
        <w:pStyle w:val="EndnoteText"/>
      </w:pPr>
      <w:r>
        <w:rPr>
          <w:rStyle w:val="EndnoteReference"/>
        </w:rPr>
        <w:endnoteRef/>
      </w:r>
      <w:r>
        <w:t xml:space="preserve">  Report of the United Nations Conference on Settlements (Habitat II) (A/CONF.165/14), annex II, The Habitat Agenda, paragraph 40 (n).</w:t>
      </w:r>
    </w:p>
  </w:endnote>
  <w:endnote w:id="60">
    <w:p w:rsidR="00000000" w:rsidRDefault="00000000">
      <w:pPr>
        <w:pStyle w:val="EndnoteText"/>
        <w:rPr>
          <w:lang w:val="en-US"/>
        </w:rPr>
      </w:pPr>
      <w:r>
        <w:rPr>
          <w:rStyle w:val="EndnoteReference"/>
        </w:rPr>
        <w:endnoteRef/>
      </w:r>
      <w:r>
        <w:t xml:space="preserve">  Commission on Human Rights resolution 1993/77, paragraph </w:t>
      </w:r>
      <w:r>
        <w:rPr>
          <w:lang w:val="en-US"/>
        </w:rPr>
        <w:t>1.</w:t>
      </w:r>
    </w:p>
  </w:endnote>
  <w:endnote w:id="61">
    <w:p w:rsidR="00000000" w:rsidRDefault="00000000">
      <w:pPr>
        <w:pStyle w:val="EndnoteText"/>
        <w:rPr>
          <w:lang w:val="it-IT"/>
        </w:rPr>
      </w:pPr>
      <w:r>
        <w:rPr>
          <w:rStyle w:val="EndnoteReference"/>
        </w:rPr>
        <w:endnoteRef/>
      </w:r>
      <w:r>
        <w:rPr>
          <w:lang w:val="it-IT"/>
        </w:rPr>
        <w:t xml:space="preserve">  E/1990/23, annex III, paragraphs 6 and 8 (d).</w:t>
      </w:r>
    </w:p>
  </w:endnote>
  <w:endnote w:id="62">
    <w:p w:rsidR="00000000" w:rsidRDefault="00000000">
      <w:pPr>
        <w:pStyle w:val="EndnoteText"/>
        <w:rPr>
          <w:lang w:val="it-IT"/>
        </w:rPr>
      </w:pPr>
      <w:r>
        <w:rPr>
          <w:rStyle w:val="EndnoteReference"/>
        </w:rPr>
        <w:endnoteRef/>
      </w:r>
      <w:r>
        <w:rPr>
          <w:lang w:val="it-IT"/>
        </w:rPr>
        <w:t xml:space="preserve">  E/C.12/1999/8, annex IV.</w:t>
      </w:r>
    </w:p>
  </w:endnote>
  <w:endnote w:id="63">
    <w:p w:rsidR="00000000" w:rsidRDefault="00000000">
      <w:pPr>
        <w:pStyle w:val="EndnoteText"/>
      </w:pPr>
      <w:r>
        <w:rPr>
          <w:rStyle w:val="EndnoteReference"/>
        </w:rPr>
        <w:endnoteRef/>
      </w:r>
      <w:r>
        <w:t xml:space="preserve">  Ibid.</w:t>
      </w:r>
    </w:p>
  </w:endnote>
  <w:endnote w:id="64">
    <w:p w:rsidR="00000000" w:rsidRDefault="00000000">
      <w:pPr>
        <w:pStyle w:val="EndnoteText"/>
      </w:pPr>
      <w:r>
        <w:rPr>
          <w:rStyle w:val="EndnoteReference"/>
        </w:rPr>
        <w:endnoteRef/>
      </w:r>
      <w:r>
        <w:t xml:space="preserve">  Supplement to an Agenda for Peace, (A/50/60</w:t>
      </w:r>
      <w:r>
        <w:noBreakHyphen/>
        <w:t>S/1995/1), paragraphs 66 to 76.</w:t>
      </w:r>
    </w:p>
  </w:endnote>
  <w:endnote w:id="65">
    <w:p w:rsidR="00000000" w:rsidRDefault="00000000">
      <w:pPr>
        <w:pStyle w:val="EndnoteText"/>
      </w:pPr>
      <w:r>
        <w:rPr>
          <w:rStyle w:val="EndnoteReference"/>
        </w:rPr>
        <w:endnoteRef/>
      </w:r>
      <w:r>
        <w:t xml:space="preserve">  Impact of Armed Conflict on children:  Note by the Secretary</w:t>
      </w:r>
      <w:r>
        <w:noBreakHyphen/>
        <w:t>General, (A/51/306, annex) (1996), paragraph 128.</w:t>
      </w:r>
    </w:p>
  </w:endnote>
  <w:endnote w:id="66">
    <w:p w:rsidR="00000000" w:rsidRDefault="00000000">
      <w:pPr>
        <w:pStyle w:val="EndnoteText"/>
      </w:pPr>
      <w:r>
        <w:rPr>
          <w:rStyle w:val="EndnoteReference"/>
        </w:rPr>
        <w:endnoteRef/>
      </w:r>
      <w:r>
        <w:t xml:space="preserve">  L.  Minear, et al., Toward More Humane and Effective Sanctions Management:  Enhancing the Capacity of the United Nations System, Executive Summary.  Study prepared at the request of the United Nations Department of Humanitarian Affairs on behalf of the Inter</w:t>
      </w:r>
      <w:r>
        <w:noBreakHyphen/>
        <w:t>agency Standing Committee, 6 October 1997.</w:t>
      </w:r>
    </w:p>
  </w:endnote>
  <w:endnote w:id="67">
    <w:p w:rsidR="00000000" w:rsidRDefault="00000000">
      <w:pPr>
        <w:pStyle w:val="EndnoteText"/>
      </w:pPr>
      <w:r>
        <w:rPr>
          <w:rStyle w:val="EndnoteReference"/>
        </w:rPr>
        <w:endnoteRef/>
      </w:r>
      <w:r>
        <w:t xml:space="preserve">  Ibid.</w:t>
      </w:r>
    </w:p>
  </w:endnote>
  <w:endnote w:id="68">
    <w:p w:rsidR="00000000" w:rsidRDefault="00000000">
      <w:pPr>
        <w:pStyle w:val="EndnoteText"/>
        <w:rPr>
          <w:lang w:val="fr-FR"/>
        </w:rPr>
      </w:pPr>
      <w:r>
        <w:rPr>
          <w:rStyle w:val="EndnoteReference"/>
        </w:rPr>
        <w:endnoteRef/>
      </w:r>
      <w:r>
        <w:rPr>
          <w:lang w:val="fr-FR"/>
        </w:rPr>
        <w:t xml:space="preserve">  E/1991/23, annex III.  </w:t>
      </w:r>
    </w:p>
  </w:endnote>
  <w:endnote w:id="69">
    <w:p w:rsidR="00000000" w:rsidRDefault="00000000">
      <w:pPr>
        <w:pStyle w:val="EndnoteText"/>
      </w:pPr>
      <w:r>
        <w:rPr>
          <w:rStyle w:val="EndnoteReference"/>
        </w:rPr>
        <w:endnoteRef/>
      </w:r>
      <w:r>
        <w:t xml:space="preserve">  United Nations, Treaty Series, vol.  1155, p.  331.  </w:t>
      </w:r>
    </w:p>
  </w:endnote>
  <w:endnote w:id="70">
    <w:p w:rsidR="00000000" w:rsidRDefault="00000000">
      <w:pPr>
        <w:pStyle w:val="EndnoteText"/>
      </w:pPr>
      <w:r>
        <w:rPr>
          <w:rStyle w:val="EndnoteReference"/>
        </w:rPr>
        <w:endnoteRef/>
      </w:r>
      <w:r>
        <w:t xml:space="preserve">  Pursuant to article 2, paragraph 2, of the Covenant, States “undertake to guarantee” that the rights therein are exercised “without discrimination of any kind”.  </w:t>
      </w:r>
    </w:p>
  </w:endnote>
  <w:endnote w:id="71">
    <w:p w:rsidR="00000000" w:rsidRDefault="00000000">
      <w:pPr>
        <w:pStyle w:val="EndnoteText"/>
      </w:pPr>
      <w:r>
        <w:rPr>
          <w:rStyle w:val="EndnoteReference"/>
        </w:rPr>
        <w:endnoteRef/>
      </w:r>
      <w:r>
        <w:t xml:space="preserve">  See E/1991/23, annex IV, chapter A, paragraph 1 (d) (iv).  </w:t>
      </w:r>
    </w:p>
  </w:endnote>
  <w:endnote w:id="72">
    <w:p w:rsidR="00000000" w:rsidRDefault="00000000">
      <w:pPr>
        <w:pStyle w:val="EndnoteText"/>
      </w:pPr>
      <w:r>
        <w:rPr>
          <w:rStyle w:val="Footer"/>
          <w:b/>
          <w:vertAlign w:val="superscript"/>
        </w:rPr>
        <w:endnoteRef/>
      </w:r>
      <w:r>
        <w:t xml:space="preserve">  The World Declaration on Education for All was adopted by 155 governmental delegations; the Vienna Declaration and Programme of Action was adopted by 171 governmental delegations; the Convention on the Rights of the Child has been ratified or acceded to by 191 States parties; the Plan of Action of the United Nations Decade for Human Rights Education was adopted by a consensus resolution of the General Assembly (49/184).</w:t>
      </w:r>
    </w:p>
  </w:endnote>
  <w:endnote w:id="73">
    <w:p w:rsidR="00000000" w:rsidRDefault="00000000">
      <w:r>
        <w:rPr>
          <w:rStyle w:val="EndnoteReference"/>
        </w:rPr>
        <w:endnoteRef/>
      </w:r>
      <w:r>
        <w:t xml:space="preserve">  This approach corresponds with the Committee’s analytical framework adopted in relation to the rights to adequate housing and food, as well as the work of the United Nations Special Rapporteur on the right to education</w:t>
      </w:r>
      <w:r>
        <w:rPr>
          <w:lang w:val="en-US"/>
        </w:rPr>
        <w:t xml:space="preserve">.  </w:t>
      </w:r>
      <w:r>
        <w:t>In its general comment No. 4, the Committee identified a number of factors which bear upon the right to adequate housing, including “availability”, “affordability”, “accessibility” and “cultural adequacy”</w:t>
      </w:r>
      <w:r>
        <w:rPr>
          <w:lang w:val="en-US"/>
        </w:rPr>
        <w:t xml:space="preserve">.  </w:t>
      </w:r>
      <w:r>
        <w:t>In its general comment No. 12, the Committee identified elements of the right to adequate food, such as “availability”, “acceptability” and “accessibility”</w:t>
      </w:r>
      <w:r>
        <w:rPr>
          <w:lang w:val="en-US"/>
        </w:rPr>
        <w:t xml:space="preserve">.  </w:t>
      </w:r>
      <w:r>
        <w:t>In her preliminary report to the Commission on Human Rights, the Special Rapporteur on the right to education sets out “four essential features that primary schools should exhibit, namely availability, accessibility, acceptability and adaptability”, (E/CN.4/1999/49, para. 50).</w:t>
      </w:r>
    </w:p>
  </w:endnote>
  <w:endnote w:id="74">
    <w:p w:rsidR="00000000" w:rsidRDefault="00000000">
      <w:pPr>
        <w:pStyle w:val="EndnoteText"/>
      </w:pPr>
      <w:r>
        <w:rPr>
          <w:rStyle w:val="EndnoteReference"/>
        </w:rPr>
        <w:endnoteRef/>
      </w:r>
      <w:r>
        <w:t xml:space="preserve">  See paragraph 6.</w:t>
      </w:r>
    </w:p>
  </w:endnote>
  <w:endnote w:id="75">
    <w:p w:rsidR="00000000" w:rsidRDefault="00000000">
      <w:pPr>
        <w:pStyle w:val="EndnoteText"/>
      </w:pPr>
      <w:r>
        <w:rPr>
          <w:rStyle w:val="EndnoteReference"/>
        </w:rPr>
        <w:endnoteRef/>
      </w:r>
      <w:r>
        <w:t xml:space="preserve">  The Declaration defines “basic learning needs” as:  “essential learning tools (such as literacy, oral expression, numeracy, and problem solving) and the basic learning content (such as knowledge, skills, values, and attitudes) required by human beings to be able to survive, to develop their full capacities, to live and work in dignity, to participate fully in development, to improve the quality of their lives, to make informed decisions, and to continue learning” (article 1).</w:t>
      </w:r>
    </w:p>
  </w:endnote>
  <w:endnote w:id="76">
    <w:p w:rsidR="00000000" w:rsidRDefault="00000000">
      <w:pPr>
        <w:pStyle w:val="EndnoteText"/>
      </w:pPr>
      <w:r>
        <w:rPr>
          <w:rStyle w:val="EndnoteReference"/>
        </w:rPr>
        <w:endnoteRef/>
      </w:r>
      <w:r>
        <w:t xml:space="preserve">  Advocacy Kit, Basic Education 1999 (UNICEF), sect. 1, p. 1.</w:t>
      </w:r>
    </w:p>
  </w:endnote>
  <w:endnote w:id="77">
    <w:p w:rsidR="00000000" w:rsidRDefault="00000000">
      <w:pPr>
        <w:pStyle w:val="EndnoteText"/>
      </w:pPr>
      <w:r>
        <w:rPr>
          <w:rStyle w:val="EndnoteReference"/>
        </w:rPr>
        <w:endnoteRef/>
      </w:r>
      <w:r>
        <w:t xml:space="preserve">  See paragraph 6.</w:t>
      </w:r>
    </w:p>
  </w:endnote>
  <w:endnote w:id="78">
    <w:p w:rsidR="00000000" w:rsidRDefault="00000000">
      <w:pPr>
        <w:pStyle w:val="EndnoteText"/>
      </w:pPr>
      <w:r>
        <w:rPr>
          <w:rStyle w:val="EndnoteReference"/>
        </w:rPr>
        <w:endnoteRef/>
      </w:r>
      <w:r>
        <w:t xml:space="preserve">  See International Standard Classification of Education 1997, UNESCO, paragraph 52.</w:t>
      </w:r>
    </w:p>
  </w:endnote>
  <w:endnote w:id="79">
    <w:p w:rsidR="00000000" w:rsidRDefault="00000000">
      <w:pPr>
        <w:pStyle w:val="EndnoteText"/>
      </w:pPr>
      <w:r>
        <w:rPr>
          <w:rStyle w:val="EndnoteReference"/>
        </w:rPr>
        <w:endnoteRef/>
      </w:r>
      <w:r>
        <w:t xml:space="preserve">  A view also reflected in the Human Resources Development Convention 1975 (Convention No. 142) and the Social Policy (Basic Aims and Standards) Convention 1962 (Convention No. 117) of the International Labour Organization.</w:t>
      </w:r>
    </w:p>
  </w:endnote>
  <w:endnote w:id="80">
    <w:p w:rsidR="00000000" w:rsidRDefault="00000000">
      <w:pPr>
        <w:pStyle w:val="EndnoteText"/>
      </w:pPr>
      <w:r>
        <w:rPr>
          <w:rStyle w:val="EndnoteReference"/>
        </w:rPr>
        <w:endnoteRef/>
      </w:r>
      <w:r>
        <w:t xml:space="preserve">  See note 8.</w:t>
      </w:r>
    </w:p>
  </w:endnote>
  <w:endnote w:id="81">
    <w:p w:rsidR="00000000" w:rsidRDefault="00000000">
      <w:pPr>
        <w:pStyle w:val="EndnoteText"/>
      </w:pPr>
      <w:r>
        <w:rPr>
          <w:rStyle w:val="EndnoteReference"/>
        </w:rPr>
        <w:endnoteRef/>
      </w:r>
      <w:r>
        <w:t xml:space="preserve">  See paragraph 6.</w:t>
      </w:r>
    </w:p>
  </w:endnote>
  <w:endnote w:id="82">
    <w:p w:rsidR="00000000" w:rsidRDefault="00000000">
      <w:pPr>
        <w:pStyle w:val="EndnoteText"/>
      </w:pPr>
      <w:r>
        <w:rPr>
          <w:rStyle w:val="EndnoteReference"/>
        </w:rPr>
        <w:endnoteRef/>
      </w:r>
      <w:r>
        <w:t xml:space="preserve">  See paragraph 15.</w:t>
      </w:r>
    </w:p>
  </w:endnote>
  <w:endnote w:id="83">
    <w:p w:rsidR="00000000" w:rsidRDefault="00000000">
      <w:pPr>
        <w:pStyle w:val="EndnoteText"/>
      </w:pPr>
      <w:r>
        <w:rPr>
          <w:rStyle w:val="EndnoteReference"/>
        </w:rPr>
        <w:endnoteRef/>
      </w:r>
      <w:r>
        <w:t xml:space="preserve">  See paragraph 6.</w:t>
      </w:r>
    </w:p>
  </w:endnote>
  <w:endnote w:id="84">
    <w:p w:rsidR="00000000" w:rsidRDefault="00000000">
      <w:r>
        <w:rPr>
          <w:rStyle w:val="EndnoteReference"/>
        </w:rPr>
        <w:endnoteRef/>
      </w:r>
      <w:r>
        <w:t xml:space="preserve">  See paragraph 9.</w:t>
      </w:r>
    </w:p>
  </w:endnote>
  <w:endnote w:id="85">
    <w:p w:rsidR="00000000" w:rsidRDefault="00000000">
      <w:r>
        <w:rPr>
          <w:rStyle w:val="EndnoteReference"/>
        </w:rPr>
        <w:endnoteRef/>
      </w:r>
      <w:r>
        <w:t xml:space="preserve">  This replicates article 18 (4) of the International Covenant on Civil and Political Rights (ICCPR) and also relates to the freedom to teach a religion or belief as stated in article 18 (1) ICCPR</w:t>
      </w:r>
      <w:r>
        <w:rPr>
          <w:lang w:val="en-US"/>
        </w:rPr>
        <w:t xml:space="preserve">.  </w:t>
      </w:r>
      <w:r>
        <w:t>(See Human Rights Committee general comment No. 22 on article 18 ICCPR, forty</w:t>
      </w:r>
      <w:r>
        <w:noBreakHyphen/>
        <w:t>eighth session, 1993.) The Human Rights Committee notes that the fundamental character of article 18 ICCPR is reflected in the fact that this provision cannot be derogated from, even in time of public emergency, as stated in article 4 (2) of that Covenant.</w:t>
      </w:r>
    </w:p>
  </w:endnote>
  <w:endnote w:id="86">
    <w:p w:rsidR="00000000" w:rsidRDefault="00000000">
      <w:pPr>
        <w:pStyle w:val="EndnoteText"/>
      </w:pPr>
      <w:r>
        <w:rPr>
          <w:rStyle w:val="EndnoteReference"/>
        </w:rPr>
        <w:endnoteRef/>
      </w:r>
      <w:r>
        <w:t xml:space="preserve">  According to article 2:</w:t>
      </w:r>
    </w:p>
    <w:p w:rsidR="00000000" w:rsidRDefault="00000000">
      <w:pPr>
        <w:pStyle w:val="EndnoteText"/>
        <w:ind w:left="720"/>
      </w:pPr>
      <w:r>
        <w:tab/>
        <w:t>“When permitted in a State, the following situations shall not be deemed to constitute discrimination, within the meaning of article 1 of this Convention:</w:t>
      </w:r>
    </w:p>
    <w:p w:rsidR="00000000" w:rsidRDefault="00000000">
      <w:pPr>
        <w:spacing w:after="120"/>
        <w:ind w:left="720"/>
      </w:pPr>
      <w:r>
        <w:tab/>
        <w:t>(a)</w:t>
      </w:r>
      <w:r>
        <w:tab/>
        <w:t>The establishment or maintenance of separate educational systems or institutions for pupils of the two sexes, if these systems or institutions offer equivalent access to education, provide a teaching staff with qualifications of the same standard as well as school premises and equipment of the same quality, and afford the opportunity to take the same or equivalent courses of study;</w:t>
      </w:r>
    </w:p>
    <w:p w:rsidR="00000000" w:rsidRDefault="00000000">
      <w:pPr>
        <w:ind w:left="720"/>
      </w:pPr>
      <w:r>
        <w:tab/>
        <w:t>(b)</w:t>
      </w:r>
      <w:r>
        <w:tab/>
        <w:t xml:space="preserve">The establishment or maintenance, for religious or linguistic reasons, of separate educational systems or institutions offering an education which is in keeping with the wishes of the pupil’s parents or legal guardians, if participation in such systems or attendance at such institutions is optional and if the education provided conforms to such standards as may be laid down or approved by the competent authorities, in particular for education of the same level; </w:t>
      </w:r>
    </w:p>
    <w:p w:rsidR="00000000" w:rsidRDefault="00000000">
      <w:pPr>
        <w:ind w:left="720"/>
      </w:pPr>
      <w:r>
        <w:tab/>
        <w:t>(c)</w:t>
      </w:r>
      <w:r>
        <w:tab/>
        <w:t>The establishment or maintenance of private educational institutions, if the object of the institutions is not to secure the exclusion of any group but to provide educational facilities in addition to those provided by the public authorities, if the institutions are conducted in accordance with that object, and if the education provided conforms with such standards as may be laid down or approved by the competent authorities, in particular for education of the same level.”</w:t>
      </w:r>
    </w:p>
  </w:endnote>
  <w:endnote w:id="87">
    <w:p w:rsidR="00000000" w:rsidRDefault="00000000">
      <w:pPr>
        <w:pStyle w:val="EndnoteText"/>
      </w:pPr>
      <w:r>
        <w:rPr>
          <w:rStyle w:val="EndnoteReference"/>
        </w:rPr>
        <w:endnoteRef/>
      </w:r>
      <w:r>
        <w:t xml:space="preserve">  See UNESCO Recommendation Concerning the Status of Higher</w:t>
      </w:r>
      <w:r>
        <w:noBreakHyphen/>
        <w:t>Education Teaching Personnel (1997).</w:t>
      </w:r>
    </w:p>
  </w:endnote>
  <w:endnote w:id="88">
    <w:p w:rsidR="00000000" w:rsidRDefault="00000000">
      <w:pPr>
        <w:pStyle w:val="EndnoteText"/>
      </w:pPr>
      <w:r>
        <w:rPr>
          <w:rStyle w:val="EndnoteReference"/>
        </w:rPr>
        <w:endnoteRef/>
      </w:r>
      <w:r>
        <w:t xml:space="preserve">  In formulating this paragraph, the Committee has taken note of the practice evolving elsewhere in the international human rights system, such as the interpretation given by the Committee on the Rights of the Child to article 28 (2) of the Convention on the Rights of the Child, as well as the Human Rights Committee’s interpretation of article 7 of ICCPR.</w:t>
      </w:r>
    </w:p>
  </w:endnote>
  <w:endnote w:id="89">
    <w:p w:rsidR="00000000" w:rsidRDefault="00000000">
      <w:pPr>
        <w:pStyle w:val="EndnoteText"/>
      </w:pPr>
      <w:r>
        <w:rPr>
          <w:rStyle w:val="EndnoteReference"/>
        </w:rPr>
        <w:endnoteRef/>
      </w:r>
      <w:r>
        <w:t xml:space="preserve">  The Committee notes that, although it is absent from article 26 (2) of the Declaration, the drafters of ICESCR expressly included the dignity of the human personality as one of the mandatory objectives to which all education is to be directed (art. 13 (1)).</w:t>
      </w:r>
    </w:p>
  </w:endnote>
  <w:endnote w:id="90">
    <w:p w:rsidR="00000000" w:rsidRDefault="00000000">
      <w:pPr>
        <w:pStyle w:val="EndnoteText"/>
      </w:pPr>
      <w:r>
        <w:rPr>
          <w:rStyle w:val="EndnoteReference"/>
        </w:rPr>
        <w:endnoteRef/>
      </w:r>
      <w:r>
        <w:t xml:space="preserve">  See the Committee’s general comment No. 3, paragraph 1.</w:t>
      </w:r>
    </w:p>
  </w:endnote>
  <w:endnote w:id="91">
    <w:p w:rsidR="00000000" w:rsidRDefault="00000000">
      <w:pPr>
        <w:pStyle w:val="EndnoteText"/>
      </w:pPr>
      <w:r>
        <w:rPr>
          <w:rStyle w:val="EndnoteReference"/>
        </w:rPr>
        <w:endnoteRef/>
      </w:r>
      <w:r>
        <w:t xml:space="preserve">  See the Committee’s general comment No. 3, paragraph 2.</w:t>
      </w:r>
    </w:p>
  </w:endnote>
  <w:endnote w:id="92">
    <w:p w:rsidR="00000000" w:rsidRDefault="00000000">
      <w:pPr>
        <w:pStyle w:val="EndnoteText"/>
      </w:pPr>
      <w:r>
        <w:rPr>
          <w:rStyle w:val="EndnoteReference"/>
        </w:rPr>
        <w:endnoteRef/>
      </w:r>
      <w:r>
        <w:t xml:space="preserve">  See the Committee’s general comment No. 3, paragraph 9.</w:t>
      </w:r>
    </w:p>
  </w:endnote>
  <w:endnote w:id="93">
    <w:p w:rsidR="00000000" w:rsidRDefault="00000000">
      <w:pPr>
        <w:pStyle w:val="EndnoteText"/>
      </w:pPr>
      <w:r>
        <w:rPr>
          <w:rStyle w:val="EndnoteReference"/>
        </w:rPr>
        <w:endnoteRef/>
      </w:r>
      <w:r>
        <w:t xml:space="preserve">  See the Committee’s general comment No. 3, paragraph 9.</w:t>
      </w:r>
    </w:p>
  </w:endnote>
  <w:endnote w:id="94">
    <w:p w:rsidR="00000000" w:rsidRDefault="00000000">
      <w:pPr>
        <w:pStyle w:val="EndnoteText"/>
      </w:pPr>
      <w:r>
        <w:rPr>
          <w:rStyle w:val="EndnoteReference"/>
        </w:rPr>
        <w:endnoteRef/>
      </w:r>
      <w:r>
        <w:t xml:space="preserve">  There are numerous resources to assist States parties in this regard, such as UNESCO’s Guidelines for Curriculum and Textbook Development in International Education (ED/ECS/HCI)</w:t>
      </w:r>
      <w:r>
        <w:rPr>
          <w:lang w:val="en-US"/>
        </w:rPr>
        <w:t xml:space="preserve">.  </w:t>
      </w:r>
      <w:r>
        <w:t xml:space="preserve">One of the objectives of article 13 (1) is to “strengthen the respect of human rights and fundamental freedoms”; in this particular context, States parties should examine the initiatives developed within the framework of the United Nations Decade for Human Rights Education </w:t>
      </w:r>
      <w:r>
        <w:noBreakHyphen/>
        <w:t xml:space="preserve"> especially instructive is the Plan of Action for the Decade, adopted by the General Assembly in 1996, and the Guidelines for National Plans of Action for Human Rights Education, developed by the Office of the High Commissioner for Human Rights to assist States in responding to the United Nations Decade for Human Rights Education.</w:t>
      </w:r>
    </w:p>
  </w:endnote>
  <w:endnote w:id="95">
    <w:p w:rsidR="00000000" w:rsidRDefault="00000000">
      <w:pPr>
        <w:pStyle w:val="EndnoteText"/>
      </w:pPr>
      <w:r>
        <w:rPr>
          <w:rStyle w:val="EndnoteReference"/>
        </w:rPr>
        <w:endnoteRef/>
      </w:r>
      <w:r>
        <w:t xml:space="preserve">  On the meaning of “compulsory” and “free”, see paragraphs 6 and 7 of general comment No. 11 on article 14.</w:t>
      </w:r>
    </w:p>
  </w:endnote>
  <w:endnote w:id="96">
    <w:p w:rsidR="00000000" w:rsidRDefault="00000000">
      <w:pPr>
        <w:pStyle w:val="EndnoteText"/>
      </w:pPr>
      <w:r>
        <w:rPr>
          <w:rStyle w:val="EndnoteReference"/>
        </w:rPr>
        <w:endnoteRef/>
      </w:r>
      <w:r>
        <w:t xml:space="preserve">  In appropriate cases, such a fellowship system would be an especially appropriate target for the international assistance and cooperation anticipated by article 2 (1).</w:t>
      </w:r>
    </w:p>
  </w:endnote>
  <w:endnote w:id="97">
    <w:p w:rsidR="00000000" w:rsidRDefault="00000000">
      <w:pPr>
        <w:pStyle w:val="EndnoteText"/>
      </w:pPr>
      <w:r>
        <w:rPr>
          <w:rStyle w:val="EndnoteReference"/>
        </w:rPr>
        <w:endnoteRef/>
      </w:r>
      <w:r>
        <w:t xml:space="preserve">  In the context of basic education, UNICEF has observed:  “Only the State … can pull together all the components into a coherent but flexible education system”</w:t>
      </w:r>
      <w:r>
        <w:rPr>
          <w:lang w:val="en-US"/>
        </w:rPr>
        <w:t xml:space="preserve">.  </w:t>
      </w:r>
      <w:r>
        <w:t xml:space="preserve">UNICEF, </w:t>
      </w:r>
      <w:r>
        <w:rPr>
          <w:i/>
        </w:rPr>
        <w:t>The State of the World’s Children, 1999</w:t>
      </w:r>
      <w:r>
        <w:t>, “The education revolution”, page 77.</w:t>
      </w:r>
    </w:p>
  </w:endnote>
  <w:endnote w:id="98">
    <w:p w:rsidR="00000000" w:rsidRDefault="00000000">
      <w:pPr>
        <w:pStyle w:val="EndnoteText"/>
      </w:pPr>
      <w:r>
        <w:rPr>
          <w:rStyle w:val="EndnoteReference"/>
        </w:rPr>
        <w:endnoteRef/>
      </w:r>
      <w:r>
        <w:t xml:space="preserve">  According to article 7 (2), “(e)ach Member shall, taking into account the importance of education in eliminating child labour, take effective and time</w:t>
      </w:r>
      <w:r>
        <w:noBreakHyphen/>
        <w:t>bound measures to: (c) ensure access to free basic education, and, wherever possible and appropriate, vocational training, for all children removed from the worst forms of child labour” (ILO Convention 182, Worst Forms of Child Labour, 1999).</w:t>
      </w:r>
    </w:p>
  </w:endnote>
  <w:endnote w:id="99">
    <w:p w:rsidR="00000000" w:rsidRDefault="00000000">
      <w:pPr>
        <w:pStyle w:val="EndnoteText"/>
      </w:pPr>
      <w:r>
        <w:rPr>
          <w:rStyle w:val="EndnoteReference"/>
        </w:rPr>
        <w:endnoteRef/>
      </w:r>
      <w:r>
        <w:t xml:space="preserve">  See the Committee’s general comment No. 3, paragraphs 13</w:t>
      </w:r>
      <w:r>
        <w:noBreakHyphen/>
        <w:t>14.</w:t>
      </w:r>
    </w:p>
  </w:endnote>
  <w:endnote w:id="100">
    <w:p w:rsidR="00000000" w:rsidRDefault="00000000">
      <w:pPr>
        <w:pStyle w:val="EndnoteText"/>
      </w:pPr>
      <w:r>
        <w:rPr>
          <w:rStyle w:val="EndnoteReference"/>
        </w:rPr>
        <w:endnoteRef/>
      </w:r>
      <w:r>
        <w:t xml:space="preserve">  See the Committee’s general comment No. 2, paragraph 9.</w:t>
      </w:r>
    </w:p>
  </w:endnote>
  <w:endnote w:id="101">
    <w:p w:rsidR="00000000" w:rsidRDefault="00000000">
      <w:pPr>
        <w:ind w:left="24" w:right="24"/>
      </w:pPr>
      <w:r>
        <w:rPr>
          <w:rStyle w:val="FootnoteReference"/>
        </w:rPr>
        <w:endnoteRef/>
      </w:r>
      <w:r>
        <w:t xml:space="preserve">  For example, the principle of non</w:t>
      </w:r>
      <w:r>
        <w:noBreakHyphen/>
        <w:t>discrimination in relation to health facilities, goods and services is legally enforceable in numerous national jurisdictions.</w:t>
      </w:r>
    </w:p>
  </w:endnote>
  <w:endnote w:id="102">
    <w:p w:rsidR="00000000" w:rsidRDefault="00000000">
      <w:pPr>
        <w:pStyle w:val="EndnoteText"/>
      </w:pPr>
      <w:r>
        <w:rPr>
          <w:rStyle w:val="EndnoteReference"/>
        </w:rPr>
        <w:endnoteRef/>
      </w:r>
      <w:r>
        <w:t xml:space="preserve">  In its resolution 1989/11.</w:t>
      </w:r>
    </w:p>
  </w:endnote>
  <w:endnote w:id="103">
    <w:p w:rsidR="00000000" w:rsidRDefault="00000000">
      <w:pPr>
        <w:ind w:left="24" w:right="24"/>
      </w:pPr>
      <w:r>
        <w:rPr>
          <w:rStyle w:val="FootnoteReference"/>
        </w:rPr>
        <w:endnoteRef/>
      </w:r>
      <w:r>
        <w:t xml:space="preserve">  The Principles for the Protection of Persons with Mental Illness and for the Improvement of Mental Health Care adopted by the United Nations General Assembly in 1991 (resolution 46/119) and the Committee’s general comment No. 5 on persons with disabilities apply to persons with mental illness; the Programme of Action of the International Conference on Population and Development held at Cairo in 1994, as well as the Declaration and Programme for Action of the Fourth World Conference on Women held in Beijing in 1995 contain definitions of reproductive health and women’s health, respectively.</w:t>
      </w:r>
    </w:p>
  </w:endnote>
  <w:endnote w:id="104">
    <w:p w:rsidR="00000000" w:rsidRDefault="00000000">
      <w:pPr>
        <w:ind w:left="24" w:right="24"/>
      </w:pPr>
      <w:r>
        <w:rPr>
          <w:rStyle w:val="FootnoteReference"/>
        </w:rPr>
        <w:endnoteRef/>
      </w:r>
      <w:r>
        <w:t xml:space="preserve">  Common article 3 of the Geneva Conventions for the protection of war victims (1949); Additional Protocol I (1977) relating to the Protection of Victims of International Armed Conflicts, article 75 (2) (a); Additional Protocol II (1977) relating to the Protection of Victims of Non</w:t>
      </w:r>
      <w:r>
        <w:noBreakHyphen/>
        <w:t>International Armed Conflicts, article 4 (a).</w:t>
      </w:r>
    </w:p>
  </w:endnote>
  <w:endnote w:id="105">
    <w:p w:rsidR="00000000" w:rsidRDefault="00000000">
      <w:pPr>
        <w:ind w:left="24" w:right="24"/>
      </w:pPr>
      <w:r>
        <w:rPr>
          <w:rStyle w:val="FootnoteReference"/>
        </w:rPr>
        <w:endnoteRef/>
      </w:r>
      <w:r>
        <w:t xml:space="preserve">  See WHO Model List of Essential Drugs, revised December 1999, WHO Drug Information, vol. 13, No. 4, 1999.</w:t>
      </w:r>
    </w:p>
  </w:endnote>
  <w:endnote w:id="106">
    <w:p w:rsidR="00000000" w:rsidRDefault="00000000">
      <w:pPr>
        <w:ind w:left="24" w:right="24"/>
      </w:pPr>
      <w:r>
        <w:rPr>
          <w:rStyle w:val="FootnoteReference"/>
        </w:rPr>
        <w:endnoteRef/>
      </w:r>
      <w:r>
        <w:t xml:space="preserve">  Unless expressly provided otherwise, any reference in this </w:t>
      </w:r>
      <w:r>
        <w:rPr>
          <w:lang w:val="en-US"/>
        </w:rPr>
        <w:t>general comment</w:t>
      </w:r>
      <w:r>
        <w:t xml:space="preserve"> to health facilities, goods and services includes the underlying determinants of health outlined in paragraphs 11 and 12 (a) of this </w:t>
      </w:r>
      <w:r>
        <w:rPr>
          <w:lang w:val="en-US"/>
        </w:rPr>
        <w:t>general comment</w:t>
      </w:r>
      <w:r>
        <w:t>.</w:t>
      </w:r>
    </w:p>
  </w:endnote>
  <w:endnote w:id="107">
    <w:p w:rsidR="00000000" w:rsidRDefault="00000000">
      <w:pPr>
        <w:ind w:left="24" w:right="24"/>
      </w:pPr>
      <w:r>
        <w:rPr>
          <w:rStyle w:val="FootnoteReference"/>
        </w:rPr>
        <w:endnoteRef/>
      </w:r>
      <w:r>
        <w:t xml:space="preserve">  See paragraphs 18 and 19 of this </w:t>
      </w:r>
      <w:r>
        <w:rPr>
          <w:lang w:val="en-US"/>
        </w:rPr>
        <w:t>general comment</w:t>
      </w:r>
      <w:r>
        <w:t>.</w:t>
      </w:r>
    </w:p>
  </w:endnote>
  <w:endnote w:id="108">
    <w:p w:rsidR="00000000" w:rsidRDefault="00000000">
      <w:pPr>
        <w:spacing w:after="1080"/>
        <w:ind w:left="23" w:right="23"/>
      </w:pPr>
      <w:r>
        <w:rPr>
          <w:rStyle w:val="FootnoteReference"/>
        </w:rPr>
        <w:endnoteRef/>
      </w:r>
      <w:r>
        <w:t xml:space="preserve">  See article 19.2 of the International Covenant on Civil and Political Rights.  This </w:t>
      </w:r>
      <w:r>
        <w:rPr>
          <w:lang w:val="en-US"/>
        </w:rPr>
        <w:t>general comment</w:t>
      </w:r>
      <w:r>
        <w:t xml:space="preserve"> gives particular emphasis to access to information because of the special importance of this issue in relation to health.</w:t>
      </w:r>
    </w:p>
  </w:endnote>
  <w:endnote w:id="109">
    <w:p w:rsidR="00000000" w:rsidRDefault="00000000">
      <w:pPr>
        <w:ind w:left="24" w:right="24"/>
      </w:pPr>
      <w:r>
        <w:rPr>
          <w:rStyle w:val="EndnoteReference"/>
        </w:rPr>
        <w:endnoteRef/>
      </w:r>
      <w:r>
        <w:t xml:space="preserve">  In the literature and practice concerning the right to health, three levels of health care are frequently referred to:  </w:t>
      </w:r>
      <w:r>
        <w:rPr>
          <w:i/>
        </w:rPr>
        <w:t>primary health care</w:t>
      </w:r>
      <w:r>
        <w:t xml:space="preserve"> typically deals with common and relatively minor illnesses and is provided by health professionals and/or generally trained doctors working within the community at relatively low cost; </w:t>
      </w:r>
      <w:r>
        <w:rPr>
          <w:i/>
        </w:rPr>
        <w:t>secondary health care</w:t>
      </w:r>
      <w:r>
        <w:t xml:space="preserve"> is provided in centres, usually hospitals, and typically deals with relatively common minor or serious illnesses that cannot be managed at community level, using specialty</w:t>
      </w:r>
      <w:r>
        <w:noBreakHyphen/>
        <w:t xml:space="preserve">trained health professionals and doctors, special equipment and sometimes inpatient care at comparatively higher cost; </w:t>
      </w:r>
      <w:r>
        <w:rPr>
          <w:i/>
        </w:rPr>
        <w:t>tertiary health care</w:t>
      </w:r>
      <w:r>
        <w:t xml:space="preserve"> is provided in relatively few centres, typically deals with small numbers of minor or serious illnesses requiring specialty</w:t>
      </w:r>
      <w:r>
        <w:noBreakHyphen/>
        <w:t>trained health professionals and doctors and special equipment, and is often relatively expensive.  Since forms of primary, secondary and tertiary health care frequently overlap and often interact, the use of this typology does not always provide sufficient distinguishing criteria to be helpful for assessing which levels of health care States parties must provide, and is therefore of limited assistance in relation to the normative understanding of article 12.</w:t>
      </w:r>
    </w:p>
  </w:endnote>
  <w:endnote w:id="110">
    <w:p w:rsidR="00000000" w:rsidRDefault="00000000">
      <w:pPr>
        <w:ind w:left="24" w:right="24"/>
      </w:pPr>
      <w:r>
        <w:rPr>
          <w:rStyle w:val="FootnoteReference"/>
        </w:rPr>
        <w:endnoteRef/>
      </w:r>
      <w:r>
        <w:t xml:space="preserve">  According to WHO, the stillbirth rate is no longer commonly used, infant and under</w:t>
      </w:r>
      <w:r>
        <w:noBreakHyphen/>
        <w:t>5 mortality rates being measured instead.</w:t>
      </w:r>
    </w:p>
  </w:endnote>
  <w:endnote w:id="111">
    <w:p w:rsidR="00000000" w:rsidRDefault="00000000">
      <w:pPr>
        <w:ind w:left="24" w:right="24"/>
      </w:pPr>
      <w:r>
        <w:rPr>
          <w:rStyle w:val="FootnoteReference"/>
        </w:rPr>
        <w:endnoteRef/>
      </w:r>
      <w:r>
        <w:t xml:space="preserve">  </w:t>
      </w:r>
      <w:r>
        <w:rPr>
          <w:i/>
        </w:rPr>
        <w:t xml:space="preserve">Prenatal </w:t>
      </w:r>
      <w:r>
        <w:t xml:space="preserve">denotes existing or occurring before birth; </w:t>
      </w:r>
      <w:r>
        <w:rPr>
          <w:i/>
        </w:rPr>
        <w:t>perinatal</w:t>
      </w:r>
      <w:r>
        <w:t xml:space="preserve"> refers to the period shortly before and after birth (in medical statistics the period begins with the completion of 28 weeks of gestation and is variously defined as ending one to four weeks after birth); </w:t>
      </w:r>
      <w:r>
        <w:rPr>
          <w:i/>
        </w:rPr>
        <w:t>neonatal</w:t>
      </w:r>
      <w:r>
        <w:t xml:space="preserve">, by contrast, covers the period pertaining to the first four weeks after birth; while </w:t>
      </w:r>
      <w:r>
        <w:rPr>
          <w:i/>
        </w:rPr>
        <w:t>post</w:t>
      </w:r>
      <w:r>
        <w:rPr>
          <w:i/>
        </w:rPr>
        <w:noBreakHyphen/>
        <w:t>natal</w:t>
      </w:r>
      <w:r>
        <w:t xml:space="preserve"> denotes occurrence after birth.  In this </w:t>
      </w:r>
      <w:r>
        <w:rPr>
          <w:lang w:val="en-US"/>
        </w:rPr>
        <w:t>general comment</w:t>
      </w:r>
      <w:r>
        <w:t>, the more generic terms pre</w:t>
      </w:r>
      <w:r>
        <w:noBreakHyphen/>
        <w:t xml:space="preserve"> and post</w:t>
      </w:r>
      <w:r>
        <w:noBreakHyphen/>
        <w:t>natal are exclusively employed.</w:t>
      </w:r>
    </w:p>
  </w:endnote>
  <w:endnote w:id="112">
    <w:p w:rsidR="00000000" w:rsidRDefault="00000000">
      <w:pPr>
        <w:ind w:left="24" w:right="24"/>
      </w:pPr>
      <w:r>
        <w:rPr>
          <w:rStyle w:val="FootnoteReference"/>
        </w:rPr>
        <w:endnoteRef/>
      </w:r>
      <w:r>
        <w:t xml:space="preserve">  Reproductive health means that women and men have the freedom to decide if and when to reproduce and the right to be informed and to have access to safe, effective, affordable and acceptable methods of family planning of their choice as well as the right of access to appropriate health</w:t>
      </w:r>
      <w:r>
        <w:noBreakHyphen/>
        <w:t>care services that will, for example, enable women to go safely through pregnancy and childbirth.</w:t>
      </w:r>
    </w:p>
  </w:endnote>
  <w:endnote w:id="113">
    <w:p w:rsidR="00000000" w:rsidRDefault="00000000">
      <w:pPr>
        <w:ind w:left="24" w:right="24"/>
      </w:pPr>
      <w:r>
        <w:rPr>
          <w:rStyle w:val="FootnoteReference"/>
        </w:rPr>
        <w:endnoteRef/>
      </w:r>
      <w:r>
        <w:t xml:space="preserve">  The Committee takes note, in this regard, of Principle 1 of the Stockholm Declaration of 1972 which states:  “Man has the fundamental right to freedom, equality and adequate conditions of life, in an environment of a quality that permits a life of dignity and well</w:t>
      </w:r>
      <w:r>
        <w:noBreakHyphen/>
        <w:t>being”, as well as of recent developments in international law, including General Assembly resolution 45/94 on the need to ensure a healthy environment for the well</w:t>
      </w:r>
      <w:r>
        <w:noBreakHyphen/>
        <w:t>being of individuals; Principle 1 of the Rio Declaration; and regional human rights instruments such as article 10 of the San Salvador Protocol to the American Convention on Human Rights.</w:t>
      </w:r>
    </w:p>
  </w:endnote>
  <w:endnote w:id="114">
    <w:p w:rsidR="00000000" w:rsidRDefault="00000000">
      <w:pPr>
        <w:ind w:left="24" w:right="24"/>
      </w:pPr>
      <w:r>
        <w:rPr>
          <w:rStyle w:val="FootnoteReference"/>
        </w:rPr>
        <w:endnoteRef/>
      </w:r>
      <w:r>
        <w:t xml:space="preserve">  ILO Convention No. 155, article 4.2.</w:t>
      </w:r>
    </w:p>
  </w:endnote>
  <w:endnote w:id="115">
    <w:p w:rsidR="00000000" w:rsidRDefault="00000000">
      <w:pPr>
        <w:ind w:left="23" w:right="23"/>
      </w:pPr>
      <w:r>
        <w:rPr>
          <w:rStyle w:val="FootnoteReference"/>
        </w:rPr>
        <w:endnoteRef/>
      </w:r>
      <w:r>
        <w:t xml:space="preserve">  See paragraph 12 (b) and note 8 above.</w:t>
      </w:r>
    </w:p>
  </w:endnote>
  <w:endnote w:id="116">
    <w:p w:rsidR="00000000" w:rsidRDefault="00000000">
      <w:pPr>
        <w:ind w:left="23" w:right="23"/>
      </w:pPr>
      <w:r>
        <w:rPr>
          <w:rStyle w:val="FootnoteReference"/>
        </w:rPr>
        <w:endnoteRef/>
      </w:r>
      <w:r>
        <w:t xml:space="preserve">  For the core obligations, see paragraphs 43 and 44 of the present </w:t>
      </w:r>
      <w:r>
        <w:rPr>
          <w:lang w:val="en-US"/>
        </w:rPr>
        <w:t>general comment</w:t>
      </w:r>
      <w:r>
        <w:t>s.</w:t>
      </w:r>
    </w:p>
  </w:endnote>
  <w:endnote w:id="117">
    <w:p w:rsidR="00000000" w:rsidRDefault="00000000">
      <w:pPr>
        <w:ind w:left="24" w:right="24"/>
      </w:pPr>
      <w:r>
        <w:rPr>
          <w:rStyle w:val="FootnoteReference"/>
        </w:rPr>
        <w:endnoteRef/>
      </w:r>
      <w:r>
        <w:t xml:space="preserve">  Article 24.1 of the Convention on the Rights of the Child.</w:t>
      </w:r>
    </w:p>
  </w:endnote>
  <w:endnote w:id="118">
    <w:p w:rsidR="00000000" w:rsidRDefault="00000000">
      <w:pPr>
        <w:ind w:left="24" w:right="24"/>
      </w:pPr>
      <w:r>
        <w:rPr>
          <w:rStyle w:val="FootnoteReference"/>
        </w:rPr>
        <w:endnoteRef/>
      </w:r>
      <w:r>
        <w:t xml:space="preserve">  See World Health Assembly resolution WHA47.10, 1994, entitled “Maternal and child health and family planning:  traditional practices harmful to the health of women and children”.</w:t>
      </w:r>
    </w:p>
  </w:endnote>
  <w:endnote w:id="119">
    <w:p w:rsidR="00000000" w:rsidRDefault="00000000">
      <w:pPr>
        <w:ind w:left="23" w:right="23"/>
      </w:pPr>
      <w:r>
        <w:rPr>
          <w:rStyle w:val="FootnoteReference"/>
        </w:rPr>
        <w:endnoteRef/>
      </w:r>
      <w:r>
        <w:t xml:space="preserve">  Recent emerging international norms relevant to indigenous peoples include the ILO Convention No. 169 concerning Indigenous and Tribal Peoples in Independent Countries (1989); articles 29 (c) and (d) and 30 of the Convention on the Rights of the Child (1989); article 8 (j) of the Convention on Biological Diversity (1992), recommending that States respect, preserve and maintain knowledge, innovation and practices of indigenous communities; Agenda 21 of the United Nations Conference on Environment and Development (1992), in particular chapter 26; and Part I, paragraph 20, of the Vienna Declaration and Programme of Action (1993), stating that States should take concerted positive steps to ensure respect for all human rights of indigenous people, on the basis of non</w:t>
      </w:r>
      <w:r>
        <w:noBreakHyphen/>
        <w:t>discrimination.  See also the preamble and article 3 of the United Nations Framework Convention on Climate Change (1992); and article 10 (2) (e) of the United Nations Convention to Combat Desertification in Countries Experiencing Serious Drought and/or Desertification, Particularly in Africa (1994).  During recent years an increasing number of States have changed their constitutions and introduced legislation recognizing specific rights of indigenous peoples.</w:t>
      </w:r>
    </w:p>
  </w:endnote>
  <w:endnote w:id="120">
    <w:p w:rsidR="00000000" w:rsidRDefault="00000000">
      <w:pPr>
        <w:ind w:left="23" w:right="23"/>
      </w:pPr>
      <w:r>
        <w:rPr>
          <w:rStyle w:val="FootnoteReference"/>
        </w:rPr>
        <w:endnoteRef/>
      </w:r>
      <w:r>
        <w:t xml:space="preserve">  See general comment No. 13, paragraph 43.</w:t>
      </w:r>
    </w:p>
  </w:endnote>
  <w:endnote w:id="121">
    <w:p w:rsidR="00000000" w:rsidRDefault="00000000">
      <w:pPr>
        <w:ind w:left="23" w:right="23"/>
      </w:pPr>
      <w:r>
        <w:rPr>
          <w:rStyle w:val="FootnoteReference"/>
        </w:rPr>
        <w:endnoteRef/>
      </w:r>
      <w:r>
        <w:t xml:space="preserve">  See general comment No. 3, paragraph 9; general comment No. 13, paragraph 44.</w:t>
      </w:r>
    </w:p>
  </w:endnote>
  <w:endnote w:id="122">
    <w:p w:rsidR="00000000" w:rsidRDefault="00000000">
      <w:pPr>
        <w:ind w:left="23" w:right="23"/>
      </w:pPr>
      <w:r>
        <w:rPr>
          <w:rStyle w:val="FootnoteReference"/>
        </w:rPr>
        <w:endnoteRef/>
      </w:r>
      <w:r>
        <w:t xml:space="preserve">  See general comment No. 3, paragraph 9; general comment No. 13, paragraph 45.</w:t>
      </w:r>
    </w:p>
  </w:endnote>
  <w:endnote w:id="123">
    <w:p w:rsidR="00000000" w:rsidRDefault="00000000">
      <w:pPr>
        <w:ind w:left="23" w:right="23"/>
      </w:pPr>
      <w:r>
        <w:rPr>
          <w:rStyle w:val="FootnoteReference"/>
        </w:rPr>
        <w:endnoteRef/>
      </w:r>
      <w:r>
        <w:t xml:space="preserve">  According to general comments Nos. 12 and 13, the obligation to fulfil incorporates an obligation to </w:t>
      </w:r>
      <w:r>
        <w:rPr>
          <w:i/>
        </w:rPr>
        <w:t>facilitate</w:t>
      </w:r>
      <w:r>
        <w:t xml:space="preserve"> and an obligation to </w:t>
      </w:r>
      <w:r>
        <w:rPr>
          <w:i/>
        </w:rPr>
        <w:t>provide</w:t>
      </w:r>
      <w:r>
        <w:t xml:space="preserve">.  In the present general comment, the obligation to fulfil also incorporates an obligation to </w:t>
      </w:r>
      <w:r>
        <w:rPr>
          <w:i/>
        </w:rPr>
        <w:t>promote</w:t>
      </w:r>
      <w:r>
        <w:t xml:space="preserve"> because of the critical importance of health promotion in the work of WHO and elsewhere.</w:t>
      </w:r>
    </w:p>
  </w:endnote>
  <w:endnote w:id="124">
    <w:p w:rsidR="00000000" w:rsidRDefault="00000000">
      <w:pPr>
        <w:ind w:left="23" w:right="23"/>
      </w:pPr>
      <w:r>
        <w:rPr>
          <w:rStyle w:val="FootnoteReference"/>
        </w:rPr>
        <w:endnoteRef/>
      </w:r>
      <w:r>
        <w:t xml:space="preserve">  General Assembly resolution 46/119 (1991).</w:t>
      </w:r>
    </w:p>
  </w:endnote>
  <w:endnote w:id="125">
    <w:p w:rsidR="00000000" w:rsidRDefault="00000000">
      <w:pPr>
        <w:pStyle w:val="EndnoteText"/>
      </w:pPr>
      <w:r>
        <w:rPr>
          <w:rStyle w:val="EndnoteReference"/>
        </w:rPr>
        <w:endnoteRef/>
      </w:r>
      <w:r>
        <w:t xml:space="preserve">  Elements of such a policy are the identification, determination, authorization and control of dangerous materials, equipment, substances, agents and work processes; the provision of health information to workers and the provision, if needed, of adequate protective clothing and equipment; the enforcement of laws and regulations through adequate inspection; the requirement of notification of occupational accidents and diseases, the conduct of inquiries into serious accidents and diseases, and the production of annual statistics; the protection of workers and their representatives from disciplinary measures for actions properly taken by them in conformity with such a policy; and the provision of occupational health services with essentially preventive functions.  See ILO Occupational Safety and Health Convention, 1981 (No. 155) and Occupational Health Services Convention, 1985 (No. 161).</w:t>
      </w:r>
    </w:p>
  </w:endnote>
  <w:endnote w:id="126">
    <w:p w:rsidR="00000000" w:rsidRDefault="00000000">
      <w:pPr>
        <w:pStyle w:val="EndnoteText"/>
      </w:pPr>
      <w:r>
        <w:rPr>
          <w:rStyle w:val="EndnoteReference"/>
        </w:rPr>
        <w:endnoteRef/>
      </w:r>
      <w:r>
        <w:t xml:space="preserve">  Article II, Alma</w:t>
      </w:r>
      <w:r>
        <w:noBreakHyphen/>
        <w:t>Ata Declaration, Report of the International Conference on Primary Health Care, Alma</w:t>
      </w:r>
      <w:r>
        <w:noBreakHyphen/>
        <w:t>Ata, 6</w:t>
      </w:r>
      <w:r>
        <w:noBreakHyphen/>
        <w:t>12 September 1978, in:  World Health Organization, “Health for All” Series, No. 1, WHO, Geneva, 1978.</w:t>
      </w:r>
    </w:p>
  </w:endnote>
  <w:endnote w:id="127">
    <w:p w:rsidR="00000000" w:rsidRDefault="00000000">
      <w:pPr>
        <w:pStyle w:val="EndnoteText"/>
      </w:pPr>
      <w:r>
        <w:rPr>
          <w:rStyle w:val="EndnoteReference"/>
        </w:rPr>
        <w:endnoteRef/>
      </w:r>
      <w:r>
        <w:t xml:space="preserve">  See paragraph 45 of this general comment.</w:t>
      </w:r>
    </w:p>
  </w:endnote>
  <w:endnote w:id="128">
    <w:p w:rsidR="00000000" w:rsidRDefault="00000000">
      <w:pPr>
        <w:ind w:left="24" w:right="24"/>
      </w:pPr>
      <w:r>
        <w:rPr>
          <w:rStyle w:val="FootnoteReference"/>
        </w:rPr>
        <w:endnoteRef/>
      </w:r>
      <w:r>
        <w:t xml:space="preserve">  </w:t>
      </w:r>
      <w:r>
        <w:rPr>
          <w:i/>
        </w:rPr>
        <w:t>Report of the International Conference on Population and Development, Cairo</w:t>
      </w:r>
      <w:r>
        <w:t>, </w:t>
      </w:r>
      <w:r>
        <w:rPr>
          <w:i/>
        </w:rPr>
        <w:t>5</w:t>
      </w:r>
      <w:r>
        <w:rPr>
          <w:i/>
        </w:rPr>
        <w:noBreakHyphen/>
        <w:t>13 September 1994</w:t>
      </w:r>
      <w:r>
        <w:t xml:space="preserve"> (United Nations publication, Sales No. E.95.XIII.18), chap. I, resolution 1, annex, chaps. VII and VIII.</w:t>
      </w:r>
    </w:p>
  </w:endnote>
  <w:endnote w:id="129">
    <w:p w:rsidR="00000000" w:rsidRDefault="00000000">
      <w:pPr>
        <w:ind w:left="24" w:right="24"/>
      </w:pPr>
      <w:r>
        <w:rPr>
          <w:rStyle w:val="FootnoteReference"/>
        </w:rPr>
        <w:endnoteRef/>
      </w:r>
      <w:r>
        <w:t xml:space="preserve">  Covenant, art. 2.1.</w:t>
      </w:r>
    </w:p>
  </w:endnote>
  <w:endnote w:id="130">
    <w:p w:rsidR="00000000" w:rsidRDefault="00000000">
      <w:pPr>
        <w:ind w:left="24" w:right="24"/>
      </w:pPr>
      <w:r>
        <w:rPr>
          <w:rStyle w:val="FootnoteReference"/>
        </w:rPr>
        <w:endnoteRef/>
      </w:r>
      <w:r>
        <w:t xml:space="preserve">  Regardless of whether groups as such can seek remedies as distinct holders of rights, States parties are bound by both the collective and individual dimensions of article 12.  Collective rights are critical in the field of health; modern public health policy relies heavily on prevention and promotion which are approaches directed primarily to groups.</w:t>
      </w:r>
    </w:p>
  </w:endnote>
  <w:endnote w:id="131">
    <w:p w:rsidR="00000000" w:rsidRDefault="00000000">
      <w:pPr>
        <w:pStyle w:val="EndnoteText"/>
      </w:pPr>
      <w:r>
        <w:rPr>
          <w:rStyle w:val="EndnoteReference"/>
        </w:rPr>
        <w:endnoteRef/>
      </w:r>
      <w:r>
        <w:t xml:space="preserve">  See general comment No. 2, paragraph 9.</w:t>
      </w:r>
    </w:p>
  </w:endnote>
  <w:endnote w:id="132">
    <w:p w:rsidR="00000000" w:rsidRDefault="00000000">
      <w:pPr>
        <w:rPr>
          <w:lang w:val="en-US"/>
        </w:rPr>
      </w:pPr>
      <w:r>
        <w:rPr>
          <w:rStyle w:val="EndnoteReference"/>
        </w:rPr>
        <w:endnoteRef/>
      </w:r>
      <w:r>
        <w:t xml:space="preserve">  In 2000, the World Health Organization estimated that 1.1 billion persons did not have access to an improved water supply (80 per cent of them rural dwellers) able to provide at least 20 litres of safe water per person a day; 2.4 billion persons were estimated to be without sanitation</w:t>
      </w:r>
      <w:r>
        <w:rPr>
          <w:color w:val="000000"/>
        </w:rPr>
        <w:t xml:space="preserve">.  </w:t>
      </w:r>
      <w:r>
        <w:t xml:space="preserve">(See WHO, </w:t>
      </w:r>
      <w:r>
        <w:rPr>
          <w:i/>
        </w:rPr>
        <w:t>The Global Water Supply and Sanitation Assessment 2000,</w:t>
      </w:r>
      <w:r>
        <w:t xml:space="preserve"> Geneva, 2000, p. 1.) Further, 2.3 billion persons each year suffer from diseases linked to water</w:t>
      </w:r>
      <w:r>
        <w:rPr>
          <w:lang w:val="en-US"/>
        </w:rPr>
        <w:t xml:space="preserve">:  </w:t>
      </w:r>
      <w:r>
        <w:rPr>
          <w:rStyle w:val="Strong"/>
          <w:b w:val="0"/>
        </w:rPr>
        <w:t>see United Nations, Commission on Sustainable Development,</w:t>
      </w:r>
      <w:r>
        <w:t xml:space="preserve"> </w:t>
      </w:r>
      <w:r>
        <w:rPr>
          <w:i/>
        </w:rPr>
        <w:t>Comprehensive Assessment of the Freshwater Resources of the World</w:t>
      </w:r>
      <w:r>
        <w:t>, New York, 1997, p. 39.</w:t>
      </w:r>
    </w:p>
  </w:endnote>
  <w:endnote w:id="133">
    <w:p w:rsidR="00000000" w:rsidRDefault="00000000">
      <w:r>
        <w:rPr>
          <w:rStyle w:val="EndnoteReference"/>
        </w:rPr>
        <w:endnoteRef/>
      </w:r>
      <w:r>
        <w:t xml:space="preserve">  See paragraphs 5 and 32 of the Committee’s general comment No. 6 (1995) on the economic, social and cultural rights of older persons. </w:t>
      </w:r>
    </w:p>
  </w:endnote>
  <w:endnote w:id="134">
    <w:p w:rsidR="00000000" w:rsidRDefault="00000000">
      <w:r>
        <w:rPr>
          <w:rStyle w:val="EndnoteReference"/>
        </w:rPr>
        <w:endnoteRef/>
      </w:r>
      <w:r>
        <w:t xml:space="preserve">  See general comment No. 14 (2000) on the right to the highest attainable standard of health, paragraphs 11, 12 (a), (b) and (d), 15, 34, 36, 40, 43 and 51.</w:t>
      </w:r>
    </w:p>
  </w:endnote>
  <w:endnote w:id="135">
    <w:p w:rsidR="00000000" w:rsidRDefault="00000000">
      <w:r>
        <w:rPr>
          <w:rStyle w:val="EndnoteReference"/>
        </w:rPr>
        <w:endnoteRef/>
      </w:r>
      <w:r>
        <w:t xml:space="preserve">  See paragraph 8 (b) of general comment No. 4 (1991)</w:t>
      </w:r>
      <w:r>
        <w:rPr>
          <w:color w:val="000000"/>
        </w:rPr>
        <w:t xml:space="preserve">.  </w:t>
      </w:r>
      <w:r>
        <w:t>See also the report by Commission on Human Rights’ Special Rapporteur on adequate housing as a component of the right to an adequate standard of living, Mr. Miloon Kothari (E/CN.4/2002/59), submitted in accordance with Commission resolution 2001/28 of 20 April 2001</w:t>
      </w:r>
      <w:r>
        <w:rPr>
          <w:color w:val="000000"/>
        </w:rPr>
        <w:t xml:space="preserve">.  </w:t>
      </w:r>
      <w:r>
        <w:t>In relation to the right to adequate food, see the report by the Special Rapporteur of the Commission on the right to food, Mr. Jean Ziegler (</w:t>
      </w:r>
      <w:r>
        <w:rPr>
          <w:caps/>
        </w:rPr>
        <w:fldChar w:fldCharType="begin"/>
      </w:r>
      <w:r>
        <w:rPr>
          <w:caps/>
        </w:rPr>
        <w:instrText xml:space="preserve"> FILLIN "Symbol" \* MERGEFORMAT </w:instrText>
      </w:r>
      <w:r>
        <w:rPr>
          <w:caps/>
        </w:rPr>
        <w:fldChar w:fldCharType="separate"/>
      </w:r>
      <w:r>
        <w:t>E/CN.4/2002/58</w:t>
      </w:r>
      <w:r>
        <w:rPr>
          <w:caps/>
        </w:rPr>
        <w:fldChar w:fldCharType="end"/>
      </w:r>
      <w:r>
        <w:rPr>
          <w:caps/>
        </w:rPr>
        <w:t>)</w:t>
      </w:r>
      <w:r>
        <w:t xml:space="preserve">, submitted in accordance with Commission resolution 2001/25 of 20 April 2001. </w:t>
      </w:r>
    </w:p>
  </w:endnote>
  <w:endnote w:id="136">
    <w:p w:rsidR="00000000" w:rsidRDefault="00000000">
      <w:pPr>
        <w:rPr>
          <w:rFonts w:ascii="Times New (W1)" w:hAnsi="Times New (W1)"/>
          <w:strike/>
        </w:rPr>
      </w:pPr>
      <w:r>
        <w:rPr>
          <w:rStyle w:val="EndnoteReference"/>
        </w:rPr>
        <w:endnoteRef/>
      </w:r>
      <w:r>
        <w:t xml:space="preserve">  See article 14, paragraph 2 (h), Convention on the Elimination of All Forms of Discrimination Against Women; article 24, paragraph 2 (c), Convention on the Rights of the Child; articles 20, 26, 29 and 46 of the Geneva Convention relative to the Treatment of Prisoners of War, of 1949; articles 85, 89 and 127 of the Geneva Convention relative to the Treatment of Civilian Persons in Time of War, of 1949; articles 54 and 55 of Additional Protocol I thereto of 1977; articles 5 and 14 of Additional Protocol II of 1977; preamble, Mar Del Plata Action Plan of the United Nations Water Conference; see paragraph 18.47 of Agenda 21, </w:t>
      </w:r>
      <w:r>
        <w:rPr>
          <w:i/>
        </w:rPr>
        <w:t>Report of the United Nations Conference on Environment and Development</w:t>
      </w:r>
      <w:r>
        <w:t xml:space="preserve">, </w:t>
      </w:r>
      <w:r>
        <w:rPr>
          <w:i/>
        </w:rPr>
        <w:t>Rio de Janeiro, 3</w:t>
      </w:r>
      <w:r>
        <w:rPr>
          <w:i/>
        </w:rPr>
        <w:noBreakHyphen/>
        <w:t>14 June 1992</w:t>
      </w:r>
      <w:r>
        <w:t xml:space="preserve"> (A/CONF.151/26/Rev.1 (Vol. I and Vol. I/Corr.1, Vol. II, Vol. III and Vol. III/Corr.1)) (United Nations publication, Sales No. E.93.I.8), vol. I</w:t>
      </w:r>
      <w:r>
        <w:rPr>
          <w:lang w:val="en-US"/>
        </w:rPr>
        <w:t xml:space="preserve">:  </w:t>
      </w:r>
      <w:r>
        <w:rPr>
          <w:i/>
        </w:rPr>
        <w:t>Resolutions adopted by the Conference</w:t>
      </w:r>
      <w:r>
        <w:t xml:space="preserve">, resolution 1, annex II; Principle No. 3, The Dublin Statement on Water and Sustainable Development, International Conference on Water and the Environment (A/CONF.151/PC/112); Principle No. 2, Programme of Action, </w:t>
      </w:r>
      <w:r>
        <w:rPr>
          <w:i/>
        </w:rPr>
        <w:t xml:space="preserve">Report of the United Nations International Conference on Population and Development, </w:t>
      </w:r>
      <w:r>
        <w:rPr>
          <w:i/>
          <w:lang w:val="en-US"/>
        </w:rPr>
        <w:t>Cairo, 5-13 September 1994</w:t>
      </w:r>
      <w:r>
        <w:rPr>
          <w:lang w:val="en-US"/>
        </w:rPr>
        <w:t xml:space="preserve"> (United Nations publication, Sales No. E.95.XIII.18), chap. I, resolution 1, annex</w:t>
      </w:r>
      <w:r>
        <w:t>; paragraphs 5 and 19, recommendation (2001) 14 of the Committee of Ministers to Member States on the European Charter on Water Resources; resolution 2002/6 of the United Nations Sub</w:t>
      </w:r>
      <w:r>
        <w:noBreakHyphen/>
        <w:t>Commission on the Promotion and Protection of Human Rights on the promotion of the realization of the right to drinking water</w:t>
      </w:r>
      <w:r>
        <w:rPr>
          <w:color w:val="000000"/>
        </w:rPr>
        <w:t xml:space="preserve">.  </w:t>
      </w:r>
      <w:r>
        <w:t>See also the report on the relationship between the enjoyment of economic, social and cultural rights and the promotion of the realization of the right to drinking water supply and sanitation (E/CN.4/Sub.2/2002/10) submitted by the Special Rapporteur of the Sub-Commission on the right to drinking water supply and sanitation, Mr. El Hadji Guissé.</w:t>
      </w:r>
    </w:p>
  </w:endnote>
  <w:endnote w:id="137">
    <w:p w:rsidR="00000000" w:rsidRDefault="00000000">
      <w:r>
        <w:rPr>
          <w:rStyle w:val="EndnoteReference"/>
        </w:rPr>
        <w:endnoteRef/>
      </w:r>
      <w:r>
        <w:t xml:space="preserve">  See also </w:t>
      </w:r>
      <w:r>
        <w:rPr>
          <w:lang w:val="en-US"/>
        </w:rPr>
        <w:t xml:space="preserve">World Summit on Sustainable Development, Plan of Implementation 2002, paragraph 25 (c). </w:t>
      </w:r>
    </w:p>
  </w:endnote>
  <w:endnote w:id="138">
    <w:p w:rsidR="00000000" w:rsidRDefault="00000000">
      <w:pPr>
        <w:rPr>
          <w:lang w:val="en-US"/>
        </w:rPr>
      </w:pPr>
      <w:r>
        <w:rPr>
          <w:rStyle w:val="EndnoteReference"/>
        </w:rPr>
        <w:endnoteRef/>
      </w:r>
      <w:r>
        <w:t xml:space="preserve">  This relates to both </w:t>
      </w:r>
      <w:r>
        <w:rPr>
          <w:i/>
          <w:lang w:val="en-US"/>
        </w:rPr>
        <w:t>availability</w:t>
      </w:r>
      <w:r>
        <w:rPr>
          <w:lang w:val="en-US"/>
        </w:rPr>
        <w:t xml:space="preserve"> and to </w:t>
      </w:r>
      <w:r>
        <w:rPr>
          <w:i/>
          <w:lang w:val="en-US"/>
        </w:rPr>
        <w:t xml:space="preserve">accessibility </w:t>
      </w:r>
      <w:r>
        <w:rPr>
          <w:lang w:val="en-US"/>
        </w:rPr>
        <w:t xml:space="preserve">of the right to adequate food (see general comment No. 12 (1999), paragraphs 12 and 13). </w:t>
      </w:r>
    </w:p>
  </w:endnote>
  <w:endnote w:id="139">
    <w:p w:rsidR="00000000" w:rsidRDefault="00000000">
      <w:r>
        <w:rPr>
          <w:rStyle w:val="EndnoteReference"/>
        </w:rPr>
        <w:endnoteRef/>
      </w:r>
      <w:r>
        <w:t xml:space="preserve">  See also the Statement of Understanding accompanying the United Nations Convention on the Law of Non-Navigational Uses of Watercourses (A/51/869 of 11 April 1997), which declared that, in determining vital human needs in the event of conflicts over the use of watercourses “special attention is to be paid to providing sufficient water to sustain human life, including both drinking water and water required for production of food in order to prevent starvation”.</w:t>
      </w:r>
    </w:p>
  </w:endnote>
  <w:endnote w:id="140">
    <w:p w:rsidR="00000000" w:rsidRDefault="00000000">
      <w:r>
        <w:rPr>
          <w:rStyle w:val="EndnoteReference"/>
        </w:rPr>
        <w:endnoteRef/>
      </w:r>
      <w:r>
        <w:t xml:space="preserve">  See also paragraph 15, </w:t>
      </w:r>
      <w:r>
        <w:rPr>
          <w:lang w:val="en-US"/>
        </w:rPr>
        <w:t>general comment No.</w:t>
      </w:r>
      <w:r>
        <w:t xml:space="preserve"> 14. </w:t>
      </w:r>
    </w:p>
  </w:endnote>
  <w:endnote w:id="141">
    <w:p w:rsidR="00000000" w:rsidRDefault="00000000">
      <w:r>
        <w:rPr>
          <w:rStyle w:val="EndnoteReference"/>
        </w:rPr>
        <w:endnoteRef/>
      </w:r>
      <w:r>
        <w:t xml:space="preserve">  According to the WHO definition, vector-borne diseases include diseases transmitted by insects (malaria, filariasis, dengue, Japanese encephalitis and yellow fever), diseases for which aquatic snails serve as intermediate hosts (schistosomiasis) and zoonoses with vertebrates as reservoir hosts.</w:t>
      </w:r>
    </w:p>
  </w:endnote>
  <w:endnote w:id="142">
    <w:p w:rsidR="00000000" w:rsidRDefault="00000000">
      <w:r>
        <w:rPr>
          <w:rStyle w:val="EndnoteReference"/>
        </w:rPr>
        <w:endnoteRef/>
      </w:r>
      <w:r>
        <w:t xml:space="preserve">  For a definition of sustainability, see the </w:t>
      </w:r>
      <w:r>
        <w:rPr>
          <w:i/>
        </w:rPr>
        <w:t>Report of the United Nations Conference on Environment and Development, Rio de Janeiro, 3-14 June 1992</w:t>
      </w:r>
      <w:r>
        <w:t xml:space="preserve">, Declaration on Environment and Development, principles 1, 8, 9, 10, 12 and 15; and Agenda 21, in particular principles 5.3, 7.27, 7.28, 7.35, 7.39, 7.41, 18.3, 18.8, 18.35, 18.40, 18.48, 18.50, 18.59 and 18.68. </w:t>
      </w:r>
    </w:p>
  </w:endnote>
  <w:endnote w:id="143">
    <w:p w:rsidR="00000000" w:rsidRDefault="00000000">
      <w:pPr>
        <w:rPr>
          <w:lang w:val="en-US"/>
        </w:rPr>
      </w:pPr>
      <w:r>
        <w:rPr>
          <w:rStyle w:val="EndnoteReference"/>
        </w:rPr>
        <w:endnoteRef/>
      </w:r>
      <w:r>
        <w:t xml:space="preserve">  “Continuous” means that the regularity of the water supply is sufficient for personal and domestic uses.</w:t>
      </w:r>
    </w:p>
  </w:endnote>
  <w:endnote w:id="144">
    <w:p w:rsidR="00000000" w:rsidRDefault="00000000">
      <w:r>
        <w:rPr>
          <w:rStyle w:val="EndnoteReference"/>
        </w:rPr>
        <w:endnoteRef/>
      </w:r>
      <w:r>
        <w:t xml:space="preserve">  In this context, “drinking” means water for consumption through beverages and foodstuffs</w:t>
      </w:r>
      <w:r>
        <w:rPr>
          <w:color w:val="000000"/>
        </w:rPr>
        <w:t xml:space="preserve">.  </w:t>
      </w:r>
      <w:r>
        <w:t>“Personal sanitation” means disposal of human excreta</w:t>
      </w:r>
      <w:r>
        <w:rPr>
          <w:color w:val="000000"/>
        </w:rPr>
        <w:t xml:space="preserve">.  </w:t>
      </w:r>
      <w:r>
        <w:t>Water is necessary for personal sanitation where water-based means are adopted</w:t>
      </w:r>
      <w:r>
        <w:rPr>
          <w:color w:val="000000"/>
        </w:rPr>
        <w:t xml:space="preserve">.  </w:t>
      </w:r>
      <w:r>
        <w:t>“Food preparation” includes food hygiene and preparation of foodstuffs, whether water is incorporated into, or comes into contact with, food</w:t>
      </w:r>
      <w:r>
        <w:rPr>
          <w:color w:val="000000"/>
        </w:rPr>
        <w:t xml:space="preserve">.  </w:t>
      </w:r>
      <w:r>
        <w:t xml:space="preserve">“Personal and household hygiene” means personal cleanliness and hygiene of the household environment. </w:t>
      </w:r>
    </w:p>
  </w:endnote>
  <w:endnote w:id="145">
    <w:p w:rsidR="00000000" w:rsidRDefault="00000000">
      <w:pPr>
        <w:rPr>
          <w:lang w:val="en-US"/>
        </w:rPr>
      </w:pPr>
      <w:r>
        <w:rPr>
          <w:rStyle w:val="EndnoteReference"/>
        </w:rPr>
        <w:endnoteRef/>
      </w:r>
      <w:r>
        <w:t xml:space="preserve">  </w:t>
      </w:r>
      <w:r>
        <w:rPr>
          <w:lang w:val="en-US"/>
        </w:rPr>
        <w:t xml:space="preserve">See J. Bartram and G. Howard, “Domestic water quantity, service level and health:  what should be the goal for water and health sectors”, WHO, 2002.  See also P.H. Gleick, (1996) “Basic water requirements for human activities:  meeting basic needs”, </w:t>
      </w:r>
      <w:r>
        <w:rPr>
          <w:i/>
          <w:lang w:val="en-US"/>
        </w:rPr>
        <w:t xml:space="preserve">Water International, </w:t>
      </w:r>
      <w:r>
        <w:rPr>
          <w:lang w:val="en-US"/>
        </w:rPr>
        <w:t>21, pp. 83-92.</w:t>
      </w:r>
    </w:p>
  </w:endnote>
  <w:endnote w:id="146">
    <w:p w:rsidR="00000000" w:rsidRDefault="00000000">
      <w:pPr>
        <w:rPr>
          <w:lang w:val="en-US"/>
        </w:rPr>
      </w:pPr>
      <w:r>
        <w:rPr>
          <w:rStyle w:val="EndnoteReference"/>
        </w:rPr>
        <w:endnoteRef/>
      </w:r>
      <w:r>
        <w:t xml:space="preserve">  </w:t>
      </w:r>
      <w:r>
        <w:rPr>
          <w:lang w:val="en-US"/>
        </w:rPr>
        <w:t xml:space="preserve">The Committee refers States parties to </w:t>
      </w:r>
      <w:r>
        <w:t>WHO,</w:t>
      </w:r>
      <w:r>
        <w:rPr>
          <w:i/>
        </w:rPr>
        <w:t xml:space="preserve"> Guidelines for drinking water quality, </w:t>
      </w:r>
      <w:r>
        <w:t xml:space="preserve">2nd edition, vols. 1-3 (Geneva, 1993) </w:t>
      </w:r>
      <w:r>
        <w:rPr>
          <w:lang w:val="en-US"/>
        </w:rPr>
        <w:t>that are “intended to be used as a basis for the development of national standards that, if properly implemented, will ensure the safety of drinking water supplies through the elimination of, or reduction to a minimum concentration, of constituents of water that are known to be hazardous to health”.</w:t>
      </w:r>
    </w:p>
  </w:endnote>
  <w:endnote w:id="147">
    <w:p w:rsidR="00000000" w:rsidRDefault="00000000">
      <w:pPr>
        <w:rPr>
          <w:lang w:val="en-US"/>
        </w:rPr>
      </w:pPr>
      <w:r>
        <w:rPr>
          <w:rStyle w:val="EndnoteReference"/>
        </w:rPr>
        <w:endnoteRef/>
      </w:r>
      <w:r>
        <w:t xml:space="preserve">  See also g</w:t>
      </w:r>
      <w:r>
        <w:rPr>
          <w:lang w:val="en-US"/>
        </w:rPr>
        <w:t>eneral comment No.</w:t>
      </w:r>
      <w:r>
        <w:t xml:space="preserve"> 4 (1991), paragraph 8 (b), </w:t>
      </w:r>
      <w:r>
        <w:rPr>
          <w:lang w:val="en-US"/>
        </w:rPr>
        <w:t>general comment No.</w:t>
      </w:r>
      <w:r>
        <w:t xml:space="preserve"> 13 (1999), paragraph 6 (a) and </w:t>
      </w:r>
      <w:r>
        <w:rPr>
          <w:lang w:val="en-US"/>
        </w:rPr>
        <w:t>general comment No.</w:t>
      </w:r>
      <w:r>
        <w:t xml:space="preserve"> 14 (2000), paragraphs 8 (a) and (b)</w:t>
      </w:r>
      <w:r>
        <w:rPr>
          <w:lang w:val="en-US"/>
        </w:rPr>
        <w:t xml:space="preserve">.  </w:t>
      </w:r>
      <w:r>
        <w:t xml:space="preserve">Household </w:t>
      </w:r>
      <w:r>
        <w:rPr>
          <w:lang w:val="en-US"/>
        </w:rPr>
        <w:t>includes a permanent or semi-permanent dwelling, or a temporary halting site.</w:t>
      </w:r>
    </w:p>
  </w:endnote>
  <w:endnote w:id="148">
    <w:p w:rsidR="00000000" w:rsidRDefault="00000000">
      <w:r>
        <w:rPr>
          <w:rStyle w:val="EndnoteReference"/>
        </w:rPr>
        <w:endnoteRef/>
      </w:r>
      <w:r>
        <w:t xml:space="preserve">  See paragraph 48 of this </w:t>
      </w:r>
      <w:r>
        <w:rPr>
          <w:lang w:val="en-US"/>
        </w:rPr>
        <w:t>general comment</w:t>
      </w:r>
      <w:r>
        <w:t>.</w:t>
      </w:r>
    </w:p>
  </w:endnote>
  <w:endnote w:id="149">
    <w:p w:rsidR="00000000" w:rsidRDefault="00000000">
      <w:pPr>
        <w:rPr>
          <w:lang w:val="en-US"/>
        </w:rPr>
      </w:pPr>
      <w:r>
        <w:rPr>
          <w:rStyle w:val="EndnoteReference"/>
        </w:rPr>
        <w:endnoteRef/>
      </w:r>
      <w:r>
        <w:t xml:space="preserve">  See articles 20, 26, 29 and 46 of the third Geneva Convention of 12 August 1949; articles 85, 89 and 127 of the fourth Geneva Convention </w:t>
      </w:r>
      <w:r>
        <w:rPr>
          <w:color w:val="000000"/>
        </w:rPr>
        <w:t>of 12 August 1949</w:t>
      </w:r>
      <w:r>
        <w:t xml:space="preserve">; articles 15 and 20, paragraph 2, United Nations Standard Minimum Rules for the Treatment of Prisoners, in </w:t>
      </w:r>
      <w:r>
        <w:rPr>
          <w:i/>
        </w:rPr>
        <w:t>Human Rights:  A Compilation of International Instruments</w:t>
      </w:r>
      <w:r>
        <w:t xml:space="preserve"> (United Nations publication, Sales No. E.88.XIV.1).</w:t>
      </w:r>
    </w:p>
  </w:endnote>
  <w:endnote w:id="150">
    <w:p w:rsidR="00000000" w:rsidRDefault="00000000">
      <w:pPr>
        <w:rPr>
          <w:lang w:val="en-US"/>
        </w:rPr>
      </w:pPr>
      <w:r>
        <w:rPr>
          <w:rStyle w:val="EndnoteReference"/>
        </w:rPr>
        <w:endnoteRef/>
      </w:r>
      <w:r>
        <w:t xml:space="preserve">  See </w:t>
      </w:r>
      <w:r>
        <w:rPr>
          <w:lang w:val="en-US"/>
        </w:rPr>
        <w:t>general comment No.</w:t>
      </w:r>
      <w:r>
        <w:t xml:space="preserve"> 3 (1990), paragraph 9.</w:t>
      </w:r>
    </w:p>
  </w:endnote>
  <w:endnote w:id="151">
    <w:p w:rsidR="00000000" w:rsidRDefault="00000000">
      <w:r>
        <w:rPr>
          <w:rStyle w:val="EndnoteReference"/>
        </w:rPr>
        <w:endnoteRef/>
      </w:r>
      <w:r>
        <w:t xml:space="preserve">  For the interrelationship of human rights law and humanitarian law, the Committee notes the conclusions of the International Court of Justice in </w:t>
      </w:r>
      <w:r>
        <w:fldChar w:fldCharType="begin"/>
      </w:r>
      <w:r>
        <w:instrText xml:space="preserve"> QUOTE "</w:instrText>
      </w:r>
      <w:r>
        <w:rPr>
          <w:i/>
        </w:rPr>
        <w:instrText>Legality of the Threat or Use of Nuclear Weapons (Request by the General Assembly)</w:instrText>
      </w:r>
      <w:r>
        <w:instrText xml:space="preserve">, ICJ Reports (1996) at p.226" </w:instrText>
      </w:r>
      <w:r>
        <w:rPr>
          <w:vanish/>
        </w:rPr>
        <w:fldChar w:fldCharType="begin"/>
      </w:r>
      <w:r>
        <w:rPr>
          <w:vanish/>
        </w:rPr>
        <w:instrText xml:space="preserve"> ADDIN PROCITE ÿ\11\05‘\19\02\00\00\00oLegality of the Threat or Use of Nuclear Weapons (Request by the General Assembly), ICJ Reports (1996) at p.226\01\02\00R\00\02\00\00\00\00ï\00x,äŠ\00\03ï\00x`â\02xX\1BM_HäŠ\00HäŠ\00\00\00\00\00\1D\00\00\00\00\00\00â\02xÿÿÿÿ,\00\00\00Ù\12\00x,\00\00\00Â\12\00x,\00\00\00\01\00\00\00,\00\00\002C:\5CMy Documents\5CThesis\5CBibliography\5CFoodThesis.pdtWLegality of the Threat or Use of Nuclear Weapons (Request by the General Assembly) #460\00W\00 </w:instrText>
      </w:r>
      <w:r>
        <w:rPr>
          <w:vanish/>
        </w:rPr>
        <w:fldChar w:fldCharType="end"/>
      </w:r>
      <w:r>
        <w:fldChar w:fldCharType="separate"/>
      </w:r>
      <w:r>
        <w:rPr>
          <w:i/>
        </w:rPr>
        <w:t>Legality of the Threat or Use of Nuclear Weapons (Request by the General Assembly)</w:t>
      </w:r>
      <w:r>
        <w:t xml:space="preserve">, </w:t>
      </w:r>
      <w:r>
        <w:rPr>
          <w:i/>
        </w:rPr>
        <w:t>ICJ Reports (1996)</w:t>
      </w:r>
      <w:r>
        <w:t xml:space="preserve"> p. 226</w:t>
      </w:r>
      <w:r>
        <w:fldChar w:fldCharType="end"/>
      </w:r>
      <w:r>
        <w:t>, paragraph 25.</w:t>
      </w:r>
    </w:p>
  </w:endnote>
  <w:endnote w:id="152">
    <w:p w:rsidR="00000000" w:rsidRDefault="00000000">
      <w:r>
        <w:rPr>
          <w:rStyle w:val="EndnoteReference"/>
        </w:rPr>
        <w:endnoteRef/>
      </w:r>
      <w:r>
        <w:t xml:space="preserve">  See articles 54 and 56, Additional Protocol I to the Geneva Conventions (1977), article 54, Additional Protocol II (1977), articles 20 and 46 of the third Geneva Convention of 12 August 1949, and common article 3 of the Geneva Conventions of 12 August 1949.</w:t>
      </w:r>
    </w:p>
  </w:endnote>
  <w:endnote w:id="153">
    <w:p w:rsidR="00000000" w:rsidRDefault="00000000">
      <w:pPr>
        <w:rPr>
          <w:b/>
          <w:lang w:val="en-US"/>
        </w:rPr>
      </w:pPr>
      <w:r>
        <w:rPr>
          <w:rStyle w:val="EndnoteReference"/>
        </w:rPr>
        <w:endnoteRef/>
      </w:r>
      <w:r>
        <w:t xml:space="preserve">  S</w:t>
      </w:r>
      <w:r>
        <w:rPr>
          <w:lang w:val="en-US"/>
        </w:rPr>
        <w:t xml:space="preserve">ee </w:t>
      </w:r>
      <w:r>
        <w:rPr>
          <w:color w:val="000000"/>
        </w:rPr>
        <w:t>footnote 5 above,</w:t>
      </w:r>
      <w:r>
        <w:rPr>
          <w:lang w:val="en-US"/>
        </w:rPr>
        <w:t xml:space="preserve"> </w:t>
      </w:r>
      <w:r>
        <w:rPr>
          <w:color w:val="000000"/>
        </w:rPr>
        <w:t xml:space="preserve">Agenda 21, chapters 5, 7 and 18; </w:t>
      </w:r>
      <w:r>
        <w:rPr>
          <w:lang w:val="en-US"/>
        </w:rPr>
        <w:t>and the World Summit on Sustainable Development, Plan of Implementation (2002), paragraphs 6 (a), (l) and (m), 7, 36 and 38.</w:t>
      </w:r>
    </w:p>
  </w:endnote>
  <w:endnote w:id="154">
    <w:p w:rsidR="00000000" w:rsidRDefault="00000000">
      <w:pPr>
        <w:rPr>
          <w:lang w:val="en-US"/>
        </w:rPr>
      </w:pPr>
      <w:r>
        <w:rPr>
          <w:rStyle w:val="EndnoteReference"/>
        </w:rPr>
        <w:endnoteRef/>
      </w:r>
      <w:r>
        <w:t xml:space="preserve">  See the Convention on Biological Diversity, the Convention to Combat Desertification, the United Nations Framework Convention on Climate Change, and subsequent protocols.</w:t>
      </w:r>
    </w:p>
  </w:endnote>
  <w:endnote w:id="155">
    <w:p w:rsidR="00000000" w:rsidRDefault="00000000">
      <w:r>
        <w:rPr>
          <w:rStyle w:val="EndnoteReference"/>
        </w:rPr>
        <w:endnoteRef/>
      </w:r>
      <w:r>
        <w:t xml:space="preserve">  Article 14, paragraph 2, of the Convention on the Elimination of All Forms of Discrimination Against Women stipulates States parties shall ensure to women the right to “adequate living conditions, particularly in relation to […] sanitation”</w:t>
      </w:r>
      <w:r>
        <w:rPr>
          <w:lang w:val="en-US"/>
        </w:rPr>
        <w:t xml:space="preserve">.  </w:t>
      </w:r>
      <w:r>
        <w:t>Article 24, paragraph 2, of the Convention on the Rights of the Child requires States parties “To ensure that all segments of society […] have access to education and are supported in the use of basic knowledge of […] the advantages of […] hygiene and environmental sanitation.”</w:t>
      </w:r>
    </w:p>
  </w:endnote>
  <w:endnote w:id="156">
    <w:p w:rsidR="00000000" w:rsidRDefault="00000000">
      <w:r>
        <w:rPr>
          <w:rStyle w:val="EndnoteReference"/>
        </w:rPr>
        <w:endnoteRef/>
      </w:r>
      <w:r>
        <w:t xml:space="preserve">  The Committee notes that the United Nations Convention on the Law of Non-Navigational Uses of Watercourses </w:t>
      </w:r>
      <w:r>
        <w:rPr>
          <w:lang w:val="en-US"/>
        </w:rPr>
        <w:t xml:space="preserve">requires that social and human needs be taken into account in determining the equitable utilization of watercourses, that States parties take measures to prevent significant harm being caused, and, in the event of conflict, special regard must be given to the requirements of vital human needs:  see </w:t>
      </w:r>
      <w:r>
        <w:t>articles 5, 7 and 10 of the Convention</w:t>
      </w:r>
      <w:r>
        <w:rPr>
          <w:lang w:val="en-US"/>
        </w:rPr>
        <w:t xml:space="preserve">. </w:t>
      </w:r>
    </w:p>
  </w:endnote>
  <w:endnote w:id="157">
    <w:p w:rsidR="00000000" w:rsidRDefault="00000000">
      <w:r>
        <w:rPr>
          <w:rStyle w:val="EndnoteReference"/>
        </w:rPr>
        <w:endnoteRef/>
      </w:r>
      <w:r>
        <w:t xml:space="preserve">  In </w:t>
      </w:r>
      <w:r>
        <w:rPr>
          <w:lang w:val="en-US"/>
        </w:rPr>
        <w:t>general comment No.</w:t>
      </w:r>
      <w:r>
        <w:t xml:space="preserve"> 8 (1997), the Committee noted the disruptive effect of sanctions upon sanitation supplies and clean drinking water, and that sanctions regimes should provide for repairs to infrastructure essential to provide clean water.</w:t>
      </w:r>
    </w:p>
  </w:endnote>
  <w:endnote w:id="158">
    <w:p w:rsidR="00000000" w:rsidRDefault="00000000">
      <w:r>
        <w:rPr>
          <w:rStyle w:val="EndnoteReference"/>
        </w:rPr>
        <w:endnoteRef/>
      </w:r>
      <w:r>
        <w:t xml:space="preserve">  See paragraph 23 for a definition of “third parties”.</w:t>
      </w:r>
    </w:p>
  </w:endnote>
  <w:endnote w:id="159">
    <w:p w:rsidR="00000000" w:rsidRDefault="00000000">
      <w:r>
        <w:rPr>
          <w:rStyle w:val="EndnoteReference"/>
        </w:rPr>
        <w:endnoteRef/>
      </w:r>
      <w:r>
        <w:t xml:space="preserve">  See E. Riedel, “New bearings to the State reporting procedure</w:t>
      </w:r>
      <w:r>
        <w:rPr>
          <w:lang w:val="en-US"/>
        </w:rPr>
        <w:t xml:space="preserve">:  </w:t>
      </w:r>
      <w:r>
        <w:t xml:space="preserve">practical ways to operationalize economic social and cultural rights - The example of the right to health”, in S. von Schorlemer (ed.), </w:t>
      </w:r>
      <w:r>
        <w:rPr>
          <w:i/>
        </w:rPr>
        <w:t>Praxishandbuch</w:t>
      </w:r>
      <w:r>
        <w:t xml:space="preserve"> </w:t>
      </w:r>
      <w:r>
        <w:rPr>
          <w:i/>
        </w:rPr>
        <w:t>UNO</w:t>
      </w:r>
      <w:r>
        <w:t>, 2002, pp. 345-358</w:t>
      </w:r>
      <w:r>
        <w:rPr>
          <w:lang w:val="en-US"/>
        </w:rPr>
        <w:t xml:space="preserve">.  </w:t>
      </w:r>
      <w:r>
        <w:t>The Committee notes, for example, the commitment in the 2002 World Summit on Sustainable Development Plan of Implementation</w:t>
      </w:r>
      <w:r>
        <w:rPr>
          <w:b/>
        </w:rPr>
        <w:t xml:space="preserve"> </w:t>
      </w:r>
      <w:r>
        <w:rPr>
          <w:kern w:val="16"/>
        </w:rPr>
        <w:t>to halve, by the year 2015, the proportion of people who are unable to reach or to afford safe drinking water (as outlined in the Millennium Declaration) and the proportion of people who do not have access to basic sanitation.</w:t>
      </w:r>
    </w:p>
  </w:endnote>
  <w:endnote w:id="160">
    <w:p w:rsidR="00000000" w:rsidRDefault="00000000">
      <w:r>
        <w:rPr>
          <w:rStyle w:val="EndnoteReference"/>
        </w:rPr>
        <w:endnoteRef/>
      </w:r>
      <w:r>
        <w:t xml:space="preserve">  Principle 10 of the Rio Declaration on Environment and Development (</w:t>
      </w:r>
      <w:r>
        <w:rPr>
          <w:i/>
        </w:rPr>
        <w:t>Report of the United Nations Conference on Environment and Development</w:t>
      </w:r>
      <w:r>
        <w:t>, see footnote 5 above), states with respect to environmental issues that “effective access to judicial and administrative proceedings, including remedy and redress, shall be provided”.</w:t>
      </w:r>
    </w:p>
  </w:endnote>
  <w:endnote w:id="161">
    <w:p w:rsidR="00000000" w:rsidRDefault="00000000">
      <w:pPr>
        <w:pStyle w:val="EndnoteText"/>
      </w:pPr>
      <w:r>
        <w:rPr>
          <w:rStyle w:val="EndnoteReference"/>
        </w:rPr>
        <w:endnoteRef/>
      </w:r>
      <w:r>
        <w:t xml:space="preserve">  See </w:t>
      </w:r>
      <w:r>
        <w:rPr>
          <w:i/>
        </w:rPr>
        <w:t>Official Records of the General Assembly, Thirty</w:t>
      </w:r>
      <w:r>
        <w:rPr>
          <w:i/>
        </w:rPr>
        <w:noBreakHyphen/>
        <w:t xml:space="preserve">ninth Session, Supplement No. 40 </w:t>
      </w:r>
      <w:r>
        <w:t xml:space="preserve">(A/39/40), annex VI, </w:t>
      </w:r>
      <w:r>
        <w:rPr>
          <w:lang w:val="en-US"/>
        </w:rPr>
        <w:t>general comment No.</w:t>
      </w:r>
      <w:r>
        <w:t xml:space="preserve"> 12 (21) (art. 1), also issued in document CCPR/C/21/Rev.1; ibid., </w:t>
      </w:r>
      <w:r>
        <w:rPr>
          <w:i/>
        </w:rPr>
        <w:t>Forty</w:t>
      </w:r>
      <w:r>
        <w:rPr>
          <w:i/>
        </w:rPr>
        <w:noBreakHyphen/>
        <w:t>fifth Session, Supplement No. 40</w:t>
      </w:r>
      <w:r>
        <w:t>, (A/45/40, vol. II, annex IX, section A, Communication No. 167/1984 (</w:t>
      </w:r>
      <w:r>
        <w:rPr>
          <w:i/>
        </w:rPr>
        <w:t>Bernard Ominayak, Chief of the Lubicon Lake Band v. Canada</w:t>
      </w:r>
      <w:r>
        <w:t>), views adopted on 26 March 1990.</w:t>
      </w:r>
    </w:p>
  </w:endnote>
  <w:endnote w:id="162">
    <w:p w:rsidR="00000000" w:rsidRDefault="00000000">
      <w:pPr>
        <w:pStyle w:val="EndnoteText"/>
      </w:pPr>
      <w:r>
        <w:rPr>
          <w:rStyle w:val="EndnoteReference"/>
        </w:rPr>
        <w:endnoteRef/>
      </w:r>
      <w:r>
        <w:t xml:space="preserve">  See ibid., </w:t>
      </w:r>
      <w:r>
        <w:rPr>
          <w:i/>
        </w:rPr>
        <w:t>Forty</w:t>
      </w:r>
      <w:r>
        <w:rPr>
          <w:i/>
        </w:rPr>
        <w:noBreakHyphen/>
        <w:t>third Session, Supplement No. 40</w:t>
      </w:r>
      <w:r>
        <w:t xml:space="preserve"> (A/43/40), annex VII, section G, Communication No. 197/1985 (</w:t>
      </w:r>
      <w:r>
        <w:rPr>
          <w:i/>
        </w:rPr>
        <w:t>Kitok v. Sweden</w:t>
      </w:r>
      <w:r>
        <w:t>), views adopted on 27 July 1988.</w:t>
      </w:r>
    </w:p>
  </w:endnote>
  <w:endnote w:id="163">
    <w:p w:rsidR="00000000" w:rsidRDefault="00000000">
      <w:pPr>
        <w:pStyle w:val="EndnoteText"/>
      </w:pPr>
      <w:r>
        <w:rPr>
          <w:rStyle w:val="EndnoteReference"/>
        </w:rPr>
        <w:endnoteRef/>
      </w:r>
      <w:r>
        <w:t xml:space="preserve">  See ibid., </w:t>
      </w:r>
      <w:r>
        <w:rPr>
          <w:i/>
        </w:rPr>
        <w:t>Forty</w:t>
      </w:r>
      <w:r>
        <w:rPr>
          <w:i/>
        </w:rPr>
        <w:noBreakHyphen/>
        <w:t>second Session, Supplement No. 40</w:t>
      </w:r>
      <w:r>
        <w:t xml:space="preserve"> (A/42/40), annex VIII, section D, Communication No. 182/1984 (</w:t>
      </w:r>
      <w:r>
        <w:rPr>
          <w:i/>
        </w:rPr>
        <w:t>F.H. Zwaan</w:t>
      </w:r>
      <w:r>
        <w:rPr>
          <w:i/>
        </w:rPr>
        <w:noBreakHyphen/>
        <w:t>de Vries v. the Netherlands</w:t>
      </w:r>
      <w:r>
        <w:t>), views adopted on 9 April 1987; ibid., section C, Communication No. 180/1984 (</w:t>
      </w:r>
      <w:r>
        <w:rPr>
          <w:i/>
        </w:rPr>
        <w:t>L.G. Danning v. the Netherlands</w:t>
      </w:r>
      <w:r>
        <w:t xml:space="preserve">), views adopted on 9 April 1987. </w:t>
      </w:r>
    </w:p>
  </w:endnote>
  <w:endnote w:id="164">
    <w:p w:rsidR="00000000" w:rsidRDefault="00000000">
      <w:pPr>
        <w:pStyle w:val="EndnoteText"/>
      </w:pPr>
      <w:r>
        <w:rPr>
          <w:rStyle w:val="EndnoteReference"/>
        </w:rPr>
        <w:endnoteRef/>
      </w:r>
      <w:r>
        <w:t xml:space="preserve">  See ibid., </w:t>
      </w:r>
      <w:r>
        <w:rPr>
          <w:i/>
        </w:rPr>
        <w:t>Forty</w:t>
      </w:r>
      <w:r>
        <w:rPr>
          <w:i/>
        </w:rPr>
        <w:noBreakHyphen/>
        <w:t>fifth Session, Supplement No. 40</w:t>
      </w:r>
      <w:r>
        <w:t>, (A/45/40), volume II, annex X, section A, Communication No. 220/1987 (</w:t>
      </w:r>
      <w:r>
        <w:rPr>
          <w:i/>
        </w:rPr>
        <w:t>T.K. v. France</w:t>
      </w:r>
      <w:r>
        <w:t>), decision of 8 November 1989; ibid., section B, Communication No. 222/1987 (</w:t>
      </w:r>
      <w:r>
        <w:rPr>
          <w:i/>
        </w:rPr>
        <w:t>M.K. v. France</w:t>
      </w:r>
      <w:r>
        <w:t>), decision of 8 November 1989.</w:t>
      </w:r>
    </w:p>
  </w:endnote>
  <w:endnote w:id="165">
    <w:p w:rsidR="00000000" w:rsidRDefault="00000000">
      <w:pPr>
        <w:pStyle w:val="EndnoteText"/>
      </w:pPr>
      <w:r>
        <w:rPr>
          <w:rStyle w:val="EndnoteReference"/>
        </w:rPr>
        <w:endnoteRef/>
      </w:r>
      <w:r>
        <w:t xml:space="preserve">  See notes 1 and 2 above, Communication No. 167/1984 (</w:t>
      </w:r>
      <w:r>
        <w:rPr>
          <w:i/>
        </w:rPr>
        <w:t>Bernard Ominayak, Chief of the Lubicon Lake Band v. Canada</w:t>
      </w:r>
      <w:r>
        <w:t>), views adopted on 26 March 1990, and Communication No. 197/1985 (</w:t>
      </w:r>
      <w:r>
        <w:rPr>
          <w:i/>
        </w:rPr>
        <w:t>Kitok v. Sweden</w:t>
      </w:r>
      <w:r>
        <w:t>), views adopted on 27 July 1988.</w:t>
      </w:r>
    </w:p>
  </w:endnote>
  <w:endnote w:id="166">
    <w:p w:rsidR="00000000" w:rsidRDefault="00000000">
      <w:pPr>
        <w:pStyle w:val="EndnoteText"/>
      </w:pPr>
      <w:r>
        <w:rPr>
          <w:rStyle w:val="EndnoteReference"/>
        </w:rPr>
        <w:endnoteRef/>
      </w:r>
      <w:r>
        <w:t xml:space="preserve">  Article 2 (1) (d), Vienna Convention on the Law of Treaties 1969.</w:t>
      </w:r>
    </w:p>
  </w:endnote>
  <w:endnote w:id="167">
    <w:p w:rsidR="00000000" w:rsidRDefault="00000000">
      <w:pPr>
        <w:pStyle w:val="EndnoteText"/>
      </w:pPr>
      <w:r>
        <w:rPr>
          <w:rStyle w:val="EndnoteReference"/>
        </w:rPr>
        <w:endnoteRef/>
      </w:r>
      <w:r>
        <w:t xml:space="preserve">  Although the Vienna Convention on the Law of Treaties was concluded in 1969 and entered into force in 1980 </w:t>
      </w:r>
      <w:r>
        <w:noBreakHyphen/>
        <w:t xml:space="preserve"> i.e. after the entry into force of the Covenant </w:t>
      </w:r>
      <w:r>
        <w:noBreakHyphen/>
        <w:t xml:space="preserve"> its terms reflect the general international law on this matter as had already been affirmed by the International Court of Justice in </w:t>
      </w:r>
      <w:r>
        <w:rPr>
          <w:i/>
        </w:rPr>
        <w:t>The Reservations to the Genocide Convention Case</w:t>
      </w:r>
      <w:r>
        <w:t xml:space="preserve"> of 1951.</w:t>
      </w:r>
    </w:p>
  </w:endnote>
  <w:endnote w:id="168">
    <w:p w:rsidR="00000000" w:rsidRDefault="00000000">
      <w:pPr>
        <w:pStyle w:val="EndnoteText"/>
      </w:pPr>
      <w:r>
        <w:rPr>
          <w:rStyle w:val="EndnoteReference"/>
        </w:rPr>
        <w:endnoteRef/>
      </w:r>
      <w:r>
        <w:t xml:space="preserve">  Reservations have been entered to both article 6 and article 7, but not in terms which reserve a right to torture or to engage in arbitrary deprivation of life.</w:t>
      </w:r>
    </w:p>
  </w:endnote>
  <w:endnote w:id="169">
    <w:p w:rsidR="00000000" w:rsidRDefault="00000000">
      <w:pPr>
        <w:pStyle w:val="EndnoteText"/>
      </w:pPr>
      <w:r>
        <w:rPr>
          <w:rStyle w:val="EndnoteReference"/>
        </w:rPr>
        <w:endnoteRef/>
      </w:r>
      <w:r>
        <w:t xml:space="preserve">  The competence of the Committee in respect of this extended obligation is provided for under article 5 </w:t>
      </w:r>
      <w:r>
        <w:noBreakHyphen/>
        <w:t xml:space="preserve"> which itself is subject to a form of reservation in that the automatic granting of this competence may be reserved through the mechanism of a statement made to the contrary at the moment of ratification or accession.</w:t>
      </w:r>
    </w:p>
  </w:endnote>
  <w:endnote w:id="170">
    <w:p w:rsidR="00000000" w:rsidRDefault="00000000">
      <w:pPr>
        <w:pStyle w:val="EndnoteText"/>
      </w:pPr>
      <w:r>
        <w:rPr>
          <w:rStyle w:val="EndnoteReference"/>
        </w:rPr>
        <w:endnoteRef/>
      </w:r>
      <w:r>
        <w:t xml:space="preserve">  Adopted by the Committee at its 1510th meeting (fifty-seventh session) on 12 July 1996.</w:t>
      </w:r>
    </w:p>
  </w:endnote>
  <w:endnote w:id="171">
    <w:p w:rsidR="00000000" w:rsidRDefault="00000000">
      <w:pPr>
        <w:pStyle w:val="EndnoteText"/>
      </w:pPr>
      <w:r>
        <w:rPr>
          <w:rStyle w:val="EndnoteReference"/>
        </w:rPr>
        <w:endnoteRef/>
      </w:r>
      <w:r>
        <w:t xml:space="preserve">  The number in parenthesis indicates the session at which the general comment was adopted.</w:t>
      </w:r>
    </w:p>
  </w:endnote>
  <w:endnote w:id="172">
    <w:p w:rsidR="00000000" w:rsidRDefault="00000000">
      <w:pPr>
        <w:pStyle w:val="EndnoteText"/>
      </w:pPr>
      <w:r>
        <w:rPr>
          <w:rStyle w:val="EndnoteReference"/>
        </w:rPr>
        <w:endnoteRef/>
      </w:r>
      <w:r>
        <w:t xml:space="preserve">  HRI/GEN/1/Rev.3, 15 August 1997, p. 20 (para. 8).</w:t>
      </w:r>
    </w:p>
  </w:endnote>
  <w:endnote w:id="173">
    <w:p w:rsidR="00000000" w:rsidRDefault="00000000">
      <w:pPr>
        <w:pStyle w:val="EndnoteText"/>
      </w:pPr>
      <w:r>
        <w:rPr>
          <w:rStyle w:val="EndnoteReference"/>
        </w:rPr>
        <w:endnoteRef/>
      </w:r>
      <w:r>
        <w:t xml:space="preserve">  Communication No. 456/1991, </w:t>
      </w:r>
      <w:r>
        <w:rPr>
          <w:i/>
        </w:rPr>
        <w:t>Celepli v. Sweden</w:t>
      </w:r>
      <w:r>
        <w:t>, paragraph 9.2.</w:t>
      </w:r>
    </w:p>
  </w:endnote>
  <w:endnote w:id="174">
    <w:p w:rsidR="00000000" w:rsidRDefault="00000000">
      <w:pPr>
        <w:pStyle w:val="EndnoteText"/>
      </w:pPr>
      <w:r>
        <w:rPr>
          <w:rStyle w:val="EndnoteReference"/>
        </w:rPr>
        <w:endnoteRef/>
      </w:r>
      <w:r>
        <w:t xml:space="preserve">  General comment No. 15, paragraph 8, in HRI/GEN/1/Rev.3, 15 August 1997, p. 20.</w:t>
      </w:r>
    </w:p>
  </w:endnote>
  <w:endnote w:id="175">
    <w:p w:rsidR="00000000" w:rsidRDefault="00000000">
      <w:pPr>
        <w:pStyle w:val="EndnoteText"/>
      </w:pPr>
      <w:r>
        <w:rPr>
          <w:rStyle w:val="EndnoteReference"/>
        </w:rPr>
        <w:endnoteRef/>
      </w:r>
      <w:r>
        <w:t xml:space="preserve">  See, for example, communication No. 138/1983, </w:t>
      </w:r>
      <w:r>
        <w:rPr>
          <w:i/>
        </w:rPr>
        <w:t xml:space="preserve">Mpandajila v. </w:t>
      </w:r>
      <w:r>
        <w:t xml:space="preserve">Zaire, paragraph 10; communication No. 157/1983, </w:t>
      </w:r>
      <w:r>
        <w:rPr>
          <w:i/>
        </w:rPr>
        <w:t>Mpaka-Nsusu v. Zaire</w:t>
      </w:r>
      <w:r>
        <w:t xml:space="preserve">, paragraph 10; communication Nos. 241/1987 and 242/1987, </w:t>
      </w:r>
      <w:r>
        <w:rPr>
          <w:i/>
        </w:rPr>
        <w:t>Birhashwirwa/Tshisekedi v.</w:t>
      </w:r>
      <w:r>
        <w:t xml:space="preserve"> </w:t>
      </w:r>
      <w:r>
        <w:rPr>
          <w:i/>
        </w:rPr>
        <w:t>Zaire</w:t>
      </w:r>
      <w:r>
        <w:t>, paragraph 13.</w:t>
      </w:r>
    </w:p>
  </w:endnote>
  <w:endnote w:id="176">
    <w:p w:rsidR="00000000" w:rsidRDefault="00000000">
      <w:pPr>
        <w:pStyle w:val="EndnoteText"/>
      </w:pPr>
      <w:r>
        <w:rPr>
          <w:rStyle w:val="EndnoteReference"/>
        </w:rPr>
        <w:endnoteRef/>
      </w:r>
      <w:r>
        <w:t xml:space="preserve">  See general comment No. 15, paragraph 9, in HRI/GEN/1/Rev.3, 15 August 1997, p. 21.</w:t>
      </w:r>
    </w:p>
  </w:endnote>
  <w:endnote w:id="177">
    <w:p w:rsidR="00000000" w:rsidRDefault="00000000">
      <w:pPr>
        <w:pStyle w:val="EndnoteText"/>
      </w:pPr>
      <w:r>
        <w:rPr>
          <w:rStyle w:val="EndnoteReference"/>
        </w:rPr>
        <w:endnoteRef/>
      </w:r>
      <w:r>
        <w:t xml:space="preserve">  See communication No. 106/1981, </w:t>
      </w:r>
      <w:r>
        <w:rPr>
          <w:i/>
        </w:rPr>
        <w:t>Montero v. Uruguay</w:t>
      </w:r>
      <w:r>
        <w:t xml:space="preserve">, paragraph 9.4; communication No. 57/1979, </w:t>
      </w:r>
      <w:r>
        <w:rPr>
          <w:i/>
        </w:rPr>
        <w:t xml:space="preserve">Vidal Martins v. </w:t>
      </w:r>
      <w:r>
        <w:t xml:space="preserve">Uruguay, paragraph 7; communication No. 77/1980, </w:t>
      </w:r>
      <w:r>
        <w:rPr>
          <w:i/>
        </w:rPr>
        <w:t>Lichtensztejn v. Uruguay</w:t>
      </w:r>
      <w:r>
        <w:t>, paragraph 6.1.</w:t>
      </w:r>
    </w:p>
  </w:endnote>
  <w:endnote w:id="178">
    <w:p w:rsidR="00000000" w:rsidRDefault="00000000">
      <w:pPr>
        <w:pStyle w:val="EndnoteText"/>
      </w:pPr>
      <w:r>
        <w:rPr>
          <w:rStyle w:val="EndnoteReference"/>
        </w:rPr>
        <w:endnoteRef/>
      </w:r>
      <w:r>
        <w:t xml:space="preserve">  See communication No. 57/1979, </w:t>
      </w:r>
      <w:r>
        <w:rPr>
          <w:i/>
        </w:rPr>
        <w:t xml:space="preserve">Vidal </w:t>
      </w:r>
      <w:r>
        <w:t>Martins</w:t>
      </w:r>
      <w:r>
        <w:rPr>
          <w:i/>
        </w:rPr>
        <w:t xml:space="preserve"> v. Uruguay</w:t>
      </w:r>
      <w:r>
        <w:t>, paragraph 9.</w:t>
      </w:r>
    </w:p>
  </w:endnote>
  <w:endnote w:id="179">
    <w:p w:rsidR="00000000" w:rsidRDefault="00000000">
      <w:pPr>
        <w:pStyle w:val="EndnoteText"/>
      </w:pPr>
      <w:r>
        <w:rPr>
          <w:rStyle w:val="EndnoteReference"/>
        </w:rPr>
        <w:endnoteRef/>
      </w:r>
      <w:r>
        <w:t xml:space="preserve">  See general comment No. 23, paragraph 7, in HRI/GEN/1/Rev.3, 15 August 1997, p. 41.</w:t>
      </w:r>
    </w:p>
  </w:endnote>
  <w:endnote w:id="180">
    <w:p w:rsidR="00000000" w:rsidRDefault="00000000">
      <w:pPr>
        <w:pStyle w:val="EndnoteText"/>
        <w:spacing w:after="0"/>
      </w:pPr>
      <w:r>
        <w:rPr>
          <w:rStyle w:val="EndnoteReference"/>
        </w:rPr>
        <w:endnoteRef/>
      </w:r>
      <w:r>
        <w:t xml:space="preserve">  See communication No. 538/1993, </w:t>
      </w:r>
      <w:r>
        <w:rPr>
          <w:i/>
        </w:rPr>
        <w:t>Stewart v. Canada</w:t>
      </w:r>
      <w:r>
        <w:t>.</w:t>
      </w:r>
    </w:p>
  </w:endnote>
  <w:endnote w:id="181">
    <w:p w:rsidR="00000000" w:rsidRDefault="00000000">
      <w:pPr>
        <w:pStyle w:val="EndnoteText"/>
      </w:pPr>
      <w:r>
        <w:rPr>
          <w:rStyle w:val="EndnoteReference"/>
        </w:rPr>
        <w:endnoteRef/>
      </w:r>
      <w:r>
        <w:t xml:space="preserve">  Adopted by the Committee at its 1834th meeting (sixty</w:t>
      </w:r>
      <w:r>
        <w:noBreakHyphen/>
        <w:t>eighth session), on 29 March 2000.</w:t>
      </w:r>
    </w:p>
  </w:endnote>
  <w:endnote w:id="182">
    <w:p w:rsidR="00000000" w:rsidRDefault="00000000">
      <w:pPr>
        <w:pStyle w:val="EndnoteText"/>
      </w:pPr>
      <w:r>
        <w:rPr>
          <w:rStyle w:val="EndnoteReference"/>
        </w:rPr>
        <w:endnoteRef/>
      </w:r>
      <w:r>
        <w:t xml:space="preserve">  See the following comments/concluding observations:  United Republic of Tanzania (1992), CCPR/C/79/Add.12, paragraph 7; Dominican Republic (1993), CCPR/C/79/Add.18, paragraph 4; United Kingdom of Great Britain and Northern Ireland (1995), CCPR/C/79/Add.55, paragraph 23; Peru (1996), CCPR/C/79/Add.67, paragraph 11; Bolivia (1997), CCPR/C/79/Add.74, paragraph 14; Colombia (1997), CCPR/C/79/Add.76, paragraph 25; Lebanon (1997), CCPR/C/79/Add.78, paragraph 10; Uruguay (1998), CCPR/C/79/Add.90, paragraph 8; Israel (1998), CCPR/C/79/Add.93, paragraph 11.</w:t>
      </w:r>
    </w:p>
  </w:endnote>
  <w:endnote w:id="183">
    <w:p w:rsidR="00000000" w:rsidRDefault="00000000">
      <w:pPr>
        <w:pStyle w:val="EndnoteText"/>
      </w:pPr>
      <w:r>
        <w:rPr>
          <w:rStyle w:val="EndnoteReference"/>
        </w:rPr>
        <w:endnoteRef/>
      </w:r>
      <w:r>
        <w:t xml:space="preserve">  See, for instance, articles 12 and 19 of the Covenant.</w:t>
      </w:r>
    </w:p>
  </w:endnote>
  <w:endnote w:id="184">
    <w:p w:rsidR="00000000" w:rsidRDefault="00000000">
      <w:pPr>
        <w:pStyle w:val="EndnoteText"/>
      </w:pPr>
      <w:r>
        <w:rPr>
          <w:rStyle w:val="EndnoteReference"/>
        </w:rPr>
        <w:endnoteRef/>
      </w:r>
      <w:r>
        <w:t xml:space="preserve">  See, for example, concluding observations on Israel (1998), CCPR/C/79/Add.93, paragraph 11.</w:t>
      </w:r>
    </w:p>
  </w:endnote>
  <w:endnote w:id="185">
    <w:p w:rsidR="00000000" w:rsidRDefault="00000000">
      <w:pPr>
        <w:pStyle w:val="EndnoteText"/>
      </w:pPr>
      <w:r>
        <w:rPr>
          <w:rStyle w:val="EndnoteReference"/>
        </w:rPr>
        <w:endnoteRef/>
      </w:r>
      <w:r>
        <w:t xml:space="preserve">  See the following comments/concluding observations: Dominican Republic (1993), CCPR/C/79/Add.18, paragraph 4; Jordan (1994), CCPR/C/79/Add.35, paragraph 6; Nepal (1994), CCPR/C/79/Add.42, paragraph 9; Russian Federation (1995), CCPR/C/79/Add.54, paragraph 27; Zambia (1996), CCPR/C/79/Add.62, paragraph 11; Gabon (1996), CCPR/C/79/Add.71, paragraph 10; Colombia (1997), CCPR/C/79/Add.76, paragraph 25; Israel (1998), CCPR/C/79/Add.93, paragraph 11; Iraq (1997), CCPR/C/79/Add.84, paragraph 9; Uruguay (1998), CCPR/C/79/Add.90, paragraph 8; Armenia (1998), CCPR/C/79/Add.100, paragraph 7; Mongolia (2000), CCPR/C/79/Add.120, paragraph 14; Kyrgyzstan (2000), CCPR/CO/69/KGZ, paragraph 12.</w:t>
      </w:r>
    </w:p>
  </w:endnote>
  <w:endnote w:id="186">
    <w:p w:rsidR="00000000" w:rsidRDefault="00000000">
      <w:pPr>
        <w:pStyle w:val="EndnoteText"/>
      </w:pPr>
      <w:r>
        <w:rPr>
          <w:rStyle w:val="EndnoteReference"/>
        </w:rPr>
        <w:endnoteRef/>
      </w:r>
      <w:r>
        <w:t xml:space="preserve">  Reference is made to the Convention on the Rights of the Child which has been ratified by almost all States parties to the Covenant and does not include a derogation clause. As article 38 of the Convention clearly indicates, the Convention is applicable in emergency situations.</w:t>
      </w:r>
    </w:p>
  </w:endnote>
  <w:endnote w:id="187">
    <w:p w:rsidR="00000000" w:rsidRDefault="00000000">
      <w:pPr>
        <w:pStyle w:val="EndnoteText"/>
      </w:pPr>
      <w:r>
        <w:rPr>
          <w:rStyle w:val="EndnoteReference"/>
        </w:rPr>
        <w:endnoteRef/>
      </w:r>
      <w:r>
        <w:t xml:space="preserve">  Reference is made to reports of the Secretary</w:t>
      </w:r>
      <w:r>
        <w:noBreakHyphen/>
        <w:t>General to the Commission on Human Rights submitted pursuant to Commission resolutions 1998/29, 1996/65 and 2000/69 on minimum humanitarian standards (later: fundamental standards of humanity), E/CN.4/1999/92, E/CN.4/2000/94 and E/CN.4/2001/91, and to earlier efforts to identify fundamental rights applicable in all circumstances, for instance the Paris Minimum Standards of Human Rights Norms in a State of Emergency (International Law Association, 1984), the Siracusa Principles on the Limitation and Derogation Provisions in the International Covenant on Civil and Political Rights, the final report of Mr. Leandro Despouy, Special Rapporteur of the Sub-Commission, on human rights and states of emergency (E/CN.4/Sub.2/1997/19 and Add.1), the Guiding Principles on Internal Displacement (E/CN.4/1998/53/Add.2), the Turku (Ảbo) Declaration of Minimum Humanitarian Standards (1990), (E/CN.4/1995/116). As a field of ongoing further work reference is made to the decision of the 26th International Conference of the Red Cross and Red Crescent (1995) to assign the International Committee of the Red Cross the task of preparing a report on the customary rules of international humanitarian law applicable in international and non-international armed conflicts.</w:t>
      </w:r>
    </w:p>
  </w:endnote>
  <w:endnote w:id="188">
    <w:p w:rsidR="00000000" w:rsidRDefault="00000000">
      <w:pPr>
        <w:pStyle w:val="EndnoteText"/>
      </w:pPr>
      <w:r>
        <w:rPr>
          <w:rStyle w:val="EndnoteReference"/>
        </w:rPr>
        <w:endnoteRef/>
      </w:r>
      <w:r>
        <w:t xml:space="preserve">  See articles 6 (genocide) and 7 (crimes against humanity) of the Statute which by 1 July 2001 had been ratified by 35 States. While many of the specific forms of conduct listed in article 7 of the Statute are</w:t>
      </w:r>
      <w:r>
        <w:rPr>
          <w:rStyle w:val="EndnoteReference"/>
        </w:rPr>
        <w:t xml:space="preserve"> </w:t>
      </w:r>
      <w:r>
        <w:t>directly linked to violations against those human rights that are listed as non</w:t>
      </w:r>
      <w:r>
        <w:noBreakHyphen/>
        <w:t>derogable provisions in article 4, paragraph 2, of the Covenant, the category of crimes against humanity as defined in that provision covers also violations of some provisions of the Covenant that have not been mentioned in the said provision of the Covenant. For example, certain grave violations of article 27 may at the same time constitute genocide under article 6 of the Rome Statute, and article 7, in turn, covers practices that are related to, besides articles 6, 7 and 8 of the Covenant, also articles 9, 12, 26 and 27.</w:t>
      </w:r>
    </w:p>
  </w:endnote>
  <w:endnote w:id="189">
    <w:p w:rsidR="00000000" w:rsidRDefault="00000000">
      <w:pPr>
        <w:pStyle w:val="EndnoteText"/>
        <w:spacing w:after="840"/>
      </w:pPr>
      <w:r>
        <w:rPr>
          <w:rStyle w:val="EndnoteReference"/>
        </w:rPr>
        <w:endnoteRef/>
      </w:r>
      <w:r>
        <w:t xml:space="preserve">  See article 7 (1) (d) and 7 (2) (d) of the Rome Statute.</w:t>
      </w:r>
    </w:p>
  </w:endnote>
  <w:endnote w:id="190">
    <w:p w:rsidR="00000000" w:rsidRDefault="00000000">
      <w:pPr>
        <w:pStyle w:val="EndnoteText"/>
      </w:pPr>
      <w:r>
        <w:rPr>
          <w:rStyle w:val="EndnoteReference"/>
        </w:rPr>
        <w:endnoteRef/>
      </w:r>
      <w:r>
        <w:t xml:space="preserve">  See the Committee’s concluding observations on Israel (1998) (CCPR/C/79/Add.93), paragraph 21:  “… The Committee considers the present application of administrative detention to be incompatible with articles 7 and 16 of the Covenant, neither of which allows for derogation in times of public emergency ….  The Committee stresses, however, that a State party may not depart from the requirement of effective judicial review of detention.”  See also the recommendation by the Committee to the Sub-Commission on Prevention of Discrimination and Protection of Minorities concerning a draft third optional protocol to the Covenant:  “The Committee is satisfied that States parties generally understand that the right to habeas corpus and </w:t>
      </w:r>
      <w:r>
        <w:rPr>
          <w:i/>
        </w:rPr>
        <w:t>amparo</w:t>
      </w:r>
      <w:r>
        <w:t xml:space="preserve"> should not be limited in situations of emergency.  Furthermore, the Committee is of the view that the remedies provided in article 9, paragraphs 3 and 4, read in conjunction with article 2 are inherent to the Covenant as a whole.” </w:t>
      </w:r>
      <w:r>
        <w:rPr>
          <w:i/>
        </w:rPr>
        <w:t>Official Records of the General Assembly, Forty-ninth session, Supplement No. 40 (A/49/40)</w:t>
      </w:r>
      <w:r>
        <w:t>, vol. I, annex XI, paragraph 2.</w:t>
      </w:r>
    </w:p>
  </w:endnote>
  <w:endnote w:id="191">
    <w:p w:rsidR="00000000" w:rsidRDefault="00000000">
      <w:pPr>
        <w:pStyle w:val="EndnoteText"/>
      </w:pPr>
      <w:r>
        <w:rPr>
          <w:rStyle w:val="EndnoteReference"/>
        </w:rPr>
        <w:endnoteRef/>
      </w:r>
      <w:r>
        <w:t xml:space="preserve">  See comments/concluding observations on Peru (1992), CCPR/C/79/Add.8, paragraph 10; Ireland (1993), CCPR/C/79/Add.21, paragraph 11; Egypt (1993), CCPR/C/79/Add.23, paragraph 7; Cameroon (1994), CCPR/C/79/Add.33, paragraph 7; Russian Federation (1995), CCPR/C/79/Add.54, paragraph 27; Zambia (1996), CCPR/C/79/Add.62, paragraph 11; Lebanon (1997), CCPR/C/79/Add.78, paragraph 10; India (1997), CCPR/C/79/Add.81, paragraph 19; Mexico (1999), CCPR/C/79/Add.109, paragraph 12.</w:t>
      </w:r>
    </w:p>
  </w:endnote>
  <w:endnote w:id="192">
    <w:p w:rsidR="00000000" w:rsidRDefault="00000000">
      <w:pPr>
        <w:pStyle w:val="EndnoteText"/>
      </w:pPr>
      <w:r>
        <w:rPr>
          <w:rStyle w:val="EndnoteReference"/>
        </w:rPr>
        <w:endnoteRef/>
      </w:r>
      <w:r>
        <w:t xml:space="preserve">  General Assembly resolution 217 A (III).</w:t>
      </w:r>
    </w:p>
  </w:endnote>
  <w:endnote w:id="193">
    <w:p w:rsidR="00000000" w:rsidRDefault="00000000">
      <w:pPr>
        <w:pStyle w:val="EndnoteText"/>
      </w:pPr>
      <w:r>
        <w:rPr>
          <w:rStyle w:val="EndnoteReference"/>
        </w:rPr>
        <w:endnoteRef/>
      </w:r>
      <w:r>
        <w:t xml:space="preserve">  General Assembly resolution 2200 A (XXI), annex.</w:t>
      </w:r>
    </w:p>
  </w:endnote>
  <w:endnote w:id="194">
    <w:p w:rsidR="00000000" w:rsidRDefault="00000000">
      <w:pPr>
        <w:pStyle w:val="EndnoteText"/>
      </w:pPr>
      <w:r>
        <w:rPr>
          <w:rStyle w:val="EndnoteReference"/>
        </w:rPr>
        <w:endnoteRef/>
      </w:r>
      <w:r>
        <w:t xml:space="preserve">  General Assembly resolution 640 (VII).</w:t>
      </w:r>
    </w:p>
  </w:endnote>
  <w:endnote w:id="195">
    <w:p w:rsidR="00000000" w:rsidRDefault="00000000">
      <w:pPr>
        <w:pStyle w:val="EndnoteText"/>
      </w:pPr>
      <w:r>
        <w:rPr>
          <w:rStyle w:val="EndnoteReference"/>
        </w:rPr>
        <w:endnoteRef/>
      </w:r>
      <w:r>
        <w:t xml:space="preserve">  </w:t>
      </w:r>
      <w:r>
        <w:rPr>
          <w:i/>
        </w:rPr>
        <w:t>Report of the World Conference on Human Rights, Vienna, 14-25 June 1993</w:t>
      </w:r>
      <w:r>
        <w:t xml:space="preserve"> (A/CONF.157/24 (Part I)), chap. III.</w:t>
      </w:r>
    </w:p>
  </w:endnote>
  <w:endnote w:id="196">
    <w:p w:rsidR="00000000" w:rsidRDefault="00000000">
      <w:pPr>
        <w:pStyle w:val="EndnoteText"/>
      </w:pPr>
      <w:r>
        <w:rPr>
          <w:rStyle w:val="EndnoteReference"/>
        </w:rPr>
        <w:endnoteRef/>
      </w:r>
      <w:r>
        <w:t xml:space="preserve">  </w:t>
      </w:r>
      <w:r>
        <w:rPr>
          <w:i/>
        </w:rPr>
        <w:t>Report of the Fourth World Conference on Women, Beijing, 4-15 September 1995</w:t>
      </w:r>
      <w:r>
        <w:rPr>
          <w:u w:val="single"/>
        </w:rPr>
        <w:t xml:space="preserve"> </w:t>
      </w:r>
      <w:r>
        <w:t>(A/CONF.177/20 and Add.1), chap. I, resolution 1, annex I.</w:t>
      </w:r>
    </w:p>
  </w:endnote>
  <w:endnote w:id="197">
    <w:p w:rsidR="00000000" w:rsidRDefault="00000000">
      <w:pPr>
        <w:pStyle w:val="EndnoteText"/>
      </w:pPr>
      <w:r>
        <w:rPr>
          <w:rStyle w:val="EndnoteReference"/>
        </w:rPr>
        <w:endnoteRef/>
      </w:r>
      <w:r>
        <w:t xml:space="preserve">  See </w:t>
      </w:r>
      <w:r>
        <w:rPr>
          <w:i/>
        </w:rPr>
        <w:t>Official Records of the General Assembly, Forty</w:t>
      </w:r>
      <w:r>
        <w:rPr>
          <w:i/>
        </w:rPr>
        <w:noBreakHyphen/>
        <w:t xml:space="preserve">third Session, Supplement No. 38 </w:t>
      </w:r>
      <w:r>
        <w:t>(A/43/38), chap. V.</w:t>
      </w:r>
    </w:p>
  </w:endnote>
  <w:endnote w:id="198">
    <w:p w:rsidR="00000000" w:rsidRDefault="00000000">
      <w:pPr>
        <w:pStyle w:val="EndnoteText"/>
      </w:pPr>
      <w:r>
        <w:rPr>
          <w:rStyle w:val="EndnoteReference"/>
        </w:rPr>
        <w:endnoteRef/>
      </w:r>
      <w:r>
        <w:t xml:space="preserve">  CCPR/21/21/Rev.1/Add.7, 27 August 1996.</w:t>
      </w:r>
    </w:p>
  </w:endnote>
  <w:endnote w:id="199">
    <w:p w:rsidR="00000000" w:rsidRDefault="00000000">
      <w:pPr>
        <w:pStyle w:val="EndnoteText"/>
      </w:pPr>
      <w:r>
        <w:rPr>
          <w:rStyle w:val="EndnoteReference"/>
        </w:rPr>
        <w:endnoteRef/>
      </w:r>
      <w:r>
        <w:t xml:space="preserve">  96/694/EC, Brussels, 2 December 1996.</w:t>
      </w:r>
    </w:p>
  </w:endnote>
  <w:endnote w:id="200">
    <w:p w:rsidR="00000000" w:rsidRDefault="00000000">
      <w:pPr>
        <w:pStyle w:val="EndnoteText"/>
        <w:rPr>
          <w:lang w:val="fr-FR"/>
        </w:rPr>
      </w:pPr>
      <w:r>
        <w:rPr>
          <w:rStyle w:val="EndnoteReference"/>
        </w:rPr>
        <w:endnoteRef/>
      </w:r>
      <w:r>
        <w:rPr>
          <w:lang w:val="fr-FR"/>
        </w:rPr>
        <w:t xml:space="preserve">  European Commission document V/1206/96</w:t>
      </w:r>
      <w:r>
        <w:rPr>
          <w:lang w:val="fr-FR"/>
        </w:rPr>
        <w:noBreakHyphen/>
        <w:t>EN (March 1996).</w:t>
      </w:r>
    </w:p>
  </w:endnote>
  <w:endnote w:id="201">
    <w:p w:rsidR="00000000" w:rsidRDefault="00000000">
      <w:pPr>
        <w:pStyle w:val="EndnoteText"/>
      </w:pPr>
      <w:r>
        <w:rPr>
          <w:rStyle w:val="EndnoteReference"/>
        </w:rPr>
        <w:endnoteRef/>
      </w:r>
      <w:r>
        <w:t xml:space="preserve">  See paragraph 141 of the Platform for Action adopted by the Fourth World Conference on Women, held at Beijing from 4 to 15 September 1995 (A/CONF.177/20, chap. I, resolution 1, annex II).  See also paragraph 134, which reads in part:  “The equal access and full participation of women in power structures and their full involvement in all efforts for the prevention and resolution of conflicts are essential for the maintenance and promotion of peace and security.”</w:t>
      </w:r>
    </w:p>
  </w:endnote>
  <w:endnote w:id="202">
    <w:p w:rsidR="00000000" w:rsidRDefault="00000000">
      <w:r>
        <w:rPr>
          <w:rStyle w:val="EndnoteReference"/>
        </w:rPr>
        <w:endnoteRef/>
      </w:r>
      <w:r>
        <w:t xml:space="preserve">  Indirect discrimination against women may occur when laws, policies and programmes are based on seemingly gender-neutral criteria which in their actual effect have a detrimental impact on women.  Gender-neutral laws, policies and programmes unintentionally may perpetuate the consequences of past discrimination.  They may be inadvertently modelled on male lifestyles and thus fail to take into account aspects of women’s life experiences which may differ from those of men.  These differences may exist because of stereotypical expectations, attitudes and behaviour directed towards women which are based on the biological differences between women and men.  They may also exist because of the generally existing subordination of women by men.</w:t>
      </w:r>
    </w:p>
  </w:endnote>
  <w:endnote w:id="203">
    <w:p w:rsidR="00000000" w:rsidRDefault="00000000">
      <w:pPr>
        <w:pStyle w:val="EndnoteText"/>
      </w:pPr>
      <w:r>
        <w:rPr>
          <w:rStyle w:val="EndnoteReference"/>
        </w:rPr>
        <w:endnoteRef/>
      </w:r>
      <w:r>
        <w:t xml:space="preserve">  “Gender is defined as the social meanings given to biological sex differences.  It is an ideological and cultural construct, but is also reproduced within the realm of material practices; in turn it influences the outcomes of such practices.  It affects the distribution of resources, wealth, work, decision-making and political power, and enjoyment of rights and entitlements within the family as well as public life.  Despite variations across cultures and over time, gender relations throughout the world entail asymmetry of power between men and women as a pervasive trait.  Thus, gender is a social stratifier, and in this sense it is similar to other stratifiers such as race, class, ethnicity, sexuality, and age.  It helps us understand the social construction of gender identities and the unequal structure of power that underlies the relationship between the sexes.” </w:t>
      </w:r>
      <w:r>
        <w:rPr>
          <w:i/>
        </w:rPr>
        <w:t>1999 World Survey on the Role of Women in</w:t>
      </w:r>
      <w:r>
        <w:t xml:space="preserve"> </w:t>
      </w:r>
      <w:r>
        <w:rPr>
          <w:i/>
        </w:rPr>
        <w:t>Development</w:t>
      </w:r>
      <w:r>
        <w:t>, United Nations, New York, 1999, page ix.</w:t>
      </w:r>
    </w:p>
  </w:endnote>
  <w:endnote w:id="204">
    <w:p w:rsidR="00000000" w:rsidRDefault="00000000">
      <w:pPr>
        <w:pStyle w:val="EndnoteText"/>
      </w:pPr>
      <w:r>
        <w:rPr>
          <w:rStyle w:val="EndnoteReference"/>
        </w:rPr>
        <w:endnoteRef/>
      </w:r>
      <w:r>
        <w:t xml:space="preserve">  See, for example, the International Convention on the Elimination of All Forms of Racial Discrimination, which mandates temporary special measures.  The practice of treaty monitoring bodies, including the Committee on the Elimination of Racial Discrimination, the Committee on Economic, Social and Cultural Rights, and the Human Rights Committee, shows that these bodies consider the application of temporary special measures as mandatory to achieve the purposes of the respective treaties.  Conventions adopted under the auspices of the International Labour Organization, and various documents of the United Nations Educational, Scientific and Cultural Organization also explicitly or implicitly provide for such measures.  The Sub</w:t>
      </w:r>
      <w:r>
        <w:noBreakHyphen/>
        <w:t>Commission on the Promotion and Protection of Human Rights considered this question and appointed a Special Rapporteur to prepare reports for its consideration and action.  The Commission on the Status of Women reviewed the use of temporary special measures in 1992.  The outcome documents adopted by United Nations world conferences on women, including the Platform for Action of the 1995 Fourth World Conference on Women and its follow-up review of 2000, contain references to positive action as a tool for achieving de facto equality.  The use of temporary special measures by the Secretary-General of the United Nations is a practical example in the area of women’s employment, including through administrative instructions on the recruitment, promotion and placement of women in the Secretariat.  These measures aim at achieving the goal of 50/50 gender distribution at all levels, but at the higher echelons in particular.</w:t>
      </w:r>
    </w:p>
  </w:endnote>
  <w:endnote w:id="205">
    <w:p w:rsidR="00000000" w:rsidRDefault="00000000">
      <w:r>
        <w:rPr>
          <w:rStyle w:val="EndnoteReference"/>
        </w:rPr>
        <w:endnoteRef/>
      </w:r>
      <w:r>
        <w:t xml:space="preserve">  The term “affirmative action” is used in the United States of America and in a number of United Nations documents, whereas the term “positive action” is currently widely used in Europe as well as in many United Nations documents.  However, the term “positive action” is used in yet another sense in international human rights law to describe “positive State action” (the obligation of a State to initiate action versus a State’s obligation to abstain from action).  Hence, the term “positive action” is ambiguous inasmuch as its meaning is not confined to temporary special measures as understood in article 4, paragraph 1, of the Convention.  The terms “reverse discrimination” or “positive discrimination” are criticized by a number of commentators as inappropriate.</w:t>
      </w:r>
    </w:p>
  </w:endnote>
  <w:endnote w:id="206">
    <w:p w:rsidR="00000000" w:rsidRDefault="00000000">
      <w:pPr>
        <w:pStyle w:val="EndnoteText"/>
      </w:pPr>
      <w:r>
        <w:rPr>
          <w:rStyle w:val="EndnoteReference"/>
        </w:rPr>
        <w:endnoteRef/>
      </w:r>
      <w:r>
        <w:t xml:space="preserve">  In this regard, the Committee takes note of general comment No. 13 (1999) of the Committee on Economic, Social and Cultural Rights on the right to education, which deals, inter alia, with the aims of education under article 13 (1) of the International Covenant on Economic, Social and Cultural Rights. The Committee also draws attention to the general guidelines regarding the form and contents of periodic reports to be submitted by States parties under article 44, paragraph 1 (b), of the Convention (CRC/C/58, paras. 112</w:t>
      </w:r>
      <w:r>
        <w:noBreakHyphen/>
        <w:t>116).</w:t>
      </w:r>
    </w:p>
  </w:endnote>
  <w:endnote w:id="207">
    <w:p w:rsidR="00000000" w:rsidRDefault="00000000">
      <w:pPr>
        <w:pStyle w:val="EndnoteText"/>
      </w:pPr>
      <w:r>
        <w:rPr>
          <w:rStyle w:val="EndnoteReference"/>
        </w:rPr>
        <w:endnoteRef/>
      </w:r>
      <w:r>
        <w:t xml:space="preserve">  United Nations Educational, Scientific and Cultural Organization, </w:t>
      </w:r>
      <w:r>
        <w:rPr>
          <w:i/>
        </w:rPr>
        <w:t>Learning:  The Treasure Within</w:t>
      </w:r>
      <w:r>
        <w:t>, Report of the International Commission on Education for the 21st Century, 1996 pp. 16</w:t>
      </w:r>
      <w:r>
        <w:noBreakHyphen/>
        <w:t xml:space="preserve">18. </w:t>
      </w:r>
    </w:p>
  </w:endnote>
  <w:endnote w:id="208">
    <w:p w:rsidR="00000000" w:rsidRDefault="00000000">
      <w:pPr>
        <w:pStyle w:val="EndnoteText"/>
      </w:pPr>
      <w:r>
        <w:rPr>
          <w:rStyle w:val="EndnoteReference"/>
        </w:rPr>
        <w:endnoteRef/>
      </w:r>
      <w:r>
        <w:t xml:space="preserve">  United Nations Educational, Scientific and Cultural Organization, </w:t>
      </w:r>
      <w:r>
        <w:rPr>
          <w:i/>
        </w:rPr>
        <w:t>The Salamanca Statement and Framework for Action on Special Needs Edgucation</w:t>
      </w:r>
      <w:r>
        <w:t>, 1994, p. viii.</w:t>
      </w:r>
    </w:p>
  </w:endnote>
  <w:endnote w:id="209">
    <w:p w:rsidR="00000000" w:rsidRDefault="00000000">
      <w:pPr>
        <w:pStyle w:val="EndnoteText"/>
      </w:pPr>
      <w:r>
        <w:rPr>
          <w:rStyle w:val="EndnoteReference"/>
        </w:rPr>
        <w:endnoteRef/>
      </w:r>
      <w:r>
        <w:t xml:space="preserve">  See general comment No. 5 (1994) of the Committee on Economic, Social and Cultural Rights on persons with disabilities.</w:t>
      </w:r>
    </w:p>
  </w:endnote>
  <w:endnote w:id="210">
    <w:p w:rsidR="00000000" w:rsidRDefault="00000000">
      <w:pPr>
        <w:pStyle w:val="EndnoteText"/>
      </w:pPr>
      <w:r>
        <w:rPr>
          <w:rStyle w:val="EndnoteReference"/>
        </w:rPr>
        <w:endnoteRef/>
      </w:r>
      <w:r>
        <w:t xml:space="preserve">  See the recommendations adopted by the Committee on the Rights of the Child after its day of general discussion in 1998 on children living in a world with HIV/AIDS (A/55/41, para. 1536).</w:t>
      </w:r>
    </w:p>
  </w:endnote>
  <w:endnote w:id="211">
    <w:p w:rsidR="00000000" w:rsidRDefault="00000000">
      <w:pPr>
        <w:pStyle w:val="EndnoteText"/>
      </w:pPr>
      <w:r>
        <w:rPr>
          <w:rStyle w:val="EndnoteReference"/>
        </w:rPr>
        <w:endnoteRef/>
      </w:r>
      <w:r>
        <w:t xml:space="preserve">  See General Assembly resolution 49/184 of 23 December 1994 proclaiming the United Nations Decade for Human Rights Education.</w:t>
      </w:r>
    </w:p>
  </w:endnote>
  <w:endnote w:id="212">
    <w:p w:rsidR="00000000" w:rsidRDefault="00000000">
      <w:pPr>
        <w:pStyle w:val="EndnoteText"/>
      </w:pPr>
      <w:r>
        <w:rPr>
          <w:rStyle w:val="EndnoteReference"/>
        </w:rPr>
        <w:endnoteRef/>
      </w:r>
      <w:r>
        <w:t xml:space="preserve">  Education for All:  Meeting our Collective Commitments, adopted at the World Education Forum, Dakar, 26</w:t>
      </w:r>
      <w:r>
        <w:noBreakHyphen/>
        <w:t>28 April 2000.</w:t>
      </w:r>
    </w:p>
  </w:endnote>
  <w:endnote w:id="213">
    <w:p w:rsidR="00000000" w:rsidRDefault="00000000">
      <w:pPr>
        <w:pStyle w:val="EndnoteText"/>
        <w:keepNext/>
      </w:pPr>
      <w:r>
        <w:rPr>
          <w:rStyle w:val="EndnoteReference"/>
        </w:rPr>
        <w:endnoteRef/>
      </w:r>
      <w:r>
        <w:t xml:space="preserve">  The Committee recalls the recommendations in this respect which emerged from its day of general discussion in 1996 on the child and the media (see A/53/41, para. 1396).</w:t>
      </w:r>
    </w:p>
  </w:endnote>
  <w:endnote w:id="214">
    <w:p w:rsidR="00000000" w:rsidRDefault="00000000">
      <w:pPr>
        <w:spacing w:after="120"/>
      </w:pPr>
      <w:r>
        <w:rPr>
          <w:rStyle w:val="EndnoteReference"/>
        </w:rPr>
        <w:endnoteRef/>
      </w:r>
      <w:r>
        <w:t xml:space="preserve">  General guidelines regarding the form and contents of periodic reports to be submitted by States parties under article 44, paragraph 1 (b), of the Convention (CRC/C/58), para. 18.</w:t>
      </w:r>
    </w:p>
  </w:endnote>
  <w:endnote w:id="215">
    <w:p w:rsidR="00000000" w:rsidRDefault="00000000">
      <w:pPr>
        <w:spacing w:after="120"/>
      </w:pPr>
      <w:r>
        <w:rPr>
          <w:rStyle w:val="EndnoteReference"/>
        </w:rPr>
        <w:endnoteRef/>
      </w:r>
      <w:r>
        <w:t xml:space="preserve">  Principles relating to the status of national institutions for the promotion and protection of human rights (the “Paris Principles”), General Assembly resolution 48/134 of 20 December 1993, annex.</w:t>
      </w:r>
    </w:p>
  </w:endnote>
  <w:endnote w:id="216">
    <w:p w:rsidR="00000000" w:rsidRDefault="00000000">
      <w:r>
        <w:rPr>
          <w:rStyle w:val="EndnoteReference"/>
        </w:rPr>
        <w:endnoteRef/>
      </w:r>
      <w:r>
        <w:t xml:space="preserve">  Commission on Human Rights resolution 1992/54 of 3 March 1992, annex.</w:t>
      </w:r>
    </w:p>
  </w:endnote>
  <w:endnote w:id="217">
    <w:p w:rsidR="00000000" w:rsidRDefault="00000000">
      <w:pPr>
        <w:pStyle w:val="EndnoteText"/>
      </w:pPr>
      <w:r>
        <w:rPr>
          <w:rStyle w:val="EndnoteReference"/>
        </w:rPr>
        <w:endnoteRef/>
      </w:r>
      <w:r>
        <w:t xml:space="preserve">  In its seventeenth session (1998), the Committee on the Rights of the Child held a day of general discussion on the theme of HIV/AIDS and children’s rights in which it recommended a number of actions be taken including facilitating the engagement of States parties on HIV/AIDS issues in relation to the rights of the child. Human rights in relation to HIV/AIDS has also been discussed at the Eighth Meeting of Persons Chairing the Human Rights Treaty Bodies in 1997 and been taken up by the Committee on Economic, Social and Cultural Rights and the Committee on the Elimination of Discrimination against Women. Similarly, HIV/AIDS has been discussed annually by the Commission on Human Rights for over a decade. UNAIDS and UNICEF have emphasized the rights of the child in relation to HIV/AIDS in all aspects of their work, and the World AIDS Campaign for 1997 focused on “Children Living in a World with AIDS” and for 1998 on “Force for Change:  World AIDS Campaign with Young People”. UNAIDS and the Office of the United Nations High Commissioner for Human Rights have also produced </w:t>
      </w:r>
      <w:r>
        <w:rPr>
          <w:i/>
        </w:rPr>
        <w:t>The International Guidelines on HIV/AIDS and Human Rights</w:t>
      </w:r>
      <w:r>
        <w:t xml:space="preserve"> (1998) and its </w:t>
      </w:r>
      <w:r>
        <w:rPr>
          <w:i/>
        </w:rPr>
        <w:t>Revised Guideline 6</w:t>
      </w:r>
      <w:r>
        <w:t xml:space="preserve"> (2002) to promote and protect human rights in the context of HIV/AIDS. At the international political level, HIV/AIDS - related rights have been recognized in the United Nations General Assembly </w:t>
      </w:r>
      <w:r>
        <w:rPr>
          <w:spacing w:val="-4"/>
        </w:rPr>
        <w:t xml:space="preserve">Special Session </w:t>
      </w:r>
      <w:r>
        <w:rPr>
          <w:i/>
          <w:spacing w:val="-4"/>
        </w:rPr>
        <w:t>Declaration of Commitment on HIV/AIDS, A World Fit for Children</w:t>
      </w:r>
      <w:r>
        <w:rPr>
          <w:spacing w:val="-4"/>
        </w:rPr>
        <w:t xml:space="preserve"> of the United Nations </w:t>
      </w:r>
      <w:r>
        <w:t>Assembly Special Session on Children, and in other international and regional documents</w:t>
      </w:r>
      <w:r>
        <w:rPr>
          <w:w w:val="94"/>
        </w:rPr>
        <w:t>.</w:t>
      </w:r>
    </w:p>
  </w:endnote>
  <w:endnote w:id="218">
    <w:p w:rsidR="00000000" w:rsidRDefault="00000000">
      <w:pPr>
        <w:pStyle w:val="BodyText2"/>
        <w:tabs>
          <w:tab w:val="left" w:pos="912"/>
        </w:tabs>
        <w:spacing w:line="240" w:lineRule="auto"/>
        <w:jc w:val="left"/>
      </w:pPr>
      <w:r>
        <w:rPr>
          <w:rStyle w:val="EndnoteReference"/>
        </w:rPr>
        <w:endnoteRef/>
      </w:r>
      <w:r>
        <w:t xml:space="preserve">  These include the International Covenant on Civil and Political Rights, the International Covenant on Economic, Social and Cultural Rights, the Convention against Torture and Other Cruel, Inhuman or Degrading Treatment or Punishment, the International Convention on the Elimination of All Forms of Racial Discrimination, the International Convention on the Protection of the Rights of All Migrant Workers and Members of Their Families and the Convention on the Elimination of All Forms of Discrimination Against Women.</w:t>
      </w:r>
    </w:p>
  </w:endnote>
  <w:endnote w:id="219">
    <w:p w:rsidR="00000000" w:rsidRDefault="00000000">
      <w:pPr>
        <w:pStyle w:val="EndnoteText"/>
      </w:pPr>
      <w:r>
        <w:rPr>
          <w:rStyle w:val="EndnoteReference"/>
        </w:rPr>
        <w:endnoteRef/>
      </w:r>
      <w:r>
        <w:t xml:space="preserve">  See also the reports of the Committee’s days of general discussion on “Violence against children” held in 2000 and 2001 and the Recommendations adopted in this regard (see CRC/C/100, chap. V and CRC/C/111, chap. V).</w:t>
      </w:r>
    </w:p>
  </w:endnote>
  <w:endnote w:id="220">
    <w:p w:rsidR="00000000" w:rsidRDefault="00000000">
      <w:pPr>
        <w:pStyle w:val="EndnoteText"/>
      </w:pPr>
      <w:r>
        <w:rPr>
          <w:rStyle w:val="EndnoteReference"/>
        </w:rPr>
        <w:endnoteRef/>
      </w:r>
      <w:r>
        <w:t xml:space="preserve">  Ibid.</w:t>
      </w:r>
    </w:p>
  </w:endnote>
  <w:endnote w:id="221">
    <w:p w:rsidR="00000000" w:rsidRDefault="00000000">
      <w:pPr>
        <w:pStyle w:val="EndnoteText"/>
      </w:pPr>
      <w:r>
        <w:rPr>
          <w:rStyle w:val="EndnoteReference"/>
        </w:rPr>
        <w:endnoteRef/>
      </w:r>
      <w:r>
        <w:t xml:space="preserve">  As proposed in the Framework Convention on Tobacco Control (2003) of the World Health Organization.</w:t>
      </w:r>
    </w:p>
  </w:endnote>
  <w:endnote w:id="222">
    <w:p w:rsidR="00000000" w:rsidRDefault="00000000">
      <w:pPr>
        <w:pStyle w:val="EndnoteText"/>
      </w:pPr>
      <w:r>
        <w:rPr>
          <w:rStyle w:val="EndnoteReference"/>
        </w:rPr>
        <w:endnoteRef/>
      </w:r>
      <w:r>
        <w:t xml:space="preserve">  For further guidance on this subject, refer to the Principles for the Protection of Persons with Mental Illness and for the Improvement of Mental Health Care, (General Assembly resolution 46/119 of 17 December 1991, annex).</w:t>
      </w:r>
    </w:p>
  </w:endnote>
  <w:endnote w:id="223">
    <w:p w:rsidR="00000000" w:rsidRDefault="00000000">
      <w:r>
        <w:rPr>
          <w:rStyle w:val="EndnoteReference"/>
        </w:rPr>
        <w:endnoteRef/>
      </w:r>
      <w:r>
        <w:t xml:space="preserve">  Ibid., in particular principles 2, 3 and 7.</w:t>
      </w:r>
    </w:p>
  </w:endnote>
  <w:endnote w:id="224">
    <w:p w:rsidR="00000000" w:rsidRDefault="00000000">
      <w:pPr>
        <w:pStyle w:val="EndnoteText"/>
      </w:pPr>
      <w:r>
        <w:rPr>
          <w:rStyle w:val="EndnoteReference"/>
        </w:rPr>
        <w:endnoteRef/>
      </w:r>
      <w:r>
        <w:t xml:space="preserve">  For further guidance on this issue, see general comment No. 3 (2003) on HIV/AIDS and the rights of children.</w:t>
      </w:r>
    </w:p>
  </w:endnote>
  <w:endnote w:id="225">
    <w:p w:rsidR="00000000" w:rsidRDefault="00000000">
      <w:pPr>
        <w:pStyle w:val="EndnoteText"/>
        <w:spacing w:after="480"/>
      </w:pPr>
      <w:r>
        <w:rPr>
          <w:rStyle w:val="EndnoteReference"/>
        </w:rPr>
        <w:endnoteRef/>
      </w:r>
      <w:r>
        <w:t xml:space="preserve">  United Nations Standard Rules on Equal Opportunities for Persons with Disabilities.</w:t>
      </w:r>
    </w:p>
  </w:endnote>
  <w:endnote w:id="226">
    <w:p w:rsidR="00000000" w:rsidRDefault="00000000">
      <w:pPr>
        <w:pStyle w:val="EndnoteText"/>
      </w:pPr>
      <w:r>
        <w:rPr>
          <w:rStyle w:val="EndnoteReference"/>
        </w:rPr>
        <w:endnoteRef/>
      </w:r>
      <w:r>
        <w:t xml:space="preserve">  The Committee reminds States parties that, for the purposes of the Convention, a child is defined as “every human being below the age of 18 years unless, under the law applicable to the child, majority is attained earlier” (art. 1).</w:t>
      </w:r>
    </w:p>
  </w:endnote>
  <w:endnote w:id="227">
    <w:p w:rsidR="00000000" w:rsidRDefault="00000000">
      <w:pPr>
        <w:pStyle w:val="EndnoteText"/>
      </w:pPr>
      <w:r>
        <w:rPr>
          <w:rStyle w:val="EndnoteReference"/>
        </w:rPr>
        <w:endnoteRef/>
      </w:r>
      <w:r>
        <w:t xml:space="preserve">  In 1999, the Committee on the Rights of the Child held a two-day workshop to commemorate the tenth anniversary of adoption of the Convention on the Rights of the Child by the United Nations General Assembly.  The workshop focused on general measures of implementation following which the Committee adopted detailed conclusions and recommendations (see CRC/C/90, paragraph 291).</w:t>
      </w:r>
    </w:p>
  </w:endnote>
  <w:endnote w:id="228">
    <w:p w:rsidR="00000000" w:rsidRDefault="00000000">
      <w:pPr>
        <w:pStyle w:val="EndnoteText"/>
      </w:pPr>
      <w:r>
        <w:rPr>
          <w:rStyle w:val="EndnoteReference"/>
        </w:rPr>
        <w:endnoteRef/>
      </w:r>
      <w:r>
        <w:t xml:space="preserve">  General guidelines regarding the form and content of initial reports to be submitted by States parties under article 44, paragraph 1 (a) of the Convention, CRC/C/5, 15 October 1991; general guidelines regarding the form and contents of periodic reports to be submitted under article 44, paragraph 1 (b) of the Convention on the Rights of the Child, CRC/C/58, 20 November 1996.</w:t>
      </w:r>
    </w:p>
  </w:endnote>
  <w:endnote w:id="229">
    <w:p w:rsidR="00000000" w:rsidRDefault="00000000">
      <w:pPr>
        <w:pStyle w:val="EndnoteText"/>
        <w:spacing w:after="2040"/>
      </w:pPr>
      <w:r>
        <w:rPr>
          <w:rStyle w:val="EndnoteReference"/>
        </w:rPr>
        <w:endnoteRef/>
      </w:r>
      <w:r>
        <w:t xml:space="preserve">  Human Rights Committee, general comment No. 3 (thirteenth session, 1981), </w:t>
      </w:r>
      <w:r>
        <w:rPr>
          <w:i/>
        </w:rPr>
        <w:t>article 2</w:t>
      </w:r>
      <w:r>
        <w:rPr>
          <w:iCs/>
        </w:rPr>
        <w:t>:</w:t>
      </w:r>
      <w:r>
        <w:rPr>
          <w:i/>
        </w:rPr>
        <w:t xml:space="preserve">   Implementation at the national level</w:t>
      </w:r>
      <w:r>
        <w:t xml:space="preserve">; Committee on Economic, Social and Cultural Rights, general comment No. 3 (fifth session, 1990), </w:t>
      </w:r>
      <w:r>
        <w:rPr>
          <w:i/>
        </w:rPr>
        <w:t>The nature of States parties’ obligations (article 2, paragraph 1, of the Covenant</w:t>
      </w:r>
      <w:r>
        <w:t>); also general comment No. 9 (nineteenth session, 1998),</w:t>
      </w:r>
    </w:p>
    <w:p w:rsidR="00000000" w:rsidRDefault="00000000">
      <w:pPr>
        <w:pStyle w:val="EndnoteText"/>
      </w:pPr>
      <w:r>
        <w:rPr>
          <w:i/>
        </w:rPr>
        <w:t>The domestic application of the Covenant</w:t>
      </w:r>
      <w:r>
        <w:t>, elaborating further on certain elements in general comment No. 3.  A compendium of the treaty bodies’ general comments and recommendations is published regularly by the Office of the High Commissioner for Human Rights (HRI/GEN/1/Rev.6).</w:t>
      </w:r>
    </w:p>
  </w:endnote>
  <w:endnote w:id="230">
    <w:p w:rsidR="00000000" w:rsidRDefault="00000000">
      <w:pPr>
        <w:pStyle w:val="EndnoteText"/>
      </w:pPr>
      <w:r>
        <w:rPr>
          <w:rStyle w:val="EndnoteReference"/>
        </w:rPr>
        <w:endnoteRef/>
      </w:r>
      <w:r>
        <w:t xml:space="preserve">  General comment No. 3, HRI/GEN/1/Rev.6, para. 11, p. 16.</w:t>
      </w:r>
    </w:p>
  </w:endnote>
  <w:endnote w:id="231">
    <w:p w:rsidR="00000000" w:rsidRDefault="00000000">
      <w:pPr>
        <w:pStyle w:val="EndnoteText"/>
      </w:pPr>
      <w:r>
        <w:rPr>
          <w:rStyle w:val="EndnoteReference"/>
        </w:rPr>
        <w:endnoteRef/>
      </w:r>
      <w:r>
        <w:t xml:space="preserve">  Human Rights Committee, general comment No. 18 (1989), HRI/GEN/1/Rev.6, pp. 147 et seq.</w:t>
      </w:r>
    </w:p>
  </w:endnote>
  <w:endnote w:id="232">
    <w:p w:rsidR="00000000" w:rsidRDefault="00000000">
      <w:pPr>
        <w:pStyle w:val="EndnoteText"/>
      </w:pPr>
      <w:r>
        <w:rPr>
          <w:rStyle w:val="EndnoteReference"/>
        </w:rPr>
        <w:endnoteRef/>
      </w:r>
      <w:r>
        <w:t xml:space="preserve">  General guidelines regarding the form and contents of periodic reports to be submitted under article 44, paragraph 1 (b) of the Convention on the Rights of the Child, CRC/C/58, 20 November 1996, para. 11.</w:t>
      </w:r>
    </w:p>
  </w:endnote>
  <w:endnote w:id="233">
    <w:p w:rsidR="00000000" w:rsidRDefault="00000000">
      <w:pPr>
        <w:pStyle w:val="EndnoteText"/>
      </w:pPr>
      <w:r>
        <w:rPr>
          <w:rStyle w:val="EndnoteReference"/>
        </w:rPr>
        <w:endnoteRef/>
      </w:r>
      <w:r>
        <w:t xml:space="preserve">  World Conference on Human Rights, Vienna, 14-25 June 1993, “Vienna Declaration and Programme of Action”, A/CONF.157/23.</w:t>
      </w:r>
    </w:p>
  </w:endnote>
  <w:endnote w:id="234">
    <w:p w:rsidR="00000000" w:rsidRDefault="00000000">
      <w:pPr>
        <w:pStyle w:val="EndnoteText"/>
      </w:pPr>
      <w:r>
        <w:rPr>
          <w:rStyle w:val="EndnoteReference"/>
        </w:rPr>
        <w:endnoteRef/>
      </w:r>
      <w:r>
        <w:t xml:space="preserve">  World Summit for Children, “World Declaration on the Survival, Protection and Development of Children and Plan of Action for Implementing the World Declaration on the Survival, Protection and Development of Children in the 1990s”, CF/WSC/1990/WS-001, United Nations, New York, 30 September 1990.</w:t>
      </w:r>
    </w:p>
  </w:endnote>
  <w:endnote w:id="235">
    <w:p w:rsidR="00000000" w:rsidRDefault="00000000">
      <w:pPr>
        <w:pStyle w:val="EndnoteText"/>
      </w:pPr>
      <w:r>
        <w:rPr>
          <w:rStyle w:val="EndnoteReference"/>
        </w:rPr>
        <w:endnoteRef/>
      </w:r>
      <w:r>
        <w:t xml:space="preserve">  World Conference on Human Rights, Vienna, 14-25 June 1993, “Vienna Declaration and Programme of Action”, A/CONF.157/23.</w:t>
      </w:r>
    </w:p>
  </w:endnote>
  <w:endnote w:id="236">
    <w:p w:rsidR="00000000" w:rsidRDefault="00000000">
      <w:pPr>
        <w:pStyle w:val="EndnoteText"/>
      </w:pPr>
      <w:r>
        <w:rPr>
          <w:rStyle w:val="EndnoteReference"/>
        </w:rPr>
        <w:endnoteRef/>
      </w:r>
      <w:r>
        <w:t xml:space="preserve">  </w:t>
      </w:r>
      <w:r>
        <w:rPr>
          <w:i/>
        </w:rPr>
        <w:t>A World Fit for Children</w:t>
      </w:r>
      <w:r>
        <w:t>, outcome document of the United Nations General Assembly special session on children, 2002, para. 59.</w:t>
      </w:r>
    </w:p>
  </w:endnote>
  <w:endnote w:id="237">
    <w:p w:rsidR="00000000" w:rsidRDefault="00000000">
      <w:pPr>
        <w:pStyle w:val="EndnoteText"/>
      </w:pPr>
      <w:r>
        <w:rPr>
          <w:rStyle w:val="EndnoteReference"/>
        </w:rPr>
        <w:endnoteRef/>
      </w:r>
      <w:r>
        <w:t xml:space="preserve">  Ibid., para. 61 (a).</w:t>
      </w:r>
    </w:p>
  </w:endnote>
  <w:endnote w:id="238">
    <w:p w:rsidR="00000000" w:rsidRDefault="00000000">
      <w:pPr>
        <w:pStyle w:val="EndnoteText"/>
      </w:pPr>
      <w:r>
        <w:rPr>
          <w:rStyle w:val="EndnoteReference"/>
        </w:rPr>
        <w:endnoteRef/>
      </w:r>
      <w:r>
        <w:t xml:space="preserve">  Committee on the Rights of the Child, Report on its thirty-first session, September</w:t>
      </w:r>
      <w:r>
        <w:noBreakHyphen/>
        <w:t>October 2002, Day of General Discussion on “The private sector as service provider and its role in implementing child rights”, paras. 630-653</w:t>
      </w:r>
    </w:p>
  </w:endnote>
  <w:endnote w:id="239">
    <w:p w:rsidR="00000000" w:rsidRDefault="00000000">
      <w:pPr>
        <w:pStyle w:val="EndnoteText"/>
      </w:pPr>
      <w:r>
        <w:rPr>
          <w:rStyle w:val="EndnoteReference"/>
        </w:rPr>
        <w:endnoteRef/>
      </w:r>
      <w:r>
        <w:t xml:space="preserve">  General guidelines regarding the form and contents of periodic reports to be submitted under article 44, paragraph 1 (b), of the Convention on the Rights of the Child, CRC/C/58, 20 November 1996, para. 20.</w:t>
      </w:r>
    </w:p>
  </w:endnote>
  <w:endnote w:id="240">
    <w:p w:rsidR="00000000" w:rsidRDefault="00000000">
      <w:pPr>
        <w:pStyle w:val="EndnoteText"/>
      </w:pPr>
      <w:r>
        <w:rPr>
          <w:rStyle w:val="EndnoteReference"/>
        </w:rPr>
        <w:endnoteRef/>
      </w:r>
      <w:r>
        <w:t xml:space="preserve">  Ibid., para. 3.</w:t>
      </w:r>
    </w:p>
  </w:endnote>
  <w:endnote w:id="241">
    <w:p w:rsidR="00000000" w:rsidRDefault="00000000">
      <w:pPr>
        <w:pStyle w:val="EndnoteText"/>
        <w:spacing w:after="1440"/>
      </w:pPr>
      <w:r>
        <w:rPr>
          <w:rStyle w:val="EndnoteReference"/>
        </w:rPr>
        <w:endnoteRef/>
      </w:r>
      <w:r>
        <w:t xml:space="preserve">  The following articles of the Convention relate to international cooperation explicitly:  articles 7 (2); 11 (2); 17 (b); 21 (e); 22 (2); 23 (4); 24 (4); 27 (4); 28 (3); 34 and 35.</w:t>
      </w:r>
    </w:p>
  </w:endnote>
  <w:endnote w:id="242">
    <w:p w:rsidR="00000000" w:rsidRDefault="00000000">
      <w:pPr>
        <w:pStyle w:val="EndnoteText"/>
      </w:pPr>
      <w:r>
        <w:rPr>
          <w:rStyle w:val="EndnoteReference"/>
        </w:rPr>
        <w:endnoteRef/>
      </w:r>
      <w:r>
        <w:t xml:space="preserve">  Report of the International Conference on Financing for Development, Monterrey, Mexico, 18-22 March 2002 (A/CONF.198/11).</w:t>
      </w:r>
    </w:p>
  </w:endnote>
  <w:endnote w:id="243">
    <w:p w:rsidR="00000000" w:rsidRDefault="00000000">
      <w:pPr>
        <w:pStyle w:val="EndnoteText"/>
      </w:pPr>
      <w:r>
        <w:rPr>
          <w:rStyle w:val="EndnoteReference"/>
        </w:rPr>
        <w:endnoteRef/>
      </w:r>
      <w:r>
        <w:t xml:space="preserve">  HRI/GEN/1/Rev.6, para. 25, p. 295.</w:t>
      </w:r>
    </w:p>
  </w:endnote>
  <w:endnote w:id="244">
    <w:p w:rsidR="00000000" w:rsidRDefault="00000000">
      <w:pPr>
        <w:pStyle w:val="EndnoteText"/>
      </w:pPr>
      <w:r>
        <w:rPr>
          <w:rStyle w:val="EndnoteReference"/>
        </w:rPr>
        <w:endnoteRef/>
      </w:r>
      <w:r>
        <w:t xml:space="preserve">  Ibid., para. 15, p. 286.</w:t>
      </w:r>
    </w:p>
  </w:endnote>
  <w:endnote w:id="245">
    <w:p w:rsidR="00000000" w:rsidRDefault="00000000">
      <w:pPr>
        <w:pStyle w:val="EndnoteText"/>
      </w:pPr>
      <w:r>
        <w:rPr>
          <w:rStyle w:val="EndnoteReference"/>
        </w:rPr>
        <w:endnoteRef/>
      </w:r>
      <w:r>
        <w:t xml:space="preserve">  See CRC/C/90, para. 291 (k).</w:t>
      </w:r>
    </w:p>
  </w:endnote>
  <w:endnote w:id="246">
    <w:p w:rsidR="00000000" w:rsidRDefault="00000000">
      <w:pPr>
        <w:pStyle w:val="EndnoteText"/>
      </w:pPr>
      <w:r>
        <w:rPr>
          <w:rStyle w:val="EndnoteReference"/>
        </w:rPr>
        <w:endnoteRef/>
      </w:r>
      <w:r>
        <w:t xml:space="preserve">  Ibid., para. 291 (l).</w:t>
      </w:r>
    </w:p>
  </w:endnote>
  <w:endnote w:id="247">
    <w:p w:rsidR="00000000" w:rsidRDefault="00000000">
      <w:pPr>
        <w:pStyle w:val="EndnoteText"/>
      </w:pPr>
      <w:r>
        <w:rPr>
          <w:rStyle w:val="EndnoteReference"/>
        </w:rPr>
        <w:endnoteRef/>
      </w:r>
      <w:r>
        <w:t xml:space="preserve">  The Committee held a day of general discussion on the theme “The child and the media” in 1996, adopting detailed recommendations (see CRC/C/57, paragraphs 242 et seq.).</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charset w:val="00"/>
    <w:family w:val="roman"/>
    <w:pitch w:val="variable"/>
    <w:sig w:usb0="20007A87" w:usb1="80000000" w:usb2="00000008"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
          <w:bCs/>
        </w:rPr>
        <w:t xml:space="preserve">  </w:t>
      </w:r>
      <w:r>
        <w:t>Contained in document E/1989/22.</w:t>
      </w:r>
    </w:p>
  </w:footnote>
  <w:footnote w:id="3">
    <w:p w:rsidR="00000000" w:rsidRDefault="00000000">
      <w:pPr>
        <w:pStyle w:val="FootnoteText"/>
        <w:rPr>
          <w:lang w:val="it-IT"/>
        </w:rPr>
      </w:pPr>
      <w:r>
        <w:rPr>
          <w:rStyle w:val="FootnoteReference"/>
          <w:b w:val="0"/>
          <w:vertAlign w:val="baseline"/>
          <w:lang w:val="it-IT"/>
        </w:rPr>
        <w:t>*</w:t>
      </w:r>
      <w:r>
        <w:rPr>
          <w:lang w:val="it-IT"/>
        </w:rPr>
        <w:t xml:space="preserve">  Contained in document E/1990/23.</w:t>
      </w:r>
    </w:p>
  </w:footnote>
  <w:footnote w:id="4">
    <w:p w:rsidR="00000000" w:rsidRDefault="00000000">
      <w:pPr>
        <w:pStyle w:val="FootnoteText"/>
        <w:spacing w:after="0"/>
        <w:rPr>
          <w:lang w:val="it-IT"/>
        </w:rPr>
      </w:pPr>
      <w:r>
        <w:rPr>
          <w:rStyle w:val="FootnoteReference"/>
          <w:b w:val="0"/>
          <w:vertAlign w:val="baseline"/>
          <w:lang w:val="it-IT"/>
        </w:rPr>
        <w:t>*</w:t>
      </w:r>
      <w:r>
        <w:rPr>
          <w:lang w:val="it-IT"/>
        </w:rPr>
        <w:t xml:space="preserve">  Contained in document E/1991/23.</w:t>
      </w:r>
    </w:p>
  </w:footnote>
  <w:footnote w:id="5">
    <w:p w:rsidR="00000000" w:rsidRDefault="00000000">
      <w:pPr>
        <w:pStyle w:val="FootnoteText"/>
        <w:spacing w:after="0"/>
        <w:rPr>
          <w:lang w:val="it-IT"/>
        </w:rPr>
      </w:pPr>
      <w:r>
        <w:rPr>
          <w:rStyle w:val="FootnoteReference"/>
          <w:vertAlign w:val="baseline"/>
          <w:lang w:val="it-IT"/>
        </w:rPr>
        <w:t>*</w:t>
      </w:r>
      <w:r>
        <w:rPr>
          <w:lang w:val="it-IT"/>
        </w:rPr>
        <w:t xml:space="preserve">  Contained in document E/1992/23.</w:t>
      </w:r>
    </w:p>
  </w:footnote>
  <w:footnote w:id="6">
    <w:p w:rsidR="00000000" w:rsidRDefault="00000000">
      <w:pPr>
        <w:pStyle w:val="FootnoteText"/>
        <w:rPr>
          <w:lang w:val="it-IT"/>
        </w:rPr>
      </w:pPr>
      <w:r>
        <w:rPr>
          <w:rStyle w:val="FootnoteReference"/>
          <w:b w:val="0"/>
          <w:vertAlign w:val="baseline"/>
        </w:rPr>
        <w:sym w:font="Symbol" w:char="F02A"/>
      </w:r>
      <w:r>
        <w:t xml:space="preserve"> </w:t>
      </w:r>
      <w:r>
        <w:rPr>
          <w:lang w:val="it-IT"/>
        </w:rPr>
        <w:t xml:space="preserve"> Contained in document E/1995/22.</w:t>
      </w:r>
    </w:p>
  </w:footnote>
  <w:footnote w:id="7">
    <w:p w:rsidR="00000000" w:rsidRDefault="00000000">
      <w:pPr>
        <w:pStyle w:val="FootnoteText"/>
        <w:rPr>
          <w:lang w:val="it-IT"/>
        </w:rPr>
      </w:pPr>
      <w:r>
        <w:rPr>
          <w:rStyle w:val="FootnoteReference"/>
          <w:b w:val="0"/>
          <w:vertAlign w:val="baseline"/>
          <w:lang w:val="it-IT"/>
        </w:rPr>
        <w:t>*</w:t>
      </w:r>
      <w:r>
        <w:rPr>
          <w:lang w:val="it-IT"/>
        </w:rPr>
        <w:t xml:space="preserve">  Contained in document E/1996/22.</w:t>
      </w:r>
    </w:p>
  </w:footnote>
  <w:footnote w:id="8">
    <w:p w:rsidR="00000000" w:rsidRDefault="00000000">
      <w:pPr>
        <w:pStyle w:val="FootnoteText"/>
        <w:rPr>
          <w:lang w:val="it-IT"/>
        </w:rPr>
      </w:pPr>
      <w:r>
        <w:rPr>
          <w:rStyle w:val="FootnoteReference"/>
          <w:b w:val="0"/>
          <w:vertAlign w:val="baseline"/>
          <w:lang w:val="it-IT"/>
        </w:rPr>
        <w:t>*</w:t>
      </w:r>
      <w:r>
        <w:rPr>
          <w:lang w:val="it-IT"/>
        </w:rPr>
        <w:t xml:space="preserve">  Contained in document E/1998/22, annex IV.</w:t>
      </w:r>
    </w:p>
  </w:footnote>
  <w:footnote w:id="9">
    <w:p w:rsidR="00000000" w:rsidRDefault="00000000">
      <w:pPr>
        <w:pStyle w:val="FootnoteText"/>
        <w:rPr>
          <w:lang w:val="it-IT"/>
        </w:rPr>
      </w:pPr>
      <w:r>
        <w:rPr>
          <w:rStyle w:val="FootnoteReference"/>
          <w:b w:val="0"/>
          <w:vertAlign w:val="baseline"/>
          <w:lang w:val="it-IT"/>
        </w:rPr>
        <w:t>*</w:t>
      </w:r>
      <w:r>
        <w:rPr>
          <w:lang w:val="it-IT"/>
        </w:rPr>
        <w:t xml:space="preserve">  Contained in document E/1998/22.</w:t>
      </w:r>
    </w:p>
  </w:footnote>
  <w:footnote w:id="10">
    <w:p w:rsidR="00000000" w:rsidRDefault="00000000">
      <w:pPr>
        <w:pStyle w:val="FootnoteText"/>
        <w:rPr>
          <w:lang w:val="it-IT"/>
        </w:rPr>
      </w:pPr>
      <w:r>
        <w:rPr>
          <w:rStyle w:val="FootnoteReference"/>
          <w:b w:val="0"/>
          <w:vertAlign w:val="baseline"/>
          <w:lang w:val="it-IT"/>
        </w:rPr>
        <w:t>*</w:t>
      </w:r>
      <w:r>
        <w:rPr>
          <w:lang w:val="it-IT"/>
        </w:rPr>
        <w:t xml:space="preserve">  Contained in document E/1999/22.</w:t>
      </w:r>
    </w:p>
  </w:footnote>
  <w:footnote w:id="11">
    <w:p w:rsidR="00000000" w:rsidRDefault="00000000">
      <w:pPr>
        <w:pStyle w:val="FootnoteText"/>
        <w:rPr>
          <w:lang w:val="it-IT"/>
        </w:rPr>
      </w:pPr>
      <w:r>
        <w:rPr>
          <w:rStyle w:val="FootnoteReference"/>
          <w:b w:val="0"/>
          <w:vertAlign w:val="baseline"/>
          <w:lang w:val="it-IT"/>
        </w:rPr>
        <w:t>*</w:t>
      </w:r>
      <w:r>
        <w:rPr>
          <w:lang w:val="it-IT"/>
        </w:rPr>
        <w:t xml:space="preserve">  Contained in document E/1999/22.</w:t>
      </w:r>
    </w:p>
  </w:footnote>
  <w:footnote w:id="12">
    <w:p w:rsidR="00000000" w:rsidRDefault="00000000">
      <w:pPr>
        <w:pStyle w:val="FootnoteText"/>
        <w:rPr>
          <w:lang w:val="it-IT"/>
        </w:rPr>
      </w:pPr>
      <w:r>
        <w:rPr>
          <w:rStyle w:val="FootnoteReference"/>
          <w:b w:val="0"/>
          <w:vertAlign w:val="baseline"/>
          <w:lang w:val="it-IT"/>
        </w:rPr>
        <w:t>*</w:t>
      </w:r>
      <w:r>
        <w:rPr>
          <w:lang w:val="it-IT"/>
        </w:rPr>
        <w:t xml:space="preserve">  Contained in document E/C.12/1999/4.</w:t>
      </w:r>
    </w:p>
  </w:footnote>
  <w:footnote w:id="13">
    <w:p w:rsidR="00000000" w:rsidRDefault="00000000">
      <w:pPr>
        <w:pStyle w:val="FootnoteText"/>
        <w:spacing w:after="0"/>
      </w:pPr>
      <w:r>
        <w:rPr>
          <w:rStyle w:val="FootnoteReference"/>
          <w:b w:val="0"/>
          <w:vertAlign w:val="baseline"/>
        </w:rPr>
        <w:t>*</w:t>
      </w:r>
      <w:r>
        <w:t xml:space="preserve">  See generally UNICEF, </w:t>
      </w:r>
      <w:r>
        <w:rPr>
          <w:i/>
        </w:rPr>
        <w:t>The State of the World’s Children</w:t>
      </w:r>
      <w:r>
        <w:t xml:space="preserve"> 1999.</w:t>
      </w:r>
    </w:p>
  </w:footnote>
  <w:footnote w:id="14">
    <w:p w:rsidR="00000000" w:rsidRDefault="00000000">
      <w:pPr>
        <w:pStyle w:val="FootnoteText"/>
        <w:rPr>
          <w:lang w:val="it-IT"/>
        </w:rPr>
      </w:pPr>
      <w:r>
        <w:rPr>
          <w:rStyle w:val="FootnoteReference"/>
          <w:b w:val="0"/>
          <w:vertAlign w:val="baseline"/>
          <w:lang w:val="it-IT"/>
        </w:rPr>
        <w:t>*</w:t>
      </w:r>
      <w:r>
        <w:rPr>
          <w:lang w:val="it-IT"/>
        </w:rPr>
        <w:t xml:space="preserve">  Contained in document E/C.12/1999/5.</w:t>
      </w:r>
    </w:p>
  </w:footnote>
  <w:footnote w:id="15">
    <w:p w:rsidR="00000000" w:rsidRDefault="00000000">
      <w:pPr>
        <w:pStyle w:val="FootnoteText"/>
        <w:spacing w:after="0"/>
      </w:pPr>
      <w:r>
        <w:rPr>
          <w:rStyle w:val="FootnoteReference"/>
          <w:b w:val="0"/>
          <w:vertAlign w:val="baseline"/>
        </w:rPr>
        <w:t>*</w:t>
      </w:r>
      <w:r>
        <w:t xml:space="preserve">  Originally three levels of obligations were proposed:  to respect, protect and assist/fulfil.   (See </w:t>
      </w:r>
      <w:r>
        <w:rPr>
          <w:i/>
        </w:rPr>
        <w:t>Right to adequate food as a human right</w:t>
      </w:r>
      <w:r>
        <w:t>, Study Series No. 1, New York, 1989 (United Nations publication, Sales No. E.89.XIV.2)).  The intermediate level of “to facilitate” has been proposed as a Committee category, but the Committee decided to maintain the three levels of obligation.</w:t>
      </w:r>
    </w:p>
  </w:footnote>
  <w:footnote w:id="16">
    <w:p w:rsidR="00000000" w:rsidRDefault="00000000">
      <w:pPr>
        <w:pStyle w:val="FootnoteText"/>
      </w:pPr>
      <w:r>
        <w:rPr>
          <w:rStyle w:val="FootnoteReference"/>
          <w:b w:val="0"/>
          <w:vertAlign w:val="baseline"/>
        </w:rPr>
        <w:t>*</w:t>
      </w:r>
      <w:r>
        <w:t xml:space="preserve">  For the nature and purpose of the general comments, see </w:t>
      </w:r>
      <w:r>
        <w:rPr>
          <w:i/>
        </w:rPr>
        <w:t>Official Records of the General Assembly, Thirty-sixth Session, Supplement No. 40</w:t>
      </w:r>
      <w:r>
        <w:t xml:space="preserve"> (A/36/40), annex VII, introduction. For a description of the history of the method of work, the elaboration of general comments and their use, ibid., </w:t>
      </w:r>
      <w:r>
        <w:rPr>
          <w:i/>
        </w:rPr>
        <w:t>Thirty-ninth Session, Supplement No. 40</w:t>
      </w:r>
      <w:r>
        <w:t xml:space="preserve"> (A/39/40 and Corr.1 and 2), paragraphs 541</w:t>
      </w:r>
      <w:r>
        <w:noBreakHyphen/>
        <w:t xml:space="preserve">557.For the text of the general comments already adopted by the Committee, ibid., </w:t>
      </w:r>
      <w:r>
        <w:rPr>
          <w:i/>
        </w:rPr>
        <w:t>Thirty-sixth Session, Supplement No. 40</w:t>
      </w:r>
      <w:r>
        <w:t xml:space="preserve"> (A/36/40), annex VII; ibid., </w:t>
      </w:r>
      <w:r>
        <w:rPr>
          <w:i/>
        </w:rPr>
        <w:t>Thirty-seventh Session, Supplement No. 40</w:t>
      </w:r>
      <w:r>
        <w:t xml:space="preserve"> (A/37/40), annex VI, ibid., </w:t>
      </w:r>
      <w:r>
        <w:rPr>
          <w:i/>
        </w:rPr>
        <w:t>Thirty-eighth Session, Supplement No. 40</w:t>
      </w:r>
      <w:r>
        <w:t xml:space="preserve"> (A/38/40), annex VI; ibid., </w:t>
      </w:r>
      <w:r>
        <w:rPr>
          <w:i/>
        </w:rPr>
        <w:t>Thirty-ninth Session, Supplement No. 40</w:t>
      </w:r>
      <w:r>
        <w:t xml:space="preserve"> (A/39/40 and Corr.1 and 2), annex V; ibid., </w:t>
      </w:r>
      <w:r>
        <w:rPr>
          <w:i/>
        </w:rPr>
        <w:t>Fortieth Session, Supplement No. 40</w:t>
      </w:r>
      <w:r>
        <w:t xml:space="preserve"> (A/40/40), annex VI; ibid., </w:t>
      </w:r>
      <w:r>
        <w:rPr>
          <w:i/>
        </w:rPr>
        <w:t>Forty</w:t>
      </w:r>
      <w:r>
        <w:rPr>
          <w:i/>
        </w:rPr>
        <w:noBreakHyphen/>
        <w:t>first Session, Supplement No. 40</w:t>
      </w:r>
      <w:r>
        <w:t xml:space="preserve"> (A/41/40), annex VI; ibid., </w:t>
      </w:r>
      <w:r>
        <w:rPr>
          <w:i/>
        </w:rPr>
        <w:t>Forty-third Session, Supplement No. 40</w:t>
      </w:r>
      <w:r>
        <w:t xml:space="preserve"> (A/43/40), annex VI; ibid., </w:t>
      </w:r>
      <w:r>
        <w:rPr>
          <w:i/>
        </w:rPr>
        <w:t>Forty-fourth Session, Supplement No. 40</w:t>
      </w:r>
      <w:r>
        <w:t xml:space="preserve"> (A/44/40), annex VI; ibid., </w:t>
      </w:r>
      <w:r>
        <w:rPr>
          <w:i/>
        </w:rPr>
        <w:t>Forty-fifth Session, Supplement No. 40</w:t>
      </w:r>
      <w:r>
        <w:t xml:space="preserve"> (A/45/40), annex VI; ibid., </w:t>
      </w:r>
      <w:r>
        <w:rPr>
          <w:i/>
        </w:rPr>
        <w:t>Forty-seventh Session, Supplement No. 40</w:t>
      </w:r>
      <w:r>
        <w:t xml:space="preserve"> (A/47/40), annex VI; ibid., </w:t>
      </w:r>
      <w:r>
        <w:rPr>
          <w:i/>
        </w:rPr>
        <w:t>Forty-ninth Session, Supplement No. 40</w:t>
      </w:r>
      <w:r>
        <w:t xml:space="preserve"> (A/49/40), annex V; and ibid., </w:t>
      </w:r>
      <w:r>
        <w:rPr>
          <w:i/>
        </w:rPr>
        <w:t>Fiftieth Session, Supplement No. 40</w:t>
      </w:r>
      <w:r>
        <w:t xml:space="preserve"> (A/45/40), annex V; and ibid., </w:t>
      </w:r>
      <w:r>
        <w:rPr>
          <w:i/>
        </w:rPr>
        <w:t>Fifty-third Session, Supplement No. 40</w:t>
      </w:r>
      <w:r>
        <w:t xml:space="preserve"> (A/53/40), annex VII. Also issued in documents CCPR/C/21/Rev.1 and Rev.1/Add.1-9.</w:t>
      </w:r>
    </w:p>
  </w:footnote>
  <w:footnote w:id="17">
    <w:p w:rsidR="00000000" w:rsidRDefault="00000000">
      <w:pPr>
        <w:pStyle w:val="FootnoteText"/>
      </w:pPr>
      <w:r>
        <w:rPr>
          <w:rStyle w:val="FootnoteReference"/>
          <w:b w:val="0"/>
          <w:vertAlign w:val="baseline"/>
        </w:rPr>
        <w:t>**</w:t>
      </w:r>
      <w:r>
        <w:t xml:space="preserve">  For document references, see annex 2.</w:t>
      </w:r>
    </w:p>
  </w:footnote>
  <w:footnote w:id="18">
    <w:p w:rsidR="00000000" w:rsidRDefault="00000000">
      <w:pPr>
        <w:pStyle w:val="FootnoteText"/>
      </w:pPr>
      <w:r>
        <w:rPr>
          <w:rStyle w:val="FootnoteReference"/>
          <w:b w:val="0"/>
          <w:vertAlign w:val="baseline"/>
        </w:rPr>
        <w:t>***</w:t>
      </w:r>
      <w:r>
        <w:t xml:space="preserve">  See </w:t>
      </w:r>
      <w:r>
        <w:rPr>
          <w:i/>
        </w:rPr>
        <w:t>Report of the Human Rights Committee</w:t>
      </w:r>
      <w:r>
        <w:t xml:space="preserve">, </w:t>
      </w:r>
      <w:r>
        <w:rPr>
          <w:i/>
        </w:rPr>
        <w:t>Official Records of the General Assembly, Thirty</w:t>
      </w:r>
      <w:r>
        <w:rPr>
          <w:i/>
        </w:rPr>
        <w:noBreakHyphen/>
        <w:t>sixth Session, Supplement No. 40</w:t>
      </w:r>
      <w:r>
        <w:t xml:space="preserve"> (A/36/40), annex VII.</w:t>
      </w:r>
    </w:p>
  </w:footnote>
  <w:footnote w:id="19">
    <w:p w:rsidR="00000000" w:rsidRDefault="00000000">
      <w:pPr>
        <w:pStyle w:val="FootnoteText"/>
      </w:pPr>
      <w:r>
        <w:rPr>
          <w:rStyle w:val="FootnoteReference"/>
          <w:b w:val="0"/>
          <w:vertAlign w:val="baseline"/>
        </w:rPr>
        <w:t>*</w:t>
      </w:r>
      <w:r>
        <w:t xml:space="preserve">  Contained in document A/53/40, annex VII.</w:t>
      </w:r>
    </w:p>
  </w:footnote>
  <w:footnote w:id="20">
    <w:p w:rsidR="00000000" w:rsidRDefault="00000000">
      <w:r>
        <w:rPr>
          <w:rStyle w:val="FootnoteReference"/>
          <w:b w:val="0"/>
          <w:vertAlign w:val="baseline"/>
        </w:rPr>
        <w:t>*</w:t>
      </w:r>
      <w:r>
        <w:t xml:space="preserve">  Contained in document CCPR/C/21/Rev.1/Add.9.</w:t>
      </w:r>
    </w:p>
  </w:footnote>
  <w:footnote w:id="21">
    <w:p w:rsidR="00000000" w:rsidRDefault="00000000">
      <w:pPr>
        <w:pStyle w:val="FootnoteText"/>
      </w:pPr>
      <w:r>
        <w:rPr>
          <w:rStyle w:val="FootnoteReference"/>
          <w:b w:val="0"/>
          <w:vertAlign w:val="baseline"/>
        </w:rPr>
        <w:t>*</w:t>
      </w:r>
      <w:r>
        <w:t xml:space="preserve">  Adopted at the 1950th meeting, on 24 July 2001.</w:t>
      </w:r>
    </w:p>
  </w:footnote>
  <w:footnote w:id="22">
    <w:p w:rsidR="00000000" w:rsidRDefault="00000000">
      <w:pPr>
        <w:pStyle w:val="FootnoteText"/>
      </w:pPr>
      <w:r>
        <w:rPr>
          <w:rStyle w:val="FootnoteReference"/>
          <w:b w:val="0"/>
          <w:vertAlign w:val="baseline"/>
        </w:rPr>
        <w:t>*</w:t>
      </w:r>
      <w:r>
        <w:rPr>
          <w:b/>
        </w:rPr>
        <w:t xml:space="preserve">  </w:t>
      </w:r>
      <w:r>
        <w:t>Adopted on 16 July 2002 at its 2025th meeting. This general comment replaces general comment No. 1.</w:t>
      </w:r>
    </w:p>
  </w:footnote>
  <w:footnote w:id="23">
    <w:p w:rsidR="00000000" w:rsidRDefault="00000000">
      <w:r>
        <w:rPr>
          <w:rStyle w:val="FootnoteReference"/>
          <w:b w:val="0"/>
          <w:bCs/>
        </w:rPr>
        <w:t>*</w:t>
      </w:r>
      <w:r>
        <w:rPr>
          <w:b/>
          <w:bCs/>
        </w:rPr>
        <w:t xml:space="preserve">  </w:t>
      </w:r>
      <w:r>
        <w:t>Adopted on 29 March 2004 at its 2187th meeting.</w:t>
      </w:r>
    </w:p>
  </w:footnote>
  <w:footnote w:id="24">
    <w:p w:rsidR="00000000" w:rsidRDefault="00000000">
      <w:pPr>
        <w:pStyle w:val="FootnoteText"/>
      </w:pPr>
      <w:r>
        <w:rPr>
          <w:rStyle w:val="FootnoteReference"/>
          <w:b w:val="0"/>
          <w:bCs/>
          <w:vertAlign w:val="baseline"/>
        </w:rPr>
        <w:sym w:font="Symbol" w:char="F02A"/>
      </w:r>
      <w:r>
        <w:t xml:space="preserve">  Contained in document A/87/18.</w:t>
      </w:r>
    </w:p>
  </w:footnote>
  <w:footnote w:id="25">
    <w:p w:rsidR="00000000" w:rsidRDefault="00000000">
      <w:pPr>
        <w:pStyle w:val="FootnoteText"/>
      </w:pPr>
      <w:r>
        <w:rPr>
          <w:rStyle w:val="FootnoteReference"/>
          <w:b w:val="0"/>
          <w:bCs/>
          <w:vertAlign w:val="baseline"/>
        </w:rPr>
        <w:sym w:font="Symbol" w:char="F02A"/>
      </w:r>
      <w:r>
        <w:t xml:space="preserve">  Contained in document A/87/18.</w:t>
      </w:r>
    </w:p>
  </w:footnote>
  <w:footnote w:id="26">
    <w:p w:rsidR="00000000" w:rsidRDefault="00000000">
      <w:pPr>
        <w:pStyle w:val="FootnoteText"/>
      </w:pPr>
      <w:r>
        <w:rPr>
          <w:rStyle w:val="FootnoteReference"/>
          <w:b w:val="0"/>
          <w:bCs/>
          <w:vertAlign w:val="baseline"/>
        </w:rPr>
        <w:t>*</w:t>
      </w:r>
      <w:r>
        <w:t xml:space="preserve">  Contained in document A/90/18.</w:t>
      </w:r>
    </w:p>
  </w:footnote>
  <w:footnote w:id="27">
    <w:p w:rsidR="00000000" w:rsidRDefault="00000000">
      <w:pPr>
        <w:pStyle w:val="FootnoteText"/>
      </w:pPr>
      <w:r>
        <w:rPr>
          <w:rStyle w:val="FootnoteReference"/>
          <w:b w:val="0"/>
          <w:bCs/>
          <w:vertAlign w:val="baseline"/>
        </w:rPr>
        <w:sym w:font="Symbol" w:char="F02A"/>
      </w:r>
      <w:r>
        <w:rPr>
          <w:rStyle w:val="FootnoteReference"/>
          <w:b w:val="0"/>
          <w:bCs/>
          <w:vertAlign w:val="baseline"/>
        </w:rPr>
        <w:sym w:font="Symbol" w:char="F02A"/>
      </w:r>
      <w:r>
        <w:rPr>
          <w:bCs/>
        </w:rPr>
        <w:t xml:space="preserve"> </w:t>
      </w:r>
      <w:r>
        <w:rPr>
          <w:b/>
          <w:bCs/>
        </w:rPr>
        <w:t xml:space="preserve"> </w:t>
      </w:r>
      <w:r>
        <w:t>Contained in document A/32/18.</w:t>
      </w:r>
    </w:p>
  </w:footnote>
  <w:footnote w:id="28">
    <w:p w:rsidR="00000000" w:rsidRDefault="00000000">
      <w:pPr>
        <w:pStyle w:val="FootnoteText"/>
      </w:pPr>
      <w:r>
        <w:rPr>
          <w:rStyle w:val="FootnoteReference"/>
          <w:b w:val="0"/>
          <w:bCs/>
          <w:vertAlign w:val="baseline"/>
        </w:rPr>
        <w:sym w:font="Symbol" w:char="F02A"/>
      </w:r>
      <w:r>
        <w:t xml:space="preserve">  Contained in document A/37/18.</w:t>
      </w:r>
    </w:p>
  </w:footnote>
  <w:footnote w:id="29">
    <w:p w:rsidR="00000000" w:rsidRDefault="00000000">
      <w:pPr>
        <w:pStyle w:val="FootnoteText"/>
      </w:pPr>
      <w:r>
        <w:rPr>
          <w:rStyle w:val="FootnoteReference"/>
          <w:b w:val="0"/>
          <w:bCs/>
          <w:vertAlign w:val="baseline"/>
        </w:rPr>
        <w:sym w:font="Symbol" w:char="F02A"/>
      </w:r>
      <w:r>
        <w:t xml:space="preserve">  Contained in document A/40/18.</w:t>
      </w:r>
    </w:p>
  </w:footnote>
  <w:footnote w:id="30">
    <w:p w:rsidR="00000000" w:rsidRDefault="00000000">
      <w:pPr>
        <w:pStyle w:val="FootnoteText"/>
      </w:pPr>
      <w:r>
        <w:rPr>
          <w:rStyle w:val="FootnoteReference"/>
          <w:b w:val="0"/>
          <w:bCs/>
          <w:vertAlign w:val="baseline"/>
        </w:rPr>
        <w:sym w:font="Symbol" w:char="F02A"/>
      </w:r>
      <w:r>
        <w:t xml:space="preserve">  Contained in document A/45/18.</w:t>
      </w:r>
    </w:p>
  </w:footnote>
  <w:footnote w:id="31">
    <w:p w:rsidR="00000000" w:rsidRDefault="00000000">
      <w:pPr>
        <w:pStyle w:val="FootnoteText"/>
      </w:pPr>
      <w:r>
        <w:rPr>
          <w:rStyle w:val="FootnoteReference"/>
          <w:b w:val="0"/>
          <w:bCs/>
          <w:vertAlign w:val="baseline"/>
        </w:rPr>
        <w:t>*</w:t>
      </w:r>
      <w:r>
        <w:t xml:space="preserve">  Contained in document A/46/18.</w:t>
      </w:r>
    </w:p>
  </w:footnote>
  <w:footnote w:id="32">
    <w:p w:rsidR="00000000" w:rsidRDefault="00000000">
      <w:pPr>
        <w:pStyle w:val="FootnoteText"/>
        <w:spacing w:after="0"/>
      </w:pPr>
      <w:r>
        <w:rPr>
          <w:rStyle w:val="FootnoteReference"/>
          <w:b w:val="0"/>
          <w:bCs/>
          <w:vertAlign w:val="baseline"/>
        </w:rPr>
        <w:t>*</w:t>
      </w:r>
      <w:r>
        <w:t xml:space="preserve">  Contained in document A/48/18. </w:t>
      </w:r>
    </w:p>
  </w:footnote>
  <w:footnote w:id="33">
    <w:p w:rsidR="00000000" w:rsidRDefault="00000000">
      <w:pPr>
        <w:pStyle w:val="FootnoteText"/>
      </w:pPr>
      <w:r>
        <w:rPr>
          <w:rStyle w:val="FootnoteReference"/>
          <w:b w:val="0"/>
          <w:bCs/>
          <w:vertAlign w:val="baseline"/>
        </w:rPr>
        <w:sym w:font="Symbol" w:char="F02A"/>
      </w:r>
      <w:r>
        <w:t xml:space="preserve">  Contained in document A/48/18.</w:t>
      </w:r>
    </w:p>
  </w:footnote>
  <w:footnote w:id="34">
    <w:p w:rsidR="00000000" w:rsidRDefault="00000000">
      <w:pPr>
        <w:pStyle w:val="FootnoteText"/>
      </w:pPr>
      <w:r>
        <w:rPr>
          <w:rStyle w:val="FootnoteReference"/>
          <w:b w:val="0"/>
          <w:bCs/>
          <w:vertAlign w:val="baseline"/>
        </w:rPr>
        <w:t>*</w:t>
      </w:r>
      <w:r>
        <w:t xml:space="preserve">  Contained in document A/48/18.</w:t>
      </w:r>
    </w:p>
  </w:footnote>
  <w:footnote w:id="35">
    <w:p w:rsidR="00000000" w:rsidRDefault="00000000">
      <w:pPr>
        <w:pStyle w:val="FootnoteText"/>
      </w:pPr>
      <w:r>
        <w:rPr>
          <w:rStyle w:val="FootnoteReference"/>
          <w:b w:val="0"/>
          <w:bCs/>
          <w:vertAlign w:val="baseline"/>
        </w:rPr>
        <w:sym w:font="Symbol" w:char="F02A"/>
      </w:r>
      <w:r>
        <w:t xml:space="preserve">  Contained in document A/48/18.</w:t>
      </w:r>
    </w:p>
  </w:footnote>
  <w:footnote w:id="36">
    <w:p w:rsidR="00000000" w:rsidRDefault="00000000">
      <w:pPr>
        <w:pStyle w:val="FootnoteText"/>
      </w:pPr>
      <w:r>
        <w:rPr>
          <w:rStyle w:val="FootnoteReference"/>
          <w:b w:val="0"/>
          <w:bCs/>
          <w:vertAlign w:val="baseline"/>
        </w:rPr>
        <w:sym w:font="Symbol" w:char="F02A"/>
      </w:r>
      <w:r>
        <w:t xml:space="preserve">  Contained in document A/48/18.</w:t>
      </w:r>
    </w:p>
  </w:footnote>
  <w:footnote w:id="37">
    <w:p w:rsidR="00000000" w:rsidRDefault="00000000">
      <w:pPr>
        <w:pStyle w:val="FootnoteText"/>
      </w:pPr>
      <w:r>
        <w:rPr>
          <w:rStyle w:val="FootnoteReference"/>
          <w:b w:val="0"/>
          <w:bCs/>
          <w:vertAlign w:val="baseline"/>
        </w:rPr>
        <w:sym w:font="Symbol" w:char="F02A"/>
      </w:r>
      <w:r>
        <w:t xml:space="preserve">  Contained in document A/49/18.</w:t>
      </w:r>
    </w:p>
  </w:footnote>
  <w:footnote w:id="38">
    <w:p w:rsidR="00000000" w:rsidRDefault="00000000">
      <w:pPr>
        <w:pStyle w:val="FootnoteText"/>
      </w:pPr>
      <w:r>
        <w:rPr>
          <w:rStyle w:val="FootnoteReference"/>
          <w:b w:val="0"/>
          <w:bCs/>
          <w:vertAlign w:val="baseline"/>
        </w:rPr>
        <w:sym w:font="Symbol" w:char="F02A"/>
      </w:r>
      <w:r>
        <w:t xml:space="preserve">  Contained in document A/50/18.</w:t>
      </w:r>
    </w:p>
  </w:footnote>
  <w:footnote w:id="39">
    <w:p w:rsidR="00000000" w:rsidRDefault="00000000">
      <w:pPr>
        <w:pStyle w:val="FootnoteText"/>
      </w:pPr>
      <w:r>
        <w:rPr>
          <w:rStyle w:val="FootnoteReference"/>
          <w:b w:val="0"/>
          <w:bCs/>
          <w:vertAlign w:val="baseline"/>
        </w:rPr>
        <w:sym w:font="Symbol" w:char="F02A"/>
      </w:r>
      <w:r>
        <w:rPr>
          <w:rStyle w:val="FootnoteReference"/>
          <w:b w:val="0"/>
          <w:bCs/>
          <w:vertAlign w:val="baseline"/>
        </w:rPr>
        <w:sym w:font="Symbol" w:char="F02A"/>
      </w:r>
      <w:r>
        <w:t xml:space="preserve">  Contained in document A/51/18.</w:t>
      </w:r>
    </w:p>
  </w:footnote>
  <w:footnote w:id="40">
    <w:p w:rsidR="00000000" w:rsidRDefault="00000000">
      <w:pPr>
        <w:pStyle w:val="FootnoteText"/>
        <w:spacing w:after="0"/>
      </w:pPr>
      <w:r>
        <w:rPr>
          <w:rStyle w:val="FootnoteReference"/>
          <w:b w:val="0"/>
          <w:bCs/>
          <w:vertAlign w:val="baseline"/>
        </w:rPr>
        <w:sym w:font="Symbol" w:char="F02A"/>
      </w:r>
      <w:r>
        <w:t xml:space="preserve">  Contained in document A/51/18.</w:t>
      </w:r>
    </w:p>
  </w:footnote>
  <w:footnote w:id="41">
    <w:p w:rsidR="00000000" w:rsidRDefault="00000000">
      <w:pPr>
        <w:pStyle w:val="FootnoteText"/>
      </w:pPr>
      <w:r>
        <w:rPr>
          <w:rStyle w:val="FootnoteReference"/>
          <w:b w:val="0"/>
          <w:bCs/>
          <w:vertAlign w:val="baseline"/>
        </w:rPr>
        <w:sym w:font="Symbol" w:char="F02A"/>
      </w:r>
      <w:r>
        <w:t xml:space="preserve">  Contained in document A/51/18.</w:t>
      </w:r>
    </w:p>
  </w:footnote>
  <w:footnote w:id="42">
    <w:p w:rsidR="00000000" w:rsidRDefault="00000000">
      <w:pPr>
        <w:pStyle w:val="FootnoteText"/>
      </w:pPr>
      <w:r>
        <w:rPr>
          <w:rStyle w:val="FootnoteReference"/>
          <w:b w:val="0"/>
          <w:bCs/>
          <w:vertAlign w:val="baseline"/>
        </w:rPr>
        <w:sym w:font="Symbol" w:char="F02A"/>
      </w:r>
      <w:r>
        <w:t xml:space="preserve">  Contained in document A/52/18, annex V.</w:t>
      </w:r>
    </w:p>
  </w:footnote>
  <w:footnote w:id="43">
    <w:p w:rsidR="00000000" w:rsidRDefault="00000000">
      <w:pPr>
        <w:pStyle w:val="FootnoteText"/>
        <w:spacing w:after="0"/>
      </w:pPr>
      <w:r>
        <w:rPr>
          <w:rStyle w:val="FootnoteReference"/>
          <w:b w:val="0"/>
          <w:bCs/>
          <w:vertAlign w:val="baseline"/>
        </w:rPr>
        <w:sym w:font="Symbol" w:char="F02A"/>
      </w:r>
      <w:r>
        <w:t xml:space="preserve">  Contained in document A/54/18, annex V.</w:t>
      </w:r>
    </w:p>
  </w:footnote>
  <w:footnote w:id="44">
    <w:p w:rsidR="00000000" w:rsidRDefault="00000000">
      <w:pPr>
        <w:pStyle w:val="FootnoteText"/>
      </w:pPr>
      <w:r>
        <w:rPr>
          <w:rStyle w:val="FootnoteReference"/>
          <w:b w:val="0"/>
          <w:vertAlign w:val="baseline"/>
        </w:rPr>
        <w:t>*</w:t>
      </w:r>
      <w:r>
        <w:t xml:space="preserve">  Contained in document A/41/45.</w:t>
      </w:r>
    </w:p>
  </w:footnote>
  <w:footnote w:id="45">
    <w:p w:rsidR="00000000" w:rsidRDefault="00000000">
      <w:pPr>
        <w:pStyle w:val="FootnoteText"/>
      </w:pPr>
      <w:r>
        <w:rPr>
          <w:rStyle w:val="FootnoteReference"/>
          <w:b w:val="0"/>
          <w:vertAlign w:val="baseline"/>
        </w:rPr>
        <w:t>**</w:t>
      </w:r>
      <w:r>
        <w:t xml:space="preserve"> Contained in document A/42/38.</w:t>
      </w:r>
    </w:p>
  </w:footnote>
  <w:footnote w:id="46">
    <w:p w:rsidR="00000000" w:rsidRDefault="00000000">
      <w:pPr>
        <w:pStyle w:val="FootnoteText"/>
      </w:pPr>
      <w:r>
        <w:rPr>
          <w:rStyle w:val="FootnoteReference"/>
          <w:b w:val="0"/>
          <w:vertAlign w:val="baseline"/>
        </w:rPr>
        <w:t>*</w:t>
      </w:r>
      <w:r>
        <w:rPr>
          <w:b/>
        </w:rPr>
        <w:t xml:space="preserve"> </w:t>
      </w:r>
      <w:r>
        <w:t xml:space="preserve"> Contained in document A/42/38.</w:t>
      </w:r>
    </w:p>
  </w:footnote>
  <w:footnote w:id="47">
    <w:p w:rsidR="00000000" w:rsidRDefault="00000000">
      <w:pPr>
        <w:pStyle w:val="FootnoteText"/>
      </w:pPr>
      <w:r>
        <w:rPr>
          <w:rStyle w:val="FootnoteReference"/>
          <w:b w:val="0"/>
          <w:vertAlign w:val="baseline"/>
        </w:rPr>
        <w:t>*</w:t>
      </w:r>
      <w:r>
        <w:t xml:space="preserve">  Contained in document A/43/38.</w:t>
      </w:r>
    </w:p>
  </w:footnote>
  <w:footnote w:id="48">
    <w:p w:rsidR="00000000" w:rsidRDefault="00000000">
      <w:pPr>
        <w:pStyle w:val="FootnoteText"/>
      </w:pPr>
      <w:r>
        <w:rPr>
          <w:rStyle w:val="FootnoteReference"/>
          <w:b w:val="0"/>
          <w:vertAlign w:val="baseline"/>
        </w:rPr>
        <w:t>*</w:t>
      </w:r>
      <w:r>
        <w:t xml:space="preserve">  Contained in document A/43/38.</w:t>
      </w:r>
    </w:p>
  </w:footnote>
  <w:footnote w:id="49">
    <w:p w:rsidR="00000000" w:rsidRDefault="00000000">
      <w:pPr>
        <w:pStyle w:val="FootnoteText"/>
      </w:pPr>
      <w:r>
        <w:rPr>
          <w:rStyle w:val="FootnoteReference"/>
          <w:b w:val="0"/>
          <w:vertAlign w:val="baseline"/>
        </w:rPr>
        <w:t>*</w:t>
      </w:r>
      <w:r>
        <w:t xml:space="preserve">  Contained in document A/43/38.</w:t>
      </w:r>
    </w:p>
  </w:footnote>
  <w:footnote w:id="50">
    <w:p w:rsidR="00000000" w:rsidRDefault="00000000">
      <w:pPr>
        <w:pStyle w:val="FootnoteText"/>
      </w:pPr>
      <w:r>
        <w:rPr>
          <w:rStyle w:val="FootnoteReference"/>
          <w:b w:val="0"/>
          <w:vertAlign w:val="baseline"/>
        </w:rPr>
        <w:t>**</w:t>
      </w:r>
      <w:r>
        <w:t xml:space="preserve"> Contained in document A/44/38.</w:t>
      </w:r>
    </w:p>
  </w:footnote>
  <w:footnote w:id="51">
    <w:p w:rsidR="00000000" w:rsidRDefault="00000000">
      <w:pPr>
        <w:pStyle w:val="FootnoteText"/>
      </w:pPr>
      <w:r>
        <w:rPr>
          <w:rStyle w:val="FootnoteReference"/>
          <w:b w:val="0"/>
          <w:bCs/>
          <w:vertAlign w:val="baseline"/>
        </w:rPr>
        <w:t>*</w:t>
      </w:r>
      <w:r>
        <w:t xml:space="preserve">  Contained in document A/44/38.</w:t>
      </w:r>
    </w:p>
  </w:footnote>
  <w:footnote w:id="52">
    <w:p w:rsidR="00000000" w:rsidRDefault="00000000">
      <w:pPr>
        <w:pStyle w:val="FootnoteText"/>
        <w:spacing w:after="0"/>
      </w:pPr>
      <w:r>
        <w:rPr>
          <w:rStyle w:val="FootnoteReference"/>
          <w:b w:val="0"/>
          <w:vertAlign w:val="baseline"/>
        </w:rPr>
        <w:t>*</w:t>
      </w:r>
      <w:r>
        <w:t xml:space="preserve">  Contained in document A/44/38.</w:t>
      </w:r>
    </w:p>
  </w:footnote>
  <w:footnote w:id="53">
    <w:p w:rsidR="00000000" w:rsidRDefault="00000000">
      <w:pPr>
        <w:pStyle w:val="FootnoteText"/>
      </w:pPr>
      <w:r>
        <w:rPr>
          <w:rStyle w:val="FootnoteReference"/>
          <w:b w:val="0"/>
          <w:vertAlign w:val="baseline"/>
        </w:rPr>
        <w:t>*</w:t>
      </w:r>
      <w:r>
        <w:t xml:space="preserve">  Contained in document A/44/38.</w:t>
      </w:r>
    </w:p>
  </w:footnote>
  <w:footnote w:id="54">
    <w:p w:rsidR="00000000" w:rsidRDefault="00000000">
      <w:pPr>
        <w:pStyle w:val="FootnoteText"/>
      </w:pPr>
      <w:r>
        <w:rPr>
          <w:rStyle w:val="FootnoteReference"/>
          <w:b w:val="0"/>
          <w:bCs/>
          <w:vertAlign w:val="baseline"/>
        </w:rPr>
        <w:t>*</w:t>
      </w:r>
      <w:r>
        <w:t xml:space="preserve">  Contained in document A/45/38 and Corrigendum.</w:t>
      </w:r>
    </w:p>
  </w:footnote>
  <w:footnote w:id="55">
    <w:p w:rsidR="00000000" w:rsidRDefault="00000000">
      <w:pPr>
        <w:pStyle w:val="FootnoteText"/>
      </w:pPr>
      <w:r>
        <w:rPr>
          <w:rStyle w:val="FootnoteReference"/>
          <w:b w:val="0"/>
          <w:vertAlign w:val="baseline"/>
        </w:rPr>
        <w:t>*</w:t>
      </w:r>
      <w:r>
        <w:t xml:space="preserve">  Contained in document A/45/38.</w:t>
      </w:r>
    </w:p>
  </w:footnote>
  <w:footnote w:id="56">
    <w:p w:rsidR="00000000" w:rsidRDefault="00000000">
      <w:pPr>
        <w:pStyle w:val="FootnoteText"/>
      </w:pPr>
      <w:r>
        <w:rPr>
          <w:rStyle w:val="FootnoteReference"/>
          <w:b w:val="0"/>
          <w:vertAlign w:val="baseline"/>
        </w:rPr>
        <w:t>*</w:t>
      </w:r>
      <w:r>
        <w:t xml:space="preserve">  Contained in document A/46/38.</w:t>
      </w:r>
    </w:p>
  </w:footnote>
  <w:footnote w:id="57">
    <w:p w:rsidR="00000000" w:rsidRDefault="00000000">
      <w:pPr>
        <w:pStyle w:val="FootnoteText"/>
      </w:pPr>
      <w:r>
        <w:rPr>
          <w:rStyle w:val="FootnoteReference"/>
          <w:b w:val="0"/>
          <w:vertAlign w:val="baseline"/>
        </w:rPr>
        <w:t>*</w:t>
      </w:r>
      <w:r>
        <w:t xml:space="preserve">  Contained in document A/46/38.</w:t>
      </w:r>
    </w:p>
  </w:footnote>
  <w:footnote w:id="58">
    <w:p w:rsidR="00000000" w:rsidRDefault="00000000">
      <w:pPr>
        <w:pStyle w:val="FootnoteText"/>
      </w:pPr>
      <w:r>
        <w:rPr>
          <w:rStyle w:val="FootnoteReference"/>
          <w:b w:val="0"/>
          <w:vertAlign w:val="baseline"/>
        </w:rPr>
        <w:t>*</w:t>
      </w:r>
      <w:r>
        <w:t xml:space="preserve">  Contained in document A/46/38.</w:t>
      </w:r>
    </w:p>
  </w:footnote>
  <w:footnote w:id="59">
    <w:p w:rsidR="00000000" w:rsidRDefault="00000000">
      <w:pPr>
        <w:pStyle w:val="FootnoteText"/>
      </w:pPr>
      <w:r>
        <w:rPr>
          <w:rStyle w:val="FootnoteReference"/>
          <w:b w:val="0"/>
          <w:vertAlign w:val="baseline"/>
        </w:rPr>
        <w:t>**</w:t>
      </w:r>
      <w:r>
        <w:t xml:space="preserve">  Contained in document A/47/38.</w:t>
      </w:r>
    </w:p>
  </w:footnote>
  <w:footnote w:id="60">
    <w:p w:rsidR="00000000" w:rsidRDefault="00000000">
      <w:pPr>
        <w:pStyle w:val="FootnoteText"/>
      </w:pPr>
      <w:r>
        <w:rPr>
          <w:rStyle w:val="FootnoteReference"/>
          <w:b w:val="0"/>
          <w:vertAlign w:val="baseline"/>
        </w:rPr>
        <w:t>*</w:t>
      </w:r>
      <w:r>
        <w:t xml:space="preserve">  Contained in document A/47/38.</w:t>
      </w:r>
    </w:p>
  </w:footnote>
  <w:footnote w:id="61">
    <w:p w:rsidR="00000000" w:rsidRDefault="00000000">
      <w:pPr>
        <w:pStyle w:val="FootnoteText"/>
      </w:pPr>
      <w:r>
        <w:rPr>
          <w:rStyle w:val="FootnoteReference"/>
          <w:b w:val="0"/>
          <w:bCs/>
          <w:vertAlign w:val="baseline"/>
        </w:rPr>
        <w:t>*</w:t>
      </w:r>
      <w:r>
        <w:rPr>
          <w:b/>
          <w:bCs/>
        </w:rPr>
        <w:t xml:space="preserve">  </w:t>
      </w:r>
      <w:r>
        <w:t>Contained in document A/49/38.</w:t>
      </w:r>
    </w:p>
  </w:footnote>
  <w:footnote w:id="62">
    <w:p w:rsidR="00000000" w:rsidRDefault="00000000">
      <w:pPr>
        <w:pStyle w:val="FootnoteText"/>
      </w:pPr>
      <w:r>
        <w:rPr>
          <w:rStyle w:val="FootnoteReference"/>
          <w:b w:val="0"/>
          <w:vertAlign w:val="baseline"/>
        </w:rPr>
        <w:t>*</w:t>
      </w:r>
      <w:r>
        <w:t xml:space="preserve">  Contained in document A/50/38.</w:t>
      </w:r>
    </w:p>
  </w:footnote>
  <w:footnote w:id="63">
    <w:p w:rsidR="00000000" w:rsidRDefault="00000000">
      <w:pPr>
        <w:pStyle w:val="FootnoteText"/>
      </w:pPr>
      <w:r>
        <w:rPr>
          <w:rStyle w:val="FootnoteReference"/>
          <w:b w:val="0"/>
          <w:vertAlign w:val="baseline"/>
        </w:rPr>
        <w:t>*</w:t>
      </w:r>
      <w:r>
        <w:t xml:space="preserve">  Contained in document A/52/38.</w:t>
      </w:r>
    </w:p>
  </w:footnote>
  <w:footnote w:id="64">
    <w:p w:rsidR="00000000" w:rsidRDefault="00000000">
      <w:pPr>
        <w:pStyle w:val="FootnoteText"/>
      </w:pPr>
      <w:r>
        <w:rPr>
          <w:rStyle w:val="FootnoteReference"/>
          <w:b w:val="0"/>
          <w:bCs/>
          <w:vertAlign w:val="baseline"/>
        </w:rPr>
        <w:t>*</w:t>
      </w:r>
      <w:r>
        <w:t xml:space="preserve">  Contained in document A/54/38/Rev.1, chap. I.</w:t>
      </w:r>
    </w:p>
  </w:footnote>
  <w:footnote w:id="65">
    <w:p w:rsidR="00000000" w:rsidRDefault="00000000">
      <w:pPr>
        <w:pStyle w:val="FootnoteText"/>
      </w:pPr>
      <w:r>
        <w:rPr>
          <w:rStyle w:val="FootnoteReference"/>
          <w:b w:val="0"/>
          <w:vertAlign w:val="baseline"/>
        </w:rPr>
        <w:t>*</w:t>
      </w:r>
      <w:r>
        <w:t xml:space="preserve">  See </w:t>
      </w:r>
      <w:r>
        <w:rPr>
          <w:i/>
        </w:rPr>
        <w:t xml:space="preserve">Official Records of the General Assembly, Forty-ninth Session, Supplement No. 38 </w:t>
      </w:r>
      <w:r>
        <w:t>(A/49/38), chap. I, sect. A, general recommendation 21, para. 29.</w:t>
      </w:r>
    </w:p>
  </w:footnote>
  <w:footnote w:id="66">
    <w:p w:rsidR="00000000" w:rsidRDefault="00000000">
      <w:pPr>
        <w:pStyle w:val="FootnoteText"/>
      </w:pPr>
      <w:r>
        <w:rPr>
          <w:rStyle w:val="FootnoteReference"/>
          <w:b w:val="0"/>
          <w:vertAlign w:val="baseline"/>
        </w:rPr>
        <w:t>*</w:t>
      </w:r>
      <w:r>
        <w:t xml:space="preserve">  Health education for adolescents should further address, inter alia, gender quality, violence, prevention of sexually transmitted diseases and reproductive and sexual health rights.</w:t>
      </w:r>
    </w:p>
  </w:footnote>
  <w:footnote w:id="67">
    <w:p w:rsidR="00000000" w:rsidRDefault="00000000">
      <w:pPr>
        <w:pStyle w:val="FootnoteText"/>
      </w:pPr>
      <w:r>
        <w:rPr>
          <w:rStyle w:val="FootnoteReference"/>
          <w:b w:val="0"/>
          <w:vertAlign w:val="baseline"/>
        </w:rPr>
        <w:t>*</w:t>
      </w:r>
      <w:r>
        <w:t xml:space="preserve">  Contained in document A/53/44, annex IX.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HRI/GEN/1/Rev.7</w:t>
    </w:r>
  </w:p>
  <w:p w:rsidR="00000000" w:rsidRDefault="00000000">
    <w:pPr>
      <w:pStyle w:val="Header"/>
      <w:tabs>
        <w:tab w:val="clear" w:pos="4320"/>
        <w:tab w:val="left" w:pos="5828"/>
        <w:tab w:val="left" w:pos="6650"/>
      </w:tabs>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HRI/GEN/1/Rev.7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HRI/GEN/1/Rev.7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spacing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HRI/GEN/1/Rev.7</w:t>
    </w:r>
  </w:p>
  <w:p w:rsidR="00000000" w:rsidRDefault="00000000">
    <w:pPr>
      <w:pStyle w:val="Header"/>
      <w:tabs>
        <w:tab w:val="clear" w:pos="4320"/>
        <w:tab w:val="left" w:pos="5828"/>
        <w:tab w:val="left" w:pos="6650"/>
      </w:tabs>
      <w:spacing w:after="0"/>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HRI/GEN/1/Rev.7</w:t>
    </w:r>
  </w:p>
  <w:p w:rsidR="00000000" w:rsidRDefault="00000000">
    <w:pPr>
      <w:pStyle w:val="Header"/>
      <w:tabs>
        <w:tab w:val="clear" w:pos="4320"/>
        <w:tab w:val="left" w:pos="5828"/>
        <w:tab w:val="left" w:pos="6650"/>
      </w:tabs>
      <w:spacing w:after="0"/>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spacing w:after="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spacing w:after="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HRI/GEN/1/Rev.7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spacing w:after="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spacing w:after="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HRI/GEN/1/Rev.7</w:t>
    </w:r>
  </w:p>
  <w:p w:rsidR="00000000" w:rsidRDefault="00000000">
    <w:pPr>
      <w:pStyle w:val="Header"/>
      <w:tabs>
        <w:tab w:val="clear" w:pos="4320"/>
        <w:tab w:val="left" w:pos="5828"/>
        <w:tab w:val="left" w:pos="6650"/>
      </w:tabs>
      <w:spacing w:after="0"/>
    </w:pPr>
    <w:r>
      <w:t xml:space="preserve">page </w:t>
    </w:r>
    <w:r>
      <w:fldChar w:fldCharType="begin"/>
    </w:r>
    <w:r>
      <w:instrText xml:space="preserve"> PAGE  \* MERGEFORMAT </w:instrText>
    </w:r>
    <w:r>
      <w:fldChar w:fldCharType="separate"/>
    </w:r>
    <w:r>
      <w:rPr>
        <w:noProof/>
      </w:rPr>
      <w:t>42</w:t>
    </w:r>
    <w:r>
      <w:fldChar w:fldCharType="end"/>
    </w:r>
  </w:p>
  <w:p w:rsidR="00000000" w:rsidRDefault="00000000">
    <w:pPr>
      <w:pStyle w:val="Header"/>
      <w:spacing w:after="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tabs>
        <w:tab w:val="clear" w:pos="4320"/>
        <w:tab w:val="clear" w:pos="8640"/>
        <w:tab w:val="left" w:pos="5828"/>
        <w:tab w:val="left" w:pos="6650"/>
      </w:tabs>
      <w:spacing w:after="0"/>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HRI/GEN/1/Rev.7</w:t>
    </w:r>
  </w:p>
  <w:p w:rsidR="00000000" w:rsidRDefault="00000000">
    <w:pPr>
      <w:pStyle w:val="Header"/>
      <w:tabs>
        <w:tab w:val="clear" w:pos="4320"/>
        <w:tab w:val="left" w:pos="5828"/>
        <w:tab w:val="left" w:pos="6650"/>
      </w:tabs>
      <w:spacing w:after="0"/>
    </w:pPr>
    <w:r>
      <w:t xml:space="preserve">page </w:t>
    </w:r>
    <w:r>
      <w:fldChar w:fldCharType="begin"/>
    </w:r>
    <w:r>
      <w:instrText xml:space="preserve"> PAGE  \* MERGEFORMAT </w:instrText>
    </w:r>
    <w:r>
      <w:fldChar w:fldCharType="separate"/>
    </w:r>
    <w:r>
      <w:rPr>
        <w:noProof/>
      </w:rPr>
      <w:t>50</w:t>
    </w:r>
    <w:r>
      <w:fldChar w:fldCharType="end"/>
    </w:r>
  </w:p>
  <w:p w:rsidR="00000000" w:rsidRDefault="00000000">
    <w:pPr>
      <w:pStyle w:val="Header"/>
      <w:spacing w:after="0"/>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51</w:t>
    </w:r>
    <w:r>
      <w:fldChar w:fldCharType="end"/>
    </w:r>
  </w:p>
  <w:p w:rsidR="00000000" w:rsidRDefault="00000000">
    <w:pPr>
      <w:pStyle w:val="Header"/>
      <w:spacing w:after="0"/>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HRI/GEN/1/Rev.7</w:t>
    </w:r>
  </w:p>
  <w:p w:rsidR="00000000" w:rsidRDefault="00000000">
    <w:pPr>
      <w:pStyle w:val="Header"/>
      <w:tabs>
        <w:tab w:val="clear" w:pos="4320"/>
        <w:tab w:val="left" w:pos="5828"/>
        <w:tab w:val="left" w:pos="6650"/>
      </w:tabs>
      <w:spacing w:after="0"/>
    </w:pPr>
    <w:r>
      <w:t xml:space="preserve">page </w:t>
    </w:r>
    <w:r>
      <w:fldChar w:fldCharType="begin"/>
    </w:r>
    <w:r>
      <w:instrText xml:space="preserve"> PAGE  \* MERGEFORMAT </w:instrText>
    </w:r>
    <w:r>
      <w:fldChar w:fldCharType="separate"/>
    </w:r>
    <w:r>
      <w:rPr>
        <w:noProof/>
      </w:rPr>
      <w:t>54</w:t>
    </w:r>
    <w:r>
      <w:fldChar w:fldCharType="end"/>
    </w:r>
  </w:p>
  <w:p w:rsidR="00000000" w:rsidRDefault="00000000">
    <w:pPr>
      <w:pStyle w:val="Header"/>
      <w:spacing w:after="0"/>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55</w:t>
    </w:r>
    <w:r>
      <w:fldChar w:fldCharType="end"/>
    </w:r>
  </w:p>
  <w:p w:rsidR="00000000" w:rsidRDefault="00000000">
    <w:pPr>
      <w:pStyle w:val="Header"/>
      <w:spacing w:after="0"/>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HRI/GEN/1/Rev.7</w:t>
    </w:r>
  </w:p>
  <w:p w:rsidR="00000000" w:rsidRDefault="00000000">
    <w:pPr>
      <w:pStyle w:val="Header"/>
      <w:tabs>
        <w:tab w:val="clear" w:pos="4320"/>
        <w:tab w:val="left" w:pos="5828"/>
        <w:tab w:val="left" w:pos="6650"/>
      </w:tabs>
      <w:spacing w:after="0"/>
    </w:pPr>
    <w:r>
      <w:t xml:space="preserve">page </w:t>
    </w:r>
    <w:r>
      <w:fldChar w:fldCharType="begin"/>
    </w:r>
    <w:r>
      <w:instrText xml:space="preserve"> PAGE  \* MERGEFORMAT </w:instrText>
    </w:r>
    <w:r>
      <w:fldChar w:fldCharType="separate"/>
    </w:r>
    <w:r>
      <w:rPr>
        <w:noProof/>
      </w:rPr>
      <w:t>58</w:t>
    </w:r>
    <w:r>
      <w:fldChar w:fldCharType="end"/>
    </w:r>
  </w:p>
  <w:p w:rsidR="00000000" w:rsidRDefault="00000000">
    <w:pPr>
      <w:pStyle w:val="Header"/>
      <w:spacing w:after="0"/>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59</w:t>
    </w:r>
    <w:r>
      <w:fldChar w:fldCharType="end"/>
    </w:r>
  </w:p>
  <w:p w:rsidR="00000000" w:rsidRDefault="00000000">
    <w:pPr>
      <w:pStyle w:val="Header"/>
      <w:spacing w:after="0"/>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HRI/GEN/1/Rev.7</w:t>
    </w:r>
  </w:p>
  <w:p w:rsidR="00000000" w:rsidRDefault="00000000">
    <w:pPr>
      <w:pStyle w:val="Header"/>
      <w:tabs>
        <w:tab w:val="clear" w:pos="4320"/>
        <w:tab w:val="left" w:pos="5828"/>
        <w:tab w:val="left" w:pos="6650"/>
      </w:tabs>
      <w:spacing w:after="0"/>
    </w:pPr>
    <w:r>
      <w:t xml:space="preserve">page </w:t>
    </w:r>
    <w:r>
      <w:fldChar w:fldCharType="begin"/>
    </w:r>
    <w:r>
      <w:instrText xml:space="preserve"> PAGE  \* MERGEFORMAT </w:instrText>
    </w:r>
    <w:r>
      <w:fldChar w:fldCharType="separate"/>
    </w:r>
    <w:r>
      <w:rPr>
        <w:noProof/>
      </w:rPr>
      <w:t>86</w:t>
    </w:r>
    <w:r>
      <w:fldChar w:fldCharType="end"/>
    </w:r>
  </w:p>
  <w:p w:rsidR="00000000" w:rsidRDefault="00000000">
    <w:pPr>
      <w:pStyle w:val="Header"/>
      <w:spacing w:after="0"/>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85</w:t>
    </w:r>
    <w:r>
      <w:fldChar w:fldCharType="end"/>
    </w:r>
  </w:p>
  <w:p w:rsidR="00000000" w:rsidRDefault="00000000">
    <w:pPr>
      <w:pStyle w:val="Header"/>
      <w:spacing w:after="0"/>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HRI/GEN/1/Rev.7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106</w:t>
    </w:r>
    <w:r>
      <w:fldChar w:fldCharType="end"/>
    </w:r>
  </w:p>
  <w:p w:rsidR="00000000" w:rsidRDefault="00000000">
    <w:pPr>
      <w:pStyle w:val="Header"/>
      <w:spacing w:after="0"/>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105</w:t>
    </w:r>
    <w:r>
      <w:fldChar w:fldCharType="end"/>
    </w:r>
  </w:p>
  <w:p w:rsidR="00000000" w:rsidRDefault="00000000">
    <w:pPr>
      <w:pStyle w:val="Header"/>
      <w:spacing w:after="0"/>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HRI/GEN/1/Rev.7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122</w:t>
    </w:r>
    <w:r>
      <w:fldChar w:fldCharType="end"/>
    </w:r>
  </w:p>
  <w:p w:rsidR="00000000" w:rsidRDefault="00000000">
    <w:pPr>
      <w:pStyle w:val="Header"/>
      <w:spacing w:after="0"/>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123</w:t>
    </w:r>
    <w:r>
      <w:fldChar w:fldCharType="end"/>
    </w:r>
  </w:p>
  <w:p w:rsidR="00000000" w:rsidRDefault="00000000">
    <w:pPr>
      <w:pStyle w:val="Header"/>
      <w:spacing w:after="0"/>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HRI/GEN/1/Rev.7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160</w:t>
    </w:r>
    <w:r>
      <w:fldChar w:fldCharType="end"/>
    </w:r>
  </w:p>
  <w:p w:rsidR="00000000" w:rsidRDefault="00000000">
    <w:pPr>
      <w:pStyle w:val="Header"/>
      <w:spacing w:after="0"/>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161</w:t>
    </w:r>
    <w:r>
      <w:fldChar w:fldCharType="end"/>
    </w:r>
  </w:p>
  <w:p w:rsidR="00000000" w:rsidRDefault="00000000">
    <w:pPr>
      <w:pStyle w:val="Header"/>
      <w:spacing w:after="0"/>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HRI/GEN/1/Rev.7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166</w:t>
    </w:r>
    <w:r>
      <w:fldChar w:fldCharType="end"/>
    </w:r>
  </w:p>
  <w:p w:rsidR="00000000" w:rsidRDefault="00000000">
    <w:pPr>
      <w:pStyle w:val="Header"/>
      <w:spacing w:after="0"/>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167</w:t>
    </w:r>
    <w:r>
      <w:fldChar w:fldCharType="end"/>
    </w:r>
  </w:p>
  <w:p w:rsidR="00000000" w:rsidRDefault="00000000">
    <w:pPr>
      <w:pStyle w:val="Header"/>
      <w:spacing w:after="0"/>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HRI/GEN/1/Rev.7</w:t>
    </w:r>
  </w:p>
  <w:p w:rsidR="00000000" w:rsidRDefault="00000000">
    <w:pPr>
      <w:pStyle w:val="Header"/>
      <w:tabs>
        <w:tab w:val="clear" w:pos="4320"/>
        <w:tab w:val="left" w:pos="5828"/>
        <w:tab w:val="left" w:pos="6650"/>
      </w:tabs>
      <w:spacing w:after="0"/>
    </w:pPr>
    <w:r>
      <w:t xml:space="preserve">page </w:t>
    </w:r>
    <w:r>
      <w:fldChar w:fldCharType="begin"/>
    </w:r>
    <w:r>
      <w:instrText xml:space="preserve"> PAGE  \* MERGEFORMAT </w:instrText>
    </w:r>
    <w:r>
      <w:fldChar w:fldCharType="separate"/>
    </w:r>
    <w:r>
      <w:rPr>
        <w:noProof/>
      </w:rPr>
      <w:t>172</w:t>
    </w:r>
    <w:r>
      <w:fldChar w:fldCharType="end"/>
    </w:r>
  </w:p>
  <w:p w:rsidR="00000000" w:rsidRDefault="00000000">
    <w:pPr>
      <w:pStyle w:val="Header"/>
      <w:spacing w:after="0"/>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171</w:t>
    </w:r>
    <w:r>
      <w:fldChar w:fldCharType="end"/>
    </w:r>
  </w:p>
  <w:p w:rsidR="00000000" w:rsidRDefault="00000000">
    <w:pPr>
      <w:pStyle w:val="Header"/>
      <w:spacing w:after="0"/>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HRI/GEN/1/Rev.7</w:t>
    </w:r>
  </w:p>
  <w:p w:rsidR="00000000" w:rsidRDefault="00000000">
    <w:pPr>
      <w:pStyle w:val="Header"/>
      <w:tabs>
        <w:tab w:val="clear" w:pos="4320"/>
        <w:tab w:val="left" w:pos="5828"/>
        <w:tab w:val="left" w:pos="6650"/>
      </w:tabs>
      <w:spacing w:after="0"/>
    </w:pPr>
    <w:r>
      <w:t xml:space="preserve">page </w:t>
    </w:r>
    <w:r>
      <w:fldChar w:fldCharType="begin"/>
    </w:r>
    <w:r>
      <w:instrText xml:space="preserve"> PAGE  \* MERGEFORMAT </w:instrText>
    </w:r>
    <w:r>
      <w:fldChar w:fldCharType="separate"/>
    </w:r>
    <w:r>
      <w:rPr>
        <w:noProof/>
      </w:rPr>
      <w:t>176</w:t>
    </w:r>
    <w:r>
      <w:fldChar w:fldCharType="end"/>
    </w:r>
  </w:p>
  <w:p w:rsidR="00000000" w:rsidRDefault="00000000">
    <w:pPr>
      <w:pStyle w:val="Header"/>
      <w:spacing w:after="0"/>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177</w:t>
    </w:r>
    <w:r>
      <w:fldChar w:fldCharType="end"/>
    </w:r>
  </w:p>
  <w:p w:rsidR="00000000" w:rsidRDefault="00000000">
    <w:pPr>
      <w:pStyle w:val="Header"/>
      <w:spacing w:after="0"/>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HRI/GEN/1/Rev.7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184</w:t>
    </w:r>
    <w:r>
      <w:fldChar w:fldCharType="end"/>
    </w:r>
  </w:p>
  <w:p w:rsidR="00000000" w:rsidRDefault="00000000">
    <w:pPr>
      <w:pStyle w:val="Header"/>
      <w:spacing w:after="0"/>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183</w:t>
    </w:r>
    <w:r>
      <w:fldChar w:fldCharType="end"/>
    </w:r>
  </w:p>
  <w:p w:rsidR="00000000" w:rsidRDefault="00000000">
    <w:pPr>
      <w:pStyle w:val="Header"/>
      <w:spacing w:after="0"/>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HRI/GEN/1/Rev.7</w:t>
    </w:r>
  </w:p>
  <w:p w:rsidR="00000000" w:rsidRDefault="00000000">
    <w:pPr>
      <w:pStyle w:val="Header"/>
      <w:tabs>
        <w:tab w:val="clear" w:pos="4320"/>
        <w:tab w:val="left" w:pos="5828"/>
        <w:tab w:val="left" w:pos="6650"/>
      </w:tabs>
      <w:spacing w:after="0"/>
    </w:pPr>
    <w:r>
      <w:t xml:space="preserve">page </w:t>
    </w:r>
    <w:r>
      <w:fldChar w:fldCharType="begin"/>
    </w:r>
    <w:r>
      <w:instrText xml:space="preserve"> PAGE  \* MERGEFORMAT </w:instrText>
    </w:r>
    <w:r>
      <w:fldChar w:fldCharType="separate"/>
    </w:r>
    <w:r>
      <w:rPr>
        <w:noProof/>
      </w:rPr>
      <w:t>190</w:t>
    </w:r>
    <w:r>
      <w:fldChar w:fldCharType="end"/>
    </w:r>
  </w:p>
  <w:p w:rsidR="00000000" w:rsidRDefault="00000000">
    <w:pPr>
      <w:pStyle w:val="Header"/>
      <w:spacing w:after="0"/>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191</w:t>
    </w:r>
    <w:r>
      <w:fldChar w:fldCharType="end"/>
    </w:r>
  </w:p>
  <w:p w:rsidR="00000000" w:rsidRDefault="00000000">
    <w:pPr>
      <w:pStyle w:val="Header"/>
      <w:spacing w:after="0"/>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HRI/GEN/1/Rev.7</w:t>
    </w:r>
  </w:p>
  <w:p w:rsidR="00000000" w:rsidRDefault="00000000">
    <w:pPr>
      <w:pStyle w:val="Header"/>
      <w:tabs>
        <w:tab w:val="clear" w:pos="4320"/>
        <w:tab w:val="left" w:pos="5828"/>
        <w:tab w:val="left" w:pos="6650"/>
      </w:tabs>
      <w:spacing w:after="0"/>
    </w:pPr>
    <w:r>
      <w:t xml:space="preserve">page </w:t>
    </w:r>
    <w:r>
      <w:fldChar w:fldCharType="begin"/>
    </w:r>
    <w:r>
      <w:instrText xml:space="preserve"> PAGE  \* MERGEFORMAT </w:instrText>
    </w:r>
    <w:r>
      <w:fldChar w:fldCharType="separate"/>
    </w:r>
    <w:r>
      <w:rPr>
        <w:noProof/>
      </w:rPr>
      <w:t>274</w:t>
    </w:r>
    <w:r>
      <w:fldChar w:fldCharType="end"/>
    </w:r>
  </w:p>
  <w:p w:rsidR="00000000" w:rsidRDefault="00000000">
    <w:pPr>
      <w:pStyle w:val="Header"/>
      <w:spacing w:after="0"/>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273</w:t>
    </w:r>
    <w:r>
      <w:fldChar w:fldCharType="end"/>
    </w:r>
  </w:p>
  <w:p w:rsidR="00000000" w:rsidRDefault="00000000">
    <w:pPr>
      <w:pStyle w:val="Header"/>
      <w:spacing w:after="0"/>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HRI/GEN/1/Rev.7</w:t>
    </w:r>
  </w:p>
  <w:p w:rsidR="00000000" w:rsidRDefault="00000000">
    <w:pPr>
      <w:pStyle w:val="Header"/>
      <w:tabs>
        <w:tab w:val="clear" w:pos="4320"/>
        <w:tab w:val="left" w:pos="5828"/>
        <w:tab w:val="left" w:pos="6650"/>
      </w:tabs>
      <w:spacing w:after="0"/>
    </w:pPr>
    <w:r>
      <w:t xml:space="preserve">page </w:t>
    </w:r>
    <w:r>
      <w:fldChar w:fldCharType="begin"/>
    </w:r>
    <w:r>
      <w:instrText xml:space="preserve"> PAGE  \* MERGEFORMAT </w:instrText>
    </w:r>
    <w:r>
      <w:fldChar w:fldCharType="separate"/>
    </w:r>
    <w:r>
      <w:rPr>
        <w:noProof/>
      </w:rPr>
      <w:t>276</w:t>
    </w:r>
    <w:r>
      <w:fldChar w:fldCharType="end"/>
    </w:r>
  </w:p>
  <w:p w:rsidR="00000000" w:rsidRDefault="00000000">
    <w:pPr>
      <w:pStyle w:val="Header"/>
      <w:spacing w:after="0"/>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277</w:t>
    </w:r>
    <w:r>
      <w:fldChar w:fldCharType="end"/>
    </w:r>
  </w:p>
  <w:p w:rsidR="00000000" w:rsidRDefault="00000000">
    <w:pPr>
      <w:pStyle w:val="Header"/>
      <w:spacing w:after="0"/>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HRI/GEN/1/Rev.7</w:t>
    </w:r>
  </w:p>
  <w:p w:rsidR="00000000" w:rsidRDefault="00000000">
    <w:pPr>
      <w:pStyle w:val="Header"/>
      <w:tabs>
        <w:tab w:val="clear" w:pos="4320"/>
        <w:tab w:val="left" w:pos="5828"/>
        <w:tab w:val="left" w:pos="6650"/>
      </w:tabs>
      <w:spacing w:after="0"/>
    </w:pPr>
    <w:r>
      <w:t xml:space="preserve">page </w:t>
    </w:r>
    <w:r>
      <w:fldChar w:fldCharType="begin"/>
    </w:r>
    <w:r>
      <w:instrText xml:space="preserve"> PAGE  \* MERGEFORMAT </w:instrText>
    </w:r>
    <w:r>
      <w:fldChar w:fldCharType="separate"/>
    </w:r>
    <w:r>
      <w:rPr>
        <w:noProof/>
      </w:rPr>
      <w:t>300</w:t>
    </w:r>
    <w:r>
      <w:fldChar w:fldCharType="end"/>
    </w:r>
  </w:p>
  <w:p w:rsidR="00000000" w:rsidRDefault="00000000">
    <w:pPr>
      <w:pStyle w:val="Header"/>
      <w:spacing w:after="0"/>
    </w:pP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301</w:t>
    </w:r>
    <w:r>
      <w:fldChar w:fldCharType="end"/>
    </w:r>
  </w:p>
  <w:p w:rsidR="00000000" w:rsidRDefault="00000000">
    <w:pPr>
      <w:pStyle w:val="Header"/>
      <w:tabs>
        <w:tab w:val="clear" w:pos="4320"/>
        <w:tab w:val="left" w:pos="5828"/>
        <w:tab w:val="left" w:pos="6650"/>
      </w:tabs>
      <w:spacing w:after="0"/>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HRI/GEN/1/Rev.7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308</w:t>
    </w:r>
    <w:r>
      <w:fldChar w:fldCharType="end"/>
    </w:r>
  </w:p>
  <w:p w:rsidR="00000000" w:rsidRDefault="00000000">
    <w:pPr>
      <w:pStyle w:val="Header"/>
      <w:spacing w:after="0"/>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307</w:t>
    </w:r>
    <w:r>
      <w:fldChar w:fldCharType="end"/>
    </w:r>
  </w:p>
  <w:p w:rsidR="00000000" w:rsidRDefault="00000000">
    <w:pPr>
      <w:pStyle w:val="Header"/>
      <w:spacing w:after="0"/>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HRI/GEN/1/Rev.7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332</w:t>
    </w:r>
    <w:r>
      <w:fldChar w:fldCharType="end"/>
    </w:r>
  </w:p>
  <w:p w:rsidR="00000000" w:rsidRDefault="00000000">
    <w:pPr>
      <w:pStyle w:val="Header"/>
      <w:spacing w:after="0"/>
    </w:pP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331</w:t>
    </w:r>
    <w:r>
      <w:fldChar w:fldCharType="end"/>
    </w:r>
  </w:p>
  <w:p w:rsidR="00000000" w:rsidRDefault="00000000">
    <w:pPr>
      <w:pStyle w:val="Header"/>
      <w:spacing w:after="0"/>
    </w:pP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HRI/GEN/1/Rev.7</w:t>
    </w:r>
  </w:p>
  <w:p w:rsidR="00000000" w:rsidRDefault="00000000">
    <w:pPr>
      <w:pStyle w:val="Header"/>
      <w:tabs>
        <w:tab w:val="clear" w:pos="4320"/>
        <w:tab w:val="left" w:pos="5828"/>
        <w:tab w:val="left" w:pos="6650"/>
      </w:tabs>
      <w:spacing w:after="0"/>
    </w:pPr>
    <w:r>
      <w:t xml:space="preserve">page </w:t>
    </w:r>
    <w:r>
      <w:fldChar w:fldCharType="begin"/>
    </w:r>
    <w:r>
      <w:instrText xml:space="preserve"> PAGE  \* MERGEFORMAT </w:instrText>
    </w:r>
    <w:r>
      <w:fldChar w:fldCharType="separate"/>
    </w:r>
    <w:r>
      <w:rPr>
        <w:noProof/>
      </w:rPr>
      <w:t>350</w:t>
    </w:r>
    <w:r>
      <w:fldChar w:fldCharType="end"/>
    </w:r>
  </w:p>
  <w:p w:rsidR="00000000" w:rsidRDefault="00000000">
    <w:pPr>
      <w:pStyle w:val="Header"/>
      <w:spacing w:after="0"/>
    </w:pP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351</w:t>
    </w:r>
    <w:r>
      <w:fldChar w:fldCharType="end"/>
    </w:r>
  </w:p>
  <w:p w:rsidR="00000000" w:rsidRDefault="00000000">
    <w:pPr>
      <w:pStyle w:val="Header"/>
      <w:tabs>
        <w:tab w:val="clear" w:pos="4320"/>
        <w:tab w:val="left" w:pos="5828"/>
        <w:tab w:val="left" w:pos="6650"/>
      </w:tabs>
      <w:spacing w:after="0"/>
    </w:pP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HRI/GEN/1/Rev.7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352</w:t>
    </w:r>
    <w:r>
      <w:fldChar w:fldCharType="end"/>
    </w:r>
  </w:p>
  <w:p w:rsidR="00000000" w:rsidRDefault="00000000">
    <w:pPr>
      <w:pStyle w:val="Header"/>
      <w:spacing w:after="0"/>
    </w:pP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28"/>
        <w:tab w:val="left" w:pos="6650"/>
      </w:tabs>
      <w:spacing w:after="0"/>
    </w:pPr>
    <w:r>
      <w:tab/>
    </w:r>
    <w:r>
      <w:tab/>
      <w:t>HRI/GEN/1/Rev.7</w:t>
    </w:r>
  </w:p>
  <w:p w:rsidR="00000000" w:rsidRDefault="00000000">
    <w:pPr>
      <w:pStyle w:val="Header"/>
      <w:tabs>
        <w:tab w:val="clear" w:pos="432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353</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A58EC92E"/>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C5085DA0"/>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F9E8D118"/>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33884784"/>
    <w:lvl w:ilvl="0">
      <w:start w:val="1"/>
      <w:numFmt w:val="decimal"/>
      <w:lvlText w:val="%İ"/>
      <w:lvlJc w:val="left"/>
      <w:pPr>
        <w:tabs>
          <w:tab w:val="num" w:pos="680"/>
        </w:tabs>
        <w:ind w:left="0" w:firstLine="0"/>
      </w:pPr>
      <w:rPr>
        <w:rFonts w:ascii="Courier" w:hAnsi="Courier"/>
        <w:sz w:val="20"/>
      </w:r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numFmt w:val="decimal"/>
      <w:lvlText w:val=""/>
      <w:lvlJc w:val="left"/>
      <w:pPr>
        <w:ind w:left="0" w:firstLine="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4D46094"/>
    <w:multiLevelType w:val="hybridMultilevel"/>
    <w:tmpl w:val="034CCE2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1"/>
      <w:numFmt w:val="lowerRoman"/>
      <w:lvlText w:val="%3)"/>
      <w:lvlJc w:val="left"/>
      <w:pPr>
        <w:tabs>
          <w:tab w:val="num" w:pos="2700"/>
        </w:tabs>
        <w:ind w:left="2700" w:hanging="720"/>
      </w:pPr>
      <w:rPr>
        <w:rFonts w:hint="default"/>
      </w:rPr>
    </w:lvl>
    <w:lvl w:ilvl="3" w:tplc="FFFFFFFF">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08985F69"/>
    <w:multiLevelType w:val="singleLevel"/>
    <w:tmpl w:val="BB10D130"/>
    <w:lvl w:ilvl="0">
      <w:start w:val="1"/>
      <w:numFmt w:val="bullet"/>
      <w:lvlText w:val=""/>
      <w:lvlJc w:val="left"/>
      <w:pPr>
        <w:tabs>
          <w:tab w:val="num" w:pos="360"/>
        </w:tabs>
        <w:ind w:left="360" w:hanging="360"/>
      </w:pPr>
      <w:rPr>
        <w:rFonts w:ascii="Symbol" w:hAnsi="Symbol"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2B3F49C6"/>
    <w:multiLevelType w:val="singleLevel"/>
    <w:tmpl w:val="B8F8A38E"/>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04B62AF"/>
    <w:multiLevelType w:val="hybridMultilevel"/>
    <w:tmpl w:val="2D161236"/>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5C1966F6"/>
    <w:multiLevelType w:val="hybridMultilevel"/>
    <w:tmpl w:val="1140066C"/>
    <w:lvl w:ilvl="0" w:tplc="FFFFFFFF">
      <w:start w:val="1"/>
      <w:numFmt w:val="decimal"/>
      <w:lvlText w:val="%1."/>
      <w:lvlJc w:val="left"/>
      <w:pPr>
        <w:tabs>
          <w:tab w:val="num" w:pos="900"/>
        </w:tabs>
        <w:ind w:left="900" w:hanging="720"/>
      </w:pPr>
      <w:rPr>
        <w:rFonts w:ascii="Times New (W1)" w:hAnsi="Times New (W1)" w:hint="default"/>
        <w:strike/>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67FB526C"/>
    <w:multiLevelType w:val="hybridMultilevel"/>
    <w:tmpl w:val="75EC4580"/>
    <w:lvl w:ilvl="0" w:tplc="FFFFFFFF">
      <w:start w:val="1"/>
      <w:numFmt w:val="bullet"/>
      <w:lvlText w:val=""/>
      <w:lvlJc w:val="left"/>
      <w:pPr>
        <w:tabs>
          <w:tab w:val="num" w:pos="1074"/>
        </w:tabs>
        <w:ind w:left="1071" w:hanging="357"/>
      </w:pPr>
      <w:rPr>
        <w:rFonts w:ascii="Symbol" w:hAnsi="Symbol" w:hint="default"/>
      </w:rPr>
    </w:lvl>
    <w:lvl w:ilvl="1" w:tplc="FFFFFFFF" w:tentative="1">
      <w:start w:val="1"/>
      <w:numFmt w:val="bullet"/>
      <w:lvlText w:val="o"/>
      <w:lvlJc w:val="left"/>
      <w:pPr>
        <w:tabs>
          <w:tab w:val="num" w:pos="2154"/>
        </w:tabs>
        <w:ind w:left="2154" w:hanging="360"/>
      </w:pPr>
      <w:rPr>
        <w:rFonts w:ascii="Courier New" w:hAnsi="Courier New" w:hint="default"/>
      </w:rPr>
    </w:lvl>
    <w:lvl w:ilvl="2" w:tplc="FFFFFFFF" w:tentative="1">
      <w:start w:val="1"/>
      <w:numFmt w:val="bullet"/>
      <w:lvlText w:val=""/>
      <w:lvlJc w:val="left"/>
      <w:pPr>
        <w:tabs>
          <w:tab w:val="num" w:pos="2874"/>
        </w:tabs>
        <w:ind w:left="2874" w:hanging="360"/>
      </w:pPr>
      <w:rPr>
        <w:rFonts w:ascii="Wingdings" w:hAnsi="Wingdings" w:hint="default"/>
      </w:rPr>
    </w:lvl>
    <w:lvl w:ilvl="3" w:tplc="FFFFFFFF" w:tentative="1">
      <w:start w:val="1"/>
      <w:numFmt w:val="bullet"/>
      <w:lvlText w:val=""/>
      <w:lvlJc w:val="left"/>
      <w:pPr>
        <w:tabs>
          <w:tab w:val="num" w:pos="3594"/>
        </w:tabs>
        <w:ind w:left="3594" w:hanging="360"/>
      </w:pPr>
      <w:rPr>
        <w:rFonts w:ascii="Symbol" w:hAnsi="Symbol" w:hint="default"/>
      </w:rPr>
    </w:lvl>
    <w:lvl w:ilvl="4" w:tplc="FFFFFFFF" w:tentative="1">
      <w:start w:val="1"/>
      <w:numFmt w:val="bullet"/>
      <w:lvlText w:val="o"/>
      <w:lvlJc w:val="left"/>
      <w:pPr>
        <w:tabs>
          <w:tab w:val="num" w:pos="4314"/>
        </w:tabs>
        <w:ind w:left="4314" w:hanging="360"/>
      </w:pPr>
      <w:rPr>
        <w:rFonts w:ascii="Courier New" w:hAnsi="Courier New" w:hint="default"/>
      </w:rPr>
    </w:lvl>
    <w:lvl w:ilvl="5" w:tplc="FFFFFFFF" w:tentative="1">
      <w:start w:val="1"/>
      <w:numFmt w:val="bullet"/>
      <w:lvlText w:val=""/>
      <w:lvlJc w:val="left"/>
      <w:pPr>
        <w:tabs>
          <w:tab w:val="num" w:pos="5034"/>
        </w:tabs>
        <w:ind w:left="5034" w:hanging="360"/>
      </w:pPr>
      <w:rPr>
        <w:rFonts w:ascii="Wingdings" w:hAnsi="Wingdings" w:hint="default"/>
      </w:rPr>
    </w:lvl>
    <w:lvl w:ilvl="6" w:tplc="FFFFFFFF" w:tentative="1">
      <w:start w:val="1"/>
      <w:numFmt w:val="bullet"/>
      <w:lvlText w:val=""/>
      <w:lvlJc w:val="left"/>
      <w:pPr>
        <w:tabs>
          <w:tab w:val="num" w:pos="5754"/>
        </w:tabs>
        <w:ind w:left="5754" w:hanging="360"/>
      </w:pPr>
      <w:rPr>
        <w:rFonts w:ascii="Symbol" w:hAnsi="Symbol" w:hint="default"/>
      </w:rPr>
    </w:lvl>
    <w:lvl w:ilvl="7" w:tplc="FFFFFFFF" w:tentative="1">
      <w:start w:val="1"/>
      <w:numFmt w:val="bullet"/>
      <w:lvlText w:val="o"/>
      <w:lvlJc w:val="left"/>
      <w:pPr>
        <w:tabs>
          <w:tab w:val="num" w:pos="6474"/>
        </w:tabs>
        <w:ind w:left="6474" w:hanging="360"/>
      </w:pPr>
      <w:rPr>
        <w:rFonts w:ascii="Courier New" w:hAnsi="Courier New" w:hint="default"/>
      </w:rPr>
    </w:lvl>
    <w:lvl w:ilvl="8" w:tplc="FFFFFFFF" w:tentative="1">
      <w:start w:val="1"/>
      <w:numFmt w:val="bullet"/>
      <w:lvlText w:val=""/>
      <w:lvlJc w:val="left"/>
      <w:pPr>
        <w:tabs>
          <w:tab w:val="num" w:pos="7194"/>
        </w:tabs>
        <w:ind w:left="7194" w:hanging="360"/>
      </w:pPr>
      <w:rPr>
        <w:rFonts w:ascii="Wingdings" w:hAnsi="Wingdings" w:hint="default"/>
      </w:rPr>
    </w:lvl>
  </w:abstractNum>
  <w:abstractNum w:abstractNumId="31">
    <w:nsid w:val="6FC17C57"/>
    <w:multiLevelType w:val="hybridMultilevel"/>
    <w:tmpl w:val="7D521674"/>
    <w:lvl w:ilvl="0" w:tplc="FFFFFFFF">
      <w:start w:val="1"/>
      <w:numFmt w:val="decimal"/>
      <w:lvlText w:val="%1"/>
      <w:lvlJc w:val="left"/>
      <w:pPr>
        <w:tabs>
          <w:tab w:val="num" w:pos="720"/>
        </w:tabs>
        <w:ind w:left="720" w:hanging="360"/>
      </w:pPr>
      <w:rPr>
        <w:rFonts w:hint="default"/>
        <w:b/>
        <w:w w:val="1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74F23CAF"/>
    <w:multiLevelType w:val="hybridMultilevel"/>
    <w:tmpl w:val="6770CF32"/>
    <w:lvl w:ilvl="0" w:tplc="FFFFFFFF">
      <w:start w:val="1"/>
      <w:numFmt w:val="decimal"/>
      <w:lvlText w:val="%1."/>
      <w:lvlJc w:val="left"/>
      <w:pPr>
        <w:tabs>
          <w:tab w:val="num" w:pos="360"/>
        </w:tabs>
        <w:ind w:left="0" w:firstLine="0"/>
      </w:pPr>
      <w:rPr>
        <w:rFonts w:hint="default"/>
      </w:rPr>
    </w:lvl>
    <w:lvl w:ilvl="1" w:tplc="FFFFFFFF">
      <w:start w:val="1"/>
      <w:numFmt w:val="lowerLetter"/>
      <w:lvlText w:val="%2."/>
      <w:lvlJc w:val="left"/>
      <w:pPr>
        <w:tabs>
          <w:tab w:val="num" w:pos="360"/>
        </w:tabs>
        <w:ind w:left="0" w:firstLine="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7ACA643D"/>
    <w:multiLevelType w:val="singleLevel"/>
    <w:tmpl w:val="0409000F"/>
    <w:lvl w:ilvl="0">
      <w:start w:val="1"/>
      <w:numFmt w:val="decimal"/>
      <w:lvlText w:val="%1."/>
      <w:lvlJc w:val="left"/>
      <w:pPr>
        <w:tabs>
          <w:tab w:val="num" w:pos="360"/>
        </w:tabs>
        <w:ind w:left="360" w:hanging="360"/>
      </w:pPr>
    </w:lvl>
  </w:abstractNum>
  <w:abstractNum w:abstractNumId="34">
    <w:nsid w:val="7CF349BD"/>
    <w:multiLevelType w:val="singleLevel"/>
    <w:tmpl w:val="BAF25D5A"/>
    <w:lvl w:ilvl="0">
      <w:start w:val="1"/>
      <w:numFmt w:val="lowerRoman"/>
      <w:pStyle w:val="Rom1"/>
      <w:lvlText w:val="(%1)"/>
      <w:lvlJc w:val="right"/>
      <w:pPr>
        <w:tabs>
          <w:tab w:val="num" w:pos="1440"/>
        </w:tabs>
        <w:ind w:left="1440" w:hanging="589"/>
      </w:pPr>
      <w:rPr>
        <w:rFont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num w:numId="1">
    <w:abstractNumId w:val="34"/>
  </w:num>
  <w:num w:numId="2">
    <w:abstractNumId w:val="18"/>
  </w:num>
  <w:num w:numId="3">
    <w:abstractNumId w:val="34"/>
  </w:num>
  <w:num w:numId="4">
    <w:abstractNumId w:val="18"/>
  </w:num>
  <w:num w:numId="5">
    <w:abstractNumId w:val="14"/>
  </w:num>
  <w:num w:numId="6">
    <w:abstractNumId w:val="21"/>
  </w:num>
  <w:num w:numId="7">
    <w:abstractNumId w:val="23"/>
  </w:num>
  <w:num w:numId="8">
    <w:abstractNumId w:val="33"/>
  </w:num>
  <w:num w:numId="9">
    <w:abstractNumId w:val="26"/>
  </w:num>
  <w:num w:numId="10">
    <w:abstractNumId w:val="35"/>
  </w:num>
  <w:num w:numId="11">
    <w:abstractNumId w:val="23"/>
  </w:num>
  <w:num w:numId="12">
    <w:abstractNumId w:val="25"/>
  </w:num>
  <w:num w:numId="13">
    <w:abstractNumId w:val="25"/>
  </w:num>
  <w:num w:numId="14">
    <w:abstractNumId w:val="29"/>
  </w:num>
  <w:num w:numId="15">
    <w:abstractNumId w:val="22"/>
  </w:num>
  <w:num w:numId="16">
    <w:abstractNumId w:val="22"/>
  </w:num>
  <w:num w:numId="17">
    <w:abstractNumId w:val="34"/>
  </w:num>
  <w:num w:numId="18">
    <w:abstractNumId w:val="18"/>
  </w:num>
  <w:num w:numId="19">
    <w:abstractNumId w:val="3"/>
  </w:num>
  <w:num w:numId="20">
    <w:abstractNumId w:val="1"/>
  </w:num>
  <w:num w:numId="21">
    <w:abstractNumId w:val="34"/>
  </w:num>
  <w:num w:numId="22">
    <w:abstractNumId w:val="18"/>
  </w:num>
  <w:num w:numId="23">
    <w:abstractNumId w:val="0"/>
  </w:num>
  <w:num w:numId="24">
    <w:abstractNumId w:val="19"/>
  </w:num>
  <w:num w:numId="25">
    <w:abstractNumId w:val="11"/>
  </w:num>
  <w:num w:numId="26">
    <w:abstractNumId w:val="17"/>
  </w:num>
  <w:num w:numId="27">
    <w:abstractNumId w:val="15"/>
  </w:num>
  <w:num w:numId="28">
    <w:abstractNumId w:val="24"/>
  </w:num>
  <w:num w:numId="29">
    <w:abstractNumId w:val="27"/>
  </w:num>
  <w:num w:numId="30">
    <w:abstractNumId w:val="2"/>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6"/>
  </w:num>
  <w:num w:numId="38">
    <w:abstractNumId w:val="34"/>
    <w:lvlOverride w:ilvl="0">
      <w:startOverride w:val="1"/>
    </w:lvlOverride>
  </w:num>
  <w:num w:numId="39">
    <w:abstractNumId w:val="18"/>
    <w:lvlOverride w:ilvl="0">
      <w:startOverride w:val="1"/>
    </w:lvlOverride>
  </w:num>
  <w:num w:numId="40">
    <w:abstractNumId w:val="22"/>
    <w:lvlOverride w:ilvl="0">
      <w:startOverride w:val="1"/>
    </w:lvlOverride>
  </w:num>
  <w:num w:numId="41">
    <w:abstractNumId w:val="24"/>
    <w:lvlOverride w:ilvl="0">
      <w:startOverride w:val="1"/>
    </w:lvlOverride>
  </w:num>
  <w:num w:numId="42">
    <w:abstractNumId w:val="10"/>
  </w:num>
  <w:num w:numId="43">
    <w:abstractNumId w:val="10"/>
    <w:lvlOverride w:ilvl="0">
      <w:lvl w:ilvl="0">
        <w:start w:val="1"/>
        <w:numFmt w:val="decimal"/>
        <w:lvlText w:val="%İ"/>
        <w:lvlJc w:val="left"/>
        <w:pPr>
          <w:ind w:left="0" w:firstLine="0"/>
        </w:pPr>
        <w:rPr>
          <w:rFonts w:ascii="Courier" w:hAnsi="Courier"/>
          <w:sz w:val="20"/>
        </w:r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num>
  <w:num w:numId="44">
    <w:abstractNumId w:val="10"/>
    <w:lvlOverride w:ilvl="0">
      <w:startOverride w:val="1"/>
      <w:lvl w:ilvl="0">
        <w:start w:val="1"/>
        <w:numFmt w:val="decimal"/>
        <w:lvlText w:val="%İ"/>
        <w:lvlJc w:val="left"/>
      </w:lvl>
    </w:lvlOverride>
    <w:lvlOverride w:ilvl="1">
      <w:lvl w:ilv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5">
    <w:abstractNumId w:val="13"/>
  </w:num>
  <w:num w:numId="46">
    <w:abstractNumId w:val="22"/>
    <w:lvlOverride w:ilvl="0">
      <w:startOverride w:val="1"/>
    </w:lvlOverride>
  </w:num>
  <w:num w:numId="47">
    <w:abstractNumId w:val="12"/>
  </w:num>
  <w:num w:numId="48">
    <w:abstractNumId w:val="32"/>
  </w:num>
  <w:num w:numId="49">
    <w:abstractNumId w:val="18"/>
    <w:lvlOverride w:ilvl="0">
      <w:startOverride w:val="1"/>
    </w:lvlOverride>
  </w:num>
  <w:num w:numId="50">
    <w:abstractNumId w:val="28"/>
  </w:num>
  <w:num w:numId="51">
    <w:abstractNumId w:val="31"/>
  </w:num>
  <w:num w:numId="52">
    <w:abstractNumId w:val="30"/>
  </w:num>
  <w:num w:numId="5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pos w:val="sectEnd"/>
    <w:numFmt w:val="decimal"/>
    <w:numRestart w:val="eachSect"/>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next w:val="Normal"/>
    <w:semiHidden/>
  </w:style>
  <w:style w:type="paragraph" w:styleId="NormalWeb">
    <w:name w:val="Normal (Web)"/>
    <w:basedOn w:val="Normal"/>
    <w:semiHidden/>
    <w:pPr>
      <w:tabs>
        <w:tab w:val="left" w:pos="425"/>
      </w:tabs>
      <w:spacing w:before="100" w:after="100"/>
      <w:jc w:val="both"/>
    </w:pPr>
    <w:rPr>
      <w:color w:val="000000"/>
      <w:lang w:val="en-AU"/>
    </w:rPr>
  </w:style>
  <w:style w:type="paragraph" w:styleId="BodyText3">
    <w:name w:val="Body Text 3"/>
    <w:basedOn w:val="Normal"/>
    <w:semiHidden/>
    <w:pPr>
      <w:tabs>
        <w:tab w:val="left" w:pos="425"/>
      </w:tabs>
    </w:pPr>
    <w:rPr>
      <w:i/>
    </w:rPr>
  </w:style>
  <w:style w:type="paragraph" w:styleId="BodyText2">
    <w:name w:val="Body Text 2"/>
    <w:basedOn w:val="Normal"/>
    <w:semiHidden/>
    <w:pPr>
      <w:tabs>
        <w:tab w:val="left" w:pos="425"/>
      </w:tabs>
      <w:spacing w:after="120" w:line="480" w:lineRule="auto"/>
      <w:jc w:val="both"/>
    </w:pPr>
    <w:rPr>
      <w:szCs w:val="24"/>
      <w:lang w:val="en-US"/>
    </w:rPr>
  </w:style>
  <w:style w:type="character" w:customStyle="1" w:styleId="Heading2Char">
    <w:name w:val="Heading 2 Char"/>
    <w:rPr>
      <w:b/>
      <w:sz w:val="24"/>
      <w:lang w:val="en-GB" w:eastAsia="en-US" w:bidi="ar-SA"/>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8.xml"/><Relationship Id="rId26" Type="http://schemas.openxmlformats.org/officeDocument/2006/relationships/header" Target="header16.xml"/><Relationship Id="rId39" Type="http://schemas.openxmlformats.org/officeDocument/2006/relationships/header" Target="header25.xml"/><Relationship Id="rId21" Type="http://schemas.openxmlformats.org/officeDocument/2006/relationships/header" Target="header11.xml"/><Relationship Id="rId34" Type="http://schemas.openxmlformats.org/officeDocument/2006/relationships/header" Target="header22.xml"/><Relationship Id="rId42" Type="http://schemas.openxmlformats.org/officeDocument/2006/relationships/header" Target="header27.xml"/><Relationship Id="rId47" Type="http://schemas.openxmlformats.org/officeDocument/2006/relationships/footer" Target="footer9.xml"/><Relationship Id="rId50" Type="http://schemas.openxmlformats.org/officeDocument/2006/relationships/footer" Target="footer10.xml"/><Relationship Id="rId55" Type="http://schemas.openxmlformats.org/officeDocument/2006/relationships/header" Target="header37.xml"/><Relationship Id="rId63" Type="http://schemas.openxmlformats.org/officeDocument/2006/relationships/header" Target="header44.xml"/><Relationship Id="rId68" Type="http://schemas.openxmlformats.org/officeDocument/2006/relationships/header" Target="header49.xml"/><Relationship Id="rId7" Type="http://schemas.openxmlformats.org/officeDocument/2006/relationships/image" Target="media/image1.wmf"/><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2.xm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14.xml"/><Relationship Id="rId32" Type="http://schemas.openxmlformats.org/officeDocument/2006/relationships/footer" Target="footer4.xml"/><Relationship Id="rId37" Type="http://schemas.openxmlformats.org/officeDocument/2006/relationships/header" Target="header24.xml"/><Relationship Id="rId40" Type="http://schemas.openxmlformats.org/officeDocument/2006/relationships/header" Target="header26.xml"/><Relationship Id="rId45" Type="http://schemas.openxmlformats.org/officeDocument/2006/relationships/header" Target="header29.xml"/><Relationship Id="rId53" Type="http://schemas.openxmlformats.org/officeDocument/2006/relationships/header" Target="header35.xml"/><Relationship Id="rId58" Type="http://schemas.openxmlformats.org/officeDocument/2006/relationships/header" Target="header39.xml"/><Relationship Id="rId66" Type="http://schemas.openxmlformats.org/officeDocument/2006/relationships/header" Target="header47.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13.xml"/><Relationship Id="rId28" Type="http://schemas.openxmlformats.org/officeDocument/2006/relationships/header" Target="header18.xml"/><Relationship Id="rId36" Type="http://schemas.openxmlformats.org/officeDocument/2006/relationships/header" Target="header23.xml"/><Relationship Id="rId49" Type="http://schemas.openxmlformats.org/officeDocument/2006/relationships/header" Target="header32.xml"/><Relationship Id="rId57" Type="http://schemas.openxmlformats.org/officeDocument/2006/relationships/footer" Target="footer11.xml"/><Relationship Id="rId61" Type="http://schemas.openxmlformats.org/officeDocument/2006/relationships/header" Target="header42.xml"/><Relationship Id="rId10" Type="http://schemas.openxmlformats.org/officeDocument/2006/relationships/header" Target="header2.xml"/><Relationship Id="rId19" Type="http://schemas.openxmlformats.org/officeDocument/2006/relationships/header" Target="header9.xml"/><Relationship Id="rId31" Type="http://schemas.openxmlformats.org/officeDocument/2006/relationships/header" Target="header20.xml"/><Relationship Id="rId44" Type="http://schemas.openxmlformats.org/officeDocument/2006/relationships/footer" Target="footer8.xml"/><Relationship Id="rId52" Type="http://schemas.openxmlformats.org/officeDocument/2006/relationships/header" Target="header34.xml"/><Relationship Id="rId60" Type="http://schemas.openxmlformats.org/officeDocument/2006/relationships/header" Target="header41.xml"/><Relationship Id="rId65" Type="http://schemas.openxmlformats.org/officeDocument/2006/relationships/header" Target="header4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header" Target="header12.xml"/><Relationship Id="rId27" Type="http://schemas.openxmlformats.org/officeDocument/2006/relationships/header" Target="header17.xml"/><Relationship Id="rId30" Type="http://schemas.openxmlformats.org/officeDocument/2006/relationships/header" Target="header19.xml"/><Relationship Id="rId35" Type="http://schemas.openxmlformats.org/officeDocument/2006/relationships/footer" Target="footer5.xml"/><Relationship Id="rId43" Type="http://schemas.openxmlformats.org/officeDocument/2006/relationships/header" Target="header28.xml"/><Relationship Id="rId48" Type="http://schemas.openxmlformats.org/officeDocument/2006/relationships/header" Target="header31.xml"/><Relationship Id="rId56" Type="http://schemas.openxmlformats.org/officeDocument/2006/relationships/header" Target="header38.xml"/><Relationship Id="rId64" Type="http://schemas.openxmlformats.org/officeDocument/2006/relationships/header" Target="header45.xml"/><Relationship Id="rId69" Type="http://schemas.openxmlformats.org/officeDocument/2006/relationships/header" Target="header50.xml"/><Relationship Id="rId8" Type="http://schemas.openxmlformats.org/officeDocument/2006/relationships/oleObject" Target="embeddings/oleObject1.bin"/><Relationship Id="rId51" Type="http://schemas.openxmlformats.org/officeDocument/2006/relationships/header" Target="header33.xml"/><Relationship Id="rId3" Type="http://schemas.openxmlformats.org/officeDocument/2006/relationships/settings" Target="settings.xml"/><Relationship Id="rId12" Type="http://schemas.openxmlformats.org/officeDocument/2006/relationships/header" Target="header4.xml"/><Relationship Id="rId17" Type="http://schemas.openxmlformats.org/officeDocument/2006/relationships/header" Target="header7.xml"/><Relationship Id="rId25" Type="http://schemas.openxmlformats.org/officeDocument/2006/relationships/header" Target="header15.xml"/><Relationship Id="rId33" Type="http://schemas.openxmlformats.org/officeDocument/2006/relationships/header" Target="header21.xml"/><Relationship Id="rId38" Type="http://schemas.openxmlformats.org/officeDocument/2006/relationships/footer" Target="footer6.xml"/><Relationship Id="rId46" Type="http://schemas.openxmlformats.org/officeDocument/2006/relationships/header" Target="header30.xml"/><Relationship Id="rId59" Type="http://schemas.openxmlformats.org/officeDocument/2006/relationships/header" Target="header40.xml"/><Relationship Id="rId67" Type="http://schemas.openxmlformats.org/officeDocument/2006/relationships/header" Target="header48.xml"/><Relationship Id="rId20" Type="http://schemas.openxmlformats.org/officeDocument/2006/relationships/header" Target="header10.xml"/><Relationship Id="rId41" Type="http://schemas.openxmlformats.org/officeDocument/2006/relationships/footer" Target="footer7.xml"/><Relationship Id="rId54" Type="http://schemas.openxmlformats.org/officeDocument/2006/relationships/header" Target="header36.xml"/><Relationship Id="rId62" Type="http://schemas.openxmlformats.org/officeDocument/2006/relationships/header" Target="header43.xml"/><Relationship Id="rId7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0</TotalTime>
  <Pages>1</Pages>
  <Words>148790</Words>
  <Characters>848107</Characters>
  <Application>Microsoft Office Word</Application>
  <DocSecurity>4</DocSecurity>
  <Lines>7067</Lines>
  <Paragraphs>1696</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0441302</vt:lpstr>
      <vt:lpstr>COMPILATION OF GENERAL COMMENTS AND GENERAL RECOMMENDATIONS ADOPTED BY          </vt:lpstr>
      <vt:lpstr>    Note by the Secretariat</vt:lpstr>
      <vt:lpstr>I.	GENERAL COMMENTS adopted by the Committee  on ECONOMIC, SOCIAL AND CULTURAL </vt:lpstr>
      <vt:lpstr>    Introduction:  the purpose of general comments*</vt:lpstr>
      <vt:lpstr>    Third session (1989)*</vt:lpstr>
      <vt:lpstr>    General comment No. 1:  Reporting by States parties</vt:lpstr>
      <vt:lpstr>    Fourth session (1990)*</vt:lpstr>
      <vt:lpstr>    General comment No. 2:  International technical assistance measures (art. 22 of </vt:lpstr>
      <vt:lpstr>    General comment No. 3:  The nature of States parties’ obligations (art. 2, para.</vt:lpstr>
      <vt:lpstr>    General comment No. 4: The right to adequate housing (art. 11 (1) of the Covenan</vt:lpstr>
      <vt:lpstr>    Eleventh session (1994)(</vt:lpstr>
      <vt:lpstr>    General comment No. 5:  Persons with disabilities</vt:lpstr>
      <vt:lpstr>    1.  General obligations of States parties</vt:lpstr>
      <vt:lpstr>    2.  Means of implementation</vt:lpstr>
      <vt:lpstr>    3.  The obligation to eliminate discrimination on the grounds of disability</vt:lpstr>
      <vt:lpstr>    4.  Specific provisions of the Covenant</vt:lpstr>
      <vt:lpstr>    A.  Article 3:  Equal rights for men and women</vt:lpstr>
      <vt:lpstr>    B.  Articles 6-8:  Rights relating to work</vt:lpstr>
      <vt:lpstr>    C.  Article 9:  Social security</vt:lpstr>
      <vt:lpstr>    D.  Article 10:  Protection of the family and of mothers and children</vt:lpstr>
      <vt:lpstr>    E.  Article 11:  The right to an adequate standard of living</vt:lpstr>
      <vt:lpstr>    F.  Article 12:  The right to physical and mental health</vt:lpstr>
      <vt:lpstr>    G.  Articles 13 and 14:  The right to education</vt:lpstr>
      <vt:lpstr>    H.	Article 15:  The right to take part in cultural life  and enjoy the benefits </vt:lpstr>
      <vt:lpstr>    Thirteenth session (1995)*</vt:lpstr>
      <vt:lpstr>    General comment No. 6:  The economic, social and cultural rights of older person</vt:lpstr>
      <vt:lpstr>    1.  Introduction</vt:lpstr>
      <vt:lpstr>    2.  Internationally endorsed policies in relation to older persons</vt:lpstr>
      <vt:lpstr>    3.	The rights of older persons in relation to the International  Covenant on Eco</vt:lpstr>
    </vt:vector>
  </TitlesOfParts>
  <Company>ONU</Company>
  <LinksUpToDate>false</LinksUpToDate>
  <CharactersWithSpaces>1041534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0441302</dc:title>
  <dc:subject/>
  <dc:creator>christine</dc:creator>
  <cp:keywords>HRI/GEN/1/Rev.7</cp:keywords>
  <dc:description>final</dc:description>
  <cp:lastModifiedBy>CSD</cp:lastModifiedBy>
  <cp:revision>2</cp:revision>
  <cp:lastPrinted>2004-06-04T06:10:00Z</cp:lastPrinted>
  <dcterms:created xsi:type="dcterms:W3CDTF">2004-06-07T07:43:00Z</dcterms:created>
  <dcterms:modified xsi:type="dcterms:W3CDTF">2004-06-07T07:43:00Z</dcterms:modified>
</cp:coreProperties>
</file>