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F97" w:rsidRDefault="00FE4F97">
      <w:pPr>
        <w:spacing w:line="240" w:lineRule="auto"/>
        <w:jc w:val="left"/>
        <w:rPr>
          <w:szCs w:val="6"/>
        </w:rPr>
        <w:sectPr w:rsidR="00FE4F9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E4F97" w:rsidRDefault="00FE4F9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FE4F97" w:rsidRPr="00813077" w:rsidRDefault="00FE4F97">
      <w:pPr>
        <w:pStyle w:val="SingleTxt"/>
        <w:spacing w:after="0" w:line="120" w:lineRule="exact"/>
        <w:rPr>
          <w:rFonts w:hint="cs"/>
          <w:sz w:val="12"/>
          <w:rtl/>
        </w:rPr>
      </w:pPr>
    </w:p>
    <w:p w:rsidR="00FE4F97" w:rsidRPr="00813077" w:rsidRDefault="00FE4F97">
      <w:pPr>
        <w:pStyle w:val="SingleTxt"/>
        <w:spacing w:after="0" w:line="120" w:lineRule="exact"/>
        <w:rPr>
          <w:rFonts w:hint="cs"/>
          <w:sz w:val="12"/>
          <w:rtl/>
        </w:rPr>
      </w:pPr>
    </w:p>
    <w:p w:rsidR="00FE4F97" w:rsidRDefault="00FE4F9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FE4F97" w:rsidRPr="00813077" w:rsidRDefault="00FE4F97">
      <w:pPr>
        <w:pStyle w:val="SingleTxt"/>
        <w:spacing w:after="0" w:line="120" w:lineRule="exact"/>
        <w:rPr>
          <w:rFonts w:hint="cs"/>
          <w:sz w:val="12"/>
          <w:rtl/>
        </w:rPr>
      </w:pPr>
    </w:p>
    <w:p w:rsidR="00FE4F97" w:rsidRPr="00813077" w:rsidRDefault="00FE4F97">
      <w:pPr>
        <w:pStyle w:val="SingleTxt"/>
        <w:spacing w:after="0" w:line="120" w:lineRule="exact"/>
        <w:rPr>
          <w:rFonts w:hint="cs"/>
          <w:sz w:val="12"/>
          <w:rtl/>
        </w:rPr>
      </w:pPr>
    </w:p>
    <w:p w:rsidR="00FE4F97" w:rsidRPr="00813077" w:rsidRDefault="00FE4F97">
      <w:pPr>
        <w:pStyle w:val="SingleTxt"/>
        <w:spacing w:after="0" w:line="120" w:lineRule="exact"/>
        <w:rPr>
          <w:rFonts w:hint="cs"/>
          <w:sz w:val="12"/>
          <w:rtl/>
        </w:rPr>
      </w:pPr>
    </w:p>
    <w:p w:rsidR="00FE4F97" w:rsidRDefault="00FE4F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التقرير الجامع  للتقارير الدورية الخامسة والسادسة والسابعة للدول الأطراف</w:t>
      </w:r>
    </w:p>
    <w:p w:rsidR="00FE4F97" w:rsidRPr="00813077" w:rsidRDefault="00FE4F97">
      <w:pPr>
        <w:pStyle w:val="SingleTxt"/>
        <w:spacing w:after="0" w:line="120" w:lineRule="exact"/>
        <w:rPr>
          <w:rFonts w:hint="cs"/>
          <w:sz w:val="12"/>
          <w:rtl/>
        </w:rPr>
      </w:pPr>
    </w:p>
    <w:p w:rsidR="00FE4F97" w:rsidRPr="00813077" w:rsidRDefault="00FE4F97">
      <w:pPr>
        <w:pStyle w:val="SingleTxt"/>
        <w:spacing w:after="0" w:line="120" w:lineRule="exact"/>
        <w:rPr>
          <w:rFonts w:hint="cs"/>
          <w:sz w:val="12"/>
          <w:rtl/>
        </w:rPr>
      </w:pPr>
    </w:p>
    <w:p w:rsidR="00FE4F97" w:rsidRPr="00813077" w:rsidRDefault="00FE4F97">
      <w:pPr>
        <w:pStyle w:val="SingleTxt"/>
        <w:spacing w:after="0" w:line="120" w:lineRule="exact"/>
        <w:rPr>
          <w:rFonts w:hint="cs"/>
          <w:sz w:val="12"/>
          <w:rtl/>
        </w:rPr>
      </w:pPr>
    </w:p>
    <w:p w:rsidR="00FE4F97" w:rsidRPr="00037F45" w:rsidRDefault="00FE4F97">
      <w:pPr>
        <w:framePr w:w="9792" w:h="432" w:hSpace="187" w:wrap="around" w:hAnchor="page" w:x="1196" w:yAlign="bottom"/>
        <w:spacing w:line="240" w:lineRule="auto"/>
        <w:rPr>
          <w:szCs w:val="10"/>
          <w:rtl/>
        </w:rPr>
      </w:pPr>
    </w:p>
    <w:p w:rsidR="00FE4F97" w:rsidRPr="00037F45" w:rsidRDefault="00FE4F97">
      <w:pPr>
        <w:framePr w:w="9792" w:h="432" w:hSpace="187" w:wrap="around" w:hAnchor="page" w:x="1196" w:yAlign="bottom"/>
        <w:spacing w:line="240" w:lineRule="auto"/>
        <w:rPr>
          <w:szCs w:val="6"/>
          <w:rtl/>
        </w:rPr>
      </w:pPr>
    </w:p>
    <w:p w:rsidR="00FE4F97" w:rsidRDefault="00FE4F97">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6" style="position:absolute;left:0;text-align:left;z-index:4" from="396pt,-1pt" to="468pt,-1pt">
            <w10:wrap anchorx="page"/>
          </v:line>
        </w:pict>
      </w:r>
      <w:r>
        <w:rPr>
          <w:sz w:val="17"/>
          <w:szCs w:val="26"/>
        </w:rPr>
        <w:tab/>
      </w:r>
      <w:r>
        <w:rPr>
          <w:rFonts w:hint="cs"/>
          <w:sz w:val="17"/>
          <w:szCs w:val="26"/>
          <w:rtl/>
        </w:rPr>
        <w:t>*</w:t>
      </w:r>
      <w:r>
        <w:rPr>
          <w:rFonts w:hint="cs"/>
          <w:sz w:val="17"/>
          <w:szCs w:val="26"/>
          <w:rtl/>
        </w:rPr>
        <w:tab/>
        <w:t>تلقت الأمانة العامة التقرير الجامع للتقارير الدورية الخامسة والساد</w:t>
      </w:r>
      <w:r w:rsidR="008068E2">
        <w:rPr>
          <w:rFonts w:hint="cs"/>
          <w:sz w:val="17"/>
          <w:szCs w:val="26"/>
          <w:rtl/>
        </w:rPr>
        <w:t>سة والسابعة لمنغوليا وذلك في 23</w:t>
      </w:r>
      <w:r w:rsidR="008068E2">
        <w:rPr>
          <w:rFonts w:hint="eastAsia"/>
          <w:sz w:val="17"/>
          <w:szCs w:val="26"/>
          <w:rtl/>
        </w:rPr>
        <w:t> </w:t>
      </w:r>
      <w:r>
        <w:rPr>
          <w:rFonts w:hint="cs"/>
          <w:sz w:val="17"/>
          <w:szCs w:val="26"/>
          <w:rtl/>
        </w:rPr>
        <w:t>آذار/مارس 2007.</w:t>
      </w:r>
    </w:p>
    <w:p w:rsidR="00FE4F97" w:rsidRPr="00813077" w:rsidRDefault="00FE4F97">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sz w:val="17"/>
          <w:szCs w:val="26"/>
          <w:rtl/>
        </w:rPr>
        <w:tab/>
      </w:r>
      <w:r>
        <w:rPr>
          <w:rFonts w:hint="cs"/>
          <w:sz w:val="17"/>
          <w:szCs w:val="26"/>
          <w:rtl/>
        </w:rPr>
        <w:tab/>
        <w:t xml:space="preserve">للاطلاع على التقرير الأولي المقدم من حكومة منغوليا، انظر </w:t>
      </w:r>
      <w:r>
        <w:rPr>
          <w:sz w:val="17"/>
          <w:szCs w:val="26"/>
        </w:rPr>
        <w:t>CEDAW/C/5/Add.20</w:t>
      </w:r>
      <w:r>
        <w:rPr>
          <w:rFonts w:hint="cs"/>
          <w:sz w:val="17"/>
          <w:szCs w:val="26"/>
          <w:rtl/>
        </w:rPr>
        <w:t xml:space="preserve"> الذي نظرت فيه اللجنة في دورتها الخامسة. وللاطلاع على التقرير الدوري الثاني انظر </w:t>
      </w:r>
      <w:r>
        <w:rPr>
          <w:sz w:val="17"/>
          <w:szCs w:val="26"/>
        </w:rPr>
        <w:t>CEDAW/C/13/Add.7</w:t>
      </w:r>
      <w:r>
        <w:rPr>
          <w:rFonts w:hint="cs"/>
          <w:sz w:val="17"/>
          <w:szCs w:val="26"/>
          <w:rtl/>
        </w:rPr>
        <w:t xml:space="preserve"> الذي نظرت فيه اللجنة في دورتها التاسعة. وللاطلاع على التقريرين الدوريين الثالث والرابع المجتمعين انظر </w:t>
      </w:r>
      <w:r>
        <w:rPr>
          <w:sz w:val="17"/>
          <w:szCs w:val="26"/>
        </w:rPr>
        <w:t>CEDAW/C/MNG/3-4</w:t>
      </w:r>
      <w:r>
        <w:rPr>
          <w:rFonts w:hint="cs"/>
          <w:sz w:val="17"/>
          <w:szCs w:val="26"/>
          <w:rtl/>
        </w:rPr>
        <w:t xml:space="preserve"> اللذين نظرت فيهما اللجنة في دورتها الرابعة والعشرين.</w:t>
      </w:r>
    </w:p>
    <w:p w:rsidR="00FE4F97" w:rsidRDefault="00FE4F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منغوليا*</w:t>
      </w:r>
    </w:p>
    <w:p w:rsidR="00FE4F97" w:rsidRDefault="00FE4F97">
      <w:pPr>
        <w:pStyle w:val="SingleTxt"/>
        <w:rPr>
          <w:rFonts w:hint="cs"/>
          <w:rtl/>
        </w:rPr>
      </w:pPr>
    </w:p>
    <w:p w:rsidR="00FE4F97" w:rsidRDefault="00FE4F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التقرير الوطني الخامس المقدم من حكومة منغوليا بشأن تنفيذ اتفاقية القضاء على جميع أشكال التمييز ضد المرأة</w:t>
      </w:r>
    </w:p>
    <w:p w:rsidR="00FE4F97" w:rsidRPr="00DD331D" w:rsidRDefault="00FE4F97">
      <w:pPr>
        <w:pStyle w:val="SingleTxt"/>
        <w:spacing w:after="0" w:line="120" w:lineRule="exact"/>
        <w:rPr>
          <w:rFonts w:hint="cs"/>
          <w:sz w:val="12"/>
          <w:rtl/>
        </w:rPr>
      </w:pPr>
    </w:p>
    <w:p w:rsidR="00FE4F97" w:rsidRDefault="00FE4F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FE4F97" w:rsidRDefault="00FE4F97">
      <w:pPr>
        <w:pStyle w:val="SingleTxt"/>
        <w:rPr>
          <w:rFonts w:hint="cs"/>
          <w:rtl/>
        </w:rPr>
      </w:pPr>
      <w:r>
        <w:rPr>
          <w:rFonts w:hint="cs"/>
          <w:rtl/>
        </w:rPr>
        <w:tab/>
        <w:t xml:space="preserve">تقدم حكومة منغوليا بموجب هذه الوثيقة تقريرها الخامس بشأن تنفيذ اتفاقية القضاء على جميع أشكال التمييز ضد المرأة. </w:t>
      </w:r>
    </w:p>
    <w:p w:rsidR="00FE4F97" w:rsidRDefault="00FE4F97">
      <w:pPr>
        <w:pStyle w:val="SingleTxt"/>
        <w:rPr>
          <w:rFonts w:hint="cs"/>
          <w:rtl/>
        </w:rPr>
      </w:pPr>
      <w:r>
        <w:rPr>
          <w:rFonts w:hint="cs"/>
          <w:rtl/>
        </w:rPr>
        <w:tab/>
        <w:t>ويستند هذا التقرير إلى المعلومات والمصادر التي تجمعت بعد تقديم التقريرين الثالث والرابع المقدمين من حكومة منغوليا لعامي 1997 و2001 على التوالي. ويحاول التقرير أيضا تحليل الحالة المحددة لحقوق المرأة من المنظورات الجنسانية بتقييم التغيرات الدينامية الحاصلة أثناء التحول إلى السوق الحرة منذ عام 1990.</w:t>
      </w:r>
    </w:p>
    <w:p w:rsidR="00FE4F97" w:rsidRDefault="00FE4F97">
      <w:pPr>
        <w:pStyle w:val="SingleTxt"/>
        <w:rPr>
          <w:rFonts w:hint="cs"/>
          <w:rtl/>
        </w:rPr>
      </w:pPr>
      <w:r>
        <w:rPr>
          <w:rFonts w:hint="cs"/>
          <w:rtl/>
        </w:rPr>
        <w:tab/>
        <w:t>ويغطي الجزء الأول من التقرير الحالة الاقتصادية العامة ويورد معلومات موجزة بشأن وضع المرأة في حين يعكس الجزء الثاني النُهج الجنسانية المأخوذ بها في السياسة المتعلقة بكفالة حقوق الإنسان وعملية الإصلاح القانوني.</w:t>
      </w:r>
    </w:p>
    <w:p w:rsidR="00FE4F97" w:rsidRDefault="00FE4F97">
      <w:pPr>
        <w:pStyle w:val="SingleTxt"/>
        <w:rPr>
          <w:rFonts w:hint="cs"/>
          <w:rtl/>
        </w:rPr>
      </w:pPr>
      <w:r>
        <w:rPr>
          <w:rFonts w:hint="cs"/>
          <w:rtl/>
        </w:rPr>
        <w:tab/>
        <w:t>ويتناول الجزء الثالث القضايا المتعلقة بإعمال حقوق المرأة في التطور والمشاركة في الحياة الاجتماعية، وإنجازاتها والدروس المستفادة، والتحديات، والتدابير التي اتخذتها الحكومة للتغلب عليها والقضايا التي يتعين مراعاتها في الخطوات الأخرى.</w:t>
      </w:r>
    </w:p>
    <w:p w:rsidR="00FE4F97" w:rsidRPr="00E057A3" w:rsidRDefault="00FE4F97">
      <w:pPr>
        <w:pStyle w:val="SingleTxt"/>
        <w:spacing w:after="0" w:line="120" w:lineRule="exact"/>
        <w:rPr>
          <w:rFonts w:hint="cs"/>
          <w:sz w:val="12"/>
          <w:rtl/>
        </w:rPr>
      </w:pPr>
    </w:p>
    <w:p w:rsidR="00FE4F97" w:rsidRDefault="00FE4F97" w:rsidP="008068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أولا -</w:t>
      </w:r>
      <w:r>
        <w:rPr>
          <w:rFonts w:hint="cs"/>
          <w:rtl/>
        </w:rPr>
        <w:tab/>
        <w:t>معلومات عامة بشأن الحالة الاقتصادية والمرأة</w:t>
      </w:r>
    </w:p>
    <w:p w:rsidR="00FE4F97" w:rsidRDefault="00FE4F97">
      <w:pPr>
        <w:pStyle w:val="SingleTxt"/>
        <w:rPr>
          <w:rFonts w:hint="cs"/>
          <w:rtl/>
        </w:rPr>
      </w:pPr>
      <w:r>
        <w:rPr>
          <w:rFonts w:hint="cs"/>
          <w:rtl/>
        </w:rPr>
        <w:tab/>
        <w:t>يرتبط كثير من قضايا التنمية التي تواجهها منغوليا اليوم ارتباطا وثيقا بالتحول إلى الديمقراطية ومجتمع السوق الحرة. ولم يكن التحول إلى الاقتصاد السوقي عملية سهلة. وتمثلت بعض تدابير الإصلاح الهامة منذ عام  1990 في تحرير الأسواق المحلية الرئيسية والتجارة الدولية، والتعويم الحر للعملة، وخصخصة المشاريع المملوكة للدولة. وحقق علاج الاقتصاد بالصدمة نتائج متباينة.</w:t>
      </w:r>
    </w:p>
    <w:p w:rsidR="00FE4F97" w:rsidRDefault="00FE4F97">
      <w:pPr>
        <w:pStyle w:val="SingleTxt"/>
        <w:rPr>
          <w:rFonts w:hint="cs"/>
          <w:rtl/>
        </w:rPr>
      </w:pPr>
      <w:r>
        <w:rPr>
          <w:rFonts w:hint="cs"/>
          <w:rtl/>
        </w:rPr>
        <w:tab/>
        <w:t>وفي بداية التحول في الفترة بين 1990-1994، شهد الاقتصاد انخفاضا حادا وهبط الدخل بصورة شديدة. وبدأت دلائل الاستقرار الاقتصادي تظهر من عام 1995 ومنذ ذلك الحين أخذ الاقتصاد ينمو باستمرار ولكنه لم يبلغ مستواه السابق في عام 1990. وبالسيطرة على التضخم، أخذ القطاع الخاص ينمو سريعا.</w:t>
      </w:r>
    </w:p>
    <w:p w:rsidR="00FE4F97" w:rsidRDefault="00FE4F97">
      <w:pPr>
        <w:pStyle w:val="SingleTxt"/>
        <w:rPr>
          <w:rFonts w:hint="cs"/>
          <w:rtl/>
        </w:rPr>
      </w:pPr>
      <w:r>
        <w:rPr>
          <w:rFonts w:hint="cs"/>
          <w:rtl/>
        </w:rPr>
        <w:tab/>
        <w:t>وبسبب مخاطر الشتاء على مدى ثلاث سنوات متعاقبة منذ عام 1999، انخفض الإنتاج الزراعي ولم يبلغ نمو الناتج المحلي الإجمالي إلا 1.1 في المائة في عام 2000. ولذلك شهد نمو البلد ركودا وكانت الخسارة في الماشية هائلة من حيث الكم.</w:t>
      </w:r>
    </w:p>
    <w:p w:rsidR="00FE4F97" w:rsidRPr="00310DBB" w:rsidRDefault="00FE4F97">
      <w:pPr>
        <w:pStyle w:val="SingleTxt"/>
        <w:spacing w:after="0" w:line="120" w:lineRule="exact"/>
        <w:rPr>
          <w:rFonts w:hint="cs"/>
          <w:sz w:val="12"/>
          <w:rtl/>
        </w:rPr>
      </w:pPr>
    </w:p>
    <w:p w:rsidR="00FE4F97" w:rsidRDefault="00FE4F97">
      <w:pPr>
        <w:tabs>
          <w:tab w:val="left" w:pos="662"/>
          <w:tab w:val="left" w:pos="1267"/>
          <w:tab w:val="left" w:pos="1987"/>
          <w:tab w:val="left" w:pos="2650"/>
        </w:tabs>
        <w:rPr>
          <w:rFonts w:hint="cs"/>
          <w:rtl/>
        </w:rPr>
      </w:pPr>
      <w:r>
        <w:rPr>
          <w:rFonts w:hint="cs"/>
          <w:rtl/>
        </w:rPr>
        <w:tab/>
      </w:r>
      <w:r>
        <w:rPr>
          <w:rFonts w:hint="cs"/>
          <w:rtl/>
        </w:rPr>
        <w:tab/>
        <w:t>الجدول 1</w:t>
      </w:r>
    </w:p>
    <w:p w:rsidR="00FE4F97" w:rsidRDefault="00FE4F97">
      <w:pPr>
        <w:tabs>
          <w:tab w:val="left" w:pos="662"/>
          <w:tab w:val="left" w:pos="1267"/>
          <w:tab w:val="left" w:pos="1987"/>
          <w:tab w:val="left" w:pos="2650"/>
        </w:tabs>
        <w:rPr>
          <w:rFonts w:hint="cs"/>
          <w:rtl/>
        </w:rPr>
      </w:pPr>
      <w:r>
        <w:rPr>
          <w:rFonts w:hint="cs"/>
          <w:b/>
          <w:bCs/>
          <w:rtl/>
        </w:rPr>
        <w:tab/>
      </w:r>
      <w:r>
        <w:rPr>
          <w:rFonts w:hint="cs"/>
          <w:b/>
          <w:bCs/>
          <w:rtl/>
        </w:rPr>
        <w:tab/>
      </w:r>
      <w:r w:rsidRPr="00A9429D">
        <w:rPr>
          <w:rFonts w:hint="cs"/>
          <w:b/>
          <w:bCs/>
          <w:rtl/>
        </w:rPr>
        <w:t>إحصاءات عدد رؤوس الماش</w:t>
      </w:r>
      <w:r>
        <w:rPr>
          <w:rFonts w:hint="cs"/>
          <w:b/>
          <w:bCs/>
          <w:rtl/>
        </w:rPr>
        <w:t>ية</w:t>
      </w:r>
      <w:r w:rsidRPr="00A9429D">
        <w:rPr>
          <w:rFonts w:hint="cs"/>
          <w:b/>
          <w:bCs/>
          <w:rtl/>
        </w:rPr>
        <w:t xml:space="preserve"> (بالآلاف) </w:t>
      </w:r>
      <w:r>
        <w:rPr>
          <w:rFonts w:hint="cs"/>
          <w:b/>
          <w:bCs/>
          <w:rtl/>
        </w:rPr>
        <w:t>في ا</w:t>
      </w:r>
      <w:r w:rsidRPr="00A9429D">
        <w:rPr>
          <w:rFonts w:hint="cs"/>
          <w:b/>
          <w:bCs/>
          <w:rtl/>
        </w:rPr>
        <w:t>لفترة 1995-2004</w:t>
      </w:r>
      <w:r>
        <w:rPr>
          <w:rFonts w:hint="cs"/>
          <w:rtl/>
        </w:rPr>
        <w:t>:</w:t>
      </w:r>
    </w:p>
    <w:p w:rsidR="00FE4F97" w:rsidRPr="00A9429D" w:rsidRDefault="00FE4F97">
      <w:pPr>
        <w:tabs>
          <w:tab w:val="left" w:pos="662"/>
          <w:tab w:val="left" w:pos="1267"/>
          <w:tab w:val="left" w:pos="1987"/>
          <w:tab w:val="left" w:pos="2650"/>
        </w:tabs>
        <w:spacing w:line="120" w:lineRule="exact"/>
        <w:rPr>
          <w:rFonts w:hint="cs"/>
          <w:sz w:val="10"/>
          <w:rtl/>
        </w:rPr>
      </w:pPr>
    </w:p>
    <w:tbl>
      <w:tblPr>
        <w:bidiVisual/>
        <w:tblW w:w="9991" w:type="dxa"/>
        <w:tblInd w:w="173" w:type="dxa"/>
        <w:tblLook w:val="01E0" w:firstRow="1" w:lastRow="1" w:firstColumn="1" w:lastColumn="1" w:noHBand="0" w:noVBand="0"/>
      </w:tblPr>
      <w:tblGrid>
        <w:gridCol w:w="721"/>
        <w:gridCol w:w="927"/>
        <w:gridCol w:w="927"/>
        <w:gridCol w:w="927"/>
        <w:gridCol w:w="927"/>
        <w:gridCol w:w="927"/>
        <w:gridCol w:w="927"/>
        <w:gridCol w:w="927"/>
        <w:gridCol w:w="927"/>
        <w:gridCol w:w="927"/>
        <w:gridCol w:w="927"/>
      </w:tblGrid>
      <w:tr w:rsidR="00FE4F97" w:rsidRPr="00032B55">
        <w:trPr>
          <w:cantSplit/>
          <w:tblHeader/>
        </w:trPr>
        <w:tc>
          <w:tcPr>
            <w:tcW w:w="721" w:type="dxa"/>
            <w:tcBorders>
              <w:top w:val="single" w:sz="4" w:space="0" w:color="auto"/>
              <w:bottom w:val="single" w:sz="12" w:space="0" w:color="auto"/>
            </w:tcBorders>
            <w:shd w:val="clear" w:color="auto" w:fill="auto"/>
            <w:vAlign w:val="bottom"/>
          </w:tcPr>
          <w:p w:rsidR="00FE4F97" w:rsidRDefault="00FE4F97">
            <w:pPr>
              <w:pStyle w:val="DualTxt"/>
              <w:spacing w:before="80" w:after="80" w:line="240" w:lineRule="exact"/>
              <w:rPr>
                <w:rFonts w:hint="cs"/>
                <w:i/>
                <w:iCs/>
                <w:sz w:val="16"/>
                <w:szCs w:val="16"/>
                <w:rtl/>
              </w:rPr>
            </w:pPr>
            <w:r>
              <w:rPr>
                <w:rFonts w:hint="cs"/>
                <w:i/>
                <w:iCs/>
                <w:sz w:val="16"/>
                <w:szCs w:val="16"/>
                <w:rtl/>
              </w:rPr>
              <w:t>الماشية</w:t>
            </w:r>
          </w:p>
        </w:tc>
        <w:tc>
          <w:tcPr>
            <w:tcW w:w="927" w:type="dxa"/>
            <w:tcBorders>
              <w:top w:val="single" w:sz="4" w:space="0" w:color="auto"/>
              <w:bottom w:val="single" w:sz="12" w:space="0" w:color="auto"/>
            </w:tcBorders>
            <w:shd w:val="clear" w:color="auto" w:fill="auto"/>
            <w:vAlign w:val="bottom"/>
          </w:tcPr>
          <w:p w:rsidR="00FE4F97" w:rsidRPr="00032B55" w:rsidRDefault="00FE4F97">
            <w:pPr>
              <w:pStyle w:val="DualTxt"/>
              <w:spacing w:before="80" w:after="80" w:line="240" w:lineRule="exact"/>
              <w:ind w:right="144"/>
              <w:rPr>
                <w:rFonts w:hint="cs"/>
                <w:i/>
                <w:iCs/>
                <w:sz w:val="14"/>
                <w:szCs w:val="14"/>
                <w:rtl/>
              </w:rPr>
            </w:pPr>
            <w:r w:rsidRPr="00032B55">
              <w:rPr>
                <w:rFonts w:hint="cs"/>
                <w:i/>
                <w:iCs/>
                <w:sz w:val="14"/>
                <w:szCs w:val="14"/>
                <w:rtl/>
              </w:rPr>
              <w:t>1995</w:t>
            </w:r>
          </w:p>
        </w:tc>
        <w:tc>
          <w:tcPr>
            <w:tcW w:w="927" w:type="dxa"/>
            <w:tcBorders>
              <w:top w:val="single" w:sz="4" w:space="0" w:color="auto"/>
              <w:bottom w:val="single" w:sz="12" w:space="0" w:color="auto"/>
            </w:tcBorders>
            <w:shd w:val="clear" w:color="auto" w:fill="auto"/>
            <w:vAlign w:val="bottom"/>
          </w:tcPr>
          <w:p w:rsidR="00FE4F97" w:rsidRPr="00032B55" w:rsidRDefault="00FE4F97">
            <w:pPr>
              <w:pStyle w:val="DualTxt"/>
              <w:spacing w:before="80" w:after="80" w:line="240" w:lineRule="exact"/>
              <w:ind w:right="144"/>
              <w:rPr>
                <w:rFonts w:hint="cs"/>
                <w:i/>
                <w:iCs/>
                <w:sz w:val="14"/>
                <w:szCs w:val="14"/>
                <w:rtl/>
              </w:rPr>
            </w:pPr>
            <w:r w:rsidRPr="00032B55">
              <w:rPr>
                <w:rFonts w:hint="cs"/>
                <w:i/>
                <w:iCs/>
                <w:sz w:val="14"/>
                <w:szCs w:val="14"/>
                <w:rtl/>
              </w:rPr>
              <w:t>1996</w:t>
            </w:r>
          </w:p>
        </w:tc>
        <w:tc>
          <w:tcPr>
            <w:tcW w:w="927" w:type="dxa"/>
            <w:tcBorders>
              <w:top w:val="single" w:sz="4" w:space="0" w:color="auto"/>
              <w:bottom w:val="single" w:sz="12" w:space="0" w:color="auto"/>
            </w:tcBorders>
            <w:shd w:val="clear" w:color="auto" w:fill="auto"/>
            <w:vAlign w:val="bottom"/>
          </w:tcPr>
          <w:p w:rsidR="00FE4F97" w:rsidRPr="00032B55" w:rsidRDefault="00FE4F97">
            <w:pPr>
              <w:pStyle w:val="DualTxt"/>
              <w:spacing w:before="80" w:after="80" w:line="240" w:lineRule="exact"/>
              <w:ind w:right="144"/>
              <w:rPr>
                <w:rFonts w:hint="cs"/>
                <w:i/>
                <w:iCs/>
                <w:sz w:val="14"/>
                <w:szCs w:val="14"/>
                <w:rtl/>
              </w:rPr>
            </w:pPr>
            <w:r w:rsidRPr="00032B55">
              <w:rPr>
                <w:rFonts w:hint="cs"/>
                <w:i/>
                <w:iCs/>
                <w:sz w:val="14"/>
                <w:szCs w:val="14"/>
                <w:rtl/>
              </w:rPr>
              <w:t>1997</w:t>
            </w:r>
          </w:p>
        </w:tc>
        <w:tc>
          <w:tcPr>
            <w:tcW w:w="927" w:type="dxa"/>
            <w:tcBorders>
              <w:top w:val="single" w:sz="4" w:space="0" w:color="auto"/>
              <w:bottom w:val="single" w:sz="12" w:space="0" w:color="auto"/>
            </w:tcBorders>
            <w:shd w:val="clear" w:color="auto" w:fill="auto"/>
            <w:vAlign w:val="bottom"/>
          </w:tcPr>
          <w:p w:rsidR="00FE4F97" w:rsidRPr="00032B55" w:rsidRDefault="00FE4F97">
            <w:pPr>
              <w:pStyle w:val="DualTxt"/>
              <w:spacing w:before="80" w:after="80" w:line="240" w:lineRule="exact"/>
              <w:ind w:right="144"/>
              <w:rPr>
                <w:rFonts w:hint="cs"/>
                <w:i/>
                <w:iCs/>
                <w:sz w:val="14"/>
                <w:szCs w:val="14"/>
                <w:rtl/>
              </w:rPr>
            </w:pPr>
            <w:r w:rsidRPr="00032B55">
              <w:rPr>
                <w:rFonts w:hint="cs"/>
                <w:i/>
                <w:iCs/>
                <w:sz w:val="14"/>
                <w:szCs w:val="14"/>
                <w:rtl/>
              </w:rPr>
              <w:t>1998</w:t>
            </w:r>
          </w:p>
        </w:tc>
        <w:tc>
          <w:tcPr>
            <w:tcW w:w="927" w:type="dxa"/>
            <w:tcBorders>
              <w:top w:val="single" w:sz="4" w:space="0" w:color="auto"/>
              <w:bottom w:val="single" w:sz="12" w:space="0" w:color="auto"/>
            </w:tcBorders>
            <w:shd w:val="clear" w:color="auto" w:fill="auto"/>
            <w:vAlign w:val="bottom"/>
          </w:tcPr>
          <w:p w:rsidR="00FE4F97" w:rsidRPr="00032B55" w:rsidRDefault="00FE4F97">
            <w:pPr>
              <w:pStyle w:val="DualTxt"/>
              <w:spacing w:before="80" w:after="80" w:line="240" w:lineRule="exact"/>
              <w:ind w:right="144"/>
              <w:rPr>
                <w:rFonts w:hint="cs"/>
                <w:i/>
                <w:iCs/>
                <w:sz w:val="14"/>
                <w:szCs w:val="14"/>
                <w:rtl/>
              </w:rPr>
            </w:pPr>
            <w:r w:rsidRPr="00032B55">
              <w:rPr>
                <w:rFonts w:hint="cs"/>
                <w:i/>
                <w:iCs/>
                <w:sz w:val="14"/>
                <w:szCs w:val="14"/>
                <w:rtl/>
              </w:rPr>
              <w:t>1999</w:t>
            </w:r>
          </w:p>
        </w:tc>
        <w:tc>
          <w:tcPr>
            <w:tcW w:w="927" w:type="dxa"/>
            <w:tcBorders>
              <w:top w:val="single" w:sz="4" w:space="0" w:color="auto"/>
              <w:bottom w:val="single" w:sz="12" w:space="0" w:color="auto"/>
            </w:tcBorders>
            <w:shd w:val="clear" w:color="auto" w:fill="auto"/>
            <w:vAlign w:val="bottom"/>
          </w:tcPr>
          <w:p w:rsidR="00FE4F97" w:rsidRPr="00032B55" w:rsidRDefault="00FE4F97">
            <w:pPr>
              <w:pStyle w:val="DualTxt"/>
              <w:spacing w:before="80" w:after="80" w:line="240" w:lineRule="exact"/>
              <w:ind w:right="144"/>
              <w:rPr>
                <w:rFonts w:hint="cs"/>
                <w:i/>
                <w:iCs/>
                <w:sz w:val="14"/>
                <w:szCs w:val="14"/>
                <w:rtl/>
              </w:rPr>
            </w:pPr>
            <w:r>
              <w:rPr>
                <w:rFonts w:hint="cs"/>
                <w:i/>
                <w:iCs/>
                <w:sz w:val="14"/>
                <w:szCs w:val="14"/>
                <w:rtl/>
              </w:rPr>
              <w:t>2000</w:t>
            </w:r>
          </w:p>
        </w:tc>
        <w:tc>
          <w:tcPr>
            <w:tcW w:w="927" w:type="dxa"/>
            <w:tcBorders>
              <w:top w:val="single" w:sz="4" w:space="0" w:color="auto"/>
              <w:bottom w:val="single" w:sz="12" w:space="0" w:color="auto"/>
            </w:tcBorders>
            <w:shd w:val="clear" w:color="auto" w:fill="auto"/>
            <w:vAlign w:val="bottom"/>
          </w:tcPr>
          <w:p w:rsidR="00FE4F97" w:rsidRPr="00032B55" w:rsidRDefault="00FE4F97">
            <w:pPr>
              <w:pStyle w:val="DualTxt"/>
              <w:spacing w:before="80" w:after="80" w:line="240" w:lineRule="exact"/>
              <w:ind w:right="144"/>
              <w:rPr>
                <w:rFonts w:hint="cs"/>
                <w:i/>
                <w:iCs/>
                <w:sz w:val="14"/>
                <w:szCs w:val="14"/>
                <w:rtl/>
              </w:rPr>
            </w:pPr>
            <w:r w:rsidRPr="00032B55">
              <w:rPr>
                <w:rFonts w:hint="cs"/>
                <w:i/>
                <w:iCs/>
                <w:sz w:val="14"/>
                <w:szCs w:val="14"/>
                <w:rtl/>
              </w:rPr>
              <w:t>2001</w:t>
            </w:r>
          </w:p>
        </w:tc>
        <w:tc>
          <w:tcPr>
            <w:tcW w:w="927" w:type="dxa"/>
            <w:tcBorders>
              <w:top w:val="single" w:sz="4" w:space="0" w:color="auto"/>
              <w:bottom w:val="single" w:sz="12" w:space="0" w:color="auto"/>
            </w:tcBorders>
            <w:shd w:val="clear" w:color="auto" w:fill="auto"/>
            <w:vAlign w:val="bottom"/>
          </w:tcPr>
          <w:p w:rsidR="00FE4F97" w:rsidRPr="00032B55" w:rsidRDefault="00FE4F97">
            <w:pPr>
              <w:pStyle w:val="DualTxt"/>
              <w:spacing w:before="80" w:after="80" w:line="240" w:lineRule="exact"/>
              <w:ind w:right="144"/>
              <w:rPr>
                <w:rFonts w:hint="cs"/>
                <w:i/>
                <w:iCs/>
                <w:sz w:val="14"/>
                <w:szCs w:val="14"/>
                <w:rtl/>
              </w:rPr>
            </w:pPr>
            <w:r w:rsidRPr="00032B55">
              <w:rPr>
                <w:rFonts w:hint="cs"/>
                <w:i/>
                <w:iCs/>
                <w:sz w:val="14"/>
                <w:szCs w:val="14"/>
                <w:rtl/>
              </w:rPr>
              <w:t>2002</w:t>
            </w:r>
          </w:p>
        </w:tc>
        <w:tc>
          <w:tcPr>
            <w:tcW w:w="927" w:type="dxa"/>
            <w:tcBorders>
              <w:top w:val="single" w:sz="4" w:space="0" w:color="auto"/>
              <w:bottom w:val="single" w:sz="12" w:space="0" w:color="auto"/>
            </w:tcBorders>
            <w:shd w:val="clear" w:color="auto" w:fill="auto"/>
            <w:vAlign w:val="bottom"/>
          </w:tcPr>
          <w:p w:rsidR="00FE4F97" w:rsidRPr="00032B55" w:rsidRDefault="00FE4F97">
            <w:pPr>
              <w:pStyle w:val="DualTxt"/>
              <w:spacing w:before="80" w:after="80" w:line="240" w:lineRule="exact"/>
              <w:ind w:right="144"/>
              <w:rPr>
                <w:rFonts w:hint="cs"/>
                <w:i/>
                <w:iCs/>
                <w:sz w:val="14"/>
                <w:szCs w:val="14"/>
                <w:rtl/>
              </w:rPr>
            </w:pPr>
            <w:r w:rsidRPr="00032B55">
              <w:rPr>
                <w:rFonts w:hint="cs"/>
                <w:i/>
                <w:iCs/>
                <w:sz w:val="14"/>
                <w:szCs w:val="14"/>
                <w:rtl/>
              </w:rPr>
              <w:t>2003</w:t>
            </w:r>
          </w:p>
        </w:tc>
        <w:tc>
          <w:tcPr>
            <w:tcW w:w="927" w:type="dxa"/>
            <w:tcBorders>
              <w:top w:val="single" w:sz="4" w:space="0" w:color="auto"/>
              <w:bottom w:val="single" w:sz="12" w:space="0" w:color="auto"/>
            </w:tcBorders>
            <w:shd w:val="clear" w:color="auto" w:fill="auto"/>
            <w:vAlign w:val="bottom"/>
          </w:tcPr>
          <w:p w:rsidR="00FE4F97" w:rsidRPr="00032B55" w:rsidRDefault="00FE4F97">
            <w:pPr>
              <w:pStyle w:val="DualTxt"/>
              <w:spacing w:before="80" w:after="80" w:line="240" w:lineRule="exact"/>
              <w:ind w:right="144"/>
              <w:rPr>
                <w:rFonts w:hint="cs"/>
                <w:i/>
                <w:iCs/>
                <w:sz w:val="14"/>
                <w:szCs w:val="14"/>
                <w:rtl/>
              </w:rPr>
            </w:pPr>
            <w:r w:rsidRPr="00032B55">
              <w:rPr>
                <w:rFonts w:hint="cs"/>
                <w:i/>
                <w:iCs/>
                <w:sz w:val="14"/>
                <w:szCs w:val="14"/>
                <w:rtl/>
              </w:rPr>
              <w:t>2004</w:t>
            </w:r>
          </w:p>
        </w:tc>
      </w:tr>
      <w:tr w:rsidR="00FE4F97" w:rsidRPr="00032B55">
        <w:trPr>
          <w:cantSplit/>
        </w:trPr>
        <w:tc>
          <w:tcPr>
            <w:tcW w:w="721" w:type="dxa"/>
            <w:shd w:val="clear" w:color="auto" w:fill="auto"/>
            <w:vAlign w:val="bottom"/>
          </w:tcPr>
          <w:p w:rsidR="00FE4F97" w:rsidRPr="00032B55" w:rsidRDefault="00FE4F97">
            <w:pPr>
              <w:pStyle w:val="DualTxt"/>
              <w:spacing w:before="40" w:after="80" w:line="240" w:lineRule="exact"/>
              <w:rPr>
                <w:rFonts w:hint="cs"/>
                <w:sz w:val="14"/>
                <w:szCs w:val="14"/>
                <w:rtl/>
              </w:rPr>
            </w:pPr>
            <w:r w:rsidRPr="00032B55">
              <w:rPr>
                <w:rFonts w:hint="cs"/>
                <w:sz w:val="14"/>
                <w:szCs w:val="14"/>
                <w:rtl/>
              </w:rPr>
              <w:t>الجمال</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3</w:t>
            </w:r>
            <w:r>
              <w:rPr>
                <w:rFonts w:hint="cs"/>
                <w:sz w:val="14"/>
                <w:szCs w:val="14"/>
                <w:rtl/>
              </w:rPr>
              <w:t>67</w:t>
            </w:r>
            <w:r w:rsidRPr="00032B55">
              <w:rPr>
                <w:rFonts w:hint="cs"/>
                <w:sz w:val="14"/>
                <w:szCs w:val="14"/>
                <w:rtl/>
              </w:rPr>
              <w:t>.5</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357.9</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355.4</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356.5</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355.6</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322.9</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385.2</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253.0</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256.7</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256.6</w:t>
            </w:r>
          </w:p>
        </w:tc>
      </w:tr>
      <w:tr w:rsidR="00FE4F97" w:rsidRPr="00032B55">
        <w:trPr>
          <w:cantSplit/>
        </w:trPr>
        <w:tc>
          <w:tcPr>
            <w:tcW w:w="721" w:type="dxa"/>
            <w:shd w:val="clear" w:color="auto" w:fill="auto"/>
            <w:vAlign w:val="bottom"/>
          </w:tcPr>
          <w:p w:rsidR="00FE4F97" w:rsidRPr="00032B55" w:rsidRDefault="00FE4F97">
            <w:pPr>
              <w:pStyle w:val="DualTxt"/>
              <w:spacing w:before="40" w:after="80" w:line="240" w:lineRule="exact"/>
              <w:rPr>
                <w:rFonts w:hint="cs"/>
                <w:sz w:val="14"/>
                <w:szCs w:val="14"/>
                <w:rtl/>
              </w:rPr>
            </w:pPr>
            <w:r w:rsidRPr="00032B55">
              <w:rPr>
                <w:rFonts w:hint="cs"/>
                <w:sz w:val="14"/>
                <w:szCs w:val="14"/>
                <w:rtl/>
              </w:rPr>
              <w:t>الخيل</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648.4 2</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770.5 2</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893.2 2</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059.1 3</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163.5 3</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660.7 2</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191.8 2</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988.9 1</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968.9 1</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005.4 2</w:t>
            </w:r>
          </w:p>
        </w:tc>
      </w:tr>
      <w:tr w:rsidR="00FE4F97" w:rsidRPr="00032B55">
        <w:trPr>
          <w:cantSplit/>
        </w:trPr>
        <w:tc>
          <w:tcPr>
            <w:tcW w:w="721" w:type="dxa"/>
            <w:shd w:val="clear" w:color="auto" w:fill="auto"/>
            <w:vAlign w:val="bottom"/>
          </w:tcPr>
          <w:p w:rsidR="00FE4F97" w:rsidRPr="00032B55" w:rsidRDefault="00FE4F97">
            <w:pPr>
              <w:pStyle w:val="DualTxt"/>
              <w:spacing w:before="40" w:after="80" w:line="240" w:lineRule="exact"/>
              <w:rPr>
                <w:rFonts w:hint="cs"/>
                <w:sz w:val="14"/>
                <w:szCs w:val="14"/>
                <w:rtl/>
              </w:rPr>
            </w:pPr>
            <w:r w:rsidRPr="00032B55">
              <w:rPr>
                <w:rFonts w:hint="cs"/>
                <w:sz w:val="14"/>
                <w:szCs w:val="14"/>
                <w:rtl/>
              </w:rPr>
              <w:t>البقر</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317.1 3</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476.3 3</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612.8 3</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725.8 3</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824.7 3</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097.6 3</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069.3 2</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884.3 1</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792.8 1</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841.6 1</w:t>
            </w:r>
          </w:p>
        </w:tc>
      </w:tr>
      <w:tr w:rsidR="00FE4F97" w:rsidRPr="00032B55">
        <w:trPr>
          <w:cantSplit/>
        </w:trPr>
        <w:tc>
          <w:tcPr>
            <w:tcW w:w="721" w:type="dxa"/>
            <w:shd w:val="clear" w:color="auto" w:fill="auto"/>
            <w:vAlign w:val="bottom"/>
          </w:tcPr>
          <w:p w:rsidR="00FE4F97" w:rsidRPr="00032B55" w:rsidRDefault="00FE4F97">
            <w:pPr>
              <w:pStyle w:val="DualTxt"/>
              <w:spacing w:before="40" w:after="80" w:line="240" w:lineRule="exact"/>
              <w:rPr>
                <w:rFonts w:hint="cs"/>
                <w:sz w:val="14"/>
                <w:szCs w:val="14"/>
                <w:rtl/>
              </w:rPr>
            </w:pPr>
            <w:r>
              <w:rPr>
                <w:rFonts w:hint="cs"/>
                <w:sz w:val="14"/>
                <w:szCs w:val="14"/>
                <w:rtl/>
              </w:rPr>
              <w:t>الغنم</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718.6 13</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560.6 13</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165.6 14</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694.2 14</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191.3 15</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876.4 13</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937.3 11</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636.6 10</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756.4 10</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686.4 11</w:t>
            </w:r>
          </w:p>
        </w:tc>
      </w:tr>
      <w:tr w:rsidR="00FE4F97" w:rsidRPr="00032B55">
        <w:trPr>
          <w:cantSplit/>
        </w:trPr>
        <w:tc>
          <w:tcPr>
            <w:tcW w:w="721" w:type="dxa"/>
            <w:shd w:val="clear" w:color="auto" w:fill="auto"/>
            <w:vAlign w:val="bottom"/>
          </w:tcPr>
          <w:p w:rsidR="00FE4F97" w:rsidRPr="00032B55" w:rsidRDefault="00FE4F97">
            <w:pPr>
              <w:pStyle w:val="DualTxt"/>
              <w:spacing w:before="40" w:after="80" w:line="240" w:lineRule="exact"/>
              <w:rPr>
                <w:rFonts w:hint="cs"/>
                <w:sz w:val="14"/>
                <w:szCs w:val="14"/>
                <w:rtl/>
              </w:rPr>
            </w:pPr>
            <w:r w:rsidRPr="00032B55">
              <w:rPr>
                <w:rFonts w:hint="cs"/>
                <w:sz w:val="14"/>
                <w:szCs w:val="14"/>
                <w:rtl/>
              </w:rPr>
              <w:t>الماعز</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520.7 8</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134.8 9</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265.3 10</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061.9 11</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033.9 11</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269.8 10</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Pr>
                <w:rFonts w:hint="cs"/>
                <w:sz w:val="14"/>
                <w:szCs w:val="14"/>
                <w:rtl/>
              </w:rPr>
              <w:t>591,3</w:t>
            </w:r>
            <w:r w:rsidRPr="00032B55">
              <w:rPr>
                <w:rFonts w:hint="cs"/>
                <w:sz w:val="14"/>
                <w:szCs w:val="14"/>
                <w:rtl/>
              </w:rPr>
              <w:t xml:space="preserve"> 9</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134.6 9</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652.9 10</w:t>
            </w:r>
          </w:p>
        </w:tc>
        <w:tc>
          <w:tcPr>
            <w:tcW w:w="927" w:type="dxa"/>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238.0 12</w:t>
            </w:r>
          </w:p>
        </w:tc>
      </w:tr>
      <w:tr w:rsidR="00FE4F97" w:rsidRPr="00032B55">
        <w:trPr>
          <w:cantSplit/>
        </w:trPr>
        <w:tc>
          <w:tcPr>
            <w:tcW w:w="721" w:type="dxa"/>
            <w:shd w:val="clear" w:color="auto" w:fill="auto"/>
            <w:vAlign w:val="bottom"/>
          </w:tcPr>
          <w:p w:rsidR="00FE4F97" w:rsidRPr="00032B55" w:rsidRDefault="00FE4F97">
            <w:pPr>
              <w:pStyle w:val="DualTxt"/>
              <w:spacing w:before="40" w:after="80" w:line="240" w:lineRule="exact"/>
              <w:rPr>
                <w:rFonts w:hint="cs"/>
                <w:b/>
                <w:bCs/>
                <w:sz w:val="14"/>
                <w:szCs w:val="14"/>
                <w:rtl/>
              </w:rPr>
            </w:pPr>
            <w:r w:rsidRPr="00032B55">
              <w:rPr>
                <w:rFonts w:hint="cs"/>
                <w:b/>
                <w:bCs/>
                <w:sz w:val="14"/>
                <w:szCs w:val="14"/>
                <w:rtl/>
              </w:rPr>
              <w:t>المجموع</w:t>
            </w:r>
          </w:p>
        </w:tc>
        <w:tc>
          <w:tcPr>
            <w:tcW w:w="927" w:type="dxa"/>
            <w:shd w:val="clear" w:color="auto" w:fill="auto"/>
            <w:vAlign w:val="bottom"/>
          </w:tcPr>
          <w:p w:rsidR="00FE4F97" w:rsidRPr="00032B55" w:rsidRDefault="00FE4F97">
            <w:pPr>
              <w:pStyle w:val="DualTxt"/>
              <w:spacing w:before="40" w:after="80" w:line="240" w:lineRule="exact"/>
              <w:ind w:right="144"/>
              <w:rPr>
                <w:rFonts w:hint="cs"/>
                <w:b/>
                <w:bCs/>
                <w:sz w:val="14"/>
                <w:szCs w:val="14"/>
                <w:rtl/>
              </w:rPr>
            </w:pPr>
            <w:r w:rsidRPr="00032B55">
              <w:rPr>
                <w:rFonts w:hint="cs"/>
                <w:b/>
                <w:bCs/>
                <w:sz w:val="14"/>
                <w:szCs w:val="14"/>
                <w:rtl/>
              </w:rPr>
              <w:t>572.3 28</w:t>
            </w:r>
          </w:p>
        </w:tc>
        <w:tc>
          <w:tcPr>
            <w:tcW w:w="927" w:type="dxa"/>
            <w:shd w:val="clear" w:color="auto" w:fill="auto"/>
            <w:vAlign w:val="bottom"/>
          </w:tcPr>
          <w:p w:rsidR="00FE4F97" w:rsidRPr="00032B55" w:rsidRDefault="00FE4F97">
            <w:pPr>
              <w:pStyle w:val="DualTxt"/>
              <w:spacing w:before="40" w:after="80" w:line="240" w:lineRule="exact"/>
              <w:ind w:right="144"/>
              <w:rPr>
                <w:rFonts w:hint="cs"/>
                <w:b/>
                <w:bCs/>
                <w:sz w:val="14"/>
                <w:szCs w:val="14"/>
                <w:rtl/>
              </w:rPr>
            </w:pPr>
            <w:r w:rsidRPr="00032B55">
              <w:rPr>
                <w:rFonts w:hint="cs"/>
                <w:b/>
                <w:bCs/>
                <w:sz w:val="14"/>
                <w:szCs w:val="14"/>
                <w:rtl/>
              </w:rPr>
              <w:t>300.1 29</w:t>
            </w:r>
          </w:p>
        </w:tc>
        <w:tc>
          <w:tcPr>
            <w:tcW w:w="927" w:type="dxa"/>
            <w:shd w:val="clear" w:color="auto" w:fill="auto"/>
            <w:vAlign w:val="bottom"/>
          </w:tcPr>
          <w:p w:rsidR="00FE4F97" w:rsidRPr="00032B55" w:rsidRDefault="00FE4F97">
            <w:pPr>
              <w:pStyle w:val="DualTxt"/>
              <w:spacing w:before="40" w:after="80" w:line="240" w:lineRule="exact"/>
              <w:ind w:right="144"/>
              <w:rPr>
                <w:rFonts w:hint="cs"/>
                <w:b/>
                <w:bCs/>
                <w:sz w:val="14"/>
                <w:szCs w:val="14"/>
                <w:rtl/>
              </w:rPr>
            </w:pPr>
            <w:r w:rsidRPr="00032B55">
              <w:rPr>
                <w:rFonts w:hint="cs"/>
                <w:b/>
                <w:bCs/>
                <w:sz w:val="14"/>
                <w:szCs w:val="14"/>
                <w:rtl/>
              </w:rPr>
              <w:t>292.3 31</w:t>
            </w:r>
          </w:p>
        </w:tc>
        <w:tc>
          <w:tcPr>
            <w:tcW w:w="927" w:type="dxa"/>
            <w:shd w:val="clear" w:color="auto" w:fill="auto"/>
            <w:vAlign w:val="bottom"/>
          </w:tcPr>
          <w:p w:rsidR="00FE4F97" w:rsidRPr="00032B55" w:rsidRDefault="00FE4F97">
            <w:pPr>
              <w:pStyle w:val="DualTxt"/>
              <w:spacing w:before="40" w:after="80" w:line="240" w:lineRule="exact"/>
              <w:ind w:right="144"/>
              <w:rPr>
                <w:rFonts w:hint="cs"/>
                <w:b/>
                <w:bCs/>
                <w:sz w:val="14"/>
                <w:szCs w:val="14"/>
                <w:rtl/>
              </w:rPr>
            </w:pPr>
            <w:r w:rsidRPr="00032B55">
              <w:rPr>
                <w:rFonts w:hint="cs"/>
                <w:b/>
                <w:bCs/>
                <w:sz w:val="14"/>
                <w:szCs w:val="14"/>
                <w:rtl/>
              </w:rPr>
              <w:t>897.5 32</w:t>
            </w:r>
          </w:p>
        </w:tc>
        <w:tc>
          <w:tcPr>
            <w:tcW w:w="927" w:type="dxa"/>
            <w:shd w:val="clear" w:color="auto" w:fill="auto"/>
            <w:vAlign w:val="bottom"/>
          </w:tcPr>
          <w:p w:rsidR="00FE4F97" w:rsidRPr="00032B55" w:rsidRDefault="00FE4F97">
            <w:pPr>
              <w:pStyle w:val="DualTxt"/>
              <w:spacing w:before="40" w:after="80" w:line="240" w:lineRule="exact"/>
              <w:ind w:right="144"/>
              <w:rPr>
                <w:rFonts w:hint="cs"/>
                <w:b/>
                <w:bCs/>
                <w:sz w:val="14"/>
                <w:szCs w:val="14"/>
                <w:rtl/>
              </w:rPr>
            </w:pPr>
            <w:r w:rsidRPr="00032B55">
              <w:rPr>
                <w:rFonts w:hint="cs"/>
                <w:b/>
                <w:bCs/>
                <w:sz w:val="14"/>
                <w:szCs w:val="14"/>
                <w:rtl/>
              </w:rPr>
              <w:t>569.0 33</w:t>
            </w:r>
          </w:p>
        </w:tc>
        <w:tc>
          <w:tcPr>
            <w:tcW w:w="927" w:type="dxa"/>
            <w:shd w:val="clear" w:color="auto" w:fill="auto"/>
            <w:vAlign w:val="bottom"/>
          </w:tcPr>
          <w:p w:rsidR="00FE4F97" w:rsidRPr="00032B55" w:rsidRDefault="00FE4F97">
            <w:pPr>
              <w:pStyle w:val="DualTxt"/>
              <w:spacing w:before="40" w:after="80" w:line="240" w:lineRule="exact"/>
              <w:ind w:right="144"/>
              <w:rPr>
                <w:rFonts w:hint="cs"/>
                <w:b/>
                <w:bCs/>
                <w:sz w:val="14"/>
                <w:szCs w:val="14"/>
                <w:rtl/>
              </w:rPr>
            </w:pPr>
            <w:r w:rsidRPr="00032B55">
              <w:rPr>
                <w:rFonts w:hint="cs"/>
                <w:b/>
                <w:bCs/>
                <w:sz w:val="14"/>
                <w:szCs w:val="14"/>
                <w:rtl/>
              </w:rPr>
              <w:t>227.4 30</w:t>
            </w:r>
          </w:p>
        </w:tc>
        <w:tc>
          <w:tcPr>
            <w:tcW w:w="927" w:type="dxa"/>
            <w:shd w:val="clear" w:color="auto" w:fill="auto"/>
            <w:vAlign w:val="bottom"/>
          </w:tcPr>
          <w:p w:rsidR="00FE4F97" w:rsidRPr="00032B55" w:rsidRDefault="00FE4F97">
            <w:pPr>
              <w:pStyle w:val="DualTxt"/>
              <w:spacing w:before="40" w:after="80" w:line="240" w:lineRule="exact"/>
              <w:ind w:right="144"/>
              <w:rPr>
                <w:rFonts w:hint="cs"/>
                <w:b/>
                <w:bCs/>
                <w:sz w:val="14"/>
                <w:szCs w:val="14"/>
                <w:rtl/>
              </w:rPr>
            </w:pPr>
            <w:r w:rsidRPr="00032B55">
              <w:rPr>
                <w:rFonts w:hint="cs"/>
                <w:b/>
                <w:bCs/>
                <w:sz w:val="14"/>
                <w:szCs w:val="14"/>
                <w:rtl/>
              </w:rPr>
              <w:t>075.3 26</w:t>
            </w:r>
          </w:p>
        </w:tc>
        <w:tc>
          <w:tcPr>
            <w:tcW w:w="927" w:type="dxa"/>
            <w:shd w:val="clear" w:color="auto" w:fill="auto"/>
            <w:vAlign w:val="bottom"/>
          </w:tcPr>
          <w:p w:rsidR="00FE4F97" w:rsidRPr="00032B55" w:rsidRDefault="00FE4F97">
            <w:pPr>
              <w:pStyle w:val="DualTxt"/>
              <w:spacing w:before="40" w:after="80" w:line="240" w:lineRule="exact"/>
              <w:ind w:right="144"/>
              <w:rPr>
                <w:rFonts w:hint="cs"/>
                <w:b/>
                <w:bCs/>
                <w:sz w:val="14"/>
                <w:szCs w:val="14"/>
                <w:rtl/>
              </w:rPr>
            </w:pPr>
            <w:r w:rsidRPr="00032B55">
              <w:rPr>
                <w:rFonts w:hint="cs"/>
                <w:b/>
                <w:bCs/>
                <w:sz w:val="14"/>
                <w:szCs w:val="14"/>
                <w:rtl/>
              </w:rPr>
              <w:t>897.6 23</w:t>
            </w:r>
          </w:p>
        </w:tc>
        <w:tc>
          <w:tcPr>
            <w:tcW w:w="927" w:type="dxa"/>
            <w:shd w:val="clear" w:color="auto" w:fill="auto"/>
            <w:vAlign w:val="bottom"/>
          </w:tcPr>
          <w:p w:rsidR="00FE4F97" w:rsidRPr="00032B55" w:rsidRDefault="00FE4F97">
            <w:pPr>
              <w:pStyle w:val="DualTxt"/>
              <w:spacing w:before="40" w:after="80" w:line="240" w:lineRule="exact"/>
              <w:ind w:right="144"/>
              <w:rPr>
                <w:rFonts w:hint="cs"/>
                <w:b/>
                <w:bCs/>
                <w:sz w:val="14"/>
                <w:szCs w:val="14"/>
                <w:rtl/>
              </w:rPr>
            </w:pPr>
            <w:r w:rsidRPr="00032B55">
              <w:rPr>
                <w:rFonts w:hint="cs"/>
                <w:b/>
                <w:bCs/>
                <w:sz w:val="14"/>
                <w:szCs w:val="14"/>
                <w:rtl/>
              </w:rPr>
              <w:t>427.7 25</w:t>
            </w:r>
          </w:p>
        </w:tc>
        <w:tc>
          <w:tcPr>
            <w:tcW w:w="927" w:type="dxa"/>
            <w:shd w:val="clear" w:color="auto" w:fill="auto"/>
            <w:vAlign w:val="bottom"/>
          </w:tcPr>
          <w:p w:rsidR="00FE4F97" w:rsidRPr="00032B55" w:rsidRDefault="00FE4F97">
            <w:pPr>
              <w:pStyle w:val="DualTxt"/>
              <w:spacing w:before="40" w:after="80" w:line="240" w:lineRule="exact"/>
              <w:ind w:right="144"/>
              <w:rPr>
                <w:rFonts w:hint="cs"/>
                <w:b/>
                <w:bCs/>
                <w:sz w:val="14"/>
                <w:szCs w:val="14"/>
                <w:rtl/>
              </w:rPr>
            </w:pPr>
            <w:r w:rsidRPr="00032B55">
              <w:rPr>
                <w:rFonts w:hint="cs"/>
                <w:b/>
                <w:bCs/>
                <w:sz w:val="14"/>
                <w:szCs w:val="14"/>
                <w:rtl/>
              </w:rPr>
              <w:t>027.9 28</w:t>
            </w:r>
          </w:p>
        </w:tc>
      </w:tr>
      <w:tr w:rsidR="00FE4F97" w:rsidRPr="00032B55">
        <w:trPr>
          <w:cantSplit/>
        </w:trPr>
        <w:tc>
          <w:tcPr>
            <w:tcW w:w="721" w:type="dxa"/>
            <w:tcBorders>
              <w:bottom w:val="single" w:sz="12" w:space="0" w:color="auto"/>
            </w:tcBorders>
            <w:shd w:val="clear" w:color="auto" w:fill="auto"/>
            <w:vAlign w:val="bottom"/>
          </w:tcPr>
          <w:p w:rsidR="00FE4F97" w:rsidRPr="00032B55" w:rsidRDefault="00FE4F97">
            <w:pPr>
              <w:pStyle w:val="DualTxt"/>
              <w:spacing w:before="40" w:after="80" w:line="240" w:lineRule="exact"/>
              <w:rPr>
                <w:rFonts w:hint="cs"/>
                <w:sz w:val="14"/>
                <w:szCs w:val="14"/>
                <w:rtl/>
              </w:rPr>
            </w:pPr>
            <w:r w:rsidRPr="00032B55">
              <w:rPr>
                <w:rFonts w:hint="cs"/>
                <w:sz w:val="14"/>
                <w:szCs w:val="14"/>
                <w:rtl/>
              </w:rPr>
              <w:t>معدل النمو</w:t>
            </w:r>
          </w:p>
        </w:tc>
        <w:tc>
          <w:tcPr>
            <w:tcW w:w="927" w:type="dxa"/>
            <w:tcBorders>
              <w:bottom w:val="single" w:sz="12" w:space="0" w:color="auto"/>
            </w:tcBorders>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6.6</w:t>
            </w:r>
          </w:p>
        </w:tc>
        <w:tc>
          <w:tcPr>
            <w:tcW w:w="927" w:type="dxa"/>
            <w:tcBorders>
              <w:bottom w:val="single" w:sz="12" w:space="0" w:color="auto"/>
            </w:tcBorders>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2.5</w:t>
            </w:r>
          </w:p>
        </w:tc>
        <w:tc>
          <w:tcPr>
            <w:tcW w:w="927" w:type="dxa"/>
            <w:tcBorders>
              <w:bottom w:val="single" w:sz="12" w:space="0" w:color="auto"/>
            </w:tcBorders>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6.8</w:t>
            </w:r>
          </w:p>
        </w:tc>
        <w:tc>
          <w:tcPr>
            <w:tcW w:w="927" w:type="dxa"/>
            <w:tcBorders>
              <w:bottom w:val="single" w:sz="12" w:space="0" w:color="auto"/>
            </w:tcBorders>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5.1</w:t>
            </w:r>
          </w:p>
        </w:tc>
        <w:tc>
          <w:tcPr>
            <w:tcW w:w="927" w:type="dxa"/>
            <w:tcBorders>
              <w:bottom w:val="single" w:sz="12" w:space="0" w:color="auto"/>
            </w:tcBorders>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2.0</w:t>
            </w:r>
          </w:p>
        </w:tc>
        <w:tc>
          <w:tcPr>
            <w:tcW w:w="927" w:type="dxa"/>
            <w:tcBorders>
              <w:bottom w:val="single" w:sz="12" w:space="0" w:color="auto"/>
            </w:tcBorders>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-10.0</w:t>
            </w:r>
          </w:p>
        </w:tc>
        <w:tc>
          <w:tcPr>
            <w:tcW w:w="927" w:type="dxa"/>
            <w:tcBorders>
              <w:bottom w:val="single" w:sz="12" w:space="0" w:color="auto"/>
            </w:tcBorders>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-13.7</w:t>
            </w:r>
          </w:p>
        </w:tc>
        <w:tc>
          <w:tcPr>
            <w:tcW w:w="927" w:type="dxa"/>
            <w:tcBorders>
              <w:bottom w:val="single" w:sz="12" w:space="0" w:color="auto"/>
            </w:tcBorders>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-8.4</w:t>
            </w:r>
          </w:p>
        </w:tc>
        <w:tc>
          <w:tcPr>
            <w:tcW w:w="927" w:type="dxa"/>
            <w:tcBorders>
              <w:bottom w:val="single" w:sz="12" w:space="0" w:color="auto"/>
            </w:tcBorders>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6.4</w:t>
            </w:r>
          </w:p>
        </w:tc>
        <w:tc>
          <w:tcPr>
            <w:tcW w:w="927" w:type="dxa"/>
            <w:tcBorders>
              <w:bottom w:val="single" w:sz="12" w:space="0" w:color="auto"/>
            </w:tcBorders>
            <w:shd w:val="clear" w:color="auto" w:fill="auto"/>
            <w:vAlign w:val="bottom"/>
          </w:tcPr>
          <w:p w:rsidR="00FE4F97" w:rsidRPr="00032B55" w:rsidRDefault="00FE4F97">
            <w:pPr>
              <w:pStyle w:val="DualTxt"/>
              <w:spacing w:before="40" w:after="80" w:line="240" w:lineRule="exact"/>
              <w:ind w:right="144"/>
              <w:rPr>
                <w:rFonts w:hint="cs"/>
                <w:sz w:val="14"/>
                <w:szCs w:val="14"/>
                <w:rtl/>
              </w:rPr>
            </w:pPr>
            <w:r w:rsidRPr="00032B55">
              <w:rPr>
                <w:rFonts w:hint="cs"/>
                <w:sz w:val="14"/>
                <w:szCs w:val="14"/>
                <w:rtl/>
              </w:rPr>
              <w:t>10.2</w:t>
            </w:r>
          </w:p>
        </w:tc>
      </w:tr>
    </w:tbl>
    <w:p w:rsidR="00FE4F97" w:rsidRDefault="00FE4F9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F15B92">
        <w:rPr>
          <w:rFonts w:hint="cs"/>
          <w:i/>
          <w:iCs/>
          <w:rtl/>
        </w:rPr>
        <w:t>المصدر</w:t>
      </w:r>
      <w:r>
        <w:rPr>
          <w:rFonts w:hint="cs"/>
          <w:rtl/>
        </w:rPr>
        <w:t>: المكتب الوطني للإحصاءات، المكتب الوطني للإحصاءات 2005.</w:t>
      </w:r>
    </w:p>
    <w:p w:rsidR="00FE4F97" w:rsidRPr="00F15B92" w:rsidRDefault="00FE4F9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4"/>
          <w:szCs w:val="30"/>
          <w:rtl/>
        </w:rPr>
      </w:pPr>
    </w:p>
    <w:p w:rsidR="00FE4F97" w:rsidRPr="00F15B92" w:rsidRDefault="00FE4F9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6"/>
          <w:szCs w:val="30"/>
          <w:rtl/>
        </w:rPr>
      </w:pPr>
    </w:p>
    <w:p w:rsidR="00FE4F97" w:rsidRDefault="00FE4F97">
      <w:pPr>
        <w:pStyle w:val="SingleTxt"/>
        <w:spacing w:after="0"/>
        <w:rPr>
          <w:rFonts w:hint="cs"/>
          <w:rtl/>
        </w:rPr>
      </w:pPr>
      <w:r>
        <w:rPr>
          <w:rFonts w:hint="cs"/>
          <w:rtl/>
        </w:rPr>
        <w:t>الجدول 2</w:t>
      </w:r>
    </w:p>
    <w:p w:rsidR="00FE4F97" w:rsidRPr="00007209" w:rsidRDefault="00FE4F97">
      <w:pPr>
        <w:pStyle w:val="SingleTxt"/>
        <w:rPr>
          <w:rFonts w:hint="cs"/>
          <w:b/>
          <w:bCs/>
          <w:rtl/>
        </w:rPr>
      </w:pPr>
      <w:r w:rsidRPr="00007209">
        <w:rPr>
          <w:rFonts w:hint="cs"/>
          <w:b/>
          <w:bCs/>
          <w:rtl/>
        </w:rPr>
        <w:t>مؤ</w:t>
      </w:r>
      <w:r>
        <w:rPr>
          <w:rFonts w:hint="cs"/>
          <w:b/>
          <w:bCs/>
          <w:rtl/>
        </w:rPr>
        <w:t>ش</w:t>
      </w:r>
      <w:r w:rsidRPr="00007209">
        <w:rPr>
          <w:rFonts w:hint="cs"/>
          <w:b/>
          <w:bCs/>
          <w:rtl/>
        </w:rPr>
        <w:t xml:space="preserve">رات الاقتصاد الكلي الرئيسية لمنغوليا </w:t>
      </w:r>
      <w:r>
        <w:rPr>
          <w:rFonts w:hint="cs"/>
          <w:b/>
          <w:bCs/>
          <w:rtl/>
        </w:rPr>
        <w:t>في ا</w:t>
      </w:r>
      <w:r w:rsidRPr="00007209">
        <w:rPr>
          <w:rFonts w:hint="cs"/>
          <w:b/>
          <w:bCs/>
          <w:rtl/>
        </w:rPr>
        <w:t>لفترة 1996-2004</w:t>
      </w:r>
    </w:p>
    <w:p w:rsidR="00FE4F97" w:rsidRPr="00007209" w:rsidRDefault="00FE4F97">
      <w:pPr>
        <w:pStyle w:val="SingleTxt"/>
        <w:spacing w:after="0" w:line="120" w:lineRule="exact"/>
        <w:rPr>
          <w:rFonts w:hint="cs"/>
          <w:sz w:val="10"/>
          <w:rtl/>
        </w:rPr>
      </w:pPr>
    </w:p>
    <w:tbl>
      <w:tblPr>
        <w:bidiVisual/>
        <w:tblW w:w="9850" w:type="dxa"/>
        <w:jc w:val="center"/>
        <w:tblLayout w:type="fixed"/>
        <w:tblLook w:val="01E0" w:firstRow="1" w:lastRow="1" w:firstColumn="1" w:lastColumn="1" w:noHBand="0" w:noVBand="0"/>
      </w:tblPr>
      <w:tblGrid>
        <w:gridCol w:w="1689"/>
        <w:gridCol w:w="879"/>
        <w:gridCol w:w="878"/>
        <w:gridCol w:w="878"/>
        <w:gridCol w:w="921"/>
        <w:gridCol w:w="921"/>
        <w:gridCol w:w="921"/>
        <w:gridCol w:w="921"/>
        <w:gridCol w:w="921"/>
        <w:gridCol w:w="921"/>
      </w:tblGrid>
      <w:tr w:rsidR="00FE4F97" w:rsidRPr="008068E2">
        <w:trPr>
          <w:cantSplit/>
          <w:tblHeader/>
          <w:jc w:val="center"/>
        </w:trPr>
        <w:tc>
          <w:tcPr>
            <w:tcW w:w="1872" w:type="dxa"/>
            <w:tcBorders>
              <w:top w:val="single" w:sz="4" w:space="0" w:color="auto"/>
            </w:tcBorders>
            <w:shd w:val="clear" w:color="auto" w:fill="auto"/>
            <w:vAlign w:val="bottom"/>
          </w:tcPr>
          <w:p w:rsidR="00FE4F97" w:rsidRPr="008068E2" w:rsidRDefault="00FE4F97">
            <w:pPr>
              <w:pStyle w:val="DualTxt"/>
              <w:spacing w:before="80" w:after="80" w:line="200" w:lineRule="exact"/>
              <w:rPr>
                <w:rFonts w:hint="cs"/>
                <w:i/>
                <w:iCs/>
                <w:szCs w:val="20"/>
                <w:rtl/>
              </w:rPr>
            </w:pPr>
          </w:p>
        </w:tc>
        <w:tc>
          <w:tcPr>
            <w:tcW w:w="960" w:type="dxa"/>
            <w:tcBorders>
              <w:top w:val="single" w:sz="4" w:space="0" w:color="auto"/>
            </w:tcBorders>
            <w:shd w:val="clear" w:color="auto" w:fill="auto"/>
            <w:vAlign w:val="bottom"/>
          </w:tcPr>
          <w:p w:rsidR="00FE4F97" w:rsidRPr="008068E2" w:rsidRDefault="00FE4F97">
            <w:pPr>
              <w:pStyle w:val="DualTxt"/>
              <w:spacing w:before="80" w:after="80" w:line="200" w:lineRule="exact"/>
              <w:ind w:right="144"/>
              <w:rPr>
                <w:rFonts w:hint="cs"/>
                <w:i/>
                <w:iCs/>
                <w:szCs w:val="20"/>
                <w:rtl/>
              </w:rPr>
            </w:pPr>
          </w:p>
        </w:tc>
        <w:tc>
          <w:tcPr>
            <w:tcW w:w="959" w:type="dxa"/>
            <w:tcBorders>
              <w:top w:val="single" w:sz="4" w:space="0" w:color="auto"/>
            </w:tcBorders>
            <w:shd w:val="clear" w:color="auto" w:fill="auto"/>
            <w:vAlign w:val="bottom"/>
          </w:tcPr>
          <w:p w:rsidR="00FE4F97" w:rsidRPr="008068E2" w:rsidRDefault="00FE4F97">
            <w:pPr>
              <w:pStyle w:val="DualTxt"/>
              <w:spacing w:before="80" w:after="80" w:line="200" w:lineRule="exact"/>
              <w:ind w:right="144"/>
              <w:rPr>
                <w:rFonts w:hint="cs"/>
                <w:i/>
                <w:iCs/>
                <w:szCs w:val="20"/>
                <w:rtl/>
              </w:rPr>
            </w:pPr>
          </w:p>
        </w:tc>
        <w:tc>
          <w:tcPr>
            <w:tcW w:w="959" w:type="dxa"/>
            <w:tcBorders>
              <w:top w:val="single" w:sz="4" w:space="0" w:color="auto"/>
            </w:tcBorders>
            <w:shd w:val="clear" w:color="auto" w:fill="auto"/>
            <w:vAlign w:val="bottom"/>
          </w:tcPr>
          <w:p w:rsidR="00FE4F97" w:rsidRPr="008068E2" w:rsidRDefault="00FE4F97">
            <w:pPr>
              <w:pStyle w:val="DualTxt"/>
              <w:spacing w:before="80" w:after="80" w:line="200" w:lineRule="exact"/>
              <w:ind w:right="144"/>
              <w:rPr>
                <w:rFonts w:hint="cs"/>
                <w:i/>
                <w:iCs/>
                <w:szCs w:val="20"/>
                <w:rtl/>
              </w:rPr>
            </w:pPr>
          </w:p>
        </w:tc>
        <w:tc>
          <w:tcPr>
            <w:tcW w:w="1008" w:type="dxa"/>
            <w:tcBorders>
              <w:top w:val="single" w:sz="4" w:space="0" w:color="auto"/>
            </w:tcBorders>
            <w:shd w:val="clear" w:color="auto" w:fill="auto"/>
            <w:vAlign w:val="bottom"/>
          </w:tcPr>
          <w:p w:rsidR="00FE4F97" w:rsidRPr="008068E2" w:rsidRDefault="00FE4F97">
            <w:pPr>
              <w:pStyle w:val="DualTxt"/>
              <w:spacing w:before="80" w:after="80" w:line="200" w:lineRule="exact"/>
              <w:ind w:right="144"/>
              <w:rPr>
                <w:rFonts w:hint="cs"/>
                <w:i/>
                <w:iCs/>
                <w:szCs w:val="20"/>
                <w:rtl/>
              </w:rPr>
            </w:pPr>
          </w:p>
        </w:tc>
        <w:tc>
          <w:tcPr>
            <w:tcW w:w="1008" w:type="dxa"/>
            <w:tcBorders>
              <w:top w:val="single" w:sz="4" w:space="0" w:color="auto"/>
            </w:tcBorders>
            <w:shd w:val="clear" w:color="auto" w:fill="auto"/>
            <w:vAlign w:val="bottom"/>
          </w:tcPr>
          <w:p w:rsidR="00FE4F97" w:rsidRPr="008068E2" w:rsidRDefault="00FE4F97">
            <w:pPr>
              <w:pStyle w:val="DualTxt"/>
              <w:spacing w:before="80" w:after="80" w:line="200" w:lineRule="exact"/>
              <w:ind w:right="144"/>
              <w:rPr>
                <w:rFonts w:hint="cs"/>
                <w:i/>
                <w:iCs/>
                <w:szCs w:val="20"/>
                <w:rtl/>
              </w:rPr>
            </w:pPr>
          </w:p>
        </w:tc>
        <w:tc>
          <w:tcPr>
            <w:tcW w:w="1008" w:type="dxa"/>
            <w:tcBorders>
              <w:top w:val="single" w:sz="4" w:space="0" w:color="auto"/>
            </w:tcBorders>
            <w:shd w:val="clear" w:color="auto" w:fill="auto"/>
            <w:vAlign w:val="bottom"/>
          </w:tcPr>
          <w:p w:rsidR="00FE4F97" w:rsidRPr="008068E2" w:rsidRDefault="00FE4F97">
            <w:pPr>
              <w:pStyle w:val="DualTxt"/>
              <w:spacing w:before="80" w:after="80" w:line="200" w:lineRule="exact"/>
              <w:ind w:right="144"/>
              <w:rPr>
                <w:rFonts w:hint="cs"/>
                <w:i/>
                <w:iCs/>
                <w:szCs w:val="20"/>
                <w:rtl/>
              </w:rPr>
            </w:pPr>
          </w:p>
        </w:tc>
        <w:tc>
          <w:tcPr>
            <w:tcW w:w="1008" w:type="dxa"/>
            <w:tcBorders>
              <w:top w:val="single" w:sz="4" w:space="0" w:color="auto"/>
            </w:tcBorders>
            <w:shd w:val="clear" w:color="auto" w:fill="auto"/>
            <w:vAlign w:val="bottom"/>
          </w:tcPr>
          <w:p w:rsidR="00FE4F97" w:rsidRPr="008068E2" w:rsidRDefault="00FE4F97">
            <w:pPr>
              <w:pStyle w:val="DualTxt"/>
              <w:spacing w:before="80" w:after="80" w:line="200" w:lineRule="exact"/>
              <w:ind w:right="144"/>
              <w:rPr>
                <w:rFonts w:hint="cs"/>
                <w:i/>
                <w:iCs/>
                <w:szCs w:val="20"/>
                <w:rtl/>
              </w:rPr>
            </w:pPr>
          </w:p>
        </w:tc>
        <w:tc>
          <w:tcPr>
            <w:tcW w:w="1008" w:type="dxa"/>
            <w:tcBorders>
              <w:top w:val="single" w:sz="4" w:space="0" w:color="auto"/>
            </w:tcBorders>
            <w:shd w:val="clear" w:color="auto" w:fill="auto"/>
            <w:vAlign w:val="bottom"/>
          </w:tcPr>
          <w:p w:rsidR="00FE4F97" w:rsidRPr="008068E2" w:rsidRDefault="00FE4F97">
            <w:pPr>
              <w:pStyle w:val="DualTxt"/>
              <w:spacing w:before="80" w:after="80" w:line="200" w:lineRule="exact"/>
              <w:ind w:right="144"/>
              <w:rPr>
                <w:rFonts w:hint="cs"/>
                <w:i/>
                <w:iCs/>
                <w:szCs w:val="20"/>
                <w:rtl/>
              </w:rPr>
            </w:pPr>
          </w:p>
        </w:tc>
        <w:tc>
          <w:tcPr>
            <w:tcW w:w="1008" w:type="dxa"/>
            <w:tcBorders>
              <w:top w:val="single" w:sz="4" w:space="0" w:color="auto"/>
            </w:tcBorders>
            <w:shd w:val="clear" w:color="auto" w:fill="auto"/>
            <w:vAlign w:val="bottom"/>
          </w:tcPr>
          <w:p w:rsidR="00FE4F97" w:rsidRPr="008068E2" w:rsidRDefault="00FE4F97">
            <w:pPr>
              <w:pStyle w:val="DualTxt"/>
              <w:spacing w:before="80" w:after="80" w:line="200" w:lineRule="exact"/>
              <w:ind w:right="144"/>
              <w:rPr>
                <w:rFonts w:hint="cs"/>
                <w:i/>
                <w:iCs/>
                <w:szCs w:val="20"/>
                <w:rtl/>
              </w:rPr>
            </w:pPr>
          </w:p>
        </w:tc>
      </w:tr>
      <w:tr w:rsidR="00FE4F97" w:rsidRPr="008068E2">
        <w:trPr>
          <w:cantSplit/>
          <w:tblHeader/>
          <w:jc w:val="center"/>
        </w:trPr>
        <w:tc>
          <w:tcPr>
            <w:tcW w:w="1872" w:type="dxa"/>
            <w:tcBorders>
              <w:bottom w:val="single" w:sz="12" w:space="0" w:color="auto"/>
            </w:tcBorders>
            <w:shd w:val="clear" w:color="auto" w:fill="auto"/>
            <w:vAlign w:val="bottom"/>
          </w:tcPr>
          <w:p w:rsidR="00FE4F97" w:rsidRPr="008068E2" w:rsidRDefault="00FE4F97">
            <w:pPr>
              <w:pStyle w:val="DualTxt"/>
              <w:spacing w:after="80" w:line="200" w:lineRule="exact"/>
              <w:rPr>
                <w:rFonts w:hint="cs"/>
                <w:i/>
                <w:iCs/>
                <w:szCs w:val="20"/>
                <w:rtl/>
              </w:rPr>
            </w:pPr>
            <w:r w:rsidRPr="008068E2">
              <w:rPr>
                <w:rFonts w:hint="cs"/>
                <w:i/>
                <w:iCs/>
                <w:szCs w:val="20"/>
                <w:rtl/>
              </w:rPr>
              <w:t>المؤشرات</w:t>
            </w:r>
          </w:p>
        </w:tc>
        <w:tc>
          <w:tcPr>
            <w:tcW w:w="960" w:type="dxa"/>
            <w:tcBorders>
              <w:bottom w:val="single" w:sz="12" w:space="0" w:color="auto"/>
            </w:tcBorders>
            <w:shd w:val="clear" w:color="auto" w:fill="auto"/>
            <w:vAlign w:val="bottom"/>
          </w:tcPr>
          <w:p w:rsidR="00FE4F97" w:rsidRPr="008068E2" w:rsidRDefault="00FE4F97">
            <w:pPr>
              <w:pStyle w:val="DualTxt"/>
              <w:spacing w:after="80" w:line="200" w:lineRule="exact"/>
              <w:ind w:right="144"/>
              <w:rPr>
                <w:rFonts w:hint="cs"/>
                <w:i/>
                <w:iCs/>
                <w:szCs w:val="20"/>
                <w:rtl/>
              </w:rPr>
            </w:pPr>
            <w:r w:rsidRPr="008068E2">
              <w:rPr>
                <w:rFonts w:hint="cs"/>
                <w:i/>
                <w:iCs/>
                <w:szCs w:val="20"/>
                <w:rtl/>
              </w:rPr>
              <w:t>1996</w:t>
            </w:r>
          </w:p>
        </w:tc>
        <w:tc>
          <w:tcPr>
            <w:tcW w:w="959" w:type="dxa"/>
            <w:tcBorders>
              <w:bottom w:val="single" w:sz="12" w:space="0" w:color="auto"/>
            </w:tcBorders>
            <w:shd w:val="clear" w:color="auto" w:fill="auto"/>
            <w:vAlign w:val="bottom"/>
          </w:tcPr>
          <w:p w:rsidR="00FE4F97" w:rsidRPr="008068E2" w:rsidRDefault="00FE4F97">
            <w:pPr>
              <w:pStyle w:val="DualTxt"/>
              <w:spacing w:after="80" w:line="200" w:lineRule="exact"/>
              <w:ind w:right="144"/>
              <w:rPr>
                <w:rFonts w:hint="cs"/>
                <w:i/>
                <w:iCs/>
                <w:szCs w:val="20"/>
                <w:rtl/>
              </w:rPr>
            </w:pPr>
            <w:r w:rsidRPr="008068E2">
              <w:rPr>
                <w:rFonts w:hint="cs"/>
                <w:i/>
                <w:iCs/>
                <w:szCs w:val="20"/>
                <w:rtl/>
              </w:rPr>
              <w:t>1997</w:t>
            </w:r>
          </w:p>
        </w:tc>
        <w:tc>
          <w:tcPr>
            <w:tcW w:w="959" w:type="dxa"/>
            <w:tcBorders>
              <w:bottom w:val="single" w:sz="12" w:space="0" w:color="auto"/>
            </w:tcBorders>
            <w:shd w:val="clear" w:color="auto" w:fill="auto"/>
            <w:vAlign w:val="bottom"/>
          </w:tcPr>
          <w:p w:rsidR="00FE4F97" w:rsidRPr="008068E2" w:rsidRDefault="00FE4F97">
            <w:pPr>
              <w:pStyle w:val="DualTxt"/>
              <w:spacing w:after="80" w:line="200" w:lineRule="exact"/>
              <w:ind w:right="144"/>
              <w:rPr>
                <w:rFonts w:hint="cs"/>
                <w:i/>
                <w:iCs/>
                <w:szCs w:val="20"/>
                <w:rtl/>
              </w:rPr>
            </w:pPr>
            <w:r w:rsidRPr="008068E2">
              <w:rPr>
                <w:rFonts w:hint="cs"/>
                <w:i/>
                <w:iCs/>
                <w:szCs w:val="20"/>
                <w:rtl/>
              </w:rPr>
              <w:t>1998</w:t>
            </w:r>
          </w:p>
        </w:tc>
        <w:tc>
          <w:tcPr>
            <w:tcW w:w="1008" w:type="dxa"/>
            <w:tcBorders>
              <w:bottom w:val="single" w:sz="12" w:space="0" w:color="auto"/>
            </w:tcBorders>
            <w:shd w:val="clear" w:color="auto" w:fill="auto"/>
            <w:vAlign w:val="bottom"/>
          </w:tcPr>
          <w:p w:rsidR="00FE4F97" w:rsidRPr="008068E2" w:rsidRDefault="00FE4F97">
            <w:pPr>
              <w:pStyle w:val="DualTxt"/>
              <w:spacing w:after="80" w:line="200" w:lineRule="exact"/>
              <w:ind w:right="144"/>
              <w:rPr>
                <w:rFonts w:hint="cs"/>
                <w:i/>
                <w:iCs/>
                <w:szCs w:val="20"/>
                <w:rtl/>
              </w:rPr>
            </w:pPr>
            <w:r w:rsidRPr="008068E2">
              <w:rPr>
                <w:rFonts w:hint="cs"/>
                <w:i/>
                <w:iCs/>
                <w:szCs w:val="20"/>
                <w:rtl/>
              </w:rPr>
              <w:t>1999</w:t>
            </w:r>
          </w:p>
        </w:tc>
        <w:tc>
          <w:tcPr>
            <w:tcW w:w="1008" w:type="dxa"/>
            <w:tcBorders>
              <w:bottom w:val="single" w:sz="12" w:space="0" w:color="auto"/>
            </w:tcBorders>
            <w:shd w:val="clear" w:color="auto" w:fill="auto"/>
            <w:vAlign w:val="bottom"/>
          </w:tcPr>
          <w:p w:rsidR="00FE4F97" w:rsidRPr="008068E2" w:rsidRDefault="00FE4F97">
            <w:pPr>
              <w:pStyle w:val="DualTxt"/>
              <w:spacing w:after="80" w:line="200" w:lineRule="exact"/>
              <w:ind w:right="144"/>
              <w:rPr>
                <w:rFonts w:hint="cs"/>
                <w:i/>
                <w:iCs/>
                <w:szCs w:val="20"/>
                <w:rtl/>
              </w:rPr>
            </w:pPr>
            <w:r w:rsidRPr="008068E2">
              <w:rPr>
                <w:rFonts w:hint="cs"/>
                <w:i/>
                <w:iCs/>
                <w:szCs w:val="20"/>
                <w:rtl/>
              </w:rPr>
              <w:t>2000</w:t>
            </w:r>
          </w:p>
        </w:tc>
        <w:tc>
          <w:tcPr>
            <w:tcW w:w="1008" w:type="dxa"/>
            <w:tcBorders>
              <w:bottom w:val="single" w:sz="12" w:space="0" w:color="auto"/>
            </w:tcBorders>
            <w:shd w:val="clear" w:color="auto" w:fill="auto"/>
            <w:vAlign w:val="bottom"/>
          </w:tcPr>
          <w:p w:rsidR="00FE4F97" w:rsidRPr="008068E2" w:rsidRDefault="00FE4F97">
            <w:pPr>
              <w:pStyle w:val="DualTxt"/>
              <w:spacing w:after="80" w:line="200" w:lineRule="exact"/>
              <w:ind w:right="144"/>
              <w:rPr>
                <w:rFonts w:hint="cs"/>
                <w:i/>
                <w:iCs/>
                <w:szCs w:val="20"/>
                <w:rtl/>
              </w:rPr>
            </w:pPr>
            <w:r w:rsidRPr="008068E2">
              <w:rPr>
                <w:rFonts w:hint="cs"/>
                <w:i/>
                <w:iCs/>
                <w:szCs w:val="20"/>
                <w:rtl/>
              </w:rPr>
              <w:t>2001</w:t>
            </w:r>
          </w:p>
        </w:tc>
        <w:tc>
          <w:tcPr>
            <w:tcW w:w="1008" w:type="dxa"/>
            <w:tcBorders>
              <w:bottom w:val="single" w:sz="12" w:space="0" w:color="auto"/>
            </w:tcBorders>
            <w:shd w:val="clear" w:color="auto" w:fill="auto"/>
            <w:vAlign w:val="bottom"/>
          </w:tcPr>
          <w:p w:rsidR="00FE4F97" w:rsidRPr="008068E2" w:rsidRDefault="00FE4F97">
            <w:pPr>
              <w:pStyle w:val="DualTxt"/>
              <w:spacing w:after="80" w:line="200" w:lineRule="exact"/>
              <w:ind w:right="144"/>
              <w:rPr>
                <w:rFonts w:hint="cs"/>
                <w:i/>
                <w:iCs/>
                <w:szCs w:val="20"/>
                <w:rtl/>
              </w:rPr>
            </w:pPr>
            <w:r w:rsidRPr="008068E2">
              <w:rPr>
                <w:rFonts w:hint="cs"/>
                <w:i/>
                <w:iCs/>
                <w:szCs w:val="20"/>
                <w:rtl/>
              </w:rPr>
              <w:t>2002</w:t>
            </w:r>
          </w:p>
        </w:tc>
        <w:tc>
          <w:tcPr>
            <w:tcW w:w="1008" w:type="dxa"/>
            <w:tcBorders>
              <w:bottom w:val="single" w:sz="12" w:space="0" w:color="auto"/>
            </w:tcBorders>
            <w:shd w:val="clear" w:color="auto" w:fill="auto"/>
            <w:vAlign w:val="bottom"/>
          </w:tcPr>
          <w:p w:rsidR="00FE4F97" w:rsidRPr="008068E2" w:rsidRDefault="00FE4F97">
            <w:pPr>
              <w:pStyle w:val="DualTxt"/>
              <w:spacing w:after="80" w:line="200" w:lineRule="exact"/>
              <w:ind w:right="144"/>
              <w:rPr>
                <w:rFonts w:hint="cs"/>
                <w:i/>
                <w:iCs/>
                <w:szCs w:val="20"/>
                <w:rtl/>
              </w:rPr>
            </w:pPr>
            <w:r w:rsidRPr="008068E2">
              <w:rPr>
                <w:rFonts w:hint="cs"/>
                <w:i/>
                <w:iCs/>
                <w:szCs w:val="20"/>
                <w:rtl/>
              </w:rPr>
              <w:t>2003</w:t>
            </w:r>
          </w:p>
        </w:tc>
        <w:tc>
          <w:tcPr>
            <w:tcW w:w="1008" w:type="dxa"/>
            <w:tcBorders>
              <w:bottom w:val="single" w:sz="12" w:space="0" w:color="auto"/>
            </w:tcBorders>
            <w:shd w:val="clear" w:color="auto" w:fill="auto"/>
            <w:vAlign w:val="bottom"/>
          </w:tcPr>
          <w:p w:rsidR="00FE4F97" w:rsidRPr="008068E2" w:rsidRDefault="00FE4F97">
            <w:pPr>
              <w:pStyle w:val="DualTxt"/>
              <w:spacing w:after="80" w:line="200" w:lineRule="exact"/>
              <w:ind w:right="144"/>
              <w:rPr>
                <w:rFonts w:hint="cs"/>
                <w:i/>
                <w:iCs/>
                <w:szCs w:val="20"/>
                <w:rtl/>
              </w:rPr>
            </w:pPr>
            <w:r w:rsidRPr="008068E2">
              <w:rPr>
                <w:rFonts w:hint="cs"/>
                <w:i/>
                <w:iCs/>
                <w:szCs w:val="20"/>
                <w:rtl/>
              </w:rPr>
              <w:t>2004</w:t>
            </w:r>
          </w:p>
        </w:tc>
      </w:tr>
      <w:tr w:rsidR="00FE4F97" w:rsidRPr="008068E2">
        <w:trPr>
          <w:cantSplit/>
          <w:jc w:val="center"/>
        </w:trPr>
        <w:tc>
          <w:tcPr>
            <w:tcW w:w="1872" w:type="dxa"/>
            <w:shd w:val="clear" w:color="auto" w:fill="auto"/>
            <w:vAlign w:val="bottom"/>
          </w:tcPr>
          <w:p w:rsidR="00FE4F97" w:rsidRPr="008068E2" w:rsidRDefault="00FE4F97">
            <w:pPr>
              <w:pStyle w:val="DualTxt"/>
              <w:spacing w:before="40" w:after="80" w:line="200" w:lineRule="exact"/>
              <w:rPr>
                <w:rFonts w:hint="cs"/>
                <w:szCs w:val="20"/>
                <w:rtl/>
              </w:rPr>
            </w:pPr>
            <w:r w:rsidRPr="008068E2">
              <w:rPr>
                <w:rFonts w:hint="cs"/>
                <w:szCs w:val="20"/>
                <w:rtl/>
              </w:rPr>
              <w:t>نمو الناتج المحلي الإجمالي</w:t>
            </w:r>
          </w:p>
          <w:p w:rsidR="00FE4F97" w:rsidRPr="008068E2" w:rsidRDefault="00FE4F97">
            <w:pPr>
              <w:pStyle w:val="DualTxt"/>
              <w:spacing w:before="40" w:after="80" w:line="200" w:lineRule="exact"/>
              <w:rPr>
                <w:rFonts w:hint="cs"/>
                <w:szCs w:val="20"/>
                <w:rtl/>
              </w:rPr>
            </w:pPr>
            <w:r w:rsidRPr="008068E2">
              <w:rPr>
                <w:rFonts w:hint="cs"/>
                <w:szCs w:val="20"/>
                <w:rtl/>
              </w:rPr>
              <w:t>(نسبة مئوية)</w:t>
            </w:r>
          </w:p>
        </w:tc>
        <w:tc>
          <w:tcPr>
            <w:tcW w:w="960"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2.4</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4.0</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3.5</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3.2</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1.1</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1.0</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4.0</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5.6</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10.6</w:t>
            </w:r>
          </w:p>
        </w:tc>
      </w:tr>
      <w:tr w:rsidR="00FE4F97" w:rsidRPr="008068E2">
        <w:trPr>
          <w:cantSplit/>
          <w:jc w:val="center"/>
        </w:trPr>
        <w:tc>
          <w:tcPr>
            <w:tcW w:w="1872" w:type="dxa"/>
            <w:shd w:val="clear" w:color="auto" w:fill="auto"/>
            <w:vAlign w:val="bottom"/>
          </w:tcPr>
          <w:p w:rsidR="00FE4F97" w:rsidRPr="008068E2" w:rsidRDefault="00FE4F97">
            <w:pPr>
              <w:pStyle w:val="DualTxt"/>
              <w:spacing w:before="40" w:after="80" w:line="200" w:lineRule="exact"/>
              <w:rPr>
                <w:rFonts w:hint="cs"/>
                <w:szCs w:val="20"/>
                <w:rtl/>
              </w:rPr>
            </w:pPr>
            <w:r w:rsidRPr="008068E2">
              <w:rPr>
                <w:rFonts w:hint="cs"/>
                <w:szCs w:val="20"/>
                <w:rtl/>
              </w:rPr>
              <w:t>الزراعة</w:t>
            </w:r>
          </w:p>
          <w:p w:rsidR="00FE4F97" w:rsidRPr="008068E2" w:rsidRDefault="00FE4F97">
            <w:pPr>
              <w:pStyle w:val="DualTxt"/>
              <w:spacing w:before="40" w:after="80" w:line="200" w:lineRule="exact"/>
              <w:rPr>
                <w:rFonts w:hint="cs"/>
                <w:szCs w:val="20"/>
                <w:rtl/>
              </w:rPr>
            </w:pPr>
            <w:r w:rsidRPr="008068E2">
              <w:rPr>
                <w:rFonts w:hint="cs"/>
                <w:szCs w:val="20"/>
                <w:rtl/>
              </w:rPr>
              <w:t>(نسبة مئوية)</w:t>
            </w:r>
          </w:p>
        </w:tc>
        <w:tc>
          <w:tcPr>
            <w:tcW w:w="960"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3.4</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4.3</w:t>
            </w:r>
          </w:p>
        </w:tc>
        <w:tc>
          <w:tcPr>
            <w:tcW w:w="959"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6.6</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4.4</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-15.9</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-18.3</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-12.4</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4.9</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17.7</w:t>
            </w:r>
          </w:p>
        </w:tc>
      </w:tr>
      <w:tr w:rsidR="00FE4F97" w:rsidRPr="008068E2">
        <w:trPr>
          <w:cantSplit/>
          <w:jc w:val="center"/>
        </w:trPr>
        <w:tc>
          <w:tcPr>
            <w:tcW w:w="1872" w:type="dxa"/>
            <w:shd w:val="clear" w:color="auto" w:fill="auto"/>
            <w:vAlign w:val="bottom"/>
          </w:tcPr>
          <w:p w:rsidR="00FE4F97" w:rsidRPr="008068E2" w:rsidRDefault="00FE4F97">
            <w:pPr>
              <w:pStyle w:val="DualTxt"/>
              <w:spacing w:before="40" w:after="80" w:line="200" w:lineRule="exact"/>
              <w:rPr>
                <w:rFonts w:hint="cs"/>
                <w:szCs w:val="20"/>
                <w:rtl/>
              </w:rPr>
            </w:pPr>
            <w:r w:rsidRPr="008068E2">
              <w:rPr>
                <w:rFonts w:hint="cs"/>
                <w:szCs w:val="20"/>
                <w:rtl/>
              </w:rPr>
              <w:t>الصناعة</w:t>
            </w:r>
          </w:p>
          <w:p w:rsidR="00FE4F97" w:rsidRPr="008068E2" w:rsidRDefault="00FE4F97">
            <w:pPr>
              <w:pStyle w:val="DualTxt"/>
              <w:spacing w:before="40" w:after="80" w:line="200" w:lineRule="exact"/>
              <w:rPr>
                <w:rFonts w:hint="cs"/>
                <w:szCs w:val="20"/>
                <w:rtl/>
              </w:rPr>
            </w:pPr>
            <w:r w:rsidRPr="008068E2">
              <w:rPr>
                <w:rFonts w:hint="cs"/>
                <w:szCs w:val="20"/>
                <w:rtl/>
              </w:rPr>
              <w:t>(نسبة مئوية)</w:t>
            </w:r>
          </w:p>
        </w:tc>
        <w:tc>
          <w:tcPr>
            <w:tcW w:w="960"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-3.4</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-2.6</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3.7</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1.6</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0.3</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15,5</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3.8</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4.8</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15.0</w:t>
            </w:r>
          </w:p>
        </w:tc>
      </w:tr>
      <w:tr w:rsidR="00FE4F97" w:rsidRPr="008068E2">
        <w:trPr>
          <w:cantSplit/>
          <w:jc w:val="center"/>
        </w:trPr>
        <w:tc>
          <w:tcPr>
            <w:tcW w:w="1872" w:type="dxa"/>
            <w:shd w:val="clear" w:color="auto" w:fill="auto"/>
            <w:vAlign w:val="bottom"/>
          </w:tcPr>
          <w:p w:rsidR="00FE4F97" w:rsidRPr="008068E2" w:rsidRDefault="00FE4F97">
            <w:pPr>
              <w:pStyle w:val="DualTxt"/>
              <w:spacing w:before="40" w:after="80" w:line="200" w:lineRule="exact"/>
              <w:rPr>
                <w:rFonts w:hint="cs"/>
                <w:szCs w:val="20"/>
                <w:rtl/>
              </w:rPr>
            </w:pPr>
            <w:r w:rsidRPr="008068E2">
              <w:rPr>
                <w:rFonts w:hint="cs"/>
                <w:szCs w:val="20"/>
                <w:rtl/>
              </w:rPr>
              <w:t>الخدمات</w:t>
            </w:r>
          </w:p>
          <w:p w:rsidR="00FE4F97" w:rsidRPr="008068E2" w:rsidRDefault="00FE4F97">
            <w:pPr>
              <w:pStyle w:val="DualTxt"/>
              <w:spacing w:before="40" w:after="80" w:line="200" w:lineRule="exact"/>
              <w:rPr>
                <w:rFonts w:hint="cs"/>
                <w:szCs w:val="20"/>
                <w:rtl/>
              </w:rPr>
            </w:pPr>
            <w:r w:rsidRPr="008068E2">
              <w:rPr>
                <w:rFonts w:hint="cs"/>
                <w:szCs w:val="20"/>
                <w:rtl/>
              </w:rPr>
              <w:t>(نسبة مئوية)</w:t>
            </w:r>
          </w:p>
        </w:tc>
        <w:tc>
          <w:tcPr>
            <w:tcW w:w="960"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5.1</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7.5</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1.1</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3.1</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15.3</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6.1</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11.6</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6.1</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6.3</w:t>
            </w:r>
          </w:p>
        </w:tc>
      </w:tr>
      <w:tr w:rsidR="00FE4F97" w:rsidRPr="008068E2">
        <w:trPr>
          <w:cantSplit/>
          <w:jc w:val="center"/>
        </w:trPr>
        <w:tc>
          <w:tcPr>
            <w:tcW w:w="1872" w:type="dxa"/>
            <w:shd w:val="clear" w:color="auto" w:fill="auto"/>
            <w:vAlign w:val="bottom"/>
          </w:tcPr>
          <w:p w:rsidR="00FE4F97" w:rsidRPr="008068E2" w:rsidRDefault="00FE4F97">
            <w:pPr>
              <w:pStyle w:val="DualTxt"/>
              <w:spacing w:before="40" w:after="80" w:line="200" w:lineRule="exact"/>
              <w:rPr>
                <w:rFonts w:hint="cs"/>
                <w:szCs w:val="20"/>
                <w:rtl/>
              </w:rPr>
            </w:pPr>
            <w:r w:rsidRPr="008068E2">
              <w:rPr>
                <w:rFonts w:hint="cs"/>
                <w:szCs w:val="20"/>
                <w:rtl/>
              </w:rPr>
              <w:t>التغير في أسعار المستهلك (نهاية العام، نسبة مئوية)</w:t>
            </w:r>
          </w:p>
        </w:tc>
        <w:tc>
          <w:tcPr>
            <w:tcW w:w="960"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44.6</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20.5</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6.0</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10.0</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8.1</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8.0</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1.6</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4.7</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11.0</w:t>
            </w:r>
          </w:p>
        </w:tc>
      </w:tr>
      <w:tr w:rsidR="00FE4F97" w:rsidRPr="008068E2">
        <w:trPr>
          <w:cantSplit/>
          <w:jc w:val="center"/>
        </w:trPr>
        <w:tc>
          <w:tcPr>
            <w:tcW w:w="1872" w:type="dxa"/>
            <w:shd w:val="clear" w:color="auto" w:fill="auto"/>
            <w:vAlign w:val="bottom"/>
          </w:tcPr>
          <w:p w:rsidR="00FE4F97" w:rsidRPr="008068E2" w:rsidRDefault="00FE4F97">
            <w:pPr>
              <w:pStyle w:val="DualTxt"/>
              <w:spacing w:before="40" w:after="80" w:line="200" w:lineRule="exact"/>
              <w:rPr>
                <w:rFonts w:hint="cs"/>
                <w:szCs w:val="20"/>
                <w:rtl/>
              </w:rPr>
            </w:pPr>
            <w:r w:rsidRPr="008068E2">
              <w:rPr>
                <w:rFonts w:hint="cs"/>
                <w:szCs w:val="20"/>
                <w:rtl/>
              </w:rPr>
              <w:t>ميزان التجارة الخارجية (بملايين الدولارات)</w:t>
            </w:r>
          </w:p>
        </w:tc>
        <w:tc>
          <w:tcPr>
            <w:tcW w:w="960"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-35.0</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65.1</w:t>
            </w:r>
          </w:p>
        </w:tc>
        <w:tc>
          <w:tcPr>
            <w:tcW w:w="959"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-120.0</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-113.0</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-140.1</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-116.2</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-166.8</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-185.2</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-151.5</w:t>
            </w:r>
          </w:p>
        </w:tc>
      </w:tr>
      <w:tr w:rsidR="00FE4F97" w:rsidRPr="008068E2">
        <w:trPr>
          <w:cantSplit/>
          <w:jc w:val="center"/>
        </w:trPr>
        <w:tc>
          <w:tcPr>
            <w:tcW w:w="1872" w:type="dxa"/>
            <w:shd w:val="clear" w:color="auto" w:fill="auto"/>
            <w:vAlign w:val="bottom"/>
          </w:tcPr>
          <w:p w:rsidR="00FE4F97" w:rsidRPr="008068E2" w:rsidRDefault="00FE4F97">
            <w:pPr>
              <w:pStyle w:val="DualTxt"/>
              <w:spacing w:before="40" w:after="80" w:line="200" w:lineRule="exact"/>
              <w:rPr>
                <w:rFonts w:hint="cs"/>
                <w:szCs w:val="20"/>
                <w:rtl/>
              </w:rPr>
            </w:pPr>
            <w:r w:rsidRPr="008068E2">
              <w:rPr>
                <w:rFonts w:hint="cs"/>
                <w:szCs w:val="20"/>
                <w:rtl/>
              </w:rPr>
              <w:t>سعر صرف العملة الوطنية (نهاية العام، 1 من دولارات الولايات المتحدة)</w:t>
            </w:r>
          </w:p>
        </w:tc>
        <w:tc>
          <w:tcPr>
            <w:tcW w:w="960"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693.5</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813.2</w:t>
            </w:r>
          </w:p>
        </w:tc>
        <w:tc>
          <w:tcPr>
            <w:tcW w:w="959"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902.0</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072.0 1</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097.0 1</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102.0 1</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125.0 1</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168.0 1</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209.0 1</w:t>
            </w:r>
          </w:p>
        </w:tc>
      </w:tr>
      <w:tr w:rsidR="00FE4F97" w:rsidRPr="008068E2">
        <w:trPr>
          <w:cantSplit/>
          <w:jc w:val="center"/>
        </w:trPr>
        <w:tc>
          <w:tcPr>
            <w:tcW w:w="1872" w:type="dxa"/>
            <w:shd w:val="clear" w:color="auto" w:fill="auto"/>
            <w:vAlign w:val="bottom"/>
          </w:tcPr>
          <w:p w:rsidR="00FE4F97" w:rsidRPr="008068E2" w:rsidRDefault="00FE4F97">
            <w:pPr>
              <w:pStyle w:val="DualTxt"/>
              <w:spacing w:before="40" w:after="80" w:line="200" w:lineRule="exact"/>
              <w:rPr>
                <w:rFonts w:hint="cs"/>
                <w:szCs w:val="20"/>
                <w:rtl/>
              </w:rPr>
            </w:pPr>
            <w:r w:rsidRPr="008068E2">
              <w:rPr>
                <w:rFonts w:hint="cs"/>
                <w:szCs w:val="20"/>
                <w:rtl/>
              </w:rPr>
              <w:t>معدل البطالة   (النسبة المئوية للبطالة المسجلة)</w:t>
            </w:r>
          </w:p>
        </w:tc>
        <w:tc>
          <w:tcPr>
            <w:tcW w:w="960"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7, 6</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7, 7</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9, 5</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7, 4</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6, 4</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6, 4</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4, 3</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5, 3</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6, 3</w:t>
            </w:r>
          </w:p>
        </w:tc>
      </w:tr>
      <w:tr w:rsidR="00FE4F97" w:rsidRPr="008068E2">
        <w:trPr>
          <w:cantSplit/>
          <w:jc w:val="center"/>
        </w:trPr>
        <w:tc>
          <w:tcPr>
            <w:tcW w:w="1872" w:type="dxa"/>
            <w:shd w:val="clear" w:color="auto" w:fill="auto"/>
            <w:vAlign w:val="bottom"/>
          </w:tcPr>
          <w:p w:rsidR="00FE4F97" w:rsidRPr="008068E2" w:rsidRDefault="00FE4F97">
            <w:pPr>
              <w:pStyle w:val="DualTxt"/>
              <w:spacing w:before="40" w:after="80" w:line="200" w:lineRule="exact"/>
              <w:rPr>
                <w:rFonts w:hint="cs"/>
                <w:szCs w:val="20"/>
                <w:rtl/>
              </w:rPr>
            </w:pPr>
            <w:r w:rsidRPr="008068E2">
              <w:rPr>
                <w:rFonts w:hint="cs"/>
                <w:szCs w:val="20"/>
                <w:rtl/>
              </w:rPr>
              <w:t xml:space="preserve">النسبة المئوية لمجموع الإستثمار في الناتج المحلي الإجمالي </w:t>
            </w:r>
          </w:p>
        </w:tc>
        <w:tc>
          <w:tcPr>
            <w:tcW w:w="960"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3, 20</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0, 20</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7, 23</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7, 25</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6, 25</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9, 24</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8, 24</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5, 27</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4, 25</w:t>
            </w:r>
          </w:p>
        </w:tc>
      </w:tr>
      <w:tr w:rsidR="00FE4F97" w:rsidRPr="008068E2">
        <w:trPr>
          <w:cantSplit/>
          <w:jc w:val="center"/>
        </w:trPr>
        <w:tc>
          <w:tcPr>
            <w:tcW w:w="1872" w:type="dxa"/>
            <w:shd w:val="clear" w:color="auto" w:fill="auto"/>
            <w:vAlign w:val="bottom"/>
          </w:tcPr>
          <w:p w:rsidR="00FE4F97" w:rsidRPr="008068E2" w:rsidRDefault="00FE4F97">
            <w:pPr>
              <w:pStyle w:val="DualTxt"/>
              <w:spacing w:before="40" w:after="80" w:line="200" w:lineRule="exact"/>
              <w:rPr>
                <w:rFonts w:hint="cs"/>
                <w:szCs w:val="20"/>
                <w:rtl/>
              </w:rPr>
            </w:pPr>
            <w:r w:rsidRPr="008068E2">
              <w:rPr>
                <w:rFonts w:hint="cs"/>
                <w:szCs w:val="20"/>
                <w:rtl/>
              </w:rPr>
              <w:t>النسبة المئوية لمجموع إيرادات الميزانية في الناتج المحلي الإجمالي</w:t>
            </w:r>
          </w:p>
        </w:tc>
        <w:tc>
          <w:tcPr>
            <w:tcW w:w="960"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25.2</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25.5</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27.6</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28.8</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34.4</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39.4</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38.4</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37.9</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39.4</w:t>
            </w:r>
          </w:p>
        </w:tc>
      </w:tr>
      <w:tr w:rsidR="00FE4F97" w:rsidRPr="008068E2">
        <w:trPr>
          <w:cantSplit/>
          <w:jc w:val="center"/>
        </w:trPr>
        <w:tc>
          <w:tcPr>
            <w:tcW w:w="1872" w:type="dxa"/>
            <w:shd w:val="clear" w:color="auto" w:fill="auto"/>
            <w:vAlign w:val="bottom"/>
          </w:tcPr>
          <w:p w:rsidR="00FE4F97" w:rsidRPr="008068E2" w:rsidRDefault="00FE4F97">
            <w:pPr>
              <w:pStyle w:val="DualTxt"/>
              <w:spacing w:before="40" w:after="80" w:line="200" w:lineRule="exact"/>
              <w:rPr>
                <w:rFonts w:hint="cs"/>
                <w:szCs w:val="20"/>
                <w:rtl/>
              </w:rPr>
            </w:pPr>
            <w:r w:rsidRPr="008068E2">
              <w:rPr>
                <w:rFonts w:hint="cs"/>
                <w:szCs w:val="20"/>
                <w:rtl/>
              </w:rPr>
              <w:t>النسبة المئوية لمجموع مصروفات الميزانية في الناتج المحلي الإجمالي</w:t>
            </w:r>
          </w:p>
        </w:tc>
        <w:tc>
          <w:tcPr>
            <w:tcW w:w="960"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32.7</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34.5</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41.9</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39.4</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42.2</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43.9</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44.4</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42.1</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41.6</w:t>
            </w:r>
          </w:p>
        </w:tc>
      </w:tr>
      <w:tr w:rsidR="00FE4F97" w:rsidRPr="008068E2">
        <w:trPr>
          <w:cantSplit/>
          <w:jc w:val="center"/>
        </w:trPr>
        <w:tc>
          <w:tcPr>
            <w:tcW w:w="1872" w:type="dxa"/>
            <w:shd w:val="clear" w:color="auto" w:fill="auto"/>
            <w:vAlign w:val="bottom"/>
          </w:tcPr>
          <w:p w:rsidR="00FE4F97" w:rsidRPr="008068E2" w:rsidRDefault="00FE4F97">
            <w:pPr>
              <w:pStyle w:val="DualTxt"/>
              <w:spacing w:before="40" w:after="80" w:line="200" w:lineRule="exact"/>
              <w:rPr>
                <w:rFonts w:hint="cs"/>
                <w:szCs w:val="20"/>
                <w:rtl/>
              </w:rPr>
            </w:pPr>
            <w:r w:rsidRPr="008068E2">
              <w:rPr>
                <w:rFonts w:hint="cs"/>
                <w:szCs w:val="20"/>
                <w:rtl/>
              </w:rPr>
              <w:t>النسبة المئوية لرصيد الميزانية الحالية في الناتج المحلي الإجمالي</w:t>
            </w:r>
          </w:p>
        </w:tc>
        <w:tc>
          <w:tcPr>
            <w:tcW w:w="960"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4.0</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1.6</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-0.7</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-0.3</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3.1</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5.7</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4.4</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7.6</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9.3</w:t>
            </w:r>
          </w:p>
        </w:tc>
      </w:tr>
      <w:tr w:rsidR="00FE4F97" w:rsidRPr="008068E2">
        <w:trPr>
          <w:cantSplit/>
          <w:jc w:val="center"/>
        </w:trPr>
        <w:tc>
          <w:tcPr>
            <w:tcW w:w="1872" w:type="dxa"/>
            <w:shd w:val="clear" w:color="auto" w:fill="auto"/>
            <w:vAlign w:val="bottom"/>
          </w:tcPr>
          <w:p w:rsidR="00FE4F97" w:rsidRPr="008068E2" w:rsidRDefault="00FE4F97">
            <w:pPr>
              <w:pStyle w:val="DualTxt"/>
              <w:spacing w:before="40" w:after="80" w:line="200" w:lineRule="exact"/>
              <w:rPr>
                <w:rFonts w:hint="cs"/>
                <w:szCs w:val="20"/>
                <w:rtl/>
              </w:rPr>
            </w:pPr>
            <w:r w:rsidRPr="008068E2">
              <w:rPr>
                <w:rFonts w:hint="cs"/>
                <w:szCs w:val="20"/>
                <w:rtl/>
              </w:rPr>
              <w:t>النسبة المئوية لمجموع رصيد الميزانية في الناتج المحلي الإجمالي</w:t>
            </w:r>
          </w:p>
        </w:tc>
        <w:tc>
          <w:tcPr>
            <w:tcW w:w="960"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-7.5</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-7.8</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-12.5</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-10.6</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-7.7</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-4.5</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-5.9</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-4.2</w:t>
            </w:r>
          </w:p>
        </w:tc>
        <w:tc>
          <w:tcPr>
            <w:tcW w:w="1008"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-2.2</w:t>
            </w:r>
          </w:p>
        </w:tc>
      </w:tr>
      <w:tr w:rsidR="00FE4F97" w:rsidRPr="008068E2">
        <w:trPr>
          <w:cantSplit/>
          <w:jc w:val="center"/>
        </w:trPr>
        <w:tc>
          <w:tcPr>
            <w:tcW w:w="1872" w:type="dxa"/>
            <w:shd w:val="clear" w:color="auto" w:fill="auto"/>
            <w:vAlign w:val="bottom"/>
          </w:tcPr>
          <w:p w:rsidR="00FE4F97" w:rsidRPr="008068E2" w:rsidRDefault="00FE4F97">
            <w:pPr>
              <w:pStyle w:val="DualTxt"/>
              <w:spacing w:before="40" w:after="80" w:line="200" w:lineRule="exact"/>
              <w:rPr>
                <w:rFonts w:hint="cs"/>
                <w:szCs w:val="20"/>
                <w:rtl/>
              </w:rPr>
            </w:pPr>
            <w:r w:rsidRPr="008068E2">
              <w:rPr>
                <w:rFonts w:hint="cs"/>
                <w:szCs w:val="20"/>
                <w:rtl/>
              </w:rPr>
              <w:t>الناتج المحلي الاجمالي (ببلايين التجريكات بالسعر الحالي)</w:t>
            </w:r>
          </w:p>
        </w:tc>
        <w:tc>
          <w:tcPr>
            <w:tcW w:w="960"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646.6</w:t>
            </w:r>
          </w:p>
        </w:tc>
        <w:tc>
          <w:tcPr>
            <w:tcW w:w="959" w:type="dxa"/>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832.6</w:t>
            </w:r>
          </w:p>
        </w:tc>
        <w:tc>
          <w:tcPr>
            <w:tcW w:w="959"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817.4</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925.3</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018.9 1</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115.6 1</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240.8 1</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461.2 1</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910.9 1</w:t>
            </w:r>
          </w:p>
        </w:tc>
      </w:tr>
      <w:tr w:rsidR="00FE4F97" w:rsidRPr="008068E2">
        <w:trPr>
          <w:cantSplit/>
          <w:jc w:val="center"/>
        </w:trPr>
        <w:tc>
          <w:tcPr>
            <w:tcW w:w="1872" w:type="dxa"/>
            <w:shd w:val="clear" w:color="auto" w:fill="auto"/>
            <w:vAlign w:val="bottom"/>
          </w:tcPr>
          <w:p w:rsidR="00FE4F97" w:rsidRPr="008068E2" w:rsidRDefault="00FE4F97">
            <w:pPr>
              <w:pStyle w:val="DualTxt"/>
              <w:spacing w:before="40" w:after="80" w:line="200" w:lineRule="exact"/>
              <w:rPr>
                <w:rFonts w:hint="cs"/>
                <w:szCs w:val="20"/>
                <w:rtl/>
              </w:rPr>
            </w:pPr>
            <w:r w:rsidRPr="008068E2">
              <w:rPr>
                <w:rFonts w:hint="cs"/>
                <w:szCs w:val="20"/>
                <w:rtl/>
              </w:rPr>
              <w:t>الناتج المحلي الإجمالي (بملايين الدولارات بالسعر الحالي)</w:t>
            </w:r>
          </w:p>
        </w:tc>
        <w:tc>
          <w:tcPr>
            <w:tcW w:w="960"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159.1 1</w:t>
            </w:r>
          </w:p>
        </w:tc>
        <w:tc>
          <w:tcPr>
            <w:tcW w:w="959"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049.1 1</w:t>
            </w:r>
          </w:p>
        </w:tc>
        <w:tc>
          <w:tcPr>
            <w:tcW w:w="959"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968.5</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905.6</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946.6</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016.3 1</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117.5 1</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274.5 1</w:t>
            </w:r>
          </w:p>
        </w:tc>
        <w:tc>
          <w:tcPr>
            <w:tcW w:w="1008" w:type="dxa"/>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612.1 1</w:t>
            </w:r>
          </w:p>
        </w:tc>
      </w:tr>
      <w:tr w:rsidR="00FE4F97" w:rsidRPr="008068E2">
        <w:trPr>
          <w:cantSplit/>
          <w:jc w:val="center"/>
        </w:trPr>
        <w:tc>
          <w:tcPr>
            <w:tcW w:w="1872" w:type="dxa"/>
            <w:tcBorders>
              <w:bottom w:val="single" w:sz="12" w:space="0" w:color="auto"/>
            </w:tcBorders>
            <w:shd w:val="clear" w:color="auto" w:fill="auto"/>
            <w:vAlign w:val="bottom"/>
          </w:tcPr>
          <w:p w:rsidR="00FE4F97" w:rsidRPr="008068E2" w:rsidRDefault="00FE4F97">
            <w:pPr>
              <w:pStyle w:val="DualTxt"/>
              <w:spacing w:before="40" w:after="80" w:line="200" w:lineRule="exact"/>
              <w:rPr>
                <w:rFonts w:hint="cs"/>
                <w:szCs w:val="20"/>
                <w:rtl/>
              </w:rPr>
            </w:pPr>
            <w:r w:rsidRPr="008068E2">
              <w:rPr>
                <w:rFonts w:hint="cs"/>
                <w:szCs w:val="20"/>
                <w:rtl/>
              </w:rPr>
              <w:t>الناتج المحلي الإجمالي للفرد (بآلاف التجريكات)</w:t>
            </w:r>
          </w:p>
        </w:tc>
        <w:tc>
          <w:tcPr>
            <w:tcW w:w="960" w:type="dxa"/>
            <w:tcBorders>
              <w:bottom w:val="single" w:sz="12" w:space="0" w:color="auto"/>
            </w:tcBorders>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285.2</w:t>
            </w:r>
          </w:p>
        </w:tc>
        <w:tc>
          <w:tcPr>
            <w:tcW w:w="959" w:type="dxa"/>
            <w:tcBorders>
              <w:bottom w:val="single" w:sz="12" w:space="0" w:color="auto"/>
            </w:tcBorders>
            <w:shd w:val="clear" w:color="auto" w:fill="auto"/>
            <w:vAlign w:val="bottom"/>
          </w:tcPr>
          <w:p w:rsidR="00FE4F97" w:rsidRPr="008068E2" w:rsidRDefault="00FE4F97">
            <w:pPr>
              <w:pStyle w:val="DualTxt"/>
              <w:spacing w:before="40" w:after="80" w:line="200" w:lineRule="exact"/>
              <w:ind w:right="144"/>
              <w:rPr>
                <w:rFonts w:hint="cs"/>
                <w:szCs w:val="20"/>
                <w:rtl/>
              </w:rPr>
            </w:pPr>
            <w:r w:rsidRPr="008068E2">
              <w:rPr>
                <w:rFonts w:hint="cs"/>
                <w:szCs w:val="20"/>
                <w:rtl/>
              </w:rPr>
              <w:t>362.5</w:t>
            </w:r>
          </w:p>
        </w:tc>
        <w:tc>
          <w:tcPr>
            <w:tcW w:w="959" w:type="dxa"/>
            <w:tcBorders>
              <w:bottom w:val="single" w:sz="12" w:space="0" w:color="auto"/>
            </w:tcBorders>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341.1</w:t>
            </w:r>
          </w:p>
        </w:tc>
        <w:tc>
          <w:tcPr>
            <w:tcW w:w="1008" w:type="dxa"/>
            <w:tcBorders>
              <w:bottom w:val="single" w:sz="12" w:space="0" w:color="auto"/>
            </w:tcBorders>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392.3</w:t>
            </w:r>
          </w:p>
        </w:tc>
        <w:tc>
          <w:tcPr>
            <w:tcW w:w="1008" w:type="dxa"/>
            <w:tcBorders>
              <w:bottom w:val="single" w:sz="12" w:space="0" w:color="auto"/>
            </w:tcBorders>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437.0</w:t>
            </w:r>
          </w:p>
        </w:tc>
        <w:tc>
          <w:tcPr>
            <w:tcW w:w="1008" w:type="dxa"/>
            <w:tcBorders>
              <w:bottom w:val="single" w:sz="12" w:space="0" w:color="auto"/>
            </w:tcBorders>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460.0</w:t>
            </w:r>
          </w:p>
        </w:tc>
        <w:tc>
          <w:tcPr>
            <w:tcW w:w="1008" w:type="dxa"/>
            <w:tcBorders>
              <w:bottom w:val="single" w:sz="12" w:space="0" w:color="auto"/>
            </w:tcBorders>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504.6</w:t>
            </w:r>
          </w:p>
        </w:tc>
        <w:tc>
          <w:tcPr>
            <w:tcW w:w="1008" w:type="dxa"/>
            <w:tcBorders>
              <w:bottom w:val="single" w:sz="12" w:space="0" w:color="auto"/>
            </w:tcBorders>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586.8</w:t>
            </w:r>
          </w:p>
        </w:tc>
        <w:tc>
          <w:tcPr>
            <w:tcW w:w="1008" w:type="dxa"/>
            <w:tcBorders>
              <w:bottom w:val="single" w:sz="12" w:space="0" w:color="auto"/>
            </w:tcBorders>
            <w:shd w:val="clear" w:color="auto" w:fill="auto"/>
            <w:vAlign w:val="bottom"/>
          </w:tcPr>
          <w:p w:rsidR="00FE4F97" w:rsidRPr="008068E2" w:rsidRDefault="00FE4F97">
            <w:pPr>
              <w:pStyle w:val="DualTxt"/>
              <w:spacing w:before="40" w:after="80" w:line="200" w:lineRule="exact"/>
              <w:ind w:right="144"/>
              <w:rPr>
                <w:rFonts w:hint="cs"/>
                <w:w w:val="95"/>
                <w:szCs w:val="20"/>
                <w:rtl/>
              </w:rPr>
            </w:pPr>
            <w:r w:rsidRPr="008068E2">
              <w:rPr>
                <w:rFonts w:hint="cs"/>
                <w:w w:val="95"/>
                <w:szCs w:val="20"/>
                <w:rtl/>
              </w:rPr>
              <w:t>758.7</w:t>
            </w:r>
          </w:p>
        </w:tc>
      </w:tr>
    </w:tbl>
    <w:p w:rsidR="00FE4F97" w:rsidRPr="004862D5" w:rsidRDefault="00FE4F97">
      <w:pPr>
        <w:pStyle w:val="SingleTxt"/>
        <w:spacing w:after="0" w:line="120" w:lineRule="exact"/>
        <w:rPr>
          <w:rFonts w:hint="cs"/>
          <w:sz w:val="12"/>
          <w:rtl/>
        </w:rPr>
      </w:pPr>
    </w:p>
    <w:p w:rsidR="00FE4F97" w:rsidRDefault="00FE4F9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F15B92">
        <w:rPr>
          <w:rFonts w:hint="cs"/>
          <w:i/>
          <w:iCs/>
          <w:rtl/>
        </w:rPr>
        <w:t>المصدر</w:t>
      </w:r>
      <w:r>
        <w:rPr>
          <w:rFonts w:hint="cs"/>
          <w:rtl/>
        </w:rPr>
        <w:t xml:space="preserve">: </w:t>
      </w:r>
      <w:r>
        <w:rPr>
          <w:rFonts w:hint="cs"/>
          <w:rtl/>
        </w:rPr>
        <w:tab/>
        <w:t>المكتب الوطني للإحصاءات، وزارة المالية، 2005.</w:t>
      </w:r>
    </w:p>
    <w:p w:rsidR="00FE4F97" w:rsidRPr="00937AC9" w:rsidRDefault="00FE4F9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4"/>
          <w:szCs w:val="30"/>
          <w:rtl/>
        </w:rPr>
      </w:pPr>
    </w:p>
    <w:p w:rsidR="00FE4F97" w:rsidRPr="00937AC9" w:rsidRDefault="00FE4F9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4"/>
          <w:szCs w:val="30"/>
          <w:rtl/>
        </w:rPr>
      </w:pPr>
    </w:p>
    <w:p w:rsidR="00FE4F97" w:rsidRDefault="00FE4F97">
      <w:pPr>
        <w:pStyle w:val="SingleTxt"/>
        <w:rPr>
          <w:rFonts w:hint="cs"/>
          <w:rtl/>
        </w:rPr>
      </w:pPr>
      <w:r>
        <w:rPr>
          <w:rFonts w:hint="cs"/>
          <w:rtl/>
        </w:rPr>
        <w:tab/>
        <w:t>وانتعش النمو الاقتصادي من عام 2002، ولكنه لم يرتب أثرا هاما على نمو العمالة وتخفيف حدة الفقر، ولذلك لا يمكن أن يعطي الثقة في تحقيق النمو المستدام.</w:t>
      </w:r>
    </w:p>
    <w:p w:rsidR="00FE4F97" w:rsidRDefault="00FE4F97">
      <w:pPr>
        <w:pStyle w:val="SingleTxt"/>
        <w:rPr>
          <w:rFonts w:hint="cs"/>
          <w:rtl/>
        </w:rPr>
      </w:pPr>
      <w:r>
        <w:rPr>
          <w:rFonts w:hint="cs"/>
          <w:rtl/>
        </w:rPr>
        <w:tab/>
        <w:t>وبوجه عام، فإن الفقر والتناقضات الاجتماعية ذات الصلة الناجمة عن التحول على مدى العقد غير آخذين في الانخفاض. والتفاوتات المتزايدة بين الحضر والريف، والأغنياء والفقراء تشكل تحديات أخرى للهيكل الاجتماعي للبلد. ونوعية الخدمات الاجتماعية الأساسية مثل التعليم والرعاية الصحية لا تتحسن. وبسبب التحديات البيئية الهائلة مثل الجفاف والشتاء القارس، وتدهور المراعي، والتصحر، والتغيرات المناخية، لا يمكن أن يسهم النمو الاقتصادي وحده بصورة هامة في تخفيف حدة الفقر. ولذلك، تدعو الحاجة إلى أن ينصب تركيز النمو الاقتصادي على تخفيف حدة الفقر ودفع التنمية البشرية.</w:t>
      </w:r>
    </w:p>
    <w:p w:rsidR="00FE4F97" w:rsidRDefault="00FE4F97">
      <w:pPr>
        <w:pStyle w:val="SingleTxt"/>
        <w:rPr>
          <w:rFonts w:hint="cs"/>
          <w:rtl/>
        </w:rPr>
      </w:pPr>
      <w:r>
        <w:rPr>
          <w:rFonts w:hint="cs"/>
          <w:rtl/>
        </w:rPr>
        <w:tab/>
        <w:t>وقد التزمت حكومة منغوليا بتحقيق الأهداف الإنمائية للألفية بتنفيذ السياسات والبرامج الواردة في استراتيجية دعم النمو الاقتصادي وتخفيف حدة الفقر التي اتفقت عليها الحكومة والبنك الدولي في أيلول/سبتمبر، 2003. وتمثل تلك الإستراتيجية خطة إنمائية شاملة ووثيقة أساسية لتخفيف حدة الفقر على حد سواء.</w:t>
      </w:r>
    </w:p>
    <w:p w:rsidR="00FE4F97" w:rsidRDefault="00FE4F97">
      <w:pPr>
        <w:pStyle w:val="SingleTxt"/>
        <w:rPr>
          <w:rFonts w:hint="cs"/>
          <w:rtl/>
        </w:rPr>
      </w:pPr>
      <w:r>
        <w:rPr>
          <w:rFonts w:hint="cs"/>
          <w:rtl/>
        </w:rPr>
        <w:tab/>
        <w:t xml:space="preserve">وقد أصدر صندوق الأمم المتحدة الإنمائي للمرأة تقريرين بعنوان </w:t>
      </w:r>
      <w:r>
        <w:rPr>
          <w:rFonts w:hint="eastAsia"/>
          <w:rtl/>
        </w:rPr>
        <w:t xml:space="preserve">”المرأة في منغوليا: دليل للتقدم في ظل مرحلة </w:t>
      </w:r>
      <w:r>
        <w:rPr>
          <w:rFonts w:hint="cs"/>
          <w:rtl/>
        </w:rPr>
        <w:t>التحول“ في عام 2000 و</w:t>
      </w:r>
      <w:r>
        <w:rPr>
          <w:rFonts w:hint="eastAsia"/>
          <w:rtl/>
        </w:rPr>
        <w:t>”منظار جنساني للخريطة الريفية لمنغوليا: بيانات لأغراض السياسة العامة</w:t>
      </w:r>
      <w:r>
        <w:rPr>
          <w:rFonts w:hint="cs"/>
          <w:rtl/>
        </w:rPr>
        <w:t>“ في عام 2003. وشرح التقرير الأول وضع المرأة في مرحلة التحول والتحديات التي تواجهها والآثار الإيجابية والسلبية التي ترتبها التغيرات في المجالات الاقتصادية والاجتماعية والسياسية على الوضع الاقتصادي والسياسي للمرأة في البلد. وركز التقرير الثاني على التحليل الجنساني للمعلومات ذات الصلة بالحياة الريفية وأسهم في صياغة استراتيجية سياسات وبرامج التنمية.</w:t>
      </w:r>
    </w:p>
    <w:p w:rsidR="00FE4F97" w:rsidRDefault="00FE4F97">
      <w:pPr>
        <w:pStyle w:val="SingleTxt"/>
        <w:rPr>
          <w:rFonts w:hint="eastAsia"/>
          <w:rtl/>
        </w:rPr>
      </w:pPr>
      <w:r>
        <w:rPr>
          <w:rFonts w:hint="cs"/>
          <w:rtl/>
        </w:rPr>
        <w:tab/>
        <w:t xml:space="preserve">والمنشور المشترك الصادر عن مصرف التنمية الآسيوي والبنك الدولي في عام 2005 بشأن التقييم الجنساني لمنغوليا يصف الوضع بأن </w:t>
      </w:r>
      <w:r>
        <w:rPr>
          <w:rFonts w:hint="eastAsia"/>
          <w:rtl/>
        </w:rPr>
        <w:t>”هناك على ما يبدو مساواة نسبية بين الجنسين في منغوليا بالمقارنة ب</w:t>
      </w:r>
      <w:r>
        <w:rPr>
          <w:rFonts w:hint="cs"/>
          <w:rtl/>
        </w:rPr>
        <w:t>كثير</w:t>
      </w:r>
      <w:r>
        <w:rPr>
          <w:rFonts w:hint="eastAsia"/>
          <w:rtl/>
        </w:rPr>
        <w:t xml:space="preserve"> من البلدان الأخرى. </w:t>
      </w:r>
      <w:r>
        <w:rPr>
          <w:rFonts w:hint="cs"/>
          <w:rtl/>
        </w:rPr>
        <w:t>ومع ذلك، فإن الأدلة المستخلصة من الدراسات الحديثة ومن تحليل جنساني للإحصاءات الوطنية تشير إلى أن آثار التحول الاقتصادي كانت مختلفة للمرأة والرجل</w:t>
      </w:r>
      <w:r>
        <w:rPr>
          <w:rFonts w:hint="eastAsia"/>
          <w:rtl/>
        </w:rPr>
        <w:t>“</w:t>
      </w:r>
      <w:r>
        <w:rPr>
          <w:rFonts w:hint="eastAsia"/>
          <w:rtl/>
        </w:rPr>
        <w:tab/>
      </w:r>
      <w:r>
        <w:rPr>
          <w:rFonts w:hint="cs"/>
          <w:rtl/>
        </w:rPr>
        <w:t xml:space="preserve">. ويضيف التقرير كذلك أن </w:t>
      </w:r>
      <w:r>
        <w:rPr>
          <w:rFonts w:hint="eastAsia"/>
          <w:rtl/>
        </w:rPr>
        <w:t>”</w:t>
      </w:r>
      <w:r>
        <w:rPr>
          <w:rFonts w:hint="cs"/>
          <w:rtl/>
        </w:rPr>
        <w:t xml:space="preserve">أُسراً كثيرة </w:t>
      </w:r>
      <w:r>
        <w:rPr>
          <w:rFonts w:hint="eastAsia"/>
          <w:rtl/>
        </w:rPr>
        <w:t>غرق</w:t>
      </w:r>
      <w:r>
        <w:rPr>
          <w:rFonts w:hint="cs"/>
          <w:rtl/>
        </w:rPr>
        <w:t>ت</w:t>
      </w:r>
      <w:r>
        <w:rPr>
          <w:rFonts w:hint="eastAsia"/>
          <w:rtl/>
        </w:rPr>
        <w:t xml:space="preserve"> في الفقر خلال هذه الفترة </w:t>
      </w:r>
      <w:r>
        <w:rPr>
          <w:rFonts w:hint="cs"/>
          <w:rtl/>
        </w:rPr>
        <w:t>بسبب</w:t>
      </w:r>
      <w:r>
        <w:rPr>
          <w:rFonts w:hint="eastAsia"/>
          <w:rtl/>
        </w:rPr>
        <w:t xml:space="preserve"> اختفاء الوظائف التي كانت مشمولة بالحماية سابقا. </w:t>
      </w:r>
      <w:r>
        <w:rPr>
          <w:rFonts w:hint="cs"/>
          <w:rtl/>
        </w:rPr>
        <w:t>وفي الوقت ذاته، انخفضت الخدمات الاجتماعية بصورة شديدة حيث لم يبق إلا القليل للتخفيف من آثار البطالة. وفترة التغير هذه تخلق فجوات بين الجنسين</w:t>
      </w:r>
      <w:r>
        <w:rPr>
          <w:rFonts w:hint="eastAsia"/>
          <w:rtl/>
        </w:rPr>
        <w:t>“.</w:t>
      </w:r>
    </w:p>
    <w:p w:rsidR="00FE4F97" w:rsidRDefault="00FE4F97">
      <w:pPr>
        <w:pStyle w:val="SingleTxt"/>
        <w:rPr>
          <w:rFonts w:hint="cs"/>
          <w:rtl/>
        </w:rPr>
      </w:pPr>
      <w:r>
        <w:rPr>
          <w:rFonts w:hint="cs"/>
          <w:rtl/>
        </w:rPr>
        <w:tab/>
        <w:t>وفي نهاية عام 2004، بلغ السكان المقيمون في منغوليا 533.1 2</w:t>
      </w:r>
      <w:r w:rsidRPr="00253A7A">
        <w:rPr>
          <w:vertAlign w:val="superscript"/>
          <w:rtl/>
        </w:rPr>
        <w:t>(</w:t>
      </w:r>
      <w:r>
        <w:rPr>
          <w:rStyle w:val="FootnoteReference"/>
          <w:rtl/>
        </w:rPr>
        <w:footnoteReference w:id="1"/>
      </w:r>
      <w:r w:rsidRPr="00253A7A">
        <w:rPr>
          <w:vertAlign w:val="superscript"/>
          <w:rtl/>
        </w:rPr>
        <w:t>)</w:t>
      </w:r>
      <w:r>
        <w:rPr>
          <w:rFonts w:hint="cs"/>
          <w:rtl/>
        </w:rPr>
        <w:t xml:space="preserve"> ألف نسمة ومثلت النساء نسبة 50.4 في المائة وبلغت نسبة الرجال 98.5 لكل 100 امرأة. والهجرة من الريف إلى الحضر تتسبب في زيادة سكان الحضر وتعيش نسبة 60 في المائة من النساء في مناطق الحضر وتعيش نسبة 40 في المائة في المناطق الريفية. وحسب السن، تتراوح أعمار نسبة 32.4 في المائة من جميع النساء ما بين 0-14 عاما، ونسبة 61.5 في المائة ما بين 15-59 عاما ونسبة 6.1 في المائة تبلغ 59 عاما وأكبر.</w:t>
      </w:r>
    </w:p>
    <w:p w:rsidR="00FE4F97" w:rsidRDefault="00FE4F97">
      <w:pPr>
        <w:pStyle w:val="SingleTxt"/>
        <w:rPr>
          <w:rFonts w:hint="cs"/>
          <w:rtl/>
        </w:rPr>
      </w:pPr>
      <w:r>
        <w:rPr>
          <w:rFonts w:hint="cs"/>
          <w:rtl/>
        </w:rPr>
        <w:tab/>
        <w:t>وتتمثل واحدة من بين الاتفاقيات التي تربو على 20 اتفاقية متعلقة بكفالة حقوق الإنسان وحريته التي انضمت منغوليا إليها منذ انضمامها لعضوية الأمم المتحدة في تصديقها على البروتوكول الاختياري لاتفاقية القضاء على جميع أشكال التمييز ضد المرأة في 14 كانون الأول/ديسمبر 2001. وتعمل منغوليا جاهدة، منذ انضمامها للإتفاقية، على تنفيذها بوصفها نموذجا جديدا لضمان حقوق المرأة، ومصالحها واحتياجاتها.</w:t>
      </w:r>
    </w:p>
    <w:p w:rsidR="00FE4F97" w:rsidRDefault="00FE4F97">
      <w:pPr>
        <w:pStyle w:val="SingleTxt"/>
        <w:rPr>
          <w:rFonts w:hint="cs"/>
          <w:rtl/>
        </w:rPr>
      </w:pPr>
      <w:r>
        <w:rPr>
          <w:rFonts w:hint="cs"/>
          <w:rtl/>
        </w:rPr>
        <w:tab/>
        <w:t>وتقوم الحكومة بتنفيذ مبادرة 20/20 بتعبئة قدراتها الوطنية من أجل رفاه رجال ونساء البلد. وفي الوقت الحاضر، تقوم الحكومة بتنفيذ عدد من المشاريع في إطار أكثر من  10 برامج متخصصة تشمل حماية مصالح المرأة وصحتها، وتعليمها، وعملها وتنميتها. وعلى سبيل المثال، كان الاعلان بموجب القانون عن تخصيص ما لا يقل عن 20 في المائة من مجموع الميزانية لتعليم الأطفال والشباب يمثل ضربا من النجاح.</w:t>
      </w:r>
    </w:p>
    <w:p w:rsidR="00FE4F97" w:rsidRPr="00A64E03" w:rsidRDefault="00FE4F97">
      <w:pPr>
        <w:pStyle w:val="SingleTxt"/>
        <w:spacing w:after="0" w:line="120" w:lineRule="exact"/>
        <w:rPr>
          <w:rFonts w:hint="cs"/>
          <w:sz w:val="12"/>
          <w:rtl/>
        </w:rPr>
      </w:pPr>
    </w:p>
    <w:p w:rsidR="00FE4F97" w:rsidRDefault="00FE4F97">
      <w:pPr>
        <w:pStyle w:val="SingleTxt"/>
        <w:spacing w:after="0"/>
        <w:rPr>
          <w:rFonts w:hint="cs"/>
          <w:rtl/>
        </w:rPr>
      </w:pPr>
      <w:r>
        <w:rPr>
          <w:rFonts w:hint="cs"/>
          <w:rtl/>
        </w:rPr>
        <w:t>الجدول 3</w:t>
      </w:r>
    </w:p>
    <w:p w:rsidR="00FE4F97" w:rsidRPr="009B24A3" w:rsidRDefault="00FE4F97">
      <w:pPr>
        <w:pStyle w:val="SingleTxt"/>
        <w:rPr>
          <w:rFonts w:hint="cs"/>
          <w:b/>
          <w:bCs/>
          <w:rtl/>
        </w:rPr>
      </w:pPr>
      <w:r>
        <w:rPr>
          <w:rFonts w:hint="cs"/>
          <w:b/>
          <w:bCs/>
          <w:rtl/>
        </w:rPr>
        <w:t>م</w:t>
      </w:r>
      <w:r w:rsidRPr="009B24A3">
        <w:rPr>
          <w:rFonts w:hint="cs"/>
          <w:b/>
          <w:bCs/>
          <w:rtl/>
        </w:rPr>
        <w:t xml:space="preserve">صروفات الميزانية المقارنة في القطاعات الاجتماعية </w:t>
      </w:r>
      <w:r>
        <w:rPr>
          <w:rFonts w:hint="cs"/>
          <w:b/>
          <w:bCs/>
          <w:rtl/>
        </w:rPr>
        <w:t>في ا</w:t>
      </w:r>
      <w:r w:rsidRPr="009B24A3">
        <w:rPr>
          <w:rFonts w:hint="cs"/>
          <w:b/>
          <w:bCs/>
          <w:rtl/>
        </w:rPr>
        <w:t>لفترة 1995-2004</w:t>
      </w:r>
    </w:p>
    <w:p w:rsidR="00FE4F97" w:rsidRPr="005263A3" w:rsidRDefault="00FE4F97">
      <w:pPr>
        <w:pStyle w:val="SingleTxt"/>
        <w:rPr>
          <w:rFonts w:hint="cs"/>
          <w:rtl/>
        </w:rPr>
      </w:pPr>
      <w:r w:rsidRPr="009B24A3">
        <w:rPr>
          <w:rFonts w:hint="cs"/>
          <w:sz w:val="16"/>
          <w:szCs w:val="26"/>
          <w:rtl/>
        </w:rPr>
        <w:t>(</w:t>
      </w:r>
      <w:r w:rsidRPr="009B24A3">
        <w:rPr>
          <w:rFonts w:hint="cs"/>
          <w:i/>
          <w:iCs/>
          <w:sz w:val="16"/>
          <w:szCs w:val="26"/>
          <w:rtl/>
        </w:rPr>
        <w:t>نسبة مئوية</w:t>
      </w:r>
      <w:r w:rsidRPr="009B24A3">
        <w:rPr>
          <w:rFonts w:hint="cs"/>
          <w:sz w:val="16"/>
          <w:szCs w:val="26"/>
          <w:rtl/>
        </w:rPr>
        <w:t>)</w:t>
      </w:r>
    </w:p>
    <w:tbl>
      <w:tblPr>
        <w:bidiVisual/>
        <w:tblW w:w="8640" w:type="dxa"/>
        <w:jc w:val="center"/>
        <w:tblLook w:val="01E0" w:firstRow="1" w:lastRow="1" w:firstColumn="1" w:lastColumn="1" w:noHBand="0" w:noVBand="0"/>
      </w:tblPr>
      <w:tblGrid>
        <w:gridCol w:w="1423"/>
        <w:gridCol w:w="1313"/>
        <w:gridCol w:w="1186"/>
        <w:gridCol w:w="1074"/>
        <w:gridCol w:w="1299"/>
        <w:gridCol w:w="1133"/>
        <w:gridCol w:w="1212"/>
      </w:tblGrid>
      <w:tr w:rsidR="00FE4F97" w:rsidRPr="005263A3">
        <w:trPr>
          <w:cantSplit/>
          <w:tblHeader/>
          <w:jc w:val="center"/>
        </w:trPr>
        <w:tc>
          <w:tcPr>
            <w:tcW w:w="1133" w:type="dxa"/>
            <w:vMerge w:val="restart"/>
            <w:tcBorders>
              <w:top w:val="single" w:sz="12" w:space="0" w:color="auto"/>
            </w:tcBorders>
            <w:shd w:val="clear" w:color="auto" w:fill="auto"/>
            <w:vAlign w:val="bottom"/>
          </w:tcPr>
          <w:p w:rsidR="00FE4F97" w:rsidRPr="004D2761" w:rsidRDefault="00FE4F97">
            <w:pPr>
              <w:pStyle w:val="DualTxt"/>
              <w:spacing w:line="240" w:lineRule="exact"/>
              <w:rPr>
                <w:rFonts w:hint="cs"/>
                <w:i/>
                <w:iCs/>
                <w:sz w:val="24"/>
                <w:szCs w:val="24"/>
                <w:rtl/>
              </w:rPr>
            </w:pPr>
            <w:r w:rsidRPr="004D2761">
              <w:rPr>
                <w:rFonts w:hint="cs"/>
                <w:i/>
                <w:iCs/>
                <w:sz w:val="24"/>
                <w:szCs w:val="24"/>
                <w:rtl/>
              </w:rPr>
              <w:t>السنوات</w:t>
            </w:r>
          </w:p>
        </w:tc>
        <w:tc>
          <w:tcPr>
            <w:tcW w:w="1046" w:type="dxa"/>
            <w:vMerge w:val="restart"/>
            <w:tcBorders>
              <w:top w:val="single" w:sz="12" w:space="0" w:color="auto"/>
            </w:tcBorders>
            <w:shd w:val="clear" w:color="auto" w:fill="auto"/>
            <w:vAlign w:val="bottom"/>
          </w:tcPr>
          <w:p w:rsidR="00FE4F97" w:rsidRPr="004D2761" w:rsidRDefault="00FE4F97">
            <w:pPr>
              <w:pStyle w:val="DualTxt"/>
              <w:spacing w:line="240" w:lineRule="exact"/>
              <w:ind w:right="144"/>
              <w:rPr>
                <w:rFonts w:hint="cs"/>
                <w:i/>
                <w:iCs/>
                <w:sz w:val="24"/>
                <w:szCs w:val="24"/>
                <w:rtl/>
              </w:rPr>
            </w:pPr>
            <w:r w:rsidRPr="004D2761">
              <w:rPr>
                <w:rFonts w:hint="cs"/>
                <w:i/>
                <w:iCs/>
                <w:sz w:val="24"/>
                <w:szCs w:val="24"/>
                <w:rtl/>
              </w:rPr>
              <w:t>مجموع المصروفات في القطاع الاجتماعي</w:t>
            </w:r>
          </w:p>
        </w:tc>
        <w:tc>
          <w:tcPr>
            <w:tcW w:w="4705" w:type="dxa"/>
            <w:gridSpan w:val="5"/>
            <w:tcBorders>
              <w:top w:val="single" w:sz="12" w:space="0" w:color="auto"/>
              <w:bottom w:val="single" w:sz="4" w:space="0" w:color="auto"/>
            </w:tcBorders>
            <w:shd w:val="clear" w:color="auto" w:fill="auto"/>
            <w:vAlign w:val="bottom"/>
          </w:tcPr>
          <w:p w:rsidR="00FE4F97" w:rsidRPr="004D2761" w:rsidRDefault="00FE4F97">
            <w:pPr>
              <w:pStyle w:val="DualTxt"/>
              <w:spacing w:line="240" w:lineRule="exact"/>
              <w:ind w:right="144"/>
              <w:jc w:val="center"/>
              <w:rPr>
                <w:rFonts w:hint="cs"/>
                <w:i/>
                <w:iCs/>
                <w:sz w:val="24"/>
                <w:szCs w:val="24"/>
                <w:rtl/>
              </w:rPr>
            </w:pPr>
            <w:r w:rsidRPr="004D2761">
              <w:rPr>
                <w:rFonts w:hint="cs"/>
                <w:i/>
                <w:iCs/>
                <w:sz w:val="24"/>
                <w:szCs w:val="24"/>
                <w:rtl/>
              </w:rPr>
              <w:t>حسب النوع</w:t>
            </w:r>
          </w:p>
        </w:tc>
      </w:tr>
      <w:tr w:rsidR="00FE4F97" w:rsidRPr="005263A3">
        <w:trPr>
          <w:cantSplit/>
          <w:tblHeader/>
          <w:jc w:val="center"/>
        </w:trPr>
        <w:tc>
          <w:tcPr>
            <w:tcW w:w="1133" w:type="dxa"/>
            <w:vMerge/>
            <w:tcBorders>
              <w:bottom w:val="single" w:sz="12" w:space="0" w:color="auto"/>
            </w:tcBorders>
            <w:shd w:val="clear" w:color="auto" w:fill="auto"/>
            <w:vAlign w:val="bottom"/>
          </w:tcPr>
          <w:p w:rsidR="00FE4F97" w:rsidRPr="004D2761" w:rsidRDefault="00FE4F97">
            <w:pPr>
              <w:pStyle w:val="DualTxt"/>
              <w:spacing w:line="240" w:lineRule="exact"/>
              <w:rPr>
                <w:rFonts w:hint="cs"/>
                <w:i/>
                <w:iCs/>
                <w:sz w:val="24"/>
                <w:szCs w:val="24"/>
                <w:rtl/>
              </w:rPr>
            </w:pPr>
          </w:p>
        </w:tc>
        <w:tc>
          <w:tcPr>
            <w:tcW w:w="1046" w:type="dxa"/>
            <w:vMerge/>
            <w:tcBorders>
              <w:bottom w:val="single" w:sz="12" w:space="0" w:color="auto"/>
            </w:tcBorders>
            <w:shd w:val="clear" w:color="auto" w:fill="auto"/>
            <w:vAlign w:val="bottom"/>
          </w:tcPr>
          <w:p w:rsidR="00FE4F97" w:rsidRPr="004D2761" w:rsidRDefault="00FE4F97">
            <w:pPr>
              <w:pStyle w:val="DualTxt"/>
              <w:spacing w:line="240" w:lineRule="exact"/>
              <w:ind w:right="144"/>
              <w:rPr>
                <w:rFonts w:hint="cs"/>
                <w:i/>
                <w:iCs/>
                <w:sz w:val="24"/>
                <w:szCs w:val="24"/>
                <w:rtl/>
              </w:rPr>
            </w:pPr>
          </w:p>
        </w:tc>
        <w:tc>
          <w:tcPr>
            <w:tcW w:w="945" w:type="dxa"/>
            <w:tcBorders>
              <w:top w:val="single" w:sz="4" w:space="0" w:color="auto"/>
              <w:bottom w:val="single" w:sz="12" w:space="0" w:color="auto"/>
            </w:tcBorders>
            <w:shd w:val="clear" w:color="auto" w:fill="auto"/>
            <w:vAlign w:val="bottom"/>
          </w:tcPr>
          <w:p w:rsidR="00FE4F97" w:rsidRPr="004D2761" w:rsidRDefault="00FE4F97">
            <w:pPr>
              <w:pStyle w:val="DualTxt"/>
              <w:spacing w:line="240" w:lineRule="exact"/>
              <w:ind w:right="144"/>
              <w:rPr>
                <w:rFonts w:hint="cs"/>
                <w:i/>
                <w:iCs/>
                <w:sz w:val="24"/>
                <w:szCs w:val="24"/>
                <w:rtl/>
              </w:rPr>
            </w:pPr>
            <w:r w:rsidRPr="004D2761">
              <w:rPr>
                <w:rFonts w:hint="cs"/>
                <w:i/>
                <w:iCs/>
                <w:sz w:val="24"/>
                <w:szCs w:val="24"/>
                <w:rtl/>
              </w:rPr>
              <w:t>الأنشطة التعليمية</w:t>
            </w:r>
          </w:p>
        </w:tc>
        <w:tc>
          <w:tcPr>
            <w:tcW w:w="856" w:type="dxa"/>
            <w:tcBorders>
              <w:top w:val="single" w:sz="4" w:space="0" w:color="auto"/>
              <w:bottom w:val="single" w:sz="12" w:space="0" w:color="auto"/>
            </w:tcBorders>
            <w:shd w:val="clear" w:color="auto" w:fill="auto"/>
            <w:vAlign w:val="bottom"/>
          </w:tcPr>
          <w:p w:rsidR="00FE4F97" w:rsidRPr="004D2761" w:rsidRDefault="00FE4F97">
            <w:pPr>
              <w:pStyle w:val="DualTxt"/>
              <w:spacing w:line="240" w:lineRule="exact"/>
              <w:ind w:right="144"/>
              <w:rPr>
                <w:rFonts w:hint="cs"/>
                <w:i/>
                <w:iCs/>
                <w:sz w:val="24"/>
                <w:szCs w:val="24"/>
                <w:rtl/>
              </w:rPr>
            </w:pPr>
            <w:r w:rsidRPr="004D2761">
              <w:rPr>
                <w:rFonts w:hint="cs"/>
                <w:i/>
                <w:iCs/>
                <w:sz w:val="24"/>
                <w:szCs w:val="24"/>
                <w:rtl/>
              </w:rPr>
              <w:t>أنشطة قطاع الصحة</w:t>
            </w:r>
          </w:p>
        </w:tc>
        <w:tc>
          <w:tcPr>
            <w:tcW w:w="1035" w:type="dxa"/>
            <w:tcBorders>
              <w:top w:val="single" w:sz="4" w:space="0" w:color="auto"/>
              <w:bottom w:val="single" w:sz="12" w:space="0" w:color="auto"/>
            </w:tcBorders>
            <w:shd w:val="clear" w:color="auto" w:fill="auto"/>
            <w:vAlign w:val="bottom"/>
          </w:tcPr>
          <w:p w:rsidR="00FE4F97" w:rsidRPr="004D2761" w:rsidRDefault="00FE4F97">
            <w:pPr>
              <w:pStyle w:val="DualTxt"/>
              <w:spacing w:line="240" w:lineRule="exact"/>
              <w:ind w:right="144"/>
              <w:rPr>
                <w:rFonts w:hint="cs"/>
                <w:i/>
                <w:iCs/>
                <w:sz w:val="24"/>
                <w:szCs w:val="24"/>
                <w:rtl/>
              </w:rPr>
            </w:pPr>
            <w:r>
              <w:rPr>
                <w:rFonts w:hint="cs"/>
                <w:i/>
                <w:iCs/>
                <w:sz w:val="24"/>
                <w:szCs w:val="24"/>
                <w:rtl/>
              </w:rPr>
              <w:t>الضما</w:t>
            </w:r>
            <w:r w:rsidRPr="004D2761">
              <w:rPr>
                <w:rFonts w:hint="cs"/>
                <w:i/>
                <w:iCs/>
                <w:sz w:val="24"/>
                <w:szCs w:val="24"/>
                <w:rtl/>
              </w:rPr>
              <w:t>ن الاجتماعي والر</w:t>
            </w:r>
            <w:r>
              <w:rPr>
                <w:rFonts w:hint="cs"/>
                <w:i/>
                <w:iCs/>
                <w:sz w:val="24"/>
                <w:szCs w:val="24"/>
                <w:rtl/>
              </w:rPr>
              <w:t>عاية الإجتماعية</w:t>
            </w:r>
          </w:p>
        </w:tc>
        <w:tc>
          <w:tcPr>
            <w:tcW w:w="903" w:type="dxa"/>
            <w:tcBorders>
              <w:top w:val="single" w:sz="4" w:space="0" w:color="auto"/>
              <w:bottom w:val="single" w:sz="12" w:space="0" w:color="auto"/>
            </w:tcBorders>
            <w:shd w:val="clear" w:color="auto" w:fill="auto"/>
            <w:vAlign w:val="bottom"/>
          </w:tcPr>
          <w:p w:rsidR="00FE4F97" w:rsidRPr="004D2761" w:rsidRDefault="00FE4F97">
            <w:pPr>
              <w:pStyle w:val="DualTxt"/>
              <w:spacing w:line="240" w:lineRule="exact"/>
              <w:ind w:right="144"/>
              <w:rPr>
                <w:rFonts w:hint="cs"/>
                <w:i/>
                <w:iCs/>
                <w:sz w:val="24"/>
                <w:szCs w:val="24"/>
                <w:rtl/>
              </w:rPr>
            </w:pPr>
            <w:r w:rsidRPr="004D2761">
              <w:rPr>
                <w:rFonts w:hint="cs"/>
                <w:i/>
                <w:iCs/>
                <w:sz w:val="24"/>
                <w:szCs w:val="24"/>
                <w:rtl/>
              </w:rPr>
              <w:t>الإسكان والمرافق العامة</w:t>
            </w:r>
          </w:p>
        </w:tc>
        <w:tc>
          <w:tcPr>
            <w:tcW w:w="966" w:type="dxa"/>
            <w:tcBorders>
              <w:top w:val="single" w:sz="4" w:space="0" w:color="auto"/>
              <w:bottom w:val="single" w:sz="12" w:space="0" w:color="auto"/>
            </w:tcBorders>
            <w:shd w:val="clear" w:color="auto" w:fill="auto"/>
            <w:vAlign w:val="bottom"/>
          </w:tcPr>
          <w:p w:rsidR="00FE4F97" w:rsidRPr="004D2761" w:rsidRDefault="00FE4F97">
            <w:pPr>
              <w:pStyle w:val="DualTxt"/>
              <w:spacing w:line="240" w:lineRule="exact"/>
              <w:ind w:right="144"/>
              <w:rPr>
                <w:rFonts w:hint="cs"/>
                <w:i/>
                <w:iCs/>
                <w:sz w:val="24"/>
                <w:szCs w:val="24"/>
                <w:rtl/>
              </w:rPr>
            </w:pPr>
            <w:r w:rsidRPr="004D2761">
              <w:rPr>
                <w:rFonts w:hint="cs"/>
                <w:i/>
                <w:iCs/>
                <w:sz w:val="24"/>
                <w:szCs w:val="24"/>
                <w:rtl/>
              </w:rPr>
              <w:t>الأنشطة الترفيهية والثقافية</w:t>
            </w:r>
          </w:p>
        </w:tc>
      </w:tr>
      <w:tr w:rsidR="00FE4F97" w:rsidRPr="004D2761">
        <w:trPr>
          <w:cantSplit/>
          <w:jc w:val="center"/>
        </w:trPr>
        <w:tc>
          <w:tcPr>
            <w:tcW w:w="6884" w:type="dxa"/>
            <w:gridSpan w:val="7"/>
            <w:tcBorders>
              <w:top w:val="single" w:sz="12" w:space="0" w:color="auto"/>
            </w:tcBorders>
            <w:shd w:val="clear" w:color="auto" w:fill="auto"/>
            <w:vAlign w:val="bottom"/>
          </w:tcPr>
          <w:p w:rsidR="00FE4F97" w:rsidRPr="004D2761" w:rsidRDefault="00FE4F97">
            <w:pPr>
              <w:pStyle w:val="DualTxt"/>
              <w:spacing w:line="240" w:lineRule="exact"/>
              <w:ind w:right="144"/>
              <w:rPr>
                <w:rFonts w:hint="cs"/>
                <w:i/>
                <w:iCs/>
                <w:sz w:val="24"/>
                <w:szCs w:val="24"/>
                <w:rtl/>
              </w:rPr>
            </w:pPr>
            <w:r w:rsidRPr="004D2761">
              <w:rPr>
                <w:rFonts w:hint="cs"/>
                <w:i/>
                <w:iCs/>
                <w:sz w:val="24"/>
                <w:szCs w:val="24"/>
                <w:rtl/>
              </w:rPr>
              <w:t xml:space="preserve">النسبة المئوية </w:t>
            </w:r>
            <w:r>
              <w:rPr>
                <w:rFonts w:hint="cs"/>
                <w:i/>
                <w:iCs/>
                <w:sz w:val="24"/>
                <w:szCs w:val="24"/>
                <w:rtl/>
              </w:rPr>
              <w:t xml:space="preserve">في </w:t>
            </w:r>
            <w:r w:rsidRPr="004D2761">
              <w:rPr>
                <w:rFonts w:hint="cs"/>
                <w:i/>
                <w:iCs/>
                <w:sz w:val="24"/>
                <w:szCs w:val="24"/>
                <w:rtl/>
              </w:rPr>
              <w:t>مجموع مصروفات الميزانية</w:t>
            </w:r>
          </w:p>
        </w:tc>
      </w:tr>
      <w:tr w:rsidR="00FE4F97" w:rsidRPr="005263A3">
        <w:trPr>
          <w:cantSplit/>
          <w:jc w:val="center"/>
        </w:trPr>
        <w:tc>
          <w:tcPr>
            <w:tcW w:w="113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1995</w:t>
            </w:r>
          </w:p>
        </w:tc>
        <w:tc>
          <w:tcPr>
            <w:tcW w:w="104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49.1</w:t>
            </w:r>
          </w:p>
        </w:tc>
        <w:tc>
          <w:tcPr>
            <w:tcW w:w="94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17.0</w:t>
            </w:r>
          </w:p>
        </w:tc>
        <w:tc>
          <w:tcPr>
            <w:tcW w:w="85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11.3</w:t>
            </w:r>
          </w:p>
        </w:tc>
        <w:tc>
          <w:tcPr>
            <w:tcW w:w="103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15.7</w:t>
            </w:r>
          </w:p>
        </w:tc>
        <w:tc>
          <w:tcPr>
            <w:tcW w:w="90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1.6</w:t>
            </w:r>
          </w:p>
        </w:tc>
        <w:tc>
          <w:tcPr>
            <w:tcW w:w="96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3.5</w:t>
            </w:r>
          </w:p>
        </w:tc>
      </w:tr>
      <w:tr w:rsidR="00FE4F97" w:rsidRPr="005263A3">
        <w:trPr>
          <w:cantSplit/>
          <w:jc w:val="center"/>
        </w:trPr>
        <w:tc>
          <w:tcPr>
            <w:tcW w:w="113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1996</w:t>
            </w:r>
          </w:p>
        </w:tc>
        <w:tc>
          <w:tcPr>
            <w:tcW w:w="104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44.4</w:t>
            </w:r>
          </w:p>
        </w:tc>
        <w:tc>
          <w:tcPr>
            <w:tcW w:w="94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15.9</w:t>
            </w:r>
          </w:p>
        </w:tc>
        <w:tc>
          <w:tcPr>
            <w:tcW w:w="85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10.6</w:t>
            </w:r>
          </w:p>
        </w:tc>
        <w:tc>
          <w:tcPr>
            <w:tcW w:w="103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13.6</w:t>
            </w:r>
          </w:p>
        </w:tc>
        <w:tc>
          <w:tcPr>
            <w:tcW w:w="90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1.1</w:t>
            </w:r>
          </w:p>
        </w:tc>
        <w:tc>
          <w:tcPr>
            <w:tcW w:w="96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3.2</w:t>
            </w:r>
          </w:p>
        </w:tc>
      </w:tr>
      <w:tr w:rsidR="00FE4F97" w:rsidRPr="005263A3">
        <w:trPr>
          <w:cantSplit/>
          <w:jc w:val="center"/>
        </w:trPr>
        <w:tc>
          <w:tcPr>
            <w:tcW w:w="113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1997</w:t>
            </w:r>
          </w:p>
        </w:tc>
        <w:tc>
          <w:tcPr>
            <w:tcW w:w="104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45.5</w:t>
            </w:r>
          </w:p>
        </w:tc>
        <w:tc>
          <w:tcPr>
            <w:tcW w:w="94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16.2</w:t>
            </w:r>
          </w:p>
        </w:tc>
        <w:tc>
          <w:tcPr>
            <w:tcW w:w="85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9.9</w:t>
            </w:r>
          </w:p>
        </w:tc>
        <w:tc>
          <w:tcPr>
            <w:tcW w:w="103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14.9</w:t>
            </w:r>
          </w:p>
        </w:tc>
        <w:tc>
          <w:tcPr>
            <w:tcW w:w="90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1.2</w:t>
            </w:r>
          </w:p>
        </w:tc>
        <w:tc>
          <w:tcPr>
            <w:tcW w:w="96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3.2</w:t>
            </w:r>
          </w:p>
        </w:tc>
      </w:tr>
      <w:tr w:rsidR="00FE4F97" w:rsidRPr="005263A3">
        <w:trPr>
          <w:cantSplit/>
          <w:jc w:val="center"/>
        </w:trPr>
        <w:tc>
          <w:tcPr>
            <w:tcW w:w="113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1998</w:t>
            </w:r>
          </w:p>
        </w:tc>
        <w:tc>
          <w:tcPr>
            <w:tcW w:w="104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46.2</w:t>
            </w:r>
          </w:p>
        </w:tc>
        <w:tc>
          <w:tcPr>
            <w:tcW w:w="94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17.1</w:t>
            </w:r>
          </w:p>
        </w:tc>
        <w:tc>
          <w:tcPr>
            <w:tcW w:w="85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9.6</w:t>
            </w:r>
          </w:p>
        </w:tc>
        <w:tc>
          <w:tcPr>
            <w:tcW w:w="103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15.1</w:t>
            </w:r>
          </w:p>
        </w:tc>
        <w:tc>
          <w:tcPr>
            <w:tcW w:w="90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1.1</w:t>
            </w:r>
          </w:p>
        </w:tc>
        <w:tc>
          <w:tcPr>
            <w:tcW w:w="96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3.3</w:t>
            </w:r>
          </w:p>
        </w:tc>
      </w:tr>
      <w:tr w:rsidR="00FE4F97" w:rsidRPr="005263A3">
        <w:trPr>
          <w:cantSplit/>
          <w:jc w:val="center"/>
        </w:trPr>
        <w:tc>
          <w:tcPr>
            <w:tcW w:w="113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1999</w:t>
            </w:r>
          </w:p>
        </w:tc>
        <w:tc>
          <w:tcPr>
            <w:tcW w:w="104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48.4</w:t>
            </w:r>
          </w:p>
        </w:tc>
        <w:tc>
          <w:tcPr>
            <w:tcW w:w="94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17.8</w:t>
            </w:r>
          </w:p>
        </w:tc>
        <w:tc>
          <w:tcPr>
            <w:tcW w:w="85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9.8</w:t>
            </w:r>
          </w:p>
        </w:tc>
        <w:tc>
          <w:tcPr>
            <w:tcW w:w="103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16.4</w:t>
            </w:r>
          </w:p>
        </w:tc>
        <w:tc>
          <w:tcPr>
            <w:tcW w:w="90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1.3</w:t>
            </w:r>
          </w:p>
        </w:tc>
        <w:tc>
          <w:tcPr>
            <w:tcW w:w="96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3.1</w:t>
            </w:r>
          </w:p>
        </w:tc>
      </w:tr>
      <w:tr w:rsidR="00FE4F97" w:rsidRPr="005263A3">
        <w:trPr>
          <w:cantSplit/>
          <w:jc w:val="center"/>
        </w:trPr>
        <w:tc>
          <w:tcPr>
            <w:tcW w:w="113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2000</w:t>
            </w:r>
          </w:p>
        </w:tc>
        <w:tc>
          <w:tcPr>
            <w:tcW w:w="104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52.5</w:t>
            </w:r>
          </w:p>
        </w:tc>
        <w:tc>
          <w:tcPr>
            <w:tcW w:w="94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19.1</w:t>
            </w:r>
          </w:p>
        </w:tc>
        <w:tc>
          <w:tcPr>
            <w:tcW w:w="85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10.7</w:t>
            </w:r>
          </w:p>
        </w:tc>
        <w:tc>
          <w:tcPr>
            <w:tcW w:w="103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17.7</w:t>
            </w:r>
          </w:p>
        </w:tc>
        <w:tc>
          <w:tcPr>
            <w:tcW w:w="90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1.6</w:t>
            </w:r>
          </w:p>
        </w:tc>
        <w:tc>
          <w:tcPr>
            <w:tcW w:w="96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3.4</w:t>
            </w:r>
          </w:p>
        </w:tc>
      </w:tr>
      <w:tr w:rsidR="00FE4F97" w:rsidRPr="005263A3">
        <w:trPr>
          <w:cantSplit/>
          <w:jc w:val="center"/>
        </w:trPr>
        <w:tc>
          <w:tcPr>
            <w:tcW w:w="113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2001</w:t>
            </w:r>
          </w:p>
        </w:tc>
        <w:tc>
          <w:tcPr>
            <w:tcW w:w="104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52.8</w:t>
            </w:r>
          </w:p>
        </w:tc>
        <w:tc>
          <w:tcPr>
            <w:tcW w:w="94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20.1</w:t>
            </w:r>
          </w:p>
        </w:tc>
        <w:tc>
          <w:tcPr>
            <w:tcW w:w="85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10.8</w:t>
            </w:r>
          </w:p>
        </w:tc>
        <w:tc>
          <w:tcPr>
            <w:tcW w:w="103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17.3</w:t>
            </w:r>
          </w:p>
        </w:tc>
        <w:tc>
          <w:tcPr>
            <w:tcW w:w="90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1.5</w:t>
            </w:r>
          </w:p>
        </w:tc>
        <w:tc>
          <w:tcPr>
            <w:tcW w:w="96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3.1</w:t>
            </w:r>
          </w:p>
        </w:tc>
      </w:tr>
      <w:tr w:rsidR="00FE4F97" w:rsidRPr="005263A3">
        <w:trPr>
          <w:cantSplit/>
          <w:jc w:val="center"/>
        </w:trPr>
        <w:tc>
          <w:tcPr>
            <w:tcW w:w="113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2002</w:t>
            </w:r>
          </w:p>
        </w:tc>
        <w:tc>
          <w:tcPr>
            <w:tcW w:w="104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51.5</w:t>
            </w:r>
          </w:p>
        </w:tc>
        <w:tc>
          <w:tcPr>
            <w:tcW w:w="94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18.8</w:t>
            </w:r>
          </w:p>
        </w:tc>
        <w:tc>
          <w:tcPr>
            <w:tcW w:w="85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10.5</w:t>
            </w:r>
          </w:p>
        </w:tc>
        <w:tc>
          <w:tcPr>
            <w:tcW w:w="103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17.6</w:t>
            </w:r>
          </w:p>
        </w:tc>
        <w:tc>
          <w:tcPr>
            <w:tcW w:w="90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1.4</w:t>
            </w:r>
          </w:p>
        </w:tc>
        <w:tc>
          <w:tcPr>
            <w:tcW w:w="96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3.2</w:t>
            </w:r>
          </w:p>
        </w:tc>
      </w:tr>
      <w:tr w:rsidR="00FE4F97" w:rsidRPr="005263A3">
        <w:trPr>
          <w:cantSplit/>
          <w:jc w:val="center"/>
        </w:trPr>
        <w:tc>
          <w:tcPr>
            <w:tcW w:w="113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2003</w:t>
            </w:r>
          </w:p>
        </w:tc>
        <w:tc>
          <w:tcPr>
            <w:tcW w:w="104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51.3</w:t>
            </w:r>
          </w:p>
        </w:tc>
        <w:tc>
          <w:tcPr>
            <w:tcW w:w="94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18.7</w:t>
            </w:r>
          </w:p>
        </w:tc>
        <w:tc>
          <w:tcPr>
            <w:tcW w:w="85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9.5</w:t>
            </w:r>
          </w:p>
        </w:tc>
        <w:tc>
          <w:tcPr>
            <w:tcW w:w="103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19.1</w:t>
            </w:r>
          </w:p>
        </w:tc>
        <w:tc>
          <w:tcPr>
            <w:tcW w:w="90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1.0</w:t>
            </w:r>
          </w:p>
        </w:tc>
        <w:tc>
          <w:tcPr>
            <w:tcW w:w="96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3.0</w:t>
            </w:r>
          </w:p>
        </w:tc>
      </w:tr>
      <w:tr w:rsidR="00FE4F97" w:rsidRPr="005263A3">
        <w:trPr>
          <w:cantSplit/>
          <w:jc w:val="center"/>
        </w:trPr>
        <w:tc>
          <w:tcPr>
            <w:tcW w:w="113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2004</w:t>
            </w:r>
          </w:p>
        </w:tc>
        <w:tc>
          <w:tcPr>
            <w:tcW w:w="104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56.0</w:t>
            </w:r>
          </w:p>
        </w:tc>
        <w:tc>
          <w:tcPr>
            <w:tcW w:w="94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19.2</w:t>
            </w:r>
          </w:p>
        </w:tc>
        <w:tc>
          <w:tcPr>
            <w:tcW w:w="85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11.0</w:t>
            </w:r>
          </w:p>
        </w:tc>
        <w:tc>
          <w:tcPr>
            <w:tcW w:w="103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21.9</w:t>
            </w:r>
          </w:p>
        </w:tc>
        <w:tc>
          <w:tcPr>
            <w:tcW w:w="90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1.0</w:t>
            </w:r>
          </w:p>
        </w:tc>
        <w:tc>
          <w:tcPr>
            <w:tcW w:w="96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2.9</w:t>
            </w:r>
          </w:p>
        </w:tc>
      </w:tr>
      <w:tr w:rsidR="00FE4F97" w:rsidRPr="005263A3">
        <w:trPr>
          <w:cantSplit/>
          <w:jc w:val="center"/>
        </w:trPr>
        <w:tc>
          <w:tcPr>
            <w:tcW w:w="1133" w:type="dxa"/>
            <w:shd w:val="clear" w:color="auto" w:fill="auto"/>
            <w:vAlign w:val="bottom"/>
          </w:tcPr>
          <w:p w:rsidR="00FE4F97" w:rsidRPr="005263A3" w:rsidRDefault="00FE4F97">
            <w:pPr>
              <w:pStyle w:val="DualTxt"/>
              <w:spacing w:line="240" w:lineRule="exact"/>
              <w:rPr>
                <w:rFonts w:hint="cs"/>
                <w:sz w:val="24"/>
                <w:szCs w:val="24"/>
                <w:rtl/>
              </w:rPr>
            </w:pPr>
          </w:p>
        </w:tc>
        <w:tc>
          <w:tcPr>
            <w:tcW w:w="1046" w:type="dxa"/>
            <w:shd w:val="clear" w:color="auto" w:fill="auto"/>
            <w:vAlign w:val="bottom"/>
          </w:tcPr>
          <w:p w:rsidR="00FE4F97" w:rsidRPr="005263A3" w:rsidRDefault="00FE4F97">
            <w:pPr>
              <w:pStyle w:val="DualTxt"/>
              <w:spacing w:line="240" w:lineRule="exact"/>
              <w:rPr>
                <w:rFonts w:hint="cs"/>
                <w:sz w:val="24"/>
                <w:szCs w:val="24"/>
                <w:rtl/>
              </w:rPr>
            </w:pPr>
          </w:p>
        </w:tc>
        <w:tc>
          <w:tcPr>
            <w:tcW w:w="945" w:type="dxa"/>
            <w:shd w:val="clear" w:color="auto" w:fill="auto"/>
            <w:vAlign w:val="bottom"/>
          </w:tcPr>
          <w:p w:rsidR="00FE4F97" w:rsidRPr="005263A3" w:rsidRDefault="00FE4F97">
            <w:pPr>
              <w:pStyle w:val="DualTxt"/>
              <w:spacing w:line="240" w:lineRule="exact"/>
              <w:rPr>
                <w:rFonts w:hint="cs"/>
                <w:sz w:val="24"/>
                <w:szCs w:val="24"/>
                <w:rtl/>
              </w:rPr>
            </w:pPr>
          </w:p>
        </w:tc>
        <w:tc>
          <w:tcPr>
            <w:tcW w:w="856" w:type="dxa"/>
            <w:shd w:val="clear" w:color="auto" w:fill="auto"/>
            <w:vAlign w:val="bottom"/>
          </w:tcPr>
          <w:p w:rsidR="00FE4F97" w:rsidRPr="005263A3" w:rsidRDefault="00FE4F97">
            <w:pPr>
              <w:pStyle w:val="DualTxt"/>
              <w:spacing w:line="240" w:lineRule="exact"/>
              <w:rPr>
                <w:rFonts w:hint="cs"/>
                <w:sz w:val="24"/>
                <w:szCs w:val="24"/>
                <w:rtl/>
              </w:rPr>
            </w:pPr>
          </w:p>
        </w:tc>
        <w:tc>
          <w:tcPr>
            <w:tcW w:w="1035" w:type="dxa"/>
            <w:shd w:val="clear" w:color="auto" w:fill="auto"/>
            <w:vAlign w:val="bottom"/>
          </w:tcPr>
          <w:p w:rsidR="00FE4F97" w:rsidRPr="005263A3" w:rsidRDefault="00FE4F97">
            <w:pPr>
              <w:pStyle w:val="DualTxt"/>
              <w:spacing w:line="240" w:lineRule="exact"/>
              <w:rPr>
                <w:rFonts w:hint="cs"/>
                <w:sz w:val="24"/>
                <w:szCs w:val="24"/>
                <w:rtl/>
              </w:rPr>
            </w:pPr>
          </w:p>
        </w:tc>
        <w:tc>
          <w:tcPr>
            <w:tcW w:w="903" w:type="dxa"/>
            <w:shd w:val="clear" w:color="auto" w:fill="auto"/>
            <w:vAlign w:val="bottom"/>
          </w:tcPr>
          <w:p w:rsidR="00FE4F97" w:rsidRPr="005263A3" w:rsidRDefault="00FE4F97">
            <w:pPr>
              <w:pStyle w:val="DualTxt"/>
              <w:spacing w:line="240" w:lineRule="exact"/>
              <w:rPr>
                <w:rFonts w:hint="cs"/>
                <w:sz w:val="24"/>
                <w:szCs w:val="24"/>
                <w:rtl/>
              </w:rPr>
            </w:pPr>
          </w:p>
        </w:tc>
        <w:tc>
          <w:tcPr>
            <w:tcW w:w="966" w:type="dxa"/>
            <w:shd w:val="clear" w:color="auto" w:fill="auto"/>
            <w:vAlign w:val="bottom"/>
          </w:tcPr>
          <w:p w:rsidR="00FE4F97" w:rsidRPr="005263A3" w:rsidRDefault="00FE4F97">
            <w:pPr>
              <w:pStyle w:val="DualTxt"/>
              <w:spacing w:line="240" w:lineRule="exact"/>
              <w:rPr>
                <w:rFonts w:hint="cs"/>
                <w:sz w:val="24"/>
                <w:szCs w:val="24"/>
                <w:rtl/>
              </w:rPr>
            </w:pPr>
          </w:p>
        </w:tc>
      </w:tr>
      <w:tr w:rsidR="00FE4F97" w:rsidRPr="005263A3">
        <w:trPr>
          <w:cantSplit/>
          <w:jc w:val="center"/>
        </w:trPr>
        <w:tc>
          <w:tcPr>
            <w:tcW w:w="6884" w:type="dxa"/>
            <w:gridSpan w:val="7"/>
            <w:shd w:val="clear" w:color="auto" w:fill="auto"/>
            <w:vAlign w:val="bottom"/>
          </w:tcPr>
          <w:p w:rsidR="00FE4F97" w:rsidRPr="004D2761" w:rsidRDefault="00FE4F97">
            <w:pPr>
              <w:pStyle w:val="DualTxt"/>
              <w:spacing w:line="240" w:lineRule="exact"/>
              <w:rPr>
                <w:rFonts w:hint="cs"/>
                <w:i/>
                <w:iCs/>
                <w:sz w:val="24"/>
                <w:szCs w:val="24"/>
                <w:rtl/>
              </w:rPr>
            </w:pPr>
            <w:r>
              <w:rPr>
                <w:rFonts w:hint="cs"/>
                <w:i/>
                <w:iCs/>
                <w:sz w:val="24"/>
                <w:szCs w:val="24"/>
                <w:rtl/>
              </w:rPr>
              <w:t>النسبة المئوية في الناتج المحلي الإجمالي</w:t>
            </w:r>
          </w:p>
        </w:tc>
      </w:tr>
      <w:tr w:rsidR="00FE4F97" w:rsidRPr="005263A3">
        <w:trPr>
          <w:cantSplit/>
          <w:jc w:val="center"/>
        </w:trPr>
        <w:tc>
          <w:tcPr>
            <w:tcW w:w="113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1995</w:t>
            </w:r>
          </w:p>
        </w:tc>
        <w:tc>
          <w:tcPr>
            <w:tcW w:w="104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13.4</w:t>
            </w:r>
          </w:p>
        </w:tc>
        <w:tc>
          <w:tcPr>
            <w:tcW w:w="94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4.6</w:t>
            </w:r>
          </w:p>
        </w:tc>
        <w:tc>
          <w:tcPr>
            <w:tcW w:w="85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3.1</w:t>
            </w:r>
          </w:p>
        </w:tc>
        <w:tc>
          <w:tcPr>
            <w:tcW w:w="103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4.3</w:t>
            </w:r>
          </w:p>
        </w:tc>
        <w:tc>
          <w:tcPr>
            <w:tcW w:w="90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0.4</w:t>
            </w:r>
          </w:p>
        </w:tc>
        <w:tc>
          <w:tcPr>
            <w:tcW w:w="96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1.0</w:t>
            </w:r>
          </w:p>
        </w:tc>
      </w:tr>
      <w:tr w:rsidR="00FE4F97" w:rsidRPr="005263A3">
        <w:trPr>
          <w:cantSplit/>
          <w:jc w:val="center"/>
        </w:trPr>
        <w:tc>
          <w:tcPr>
            <w:tcW w:w="113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1996</w:t>
            </w:r>
          </w:p>
        </w:tc>
        <w:tc>
          <w:tcPr>
            <w:tcW w:w="104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11.3</w:t>
            </w:r>
          </w:p>
        </w:tc>
        <w:tc>
          <w:tcPr>
            <w:tcW w:w="94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4.0</w:t>
            </w:r>
          </w:p>
        </w:tc>
        <w:tc>
          <w:tcPr>
            <w:tcW w:w="85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2.7</w:t>
            </w:r>
          </w:p>
        </w:tc>
        <w:tc>
          <w:tcPr>
            <w:tcW w:w="103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3.4</w:t>
            </w:r>
          </w:p>
        </w:tc>
        <w:tc>
          <w:tcPr>
            <w:tcW w:w="90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0.3</w:t>
            </w:r>
          </w:p>
        </w:tc>
        <w:tc>
          <w:tcPr>
            <w:tcW w:w="96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0.9</w:t>
            </w:r>
          </w:p>
        </w:tc>
      </w:tr>
      <w:tr w:rsidR="00FE4F97" w:rsidRPr="005263A3">
        <w:trPr>
          <w:cantSplit/>
          <w:jc w:val="center"/>
        </w:trPr>
        <w:tc>
          <w:tcPr>
            <w:tcW w:w="113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1997</w:t>
            </w:r>
          </w:p>
        </w:tc>
        <w:tc>
          <w:tcPr>
            <w:tcW w:w="104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16.0</w:t>
            </w:r>
          </w:p>
        </w:tc>
        <w:tc>
          <w:tcPr>
            <w:tcW w:w="94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5.7</w:t>
            </w:r>
          </w:p>
        </w:tc>
        <w:tc>
          <w:tcPr>
            <w:tcW w:w="85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3.6</w:t>
            </w:r>
          </w:p>
        </w:tc>
        <w:tc>
          <w:tcPr>
            <w:tcW w:w="103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5.2</w:t>
            </w:r>
          </w:p>
        </w:tc>
        <w:tc>
          <w:tcPr>
            <w:tcW w:w="90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0.4</w:t>
            </w:r>
          </w:p>
        </w:tc>
        <w:tc>
          <w:tcPr>
            <w:tcW w:w="96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1.1</w:t>
            </w:r>
          </w:p>
        </w:tc>
      </w:tr>
      <w:tr w:rsidR="00FE4F97" w:rsidRPr="005263A3">
        <w:trPr>
          <w:cantSplit/>
          <w:jc w:val="center"/>
        </w:trPr>
        <w:tc>
          <w:tcPr>
            <w:tcW w:w="113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1998</w:t>
            </w:r>
          </w:p>
        </w:tc>
        <w:tc>
          <w:tcPr>
            <w:tcW w:w="104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19.4</w:t>
            </w:r>
          </w:p>
        </w:tc>
        <w:tc>
          <w:tcPr>
            <w:tcW w:w="94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7.1</w:t>
            </w:r>
          </w:p>
        </w:tc>
        <w:tc>
          <w:tcPr>
            <w:tcW w:w="85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4.0</w:t>
            </w:r>
          </w:p>
        </w:tc>
        <w:tc>
          <w:tcPr>
            <w:tcW w:w="103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6.4</w:t>
            </w:r>
          </w:p>
        </w:tc>
        <w:tc>
          <w:tcPr>
            <w:tcW w:w="90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0.5</w:t>
            </w:r>
          </w:p>
        </w:tc>
        <w:tc>
          <w:tcPr>
            <w:tcW w:w="96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1.4</w:t>
            </w:r>
          </w:p>
        </w:tc>
      </w:tr>
      <w:tr w:rsidR="00FE4F97" w:rsidRPr="005263A3">
        <w:trPr>
          <w:cantSplit/>
          <w:jc w:val="center"/>
        </w:trPr>
        <w:tc>
          <w:tcPr>
            <w:tcW w:w="113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1999</w:t>
            </w:r>
          </w:p>
        </w:tc>
        <w:tc>
          <w:tcPr>
            <w:tcW w:w="104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19.1</w:t>
            </w:r>
          </w:p>
        </w:tc>
        <w:tc>
          <w:tcPr>
            <w:tcW w:w="94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7.0</w:t>
            </w:r>
          </w:p>
        </w:tc>
        <w:tc>
          <w:tcPr>
            <w:tcW w:w="85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3.9</w:t>
            </w:r>
          </w:p>
        </w:tc>
        <w:tc>
          <w:tcPr>
            <w:tcW w:w="103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6.5</w:t>
            </w:r>
          </w:p>
        </w:tc>
        <w:tc>
          <w:tcPr>
            <w:tcW w:w="90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0.5</w:t>
            </w:r>
          </w:p>
        </w:tc>
        <w:tc>
          <w:tcPr>
            <w:tcW w:w="96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1.2</w:t>
            </w:r>
          </w:p>
        </w:tc>
      </w:tr>
      <w:tr w:rsidR="00FE4F97" w:rsidRPr="005263A3">
        <w:trPr>
          <w:cantSplit/>
          <w:jc w:val="center"/>
        </w:trPr>
        <w:tc>
          <w:tcPr>
            <w:tcW w:w="113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2000</w:t>
            </w:r>
          </w:p>
        </w:tc>
        <w:tc>
          <w:tcPr>
            <w:tcW w:w="104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21.6</w:t>
            </w:r>
          </w:p>
        </w:tc>
        <w:tc>
          <w:tcPr>
            <w:tcW w:w="94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7.9</w:t>
            </w:r>
          </w:p>
        </w:tc>
        <w:tc>
          <w:tcPr>
            <w:tcW w:w="85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4.4</w:t>
            </w:r>
          </w:p>
        </w:tc>
        <w:tc>
          <w:tcPr>
            <w:tcW w:w="103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7.2</w:t>
            </w:r>
          </w:p>
        </w:tc>
        <w:tc>
          <w:tcPr>
            <w:tcW w:w="90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0.7</w:t>
            </w:r>
          </w:p>
        </w:tc>
        <w:tc>
          <w:tcPr>
            <w:tcW w:w="96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1.4</w:t>
            </w:r>
          </w:p>
        </w:tc>
      </w:tr>
      <w:tr w:rsidR="00FE4F97" w:rsidRPr="005263A3">
        <w:trPr>
          <w:cantSplit/>
          <w:jc w:val="center"/>
        </w:trPr>
        <w:tc>
          <w:tcPr>
            <w:tcW w:w="113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2001</w:t>
            </w:r>
          </w:p>
        </w:tc>
        <w:tc>
          <w:tcPr>
            <w:tcW w:w="104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22.9</w:t>
            </w:r>
          </w:p>
        </w:tc>
        <w:tc>
          <w:tcPr>
            <w:tcW w:w="94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8.7</w:t>
            </w:r>
          </w:p>
        </w:tc>
        <w:tc>
          <w:tcPr>
            <w:tcW w:w="85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4.7</w:t>
            </w:r>
          </w:p>
        </w:tc>
        <w:tc>
          <w:tcPr>
            <w:tcW w:w="103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7.6</w:t>
            </w:r>
          </w:p>
        </w:tc>
        <w:tc>
          <w:tcPr>
            <w:tcW w:w="90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0.6</w:t>
            </w:r>
          </w:p>
        </w:tc>
        <w:tc>
          <w:tcPr>
            <w:tcW w:w="96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1.3</w:t>
            </w:r>
          </w:p>
        </w:tc>
      </w:tr>
      <w:tr w:rsidR="00FE4F97" w:rsidRPr="005263A3">
        <w:trPr>
          <w:cantSplit/>
          <w:jc w:val="center"/>
        </w:trPr>
        <w:tc>
          <w:tcPr>
            <w:tcW w:w="113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2002</w:t>
            </w:r>
          </w:p>
        </w:tc>
        <w:tc>
          <w:tcPr>
            <w:tcW w:w="104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23.1</w:t>
            </w:r>
          </w:p>
        </w:tc>
        <w:tc>
          <w:tcPr>
            <w:tcW w:w="94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8.4</w:t>
            </w:r>
          </w:p>
        </w:tc>
        <w:tc>
          <w:tcPr>
            <w:tcW w:w="85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4.7</w:t>
            </w:r>
          </w:p>
        </w:tc>
        <w:tc>
          <w:tcPr>
            <w:tcW w:w="103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8.0</w:t>
            </w:r>
          </w:p>
        </w:tc>
        <w:tc>
          <w:tcPr>
            <w:tcW w:w="90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0.6</w:t>
            </w:r>
          </w:p>
        </w:tc>
        <w:tc>
          <w:tcPr>
            <w:tcW w:w="96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1.4</w:t>
            </w:r>
          </w:p>
        </w:tc>
      </w:tr>
      <w:tr w:rsidR="00FE4F97" w:rsidRPr="005263A3">
        <w:trPr>
          <w:cantSplit/>
          <w:jc w:val="center"/>
        </w:trPr>
        <w:tc>
          <w:tcPr>
            <w:tcW w:w="113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2003</w:t>
            </w:r>
          </w:p>
        </w:tc>
        <w:tc>
          <w:tcPr>
            <w:tcW w:w="104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23.2</w:t>
            </w:r>
          </w:p>
        </w:tc>
        <w:tc>
          <w:tcPr>
            <w:tcW w:w="94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8.5</w:t>
            </w:r>
          </w:p>
        </w:tc>
        <w:tc>
          <w:tcPr>
            <w:tcW w:w="85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4.3</w:t>
            </w:r>
          </w:p>
        </w:tc>
        <w:tc>
          <w:tcPr>
            <w:tcW w:w="1035"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8.6</w:t>
            </w:r>
          </w:p>
        </w:tc>
        <w:tc>
          <w:tcPr>
            <w:tcW w:w="903"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0.5</w:t>
            </w:r>
          </w:p>
        </w:tc>
        <w:tc>
          <w:tcPr>
            <w:tcW w:w="966" w:type="dxa"/>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1.3</w:t>
            </w:r>
          </w:p>
        </w:tc>
      </w:tr>
      <w:tr w:rsidR="00FE4F97" w:rsidRPr="005263A3">
        <w:trPr>
          <w:cantSplit/>
          <w:jc w:val="center"/>
        </w:trPr>
        <w:tc>
          <w:tcPr>
            <w:tcW w:w="1133" w:type="dxa"/>
            <w:tcBorders>
              <w:bottom w:val="single" w:sz="12" w:space="0" w:color="auto"/>
            </w:tcBorders>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2004</w:t>
            </w:r>
          </w:p>
        </w:tc>
        <w:tc>
          <w:tcPr>
            <w:tcW w:w="1046" w:type="dxa"/>
            <w:tcBorders>
              <w:bottom w:val="single" w:sz="12" w:space="0" w:color="auto"/>
            </w:tcBorders>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24.8</w:t>
            </w:r>
          </w:p>
        </w:tc>
        <w:tc>
          <w:tcPr>
            <w:tcW w:w="945" w:type="dxa"/>
            <w:tcBorders>
              <w:bottom w:val="single" w:sz="12" w:space="0" w:color="auto"/>
            </w:tcBorders>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8.5</w:t>
            </w:r>
          </w:p>
        </w:tc>
        <w:tc>
          <w:tcPr>
            <w:tcW w:w="856" w:type="dxa"/>
            <w:tcBorders>
              <w:bottom w:val="single" w:sz="12" w:space="0" w:color="auto"/>
            </w:tcBorders>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4.9</w:t>
            </w:r>
          </w:p>
        </w:tc>
        <w:tc>
          <w:tcPr>
            <w:tcW w:w="1035" w:type="dxa"/>
            <w:tcBorders>
              <w:bottom w:val="single" w:sz="12" w:space="0" w:color="auto"/>
            </w:tcBorders>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9.7</w:t>
            </w:r>
          </w:p>
        </w:tc>
        <w:tc>
          <w:tcPr>
            <w:tcW w:w="903" w:type="dxa"/>
            <w:tcBorders>
              <w:bottom w:val="single" w:sz="12" w:space="0" w:color="auto"/>
            </w:tcBorders>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0.4</w:t>
            </w:r>
          </w:p>
        </w:tc>
        <w:tc>
          <w:tcPr>
            <w:tcW w:w="966" w:type="dxa"/>
            <w:tcBorders>
              <w:bottom w:val="single" w:sz="12" w:space="0" w:color="auto"/>
            </w:tcBorders>
            <w:shd w:val="clear" w:color="auto" w:fill="auto"/>
            <w:vAlign w:val="bottom"/>
          </w:tcPr>
          <w:p w:rsidR="00FE4F97" w:rsidRPr="005263A3" w:rsidRDefault="00FE4F97">
            <w:pPr>
              <w:pStyle w:val="DualTxt"/>
              <w:spacing w:line="240" w:lineRule="exact"/>
              <w:rPr>
                <w:rFonts w:hint="cs"/>
                <w:sz w:val="24"/>
                <w:szCs w:val="24"/>
                <w:rtl/>
              </w:rPr>
            </w:pPr>
            <w:r w:rsidRPr="005263A3">
              <w:rPr>
                <w:rFonts w:hint="cs"/>
                <w:sz w:val="24"/>
                <w:szCs w:val="24"/>
                <w:rtl/>
              </w:rPr>
              <w:t>1.3</w:t>
            </w:r>
          </w:p>
        </w:tc>
      </w:tr>
    </w:tbl>
    <w:p w:rsidR="00FE4F97" w:rsidRPr="004628E4" w:rsidRDefault="00FE4F97">
      <w:pPr>
        <w:pStyle w:val="SingleTxt"/>
        <w:spacing w:after="0" w:line="120" w:lineRule="exact"/>
        <w:rPr>
          <w:rFonts w:hint="cs"/>
          <w:sz w:val="12"/>
          <w:rtl/>
        </w:rPr>
      </w:pPr>
    </w:p>
    <w:p w:rsidR="00FE4F97" w:rsidRDefault="00FE4F9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9B24A3">
        <w:rPr>
          <w:rFonts w:hint="cs"/>
          <w:i/>
          <w:iCs/>
          <w:rtl/>
        </w:rPr>
        <w:t>المصدر</w:t>
      </w:r>
      <w:r>
        <w:rPr>
          <w:rFonts w:hint="cs"/>
          <w:rtl/>
        </w:rPr>
        <w:t>: وزارة المالية، 2005.</w:t>
      </w:r>
    </w:p>
    <w:p w:rsidR="00FE4F97" w:rsidRPr="009B24A3" w:rsidRDefault="00FE4F97">
      <w:pPr>
        <w:pStyle w:val="SingleTxt"/>
        <w:spacing w:after="0" w:line="120" w:lineRule="exact"/>
        <w:rPr>
          <w:rFonts w:hint="cs"/>
          <w:sz w:val="10"/>
          <w:rtl/>
        </w:rPr>
      </w:pPr>
    </w:p>
    <w:p w:rsidR="00FE4F97" w:rsidRPr="004628E4" w:rsidRDefault="00FE4F97">
      <w:pPr>
        <w:pStyle w:val="SingleTxt"/>
        <w:spacing w:after="0" w:line="120" w:lineRule="exact"/>
        <w:rPr>
          <w:rFonts w:hint="cs"/>
          <w:sz w:val="12"/>
          <w:rtl/>
        </w:rPr>
      </w:pPr>
    </w:p>
    <w:p w:rsidR="00FE4F97" w:rsidRDefault="00FE4F97">
      <w:pPr>
        <w:pStyle w:val="SingleTxt"/>
        <w:rPr>
          <w:rFonts w:hint="cs"/>
          <w:rtl/>
        </w:rPr>
      </w:pPr>
      <w:r>
        <w:rPr>
          <w:rFonts w:hint="cs"/>
          <w:rtl/>
        </w:rPr>
        <w:tab/>
        <w:t>وخلال السنوات العشر الماضية، أُنفقت نسبة 44.4 - 56.0 في المائة من مجموع مصروفات الميزانية أي 11.3 - 24.8 في المائة من الناتج المحلي الإجمالي على خدمات اجتماعية أساسية مثل التعليم، والصحة، والرعاية الاجتماعية والأنشطة الترفيهية والثقافية.</w:t>
      </w:r>
    </w:p>
    <w:p w:rsidR="00FE4F97" w:rsidRDefault="00FE4F97">
      <w:pPr>
        <w:pStyle w:val="SingleTxt"/>
        <w:rPr>
          <w:rFonts w:hint="cs"/>
          <w:rtl/>
        </w:rPr>
      </w:pPr>
      <w:r>
        <w:rPr>
          <w:rFonts w:hint="cs"/>
          <w:rtl/>
        </w:rPr>
        <w:tab/>
        <w:t>وحصلت منغوليا على ما مجموعه 949.4 2 من ملايين دولارات الولايات المتحدة في شكل مساعدات إنمائية رسمية من المانحين في الفترة بين 1991-2004 وما مجموعه 47.5 في المائة (399.6 1 من دولارات الولايات المتحدة) في شكل منح و52.5 في المائة المائة (549.8 1 من ملايين دولارات الولايات المتحدة) في شكل قروض بشروط ميسرة. ومابرحت منح المانحين تؤدي دورا هاما في معالجة صعوبات مرحلة التحول وتدابير الطوارئ، والتغلب على التدهور والأزمة الاقتصاديين.</w:t>
      </w:r>
    </w:p>
    <w:p w:rsidR="00FE4F97" w:rsidRDefault="00FE4F97">
      <w:pPr>
        <w:pStyle w:val="SingleTxt"/>
        <w:rPr>
          <w:rFonts w:hint="cs"/>
          <w:rtl/>
        </w:rPr>
      </w:pPr>
      <w:r>
        <w:rPr>
          <w:rFonts w:hint="cs"/>
          <w:rtl/>
        </w:rPr>
        <w:tab/>
        <w:t>وفي البداية، كانت المعونة المالية والطارئة هي الغالبة في المساعدة الإنمائية الرسمية. وتنتهج الحكومة سياسة ترمي إلى تخفيض نسبة المعونة الطارئة وزيادة نسبة التمويل المتوسط والطويل الأجل لمشاريع التنمية في تكوين المساعدة الإنمائية الرسمية. والمنح موجهة نحو الإنفاق على تنمية وتعزيز قدرة الموارد البشرية وأهداف القطاع الاجتماعي. ومن المقرر المضي في اتجاه هذه السياسة.</w:t>
      </w:r>
    </w:p>
    <w:p w:rsidR="00FE4F97" w:rsidRDefault="00FE4F97">
      <w:pPr>
        <w:pStyle w:val="SingleTxt"/>
        <w:rPr>
          <w:rFonts w:hint="cs"/>
          <w:rtl/>
        </w:rPr>
      </w:pPr>
      <w:r>
        <w:rPr>
          <w:rFonts w:hint="cs"/>
          <w:rtl/>
        </w:rPr>
        <w:tab/>
        <w:t>ومن المنح والقروض المقدمة بشروط ميسرة، تشكل نسبة 33.2 في المائة العامل الرئيسي لتنمية الهياكل الأساسية (الطاقة، والطرق، والاتصالات، والمرافق العامة)، ونسبة 15.5 في المائة للهياكل الأساسية الاجتماعية (التعليم، والصحة، وتنمية الموارد البشرية)، ونسبة 14.6 في المائة للصناعة والزراعة، ونسبة 12.6 في المائة للإدارة المالية والاقتصادية، ونسبة 23.9 في المائة للقطاعات الأخرى.</w:t>
      </w:r>
    </w:p>
    <w:p w:rsidR="00FE4F97" w:rsidRPr="009A0E74" w:rsidRDefault="00FE4F97">
      <w:pPr>
        <w:pStyle w:val="SingleTxt"/>
        <w:spacing w:after="0" w:line="120" w:lineRule="exact"/>
        <w:rPr>
          <w:rFonts w:hint="cs"/>
          <w:sz w:val="12"/>
          <w:rtl/>
        </w:rPr>
      </w:pPr>
    </w:p>
    <w:p w:rsidR="00FE4F97" w:rsidRDefault="00FE4F97" w:rsidP="008068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ثانيا -</w:t>
      </w:r>
      <w:r>
        <w:rPr>
          <w:rFonts w:hint="cs"/>
          <w:rtl/>
        </w:rPr>
        <w:tab/>
        <w:t>الاتجاه الجنساني في سياسة الإصلاح القانوني وتوسيع مشاركة المجتمع المدني فيها</w:t>
      </w:r>
    </w:p>
    <w:p w:rsidR="00FE4F97" w:rsidRDefault="00FE4F97">
      <w:pPr>
        <w:pStyle w:val="SingleTxt"/>
        <w:rPr>
          <w:rFonts w:hint="eastAsia"/>
          <w:rtl/>
        </w:rPr>
      </w:pPr>
      <w:r>
        <w:rPr>
          <w:rFonts w:hint="cs"/>
          <w:rtl/>
        </w:rPr>
        <w:tab/>
        <w:t xml:space="preserve">تعترف منغوليا بحقوق المرأة بوصفها جزءا أساسيا من حقوق الإنسان. والدستور الجديد المعتمد في عام 1992 يحظر قطعيا أي نوع من التمييز وينص على أنه </w:t>
      </w:r>
      <w:r>
        <w:rPr>
          <w:rFonts w:hint="eastAsia"/>
          <w:rtl/>
        </w:rPr>
        <w:t>”</w:t>
      </w:r>
      <w:r>
        <w:rPr>
          <w:rFonts w:hint="cs"/>
          <w:i/>
          <w:iCs/>
          <w:rtl/>
        </w:rPr>
        <w:t>لا يجوز التمييز ضد أي شخص على أساس الأصل الإثني، أو اللغة، أو العرق، أو السن، أو الجنس، أو الأصل أو الوضع الاجتماعي، أو الملكية، أو المهنة أو المنصب، أو الدين أو الرأي أو التعليم</w:t>
      </w:r>
      <w:r>
        <w:rPr>
          <w:rFonts w:hint="eastAsia"/>
          <w:rtl/>
        </w:rPr>
        <w:t>“.</w:t>
      </w:r>
    </w:p>
    <w:p w:rsidR="00FE4F97" w:rsidRDefault="00FE4F97">
      <w:pPr>
        <w:pStyle w:val="SingleTxt"/>
        <w:rPr>
          <w:rFonts w:hint="eastAsia"/>
          <w:rtl/>
        </w:rPr>
      </w:pPr>
      <w:r>
        <w:rPr>
          <w:rFonts w:hint="cs"/>
          <w:rtl/>
        </w:rPr>
        <w:tab/>
        <w:t xml:space="preserve">وتنص المادة التاسعة عشرة من الدستور على أن </w:t>
      </w:r>
      <w:r>
        <w:rPr>
          <w:rFonts w:hint="eastAsia"/>
          <w:rtl/>
        </w:rPr>
        <w:t>”</w:t>
      </w:r>
      <w:r>
        <w:rPr>
          <w:rFonts w:hint="cs"/>
          <w:i/>
          <w:iCs/>
          <w:rtl/>
        </w:rPr>
        <w:t>الدولة مسؤولة أمام المواطنين عن وضع الضمانات الاقتصادية، والاجتماعية والقانونية وغيرها التي تكفل حقوق الإنسان والحريات، وعن منع انتهاكات حقوق الإنسان والحريات، وإعادة الحقوق المنتهكة</w:t>
      </w:r>
      <w:r>
        <w:rPr>
          <w:rFonts w:hint="eastAsia"/>
          <w:rtl/>
        </w:rPr>
        <w:t>“.وبعبارة أخرى، تتحمل الدولة المنغولية التزاما بوضع الطرق اللازمة لتنفيذ الأنظمة القانونية التي تحظر ذلك التمييز.</w:t>
      </w:r>
    </w:p>
    <w:p w:rsidR="00FE4F97" w:rsidRDefault="00FE4F97">
      <w:pPr>
        <w:pStyle w:val="SingleTxt"/>
        <w:rPr>
          <w:rFonts w:hint="cs"/>
          <w:rtl/>
        </w:rPr>
      </w:pPr>
      <w:r>
        <w:rPr>
          <w:rFonts w:hint="cs"/>
          <w:rtl/>
        </w:rPr>
        <w:tab/>
        <w:t>وتضمن منغوليا بموجب القانون المساواة في حقوق الرجل والمرأة للاشتراك في علاقات العمل.</w:t>
      </w:r>
    </w:p>
    <w:p w:rsidR="00FE4F97" w:rsidRDefault="00FE4F97">
      <w:pPr>
        <w:pStyle w:val="SingleTxt"/>
        <w:rPr>
          <w:rFonts w:hint="cs"/>
          <w:rtl/>
        </w:rPr>
      </w:pPr>
      <w:r>
        <w:rPr>
          <w:rFonts w:hint="cs"/>
          <w:rtl/>
        </w:rPr>
        <w:tab/>
        <w:t>وتتمثل خطوة هامة اتخذتها منغوليا للوفاء بالتزامها الدستوري منذ تقديم تقريرها الرابع بموجب اتفاقية القضاء على جميع أشكال التمييز ضد المرأة في اعتماد وتنفيذ القانون المتعلق باللجنة الوطنية المنغولية المعنية بحقوق الإنسان في عام 2003. وهذا القانون يحدد المبادئ والأسس القانونية لأنشطة اللجنة الوطنية وينظم العلاقات ذات الصلة بممارسة صلاحياتها.</w:t>
      </w:r>
    </w:p>
    <w:p w:rsidR="00FE4F97" w:rsidRDefault="00FE4F97">
      <w:pPr>
        <w:pStyle w:val="SingleTxt"/>
        <w:rPr>
          <w:rFonts w:hint="cs"/>
          <w:rtl/>
        </w:rPr>
      </w:pPr>
      <w:r>
        <w:rPr>
          <w:rFonts w:hint="cs"/>
          <w:rtl/>
        </w:rPr>
        <w:tab/>
        <w:t>وطبقا للقانون، فإن اللجنة الوطنية المعنية بحقوق الإنسان منظمة تتمتع بسلطة تقديم الاقتراحات في أي مسائل متعلقة بحقوق الإنسان في منغوليا، وتفديم التوصيات والآراء فيما يتعلق بتمشِّي التشريعات والقرارات الإدارية مع المبادئ الأساسية لحقوق الإنسان وتقديم الآراء فيما يتعلق بالوفاء بالمعاهدات الدولية المتعلقة بحقوق الإنسان وبشأن إعداد تقارير الحكومة ذات الصلة.</w:t>
      </w:r>
    </w:p>
    <w:p w:rsidR="00FE4F97" w:rsidRDefault="00FE4F97">
      <w:pPr>
        <w:pStyle w:val="SingleTxt"/>
        <w:rPr>
          <w:rFonts w:hint="cs"/>
          <w:rtl/>
        </w:rPr>
      </w:pPr>
      <w:r>
        <w:rPr>
          <w:rFonts w:hint="cs"/>
          <w:rtl/>
        </w:rPr>
        <w:tab/>
        <w:t>وقد أجرت اللجنة الوطنية المعنية بحقوق الإنسان، في إطار صلاحياتها، دراسة استقصائية بشأن حالة حقوق الإنسان منذ عام 2001. ونشرت اللجنة أربعة تقارير بشأن حقوق الإنسان والحريات في منغوليا. وتضمنت التقارير دراسات محددة وقدمت استنتاجات موضوعية وتوصيات بشأن حالة الحقوق الاقتصادية للأفراد، وحقوق وحريات الفئات الضعيفة في المجتمع، والحق في العمل فضلا عن تنفيذ مبدأ عدم التمييز في العمل. ويؤدي هذا دورا هاما ويسهم في الإصلاحات القانونية في منغوليا، أي تنقيح التشريع الوطني ليتمشى مع روح الدستور.</w:t>
      </w:r>
    </w:p>
    <w:p w:rsidR="00FE4F97" w:rsidRDefault="00FE4F97">
      <w:pPr>
        <w:pStyle w:val="SingleTxt"/>
        <w:rPr>
          <w:rFonts w:hint="cs"/>
          <w:rtl/>
        </w:rPr>
      </w:pPr>
      <w:r>
        <w:rPr>
          <w:rFonts w:hint="cs"/>
          <w:rtl/>
        </w:rPr>
        <w:tab/>
        <w:t>والقانون المتعلق باللجنة الوطنية المنغولية المعنية بحقوق الإنسان ينص على أنه للمواطن المنغولي وحده أو مع غيره تقديم شكوى إلى اللجنة الوطنية المعنية بحقوق الإنسان طبقا للقانون إذا كان يعتبر أن كيانا تجاريا، أو منظمة أو مسؤولا أو فردا انتهك حقوق الإنسان والحريات التي يكفلها دستور منغوليا والمعاهدات الدولية. وينص القانون على أن اللجنة الوطنية المعنية بحقوق الإنسان تستعرض تلك الشكوى، وتتخذ إجراء أو تدبيرا معينا وتتخذ قرارا. وخلال السنوات الأربع الماضية، استعرضت اللجنة الوطنية وعالجت شكاوى مقدمة من 100 - 160 مواطنا بشأن انتهاك حقوق الإنسان والحريات</w:t>
      </w:r>
      <w:r w:rsidRPr="000C5F8B">
        <w:rPr>
          <w:vertAlign w:val="superscript"/>
          <w:rtl/>
        </w:rPr>
        <w:t>(</w:t>
      </w:r>
      <w:r>
        <w:rPr>
          <w:rStyle w:val="FootnoteReference"/>
          <w:rtl/>
        </w:rPr>
        <w:footnoteReference w:id="2"/>
      </w:r>
      <w:r w:rsidRPr="000C5F8B">
        <w:rPr>
          <w:vertAlign w:val="superscript"/>
          <w:rtl/>
        </w:rPr>
        <w:t>)</w:t>
      </w:r>
      <w:r>
        <w:rPr>
          <w:rFonts w:hint="cs"/>
          <w:rtl/>
        </w:rPr>
        <w:t>.</w:t>
      </w:r>
    </w:p>
    <w:p w:rsidR="00FE4F97" w:rsidRDefault="00FE4F97">
      <w:pPr>
        <w:pStyle w:val="SingleTxt"/>
        <w:rPr>
          <w:rFonts w:hint="cs"/>
          <w:rtl/>
        </w:rPr>
      </w:pPr>
      <w:r>
        <w:rPr>
          <w:rFonts w:hint="cs"/>
          <w:rtl/>
        </w:rPr>
        <w:tab/>
        <w:t>وتشهد منغوليا حاليا إصلاحات قانونية مكثفة، أي تنقيح التشريع ليتمشى مع روح الدستور. وفي حين أنه في المرحلة الأولى للإصلاحات كان كثير من القوانين الصادرة ينظم علاقات عامة وعلاقات اجتماعية أساسية، جرى خلال السنوات الأخيرة اعتماد قوانين تنظم علاقات اجتماعية محددة، بما فيها تلك المتعلقة بحقوق الإنسان والحريات مثل القانون المتعلق بالإذاعة والتليفزيون العامين والقانون المتعلق بمكافحة العنف المنزلي.</w:t>
      </w:r>
    </w:p>
    <w:p w:rsidR="00FE4F97" w:rsidRDefault="00FE4F97">
      <w:pPr>
        <w:pStyle w:val="SingleTxt"/>
        <w:rPr>
          <w:rFonts w:hint="cs"/>
          <w:rtl/>
        </w:rPr>
      </w:pPr>
      <w:r>
        <w:rPr>
          <w:rFonts w:hint="cs"/>
          <w:rtl/>
        </w:rPr>
        <w:tab/>
        <w:t xml:space="preserve">وتثبت الخبرة والدروس المستفادة من السنوات الأخيرة أن احتياجات ومصالح المرأة، ولا سيما الأمهات والفتيات، يجب أن تكون مسألة ذات أولوية في أي نشاط إنمائي. وعلى وجه الخصوص، جرى استخلاص الدروس التالية من الخبرة السابقة: </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Symbol" w:char="F05C"/>
      </w:r>
      <w:r>
        <w:rPr>
          <w:rFonts w:hint="cs"/>
          <w:rtl/>
        </w:rPr>
        <w:tab/>
        <w:t>ينبغي أن يراعي أي تغيير مصالح المرأة؛</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Symbol" w:char="F05C"/>
      </w:r>
      <w:r>
        <w:rPr>
          <w:rFonts w:hint="cs"/>
          <w:rtl/>
        </w:rPr>
        <w:tab/>
        <w:t>ينبغي أن تكون أي سياسة موجهة نحو التغلب على العوامل المؤثرة على فئة محددة من النساء؛</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Symbol" w:char="F05C"/>
      </w:r>
      <w:r>
        <w:rPr>
          <w:rFonts w:hint="cs"/>
          <w:rtl/>
        </w:rPr>
        <w:tab/>
        <w:t>ينبغي حماية حقوق المرأة بصورة كافية في جميع المجالات وينبغي مكافحة انتهاك حقوقها بصورة فعالة؛</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Symbol" w:char="F05C"/>
      </w:r>
      <w:r>
        <w:rPr>
          <w:rFonts w:hint="cs"/>
          <w:rtl/>
        </w:rPr>
        <w:tab/>
        <w:t>ينبغي إيلاء اهتمام خاص بالمعونة والدعم الاجتماعيين للأمهات وتنشئة الأطفال، ولا سيما في الأسر المعيشية في مستوى المعيشة المحفوف بالخطر؛ و</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Pr>
        <w:sym w:font="Symbol" w:char="F05C"/>
      </w:r>
      <w:r>
        <w:rPr>
          <w:rFonts w:hint="cs"/>
          <w:rtl/>
        </w:rPr>
        <w:tab/>
        <w:t>ينبغي اختيار آلية مناسبة فعالة وقائمة على تحقيق النتائج لأغراض التنسيق والإدارة لتعزيز التنمية المستدامة للمرأة ومشاركة المجتمع المدني.</w:t>
      </w:r>
    </w:p>
    <w:p w:rsidR="00FE4F97" w:rsidRDefault="00FE4F97">
      <w:pPr>
        <w:pStyle w:val="SingleTxt"/>
        <w:ind w:left="1930" w:hanging="663"/>
        <w:rPr>
          <w:rFonts w:hint="cs"/>
          <w:rtl/>
        </w:rPr>
      </w:pPr>
      <w:r>
        <w:rPr>
          <w:rFonts w:hint="cs"/>
          <w:rtl/>
        </w:rPr>
        <w:tab/>
        <w:t>وهناك منظمات غير حكومية مثل المركز الوطني لمكافحة العنف، ورابطة المحاميات المنغوليات وغيرهما عملت بنشاط في تنظيم أنشطة زيادة الوعي العام من أجل تهيئة بيئة مؤاتية لمكافحة العنف المنزلي وتخفيف أضرار ذلك العنف. وجرى الاضطلاع بتلك الأنشطة تنفيذا لتوصيات لجنة الأمم المتحدة المعنية بالقضاء على التمييز ضد المرأة الصادرة بعد النظر في التقريرين الثالث والرابع لحكومة منغوليا بشأن تنفيذ اتفاقية القضاء على جميع أشكال التمييز ضد المرأة. وأدت تلك الجهود إلى قيام إيخ خورال الدولة (البرلمان) باعتماد القانون المتعلق بمكافحة العنف المنزلي في عام 2004.</w:t>
      </w:r>
    </w:p>
    <w:p w:rsidR="00FE4F97" w:rsidRDefault="00FE4F97">
      <w:pPr>
        <w:pStyle w:val="SingleTxt"/>
        <w:rPr>
          <w:rFonts w:hint="cs"/>
          <w:rtl/>
        </w:rPr>
      </w:pPr>
      <w:r>
        <w:rPr>
          <w:rFonts w:hint="cs"/>
          <w:rtl/>
        </w:rPr>
        <w:tab/>
        <w:t>والقانون المتعلق بمكافحة العنف المنزلي ينظم العلاقات ذات الصلة بالتماس ضحية العنف المنزلي حماية حقوقه/حقوقها، وتحميل المنتهكين بالتبعات، والحيلولة دون حدوث أشكال العنف المنزلي المختلفة وكفالة اشتراك المنظمات الحكومية وغير الحكومية وكذلك الأفراد في مكافحة ذلك العنف. ويوفر القانون طرقا لحماية ضحايا العنف المنزلي. وعلى سبيل المثال، فإنه وفقا لروح ومبادئ المعاهدات الدولية، ينص القانون على سُبل انتصاف للضحايا ومن قبيل ذلك إحضار الضحية إلى مسكن إيواء، وإعطاء الضحية حماية مؤقتة عن طريق الوالدين، أو الأقارب أو المجتمع المحلي، ونقل الضحية إلى مركز لرعاية الطفل أو منظمة للرعاية الاجتماعية إذا لزم الأمر، وإعطاء الضحية المعلومات الضرورية وكذلك إسداء المشورة القانونية وغيرها، وتوفير خدمات الرعاية الطبية وإعادة التأهيل إذا كانت الضحية متضررة نفسيا بصورة مؤقتة أو تعرضت للإيذاء البدني.</w:t>
      </w:r>
    </w:p>
    <w:p w:rsidR="00FE4F97" w:rsidRDefault="00FE4F97">
      <w:pPr>
        <w:pStyle w:val="SingleTxt"/>
        <w:rPr>
          <w:rFonts w:hint="cs"/>
          <w:rtl/>
        </w:rPr>
      </w:pPr>
      <w:r>
        <w:rPr>
          <w:rFonts w:hint="cs"/>
          <w:rtl/>
        </w:rPr>
        <w:tab/>
        <w:t>وقد بدأ المركز الوطني لمكافحة العنف بالاشتراك مع الشرطة مشاريع بشأن المعاملة الصحيحة لضحايا الجرائم، وتوفير سبل الانتصاف القانونية وخدمات لتحسين حال الضحايا وتزويد غرف التحقق من هوية الجناة بمعدات خاصة. وتتسم تلك التدابير بالأهمية لتهيئة الأوضاع لمنع تعرف المشتبه فيهم والمتهمين على الضحايا، مما قد يؤدي إلى التهديد والانتقام</w:t>
      </w:r>
      <w:r w:rsidRPr="003F7DAD">
        <w:rPr>
          <w:vertAlign w:val="superscript"/>
          <w:rtl/>
        </w:rPr>
        <w:t>(</w:t>
      </w:r>
      <w:r>
        <w:rPr>
          <w:rStyle w:val="FootnoteReference"/>
          <w:rtl/>
        </w:rPr>
        <w:footnoteReference w:id="3"/>
      </w:r>
      <w:r w:rsidRPr="003F7DAD">
        <w:rPr>
          <w:vertAlign w:val="superscript"/>
          <w:rtl/>
        </w:rPr>
        <w:t>)</w:t>
      </w:r>
      <w:r>
        <w:rPr>
          <w:rFonts w:hint="cs"/>
          <w:rtl/>
        </w:rPr>
        <w:t>.</w:t>
      </w:r>
    </w:p>
    <w:p w:rsidR="00FE4F97" w:rsidRDefault="00FE4F97">
      <w:pPr>
        <w:pStyle w:val="SingleTxt"/>
        <w:rPr>
          <w:rFonts w:hint="cs"/>
          <w:rtl/>
        </w:rPr>
      </w:pPr>
      <w:r>
        <w:rPr>
          <w:rFonts w:hint="cs"/>
          <w:rtl/>
        </w:rPr>
        <w:tab/>
        <w:t>وبتنفيذ القانون المتعلق بمكافحة العنف المنزلي، أنشئ الفريق العامل الذي يرأسه وزير العدل والداخلية بموجب مرسوم رئيس الوزراء لوضع برنامج وطني متعلق بمكافحة العنف المنزلي. ومابرحت المنظمات الدولية مثل صندوق الأمم المتحدة الإنمائي للمرأة وصندوق الأمم المتحدة للسكان تقدم الدعم المهني، والمنهجي والمالي لإعداد البرنامج. ويمكن القول بأن التعاون والعلاقة بين الدولة، والمجتمع المدني والمنظمات الدولية المعنية بالقضايا الجنسانية يتحسنان بصورة هامة لكفالة الأوضاع لحياة آمنة خالية من العنف والتهديد.</w:t>
      </w:r>
    </w:p>
    <w:p w:rsidR="00FE4F97" w:rsidRDefault="00FE4F97">
      <w:pPr>
        <w:pStyle w:val="SingleTxt"/>
        <w:rPr>
          <w:rFonts w:hint="cs"/>
          <w:rtl/>
        </w:rPr>
      </w:pPr>
      <w:r>
        <w:rPr>
          <w:rFonts w:hint="cs"/>
          <w:rtl/>
        </w:rPr>
        <w:tab/>
        <w:t xml:space="preserve">وإلى جانب القانون المتعلق بمكافحة العنف المنزلي، تولي منغوليا اهتماما كبيرا بتهيئة البيئة القانونية لحماية ضحايا العنف من خلال اعتماد تشريعات أخرى. وهذا يشمل القانون الجنائي المنقح حديثا الذي يتضمن أحكاما لفرض مسؤولية جنائية لارتكاب العنف ضد المرأة باعتبار الجرم بمثابة </w:t>
      </w:r>
      <w:r>
        <w:rPr>
          <w:rFonts w:hint="cs"/>
          <w:i/>
          <w:iCs/>
          <w:rtl/>
        </w:rPr>
        <w:t>جريمة بحق الأطفال، والأسرة والسلوك الأخلاقي الاجتماعي.</w:t>
      </w:r>
      <w:r>
        <w:rPr>
          <w:rFonts w:hint="cs"/>
          <w:rtl/>
        </w:rPr>
        <w:t xml:space="preserve"> وعلى سبيل المثال، ينص القانون على المعاقبة والظروف المشددة لارتكاب الجرائم المتعلقة بإشباع الرغبة الجنسية على نحو غير طبيعي، والإغتصاب، وإرغام المرأة على الإجهاض، وإجراء الإجهاض في ظل أوضاع غير الطبية. وإذا أُصيبت ضحية تلك الجرائم باكتئاب نفسي بسبب إكراهها أو إرغامها أو تشويه سمعتها، فإنها تتمتع بالحق في رفع دعوى بموجب قانون الإجراءات المدنية للحصول على تعويض نقدي عن الضرر النفسي وعلى المحكمة أن تتخذ قرارا في تلك القضية إلى جانب القضية الجنائية.</w:t>
      </w:r>
    </w:p>
    <w:p w:rsidR="00FE4F97" w:rsidRDefault="00FE4F97">
      <w:pPr>
        <w:pStyle w:val="SingleTxt"/>
        <w:rPr>
          <w:rFonts w:hint="cs"/>
          <w:rtl/>
        </w:rPr>
      </w:pPr>
      <w:r>
        <w:rPr>
          <w:rFonts w:hint="cs"/>
          <w:rtl/>
        </w:rPr>
        <w:tab/>
        <w:t xml:space="preserve">وهناك اتجاه لاستعراض وتعديل أي تشريع يسمح بالتمييز على أساس نوع الجنس. وعلى سبيل المثال، هناك تعديل ينص على منح إجازة والدية أُجري في عام 2003 على المادة 106 من قانون العمل بالإضافة إلى إجازة الأمومة. وأيضا، ينص قانون الإعلان على أن </w:t>
      </w:r>
      <w:r>
        <w:rPr>
          <w:rFonts w:hint="eastAsia"/>
          <w:rtl/>
        </w:rPr>
        <w:t xml:space="preserve">”... </w:t>
      </w:r>
      <w:r>
        <w:rPr>
          <w:rFonts w:hint="cs"/>
          <w:i/>
          <w:iCs/>
          <w:rtl/>
        </w:rPr>
        <w:t>أي استخدام لعبارات، ومقارنة ووصف يحـُط من جنسية، أو لغة، أو الأصل الإجتماعي، أو سن، أو جنس، أو تعليم أو مهنة، أو دين ورأي أي شخص</w:t>
      </w:r>
      <w:r>
        <w:rPr>
          <w:rFonts w:hint="eastAsia"/>
          <w:i/>
          <w:iCs/>
          <w:rtl/>
        </w:rPr>
        <w:t xml:space="preserve">“ </w:t>
      </w:r>
      <w:r>
        <w:rPr>
          <w:rFonts w:hint="cs"/>
          <w:rtl/>
        </w:rPr>
        <w:t>يعتبر إعلانا غير قانوني ويُحظر صدوره وتوزيعه. ويُعاقب على انتهاك هذا الحكم بغرامة. ولسوء الحظ، مازالت بعض الصحف ووسائل الإعلان الأخرى تنشر لأغراض تحقيق أرباح تجارية قذفا في شرف أي شخص وعبارات سلبية ضد المرأة لأغراض الإثارة ولتحقيق أرباح تجارية. وهذا يدل على أن تنفيذ القانون ليس مرضيا وأن الحاجة تدعو إلى تغيير أو تحسين حوافز المنع وأساليبه.</w:t>
      </w:r>
    </w:p>
    <w:p w:rsidR="00FE4F97" w:rsidRDefault="00FE4F97">
      <w:pPr>
        <w:pStyle w:val="SingleTxt"/>
        <w:rPr>
          <w:rFonts w:hint="cs"/>
          <w:rtl/>
        </w:rPr>
      </w:pPr>
      <w:r>
        <w:rPr>
          <w:rFonts w:hint="cs"/>
          <w:rtl/>
        </w:rPr>
        <w:tab/>
        <w:t>وقد بدأت وسائط الإعلام الجماهيري، مؤخرا، نشر حالات انتهاك لحقوق الإنسان جرى فيها إغراء فتيات ونساء بإعلانات من قبيل العمل في الخارج، والزواج بأجنبي والعمل المحلي الذي يتضمن السفر للخارج، ووقوعهن بسهولة ضحايا الاستغلال والاتجار بهن بسبب ضعف وضعهن ومعاناتهن من الآلام البدنية والنفسية.</w:t>
      </w:r>
    </w:p>
    <w:p w:rsidR="00FE4F97" w:rsidRDefault="00FE4F97">
      <w:pPr>
        <w:pStyle w:val="SingleTxt"/>
        <w:rPr>
          <w:rFonts w:hint="cs"/>
          <w:rtl/>
        </w:rPr>
      </w:pPr>
      <w:r>
        <w:rPr>
          <w:rFonts w:hint="cs"/>
          <w:rtl/>
        </w:rPr>
        <w:tab/>
        <w:t xml:space="preserve">ويمثل </w:t>
      </w:r>
      <w:r>
        <w:rPr>
          <w:rFonts w:hint="eastAsia"/>
          <w:rtl/>
        </w:rPr>
        <w:t>”</w:t>
      </w:r>
      <w:r>
        <w:rPr>
          <w:rFonts w:hint="cs"/>
          <w:i/>
          <w:iCs/>
          <w:rtl/>
        </w:rPr>
        <w:t>بيع وشراء البشر</w:t>
      </w:r>
      <w:r>
        <w:rPr>
          <w:rFonts w:hint="eastAsia"/>
          <w:rtl/>
        </w:rPr>
        <w:t xml:space="preserve">“ جريمة يعاقب عليها بمسؤولية جنائية بموجب المادة 113 من القانون الجنائي لمنغوليا. </w:t>
      </w:r>
      <w:r>
        <w:rPr>
          <w:rFonts w:hint="cs"/>
          <w:rtl/>
        </w:rPr>
        <w:t xml:space="preserve">وأيضا، تنص المادة على مسؤولية أشد بسبب الظروف المشددة في حالة ارتكاب نفس الجريمة </w:t>
      </w:r>
      <w:r>
        <w:rPr>
          <w:rFonts w:hint="eastAsia"/>
          <w:rtl/>
        </w:rPr>
        <w:t>”</w:t>
      </w:r>
      <w:r>
        <w:rPr>
          <w:rFonts w:hint="cs"/>
          <w:rtl/>
        </w:rPr>
        <w:t>ب</w:t>
      </w:r>
      <w:r>
        <w:rPr>
          <w:rFonts w:hint="eastAsia"/>
          <w:rtl/>
        </w:rPr>
        <w:t>غرض أخذ دم إنسان، أو أنسجته أو أعضائه؛ أو بغرض تشغيل الضحية بالبغاء؛ أو بغرض الاتجار ب</w:t>
      </w:r>
      <w:r>
        <w:rPr>
          <w:rFonts w:hint="cs"/>
          <w:rtl/>
        </w:rPr>
        <w:t>شخص</w:t>
      </w:r>
      <w:r>
        <w:rPr>
          <w:rFonts w:hint="eastAsia"/>
          <w:rtl/>
        </w:rPr>
        <w:t xml:space="preserve">؛ </w:t>
      </w:r>
      <w:r>
        <w:rPr>
          <w:rFonts w:hint="cs"/>
          <w:i/>
          <w:iCs/>
          <w:rtl/>
        </w:rPr>
        <w:t>أو بصورة متكررة</w:t>
      </w:r>
      <w:r>
        <w:rPr>
          <w:rFonts w:hint="cs"/>
          <w:rtl/>
        </w:rPr>
        <w:t>؛ ضد شخصين أو أكثر؛ أو ضد شخص دون السن القانوني؛ أو في جماعة أو بمعرفة جماعة باتفاق مسبق</w:t>
      </w:r>
      <w:r>
        <w:rPr>
          <w:rFonts w:hint="eastAsia"/>
          <w:rtl/>
        </w:rPr>
        <w:t xml:space="preserve">“. </w:t>
      </w:r>
      <w:r>
        <w:rPr>
          <w:rFonts w:hint="cs"/>
          <w:rtl/>
        </w:rPr>
        <w:t>بيد أنه، في ممارسة التحقيق، لايكون المحققون، والمدعون العامون والقضاة قادرون دائما على تحديد الجريمة، ولا سيما إذا جرى بيع الشخص في ال</w:t>
      </w:r>
      <w:r w:rsidR="008068E2">
        <w:rPr>
          <w:rFonts w:hint="cs"/>
          <w:rtl/>
        </w:rPr>
        <w:t>خارج. وفي منغوليا، جرى تسجيل ما</w:t>
      </w:r>
      <w:r w:rsidR="008068E2">
        <w:rPr>
          <w:rFonts w:hint="eastAsia"/>
          <w:rtl/>
        </w:rPr>
        <w:t> </w:t>
      </w:r>
      <w:r>
        <w:rPr>
          <w:rFonts w:hint="cs"/>
          <w:rtl/>
        </w:rPr>
        <w:t>مجموعه 7 جرائم بيع وشراء بشر في الفترة 2003-2005. وليس بوسعنا الحصول على وقائع وبيانات حقيقية عن عدد النساء اللائي يجري الاتجار بهن في الخارج لأغراض البغاء كل عام</w:t>
      </w:r>
      <w:r w:rsidRPr="00EE6346">
        <w:rPr>
          <w:vertAlign w:val="superscript"/>
          <w:rtl/>
        </w:rPr>
        <w:t>(</w:t>
      </w:r>
      <w:r>
        <w:rPr>
          <w:rStyle w:val="FootnoteReference"/>
          <w:rtl/>
        </w:rPr>
        <w:footnoteReference w:id="4"/>
      </w:r>
      <w:r w:rsidRPr="00EE6346">
        <w:rPr>
          <w:vertAlign w:val="superscript"/>
          <w:rtl/>
        </w:rPr>
        <w:t>)</w:t>
      </w:r>
      <w:r>
        <w:rPr>
          <w:rFonts w:hint="cs"/>
          <w:rtl/>
        </w:rPr>
        <w:t>.</w:t>
      </w:r>
    </w:p>
    <w:p w:rsidR="00FE4F97" w:rsidRDefault="00FE4F97">
      <w:pPr>
        <w:pStyle w:val="SingleTxt"/>
        <w:rPr>
          <w:rFonts w:hint="cs"/>
          <w:rtl/>
        </w:rPr>
      </w:pPr>
      <w:r>
        <w:rPr>
          <w:rFonts w:hint="cs"/>
          <w:rtl/>
        </w:rPr>
        <w:tab/>
        <w:t xml:space="preserve">وتنظر منغوليا في مسألة التصديق على اتفاقية الأمم المتحدة لمكافحة الجريمة المنظمة عبر الوطنية وبروتوكول منع وقمع ومعاقبة الاتجار بالأشخاص، وبخاصة النساء والأطفال، الملحق بها، اللذين اعتمدتهما الأمم المتحدة في عام 2000. ولم يكن استغلال الأطفال والنساء والاتجار بهم في الخارج لأغراض الاستغلال الجنسي قضية خطيرة في منغوليا إلى عهد قريب. بيد أنه، في الآونة الأخيرة، تتعرض الفتيات والنساء المنغوليات للإغراء بالإعلانات المخادعة والتجار المحتالين ويذهبن للخارج حيث يتعرضن للعنف والإكراه نظرا لضعف وضعهن لعدم تمكنهن من التماس المساعدة بسبب إقامتهن غير المشروعة، وافتقارهن للوثائق، والدخل واللغة. وتعاني هؤلاء الفتيات والنساء من الآلام البدنية والنفسية، وتنتهك حقوقهن. وهكذا، لما كانت حكومة منغوليا تولي اهتماما خاصا بحقوق الأطفال والنساء، فقد اعتمدت في عام 2005 </w:t>
      </w:r>
      <w:r>
        <w:rPr>
          <w:rFonts w:hint="eastAsia"/>
          <w:rtl/>
        </w:rPr>
        <w:t xml:space="preserve">”البرنامج الوطني لحماية الأشخاص من البيع، ولا سيما من استخدام الأطفال والنساء </w:t>
      </w:r>
      <w:r>
        <w:rPr>
          <w:rFonts w:hint="cs"/>
          <w:rtl/>
        </w:rPr>
        <w:t>لأغراض</w:t>
      </w:r>
      <w:r>
        <w:rPr>
          <w:rFonts w:hint="eastAsia"/>
          <w:rtl/>
        </w:rPr>
        <w:t xml:space="preserve"> الاستغلال الجنسي</w:t>
      </w:r>
      <w:r>
        <w:rPr>
          <w:rFonts w:hint="cs"/>
          <w:rtl/>
        </w:rPr>
        <w:t>“. وجرى إعداد البرنامج فيما يربو على عام بدعم من منظمة الأمم المتحدة للطفولة نتيجة أكثر من 10 اجتماعات ومناقشات أجراها الفريق العامل وممثلون مختلفون آخرون عكست اقتراحاتهم وتوصياتهم. ويرمي البرنامج إلى تحقيق أهداف من قبيل أداء الالتزامات التي تتحملها منغوليا بموجب المعاهدات الدولية المعنية بالاتجار بالبشر ولا سيما استخدام الأطفال والنساء لأغراض الاستغلال الجنسي، وزيادة القدرة على منع، وتحديد ومكافحة تعقيد البيئة القانونية ذات الصلة، مما يكفل مشاركة المنظمات والمواطنين وزيادة المعرفة والفهم في هذا الشأن. وحدد البرنامج أيضا أنشطته.</w:t>
      </w:r>
    </w:p>
    <w:p w:rsidR="00FE4F97" w:rsidRDefault="00FE4F97">
      <w:pPr>
        <w:pStyle w:val="SingleTxt"/>
        <w:rPr>
          <w:rFonts w:hint="cs"/>
          <w:rtl/>
        </w:rPr>
      </w:pPr>
      <w:r>
        <w:rPr>
          <w:rFonts w:hint="cs"/>
          <w:rtl/>
        </w:rPr>
        <w:tab/>
        <w:t>وتقوم حاليا وزارة العدل والداخلية باستعراض تنفيذ التشريع المتعلق بمكافحة الفُحش وتعمل على تعديل قانون مكافحة الفُحش (1998).</w:t>
      </w:r>
    </w:p>
    <w:p w:rsidR="00FE4F97" w:rsidRDefault="00FE4F97">
      <w:pPr>
        <w:pStyle w:val="SingleTxt"/>
        <w:rPr>
          <w:rFonts w:hint="cs"/>
          <w:rtl/>
        </w:rPr>
      </w:pPr>
      <w:r>
        <w:rPr>
          <w:rFonts w:hint="cs"/>
          <w:rtl/>
        </w:rPr>
        <w:tab/>
        <w:t>وفي منغوليا اليوم حوالي 380 قانونا نافذ المفعول. بيد أن تنفيذ بعض القوانين ليس كافيا. وعلينا أن نعترف بأن بعض القوانين تتضمن أحكاما ذات طبيعة تمييزية ضمنيا. فالمرأة تتقاعد قبل الرجل بخمس سنوات. ومن ناحية، تعرَّض هذا الحكم للنقد بين السكان في السنوات الماضية بوصفه حكما يقيد الفرص المتاحة للمرأة للعمل والحصول على أجر أعلى. ومن ناحية أخرى، تعترض المنظمات غير الحكومية على هذا الحكم وتطالب بضرورة تغيير سن التقاعد بعناية، بالنظر إلى أن المعاش التقاعدي لكبر السن قد أصبح المصدر الرئيسي للدخل لكثير من النساء المسنات اليوم.</w:t>
      </w:r>
    </w:p>
    <w:p w:rsidR="00FE4F97" w:rsidRDefault="00FE4F97">
      <w:pPr>
        <w:pStyle w:val="SingleTxt"/>
        <w:rPr>
          <w:rFonts w:hint="cs"/>
          <w:rtl/>
        </w:rPr>
      </w:pPr>
      <w:r>
        <w:rPr>
          <w:rFonts w:hint="cs"/>
          <w:rtl/>
        </w:rPr>
        <w:tab/>
        <w:t>وقد أصبح تعميم مراعاة القضايا الجنسانية في السياسات والبرامج الوطنية، وبالتالي تغيير الآلية الوطنية لحماية مصالح المرأة لتتمشى مع المضمون الجديد للتنمية، هدفا هاما آخر لإصلاحات سياسة الدولة ذات التوجه الجنساني إلى جانب الإصلاحات التشريعية. ويمثل البرنامج الوطني للنهوض بوضع المرأة أحد الوثائق البارزة لإرشاد سياسة الدولة بشأن المرأة المنغولية من أجل تنفيذ مفهوم اتفاقية القضاء على جميع أشكال التمييز ضد المرأة ومفهوم إعلان ومنهاج عمل بيجين المعتمدين في المؤتمر المعني بالمرأة لعام 1995، وذلك وفقا للسمات المميزة الوطنية. وأدي تنفيذ البرنامج دورا هاما في إيجاد آلية وطنية لضمان حقوق المرأة، وتحسين تعليمها، وتحسين صحتها الإنجابية وكفالة تنمية المرأة وكذلك كفالة اشتراك الرجل والمرأة على قدم المساواة في التنمية الاجتماعية، ومن ثم غرس فهم ومعنى نوع الجنس في علم النفس الاجتماعي</w:t>
      </w:r>
      <w:r w:rsidRPr="004B6CBB">
        <w:rPr>
          <w:vertAlign w:val="superscript"/>
          <w:rtl/>
        </w:rPr>
        <w:t>(</w:t>
      </w:r>
      <w:r>
        <w:rPr>
          <w:rStyle w:val="FootnoteReference"/>
          <w:rtl/>
        </w:rPr>
        <w:footnoteReference w:id="5"/>
      </w:r>
      <w:r w:rsidRPr="004B6CBB">
        <w:rPr>
          <w:vertAlign w:val="superscript"/>
          <w:rtl/>
        </w:rPr>
        <w:t>)</w:t>
      </w:r>
      <w:r>
        <w:rPr>
          <w:rFonts w:hint="cs"/>
          <w:rtl/>
        </w:rPr>
        <w:t xml:space="preserve">. </w:t>
      </w:r>
    </w:p>
    <w:p w:rsidR="00FE4F97" w:rsidRDefault="00FE4F97">
      <w:pPr>
        <w:pStyle w:val="SingleTxt"/>
        <w:rPr>
          <w:rFonts w:hint="cs"/>
          <w:i/>
          <w:iCs/>
          <w:rtl/>
        </w:rPr>
      </w:pPr>
      <w:r>
        <w:rPr>
          <w:rFonts w:hint="cs"/>
          <w:rtl/>
        </w:rPr>
        <w:tab/>
        <w:t xml:space="preserve">وقد اعتُمد البرنامج الوطني للمساواة بين الجنسين في عام 2002 بموجب قرار الحكومة رقم 274 وفقا للاتجاهات الإنمائية الحديثة والاحتياجات والضرورات العملية والاستراتيجية للتنمية الجنسانية. وقد أُعد البرنامج من خلال دراسة التوصيات والمقترحات الصادرة عن أربعة مؤتمرات نظرية وعملية جرى تنظيمها لمناقشة المشاكل </w:t>
      </w:r>
      <w:r>
        <w:rPr>
          <w:rFonts w:hint="cs"/>
          <w:i/>
          <w:iCs/>
          <w:rtl/>
        </w:rPr>
        <w:t xml:space="preserve">الفعلية </w:t>
      </w:r>
      <w:r w:rsidRPr="00A24030">
        <w:rPr>
          <w:rFonts w:hint="cs"/>
          <w:rtl/>
        </w:rPr>
        <w:t xml:space="preserve">لرجال ونساء منغوليا. وأيضا، جرى تنظيم المنتدى الوطني </w:t>
      </w:r>
      <w:r w:rsidRPr="00A24030">
        <w:rPr>
          <w:rFonts w:hint="eastAsia"/>
          <w:rtl/>
        </w:rPr>
        <w:t>”نوع الجنس والتنمية</w:t>
      </w:r>
      <w:r w:rsidRPr="00A24030">
        <w:rPr>
          <w:rFonts w:hint="cs"/>
          <w:rtl/>
        </w:rPr>
        <w:t xml:space="preserve">“ في عام 2002 الذي قام فيه ممثلو الدولة، والحكومة المحلية، </w:t>
      </w:r>
      <w:r>
        <w:rPr>
          <w:rFonts w:hint="cs"/>
          <w:rtl/>
        </w:rPr>
        <w:t>و</w:t>
      </w:r>
      <w:r w:rsidRPr="00A24030">
        <w:rPr>
          <w:rFonts w:hint="cs"/>
          <w:rtl/>
        </w:rPr>
        <w:t>المنظمات غير الحكومية، وا</w:t>
      </w:r>
      <w:r>
        <w:rPr>
          <w:rFonts w:hint="cs"/>
          <w:rtl/>
        </w:rPr>
        <w:t>لدوائر</w:t>
      </w:r>
      <w:r w:rsidRPr="00A24030">
        <w:rPr>
          <w:rFonts w:hint="cs"/>
          <w:rtl/>
        </w:rPr>
        <w:t xml:space="preserve"> العلمي</w:t>
      </w:r>
      <w:r>
        <w:rPr>
          <w:rFonts w:hint="cs"/>
          <w:rtl/>
        </w:rPr>
        <w:t>ة</w:t>
      </w:r>
      <w:r w:rsidRPr="00A24030">
        <w:rPr>
          <w:rFonts w:hint="cs"/>
          <w:rtl/>
        </w:rPr>
        <w:t xml:space="preserve"> </w:t>
      </w:r>
      <w:r>
        <w:rPr>
          <w:rFonts w:hint="cs"/>
          <w:rtl/>
        </w:rPr>
        <w:t>و</w:t>
      </w:r>
      <w:r w:rsidRPr="00A24030">
        <w:rPr>
          <w:rFonts w:hint="cs"/>
          <w:rtl/>
        </w:rPr>
        <w:t>وسائط الإعلام، والقطاع الخاص والمنظمات الدولية، بما في ذلك ت</w:t>
      </w:r>
      <w:r>
        <w:rPr>
          <w:rFonts w:hint="cs"/>
          <w:rtl/>
        </w:rPr>
        <w:t>م</w:t>
      </w:r>
      <w:r w:rsidRPr="00A24030">
        <w:rPr>
          <w:rFonts w:hint="cs"/>
          <w:rtl/>
        </w:rPr>
        <w:t>ثي</w:t>
      </w:r>
      <w:r>
        <w:rPr>
          <w:rFonts w:hint="cs"/>
          <w:rtl/>
        </w:rPr>
        <w:t>ل واسع النطاق للمرأة، بم</w:t>
      </w:r>
      <w:r w:rsidRPr="00A24030">
        <w:rPr>
          <w:rFonts w:hint="cs"/>
          <w:rtl/>
        </w:rPr>
        <w:t>ناقشة مشروع البرنامج الوطني للمساواة بين الجنسين.</w:t>
      </w:r>
    </w:p>
    <w:p w:rsidR="00FE4F97" w:rsidRDefault="00FE4F97">
      <w:pPr>
        <w:pStyle w:val="SingleTxt"/>
        <w:rPr>
          <w:rFonts w:hint="cs"/>
          <w:rtl/>
        </w:rPr>
      </w:pPr>
      <w:r>
        <w:rPr>
          <w:rFonts w:hint="cs"/>
          <w:rtl/>
        </w:rPr>
        <w:tab/>
        <w:t xml:space="preserve">ويتألف البرنامج الوطني للمساواة بين الجنسين من خمسة أجزاء، هي: </w:t>
      </w:r>
      <w:r>
        <w:rPr>
          <w:rFonts w:hint="cs"/>
          <w:i/>
          <w:iCs/>
          <w:rtl/>
        </w:rPr>
        <w:t>المساواة بين الجنسين في العلاقات العائلية، والمساواة بين الجنسين في العلاقات الاقتصادية، والمساواة بين الجنسين في التنمية الريفية، والمساواة بين الجنسين على صعيد صنع القرار، والآلية الوطنية ومشاركة المجتمع المدني.</w:t>
      </w:r>
      <w:r>
        <w:rPr>
          <w:rFonts w:hint="cs"/>
          <w:rtl/>
        </w:rPr>
        <w:t xml:space="preserve"> ويشتمل كل جزء على حزمة من المجالات محل الاهتمام الـ 12 الحيوية في منهاج العمل المعتمد في مؤتمر بيجين. ومن المقرر تنفيذ البرنامج الوطني على أربع مراحل (المرحلة الأولى: 2003-2004، والمرحلة الثانية: 2005-2008، والمرحلة الثالثة 2009-2012 والمرحلة الرابعة: 2013-2015) حتى عام 2015.</w:t>
      </w:r>
    </w:p>
    <w:p w:rsidR="00FE4F97" w:rsidRDefault="00FE4F97">
      <w:pPr>
        <w:pStyle w:val="SingleTxt"/>
        <w:rPr>
          <w:rFonts w:hint="cs"/>
          <w:rtl/>
        </w:rPr>
      </w:pPr>
      <w:r>
        <w:rPr>
          <w:rFonts w:hint="cs"/>
          <w:rtl/>
        </w:rPr>
        <w:tab/>
        <w:t>ووفقا للبرنامج، سيجري تقييم العمل المنجز في كل مرحلة وإعداد العمل المقرر إنجازه في المرحلة التالية بالتفصيل واعتماده من الحكومة في كل مرة. وجرى تقييم المرحلة الأولى للبرنامج في عام 2004. ونوقش مشروع خطة عمل الأنشطة للمرحلة الثانية في حلقة دراسية عن تخطيط الاستراتيجية. وأيضا، جرى في عام 2005 تنظيم اجتماع استشاري بشأن خطة الأنشطة المتعلقة بالمرحلة الثانية، وذلك على الصعيد الوطني. وفي كانون الثاني/يناير 2006، ناقشت الحكومة واعتمدت خطة عمل الأنشطة المتعلقة بالمرحلة الثانية للبرنامج الوطني للمساواة بين الجنسين.</w:t>
      </w:r>
    </w:p>
    <w:p w:rsidR="00FE4F97" w:rsidRDefault="00FE4F97">
      <w:pPr>
        <w:pStyle w:val="SingleTxt"/>
        <w:rPr>
          <w:rFonts w:hint="cs"/>
          <w:rtl/>
        </w:rPr>
      </w:pPr>
      <w:r>
        <w:rPr>
          <w:rFonts w:hint="cs"/>
          <w:rtl/>
        </w:rPr>
        <w:tab/>
        <w:t>وترى الحكومة أن من شأن وجود آلية وطنية معنية بالمساواة بين الجنسين بمشاركة المجتمع المدني أن يؤدي دورا هاما في تنفيذ السياسات والقرارات المتعلقة بالمساواة بنجاح وتولي الاهتمام بصقل تلك الآلية. والمجلس الوطني المعني بالمساواة بين الجنسين الذي أنشئ في عام 2001 برئاسة نائب رئيس مجلس الوزراء لا يمكن أن يصبح آلية لإدماج القضايا الجنسانية في مختلف السياسات القطاعية، والبرامج والخطط ولتنسيق الأنشطة الشاملة في إطار البرنامج الوطني للمساواة بين الجنسين. ولذلك، أنشأت الحكومة اللجنة الوطنية المعنية بالمساواة بين الجنسين برئاسة رئيس الوزراء في عام 2005. واللجنة الوطنية هيئة استشارية على الصعيد الوطني معنية بالحالة المستقبلية للمساواة بين الجنسين. وتتمثل وظائفها في الدفع إلى إعداد وتنفيذ سياسات الدولة في هذا الصدد، ودعم أي مبادرات للدولة، ومنظمات المجتمع المدني والأفراد في تقييم نتائجها، والتعاون مع المنظمات الدولية والجهات المانحة وتنسيق أنشطتها.</w:t>
      </w:r>
    </w:p>
    <w:p w:rsidR="00FE4F97" w:rsidRDefault="00FE4F97">
      <w:pPr>
        <w:pStyle w:val="SingleTxt"/>
        <w:rPr>
          <w:rFonts w:hint="cs"/>
          <w:rtl/>
        </w:rPr>
      </w:pPr>
      <w:r>
        <w:rPr>
          <w:rFonts w:hint="cs"/>
          <w:rtl/>
        </w:rPr>
        <w:tab/>
        <w:t>وبالإضافة إلى البرنامج الوطني للمساواة بين الجنسين، اعتمد إيخ خورال الدولة (البرلمان) في منغوليا سياسة الدولة بشأن تنمية الأسرة في عام 2003، والبرنامج الوطني لحقوق الإنسان في منغوليا في عام 2003، وسياسة الدولة بشأن تنمية السكان في عام 2004 وأهداف منغوليا الإنمائية للألفية حتى عام 2015، وذلك في عام 2005.             وهذه الصكوك تنص على تنظيم الأعمال لكفالة تحقيق المساواة بين الجنسين في العلاقات العائلية، وكفالة الحقوق المتساوية والمساواة للرجل والمرأة وكفالة المساواة بين الجنسين في عملية تنمية السكان.</w:t>
      </w:r>
    </w:p>
    <w:p w:rsidR="00FE4F97" w:rsidRDefault="00FE4F97">
      <w:pPr>
        <w:pStyle w:val="SingleTxt"/>
        <w:rPr>
          <w:rFonts w:hint="cs"/>
          <w:rtl/>
        </w:rPr>
      </w:pPr>
      <w:r>
        <w:rPr>
          <w:rFonts w:hint="cs"/>
          <w:rtl/>
        </w:rPr>
        <w:tab/>
        <w:t>وفي السنوات الماضية، أصبحت منظمات المجتمع المدني متزايدة النشاط في الحياة الاجتماعية، والاقتصادية والسياسية في منغوليا. وهذا يشمل إنشاء كثير من المنظمات الرامية إلى حماية حقوق الإنسان والحريات. وقد ازداد بصورة ملحوظة تأثيرها على سياسات الحكومة وقراراتها ودعمها لتنفيذ تلك السياسات والقرارات. وبوصفها واحدة من أكثر طرق مشاركة المجتمع المدني شيوعا، فإنها تنهمك في عملية إعداد ورقات السياسة العامة وتحديد السياسات، وتشترك في عمل الأفرقة العاملة لإجراء بحوث في هذا الصدد وتقديم آرائها. وانخراط المرأة على نطاق واسع في أعمال البحث، والتحليل والتجهيز يتيح المزيد من الفرص لإدراج وجهة نظرها في مشاريع برامج وخطط التنمية الجنسانية وتنفيذ، واستعراض وتقييم البرامج والخطط. ولسوء الحظ، بالمقارنة بالمنظمات غير الحكومية، فإن مشاركة القطاع الخاص في إعداد وتنفيذ سياسات وبرامج التنمية الاجتماعية ليست كافية. والمشاركة النشطة لممثلي القطاع الخاص والكيانات التجارية التي أخذت تنمو بصورة كبيرة طوال السنوات الماضية في عملية تنمية المرأة والتنمية الجنسانية أصبحت هدفا هاما. واليوم تفتقر المنظمات الحكومية وغير الحكومية للقدرة على الإدماج الكامل للقضايا الجنسانية وإدراج الاحتياجات الاستراتيجية للرجل والمرأة في السياسات والبرامج الاقتصادية والاجتماعية وإجراء تحليل جنساني.</w:t>
      </w:r>
    </w:p>
    <w:p w:rsidR="00FE4F97" w:rsidRDefault="00FE4F97">
      <w:pPr>
        <w:pStyle w:val="SingleTxt"/>
        <w:spacing w:line="380" w:lineRule="exact"/>
        <w:rPr>
          <w:rFonts w:hint="cs"/>
          <w:rtl/>
        </w:rPr>
      </w:pPr>
      <w:r>
        <w:rPr>
          <w:rFonts w:hint="cs"/>
          <w:rtl/>
        </w:rPr>
        <w:tab/>
        <w:t xml:space="preserve">واليوم من الضروري إلى أقصى درجة الدعاية والدعوة إلى تنفيذ المعاهدات والاتفاقيات الدولية المتعلقة بحقوق الإنسان، وقرارات المؤتمرات الدولية المتعلقة بالمرأة فضلا عن التشريعات، والسياسات والبرامج الوطنية المتعلقة بحقوق الإنسان. وجرى الإعلان         بنجاح على جميع المستويات عن البروتوكول الاختياري الملحق باتفاقية القضاء على جميع أشكال التمييز ضد المرأة التي صدق عليها البرلمان في عام 2001 وأهداف منغوليا الإنمائية للألفية التي اعتمدها البرلمان في عام 2005. وعلى سبيل المثال، اعتمدت الحكومة خطة السنوات الثلاث الخاصة لتنفيذ اتفاقية القضاء على جميع أشكال التمييز ضد المرأة. وفي نطاق هذه الخطة، جرى تنظيم حلقة عمل خاصة بعنوان </w:t>
      </w:r>
      <w:r>
        <w:rPr>
          <w:rFonts w:hint="eastAsia"/>
          <w:rtl/>
        </w:rPr>
        <w:t>”إعداد التقرير المتعلق بالاتفاقية</w:t>
      </w:r>
      <w:r>
        <w:rPr>
          <w:rFonts w:hint="cs"/>
          <w:rtl/>
        </w:rPr>
        <w:t>“ لممثلي المنظمات الحكومية وغير الحكومية، والأكاديميين في الجامعات والمعاهد وبوجه خاص لموظفي الحكومة لتحسين معرفتهم ورفع مستوى مؤهلاتهم فيما يتعلق بالإشراف على تنفيذ المعاهدات والاتفاقيات المتعلقة بحقوق المرأة، وتقييمه والإبلاغ عنه. وأدى اشتراك ممثلي منظمة رصد العمل الدولي من أجل حقوق المرأة في آسيا - المحيط الهادئ دورا هاما في تنسيق تنفيذ اتفاقية القضاء على جميع أشكال التمييز ضد المرأة في البلد إلى جانب جهود المنظمات الدولية لكفالة حقوق الإنسان وحقوق المرأة.</w:t>
      </w:r>
    </w:p>
    <w:p w:rsidR="00FE4F97" w:rsidRDefault="00FE4F97">
      <w:pPr>
        <w:pStyle w:val="SingleTxt"/>
        <w:spacing w:line="380" w:lineRule="exact"/>
        <w:rPr>
          <w:rFonts w:hint="cs"/>
          <w:rtl/>
        </w:rPr>
      </w:pPr>
      <w:r>
        <w:rPr>
          <w:rFonts w:hint="cs"/>
          <w:rtl/>
        </w:rPr>
        <w:tab/>
        <w:t>وعلاوة على ذلك، بدأنا في منغوليا تنظيم حملات بين الجمهور بمناسبة احتفالات مثل اليوم العالمي للسكان، و16 يوما من النشاط للقضاء على العنف ضد المرأة، واليوم الدولي لحماية حقوق المرأة ويوم الأسرة. وجرى تنظيم كثير من الأحداث الهامة بمناسبة الذكرى السنوية العشرين والذكرى السنوية الخامسة والعشرين لانضمام منغوليا لاتفاقية القضاء على جميع أشكال التمييز ضد المرأة. وهذا يشمل الإعلان عن تنفيذ الاتفاقية من خلال وسائط الإعلام الجماهيري وفي الأماكن العامة، وتوزيع الكتيبات، وتنظيم مناقشات واجتماعات وبث للإعلانات على القنوات التي تحظى باهتمام الشباب عن طريق المنظمات غير الحكومية الوطنية والدولية بالتعاون مع منظمات وسائط الإعلام الجماهيري. وتؤدي تلك التدابير إلى زيادة معرفة وفهم جميع المنظمات والموظفين العاملين في ميدان نوع الجنس، والأسرة والمرأة فيما يتعلق بالاتفاقية.</w:t>
      </w:r>
    </w:p>
    <w:p w:rsidR="00FE4F97" w:rsidRPr="00754363" w:rsidRDefault="00FE4F97">
      <w:pPr>
        <w:pStyle w:val="SingleTxt"/>
        <w:spacing w:after="0" w:line="380" w:lineRule="exact"/>
        <w:rPr>
          <w:rFonts w:hint="cs"/>
          <w:sz w:val="12"/>
          <w:rtl/>
        </w:rPr>
      </w:pPr>
    </w:p>
    <w:p w:rsidR="00FE4F97" w:rsidRPr="009B24A3" w:rsidRDefault="00FE4F97" w:rsidP="00B35C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rPr>
      </w:pPr>
      <w:r>
        <w:rPr>
          <w:rFonts w:hint="cs"/>
          <w:rtl/>
        </w:rPr>
        <w:tab/>
      </w:r>
      <w:r w:rsidRPr="009B24A3">
        <w:rPr>
          <w:rFonts w:hint="cs"/>
          <w:rtl/>
        </w:rPr>
        <w:t>ثالثا -</w:t>
      </w:r>
      <w:r w:rsidRPr="009B24A3">
        <w:rPr>
          <w:rFonts w:hint="cs"/>
          <w:rtl/>
        </w:rPr>
        <w:tab/>
        <w:t>اشتراك المرأة في التنمية الاجتماعية</w:t>
      </w:r>
    </w:p>
    <w:p w:rsidR="00FE4F97" w:rsidRDefault="00FE4F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i/>
          <w:iCs/>
          <w:rtl/>
        </w:rPr>
      </w:pPr>
      <w:r w:rsidRPr="00754363">
        <w:rPr>
          <w:rFonts w:hint="cs"/>
          <w:i/>
          <w:iCs/>
          <w:rtl/>
        </w:rPr>
        <w:tab/>
      </w:r>
      <w:r>
        <w:rPr>
          <w:rFonts w:hint="cs"/>
          <w:i/>
          <w:iCs/>
          <w:rtl/>
        </w:rPr>
        <w:tab/>
      </w:r>
      <w:r w:rsidRPr="00754363">
        <w:rPr>
          <w:rFonts w:hint="cs"/>
          <w:i/>
          <w:iCs/>
          <w:rtl/>
        </w:rPr>
        <w:t>3-1</w:t>
      </w:r>
      <w:r w:rsidRPr="00754363">
        <w:rPr>
          <w:rFonts w:hint="cs"/>
          <w:i/>
          <w:iCs/>
          <w:rtl/>
        </w:rPr>
        <w:tab/>
        <w:t>الأن</w:t>
      </w:r>
      <w:r>
        <w:rPr>
          <w:rFonts w:hint="cs"/>
          <w:i/>
          <w:iCs/>
          <w:rtl/>
        </w:rPr>
        <w:t>شطة الرامية إلى كفالة الحق في التعليم</w:t>
      </w:r>
    </w:p>
    <w:p w:rsidR="00FE4F97" w:rsidRDefault="00FE4F97">
      <w:pPr>
        <w:pStyle w:val="SingleTxt"/>
        <w:spacing w:line="380" w:lineRule="exact"/>
      </w:pPr>
      <w:r>
        <w:rPr>
          <w:rFonts w:hint="cs"/>
          <w:rtl/>
        </w:rPr>
        <w:tab/>
        <w:t xml:space="preserve">خلال السنوات التي كانت تنمو فيها منغوليا في ظل مفهوم الاشتراكية، أولت الحكومة اهتماما كبيرا بانخراط السكان، بمن فيهم جميع الأطفال في سن التعليم الإلزامي، في المدارس وتوفير التعليم المناسب لهم. وجرى اتخاذ تدابير محددة في هذا الصدد وفقا لمراحل تنمية البلد. وبفضل تلك الجهود، بلغ إلمام السكان بالقراءة والكتابة وتعليمهم درجة عالية على المستوى الدولي، وهو إنجاز هام من الناحية التاريخية. والدراسة المقارنة لبيانات تعداد السكان تكشف عن أن النسبة المئوية للنساء البالغات من العمر 15 عاما وأكبر الحاصلات على تعليم عال قد زادت في عام 2000 بـ 4.2 وحدات بالمقارنة بعام 1979 وبوحدتين بالمقارنة بعام 1989، وبذلك بلغت نفس مستوى الرجال. ويتضح من  هذا أن النسبة بين الذكور والإناث فيما يتعلق بالسكان الحاصلين على تعليم عـــال قد نقصـــت بسرعـــة، أي بـ 37.5 وحدة. </w:t>
      </w:r>
    </w:p>
    <w:p w:rsidR="00FE4F97" w:rsidRDefault="00FE4F97">
      <w:pPr>
        <w:pStyle w:val="SingleTxt"/>
        <w:spacing w:after="0"/>
        <w:rPr>
          <w:rFonts w:hint="cs"/>
          <w:b/>
          <w:bCs/>
          <w:rtl/>
        </w:rPr>
      </w:pPr>
      <w:r>
        <w:rPr>
          <w:rtl/>
        </w:rPr>
        <w:br w:type="page"/>
      </w:r>
      <w:r w:rsidRPr="009B24A3">
        <w:rPr>
          <w:rFonts w:hint="cs"/>
          <w:rtl/>
        </w:rPr>
        <w:t>الجدول 4</w:t>
      </w:r>
    </w:p>
    <w:p w:rsidR="00FE4F97" w:rsidRDefault="00FE4F97">
      <w:pPr>
        <w:pStyle w:val="SingleTxt"/>
        <w:rPr>
          <w:rFonts w:hint="cs"/>
          <w:rtl/>
        </w:rPr>
      </w:pPr>
      <w:r w:rsidRPr="009B24A3">
        <w:rPr>
          <w:rFonts w:hint="cs"/>
          <w:b/>
          <w:bCs/>
          <w:rtl/>
        </w:rPr>
        <w:t xml:space="preserve">مستوى تعليم الكبار </w:t>
      </w:r>
      <w:r>
        <w:rPr>
          <w:rFonts w:hint="cs"/>
          <w:i/>
          <w:iCs/>
          <w:rtl/>
        </w:rPr>
        <w:t>(وفقا لبيانات تعداد السكان عام 1979، وعام 1989، وعام 2000)</w:t>
      </w:r>
    </w:p>
    <w:tbl>
      <w:tblPr>
        <w:bidiVisual/>
        <w:tblW w:w="7313" w:type="dxa"/>
        <w:tblInd w:w="1409" w:type="dxa"/>
        <w:tblLayout w:type="fixed"/>
        <w:tblLook w:val="01E0" w:firstRow="1" w:lastRow="1" w:firstColumn="1" w:lastColumn="1" w:noHBand="0" w:noVBand="0"/>
      </w:tblPr>
      <w:tblGrid>
        <w:gridCol w:w="1133"/>
        <w:gridCol w:w="824"/>
        <w:gridCol w:w="927"/>
        <w:gridCol w:w="927"/>
        <w:gridCol w:w="824"/>
        <w:gridCol w:w="824"/>
        <w:gridCol w:w="927"/>
        <w:gridCol w:w="927"/>
      </w:tblGrid>
      <w:tr w:rsidR="00FE4F97" w:rsidRPr="00340BA7">
        <w:trPr>
          <w:cantSplit/>
          <w:tblHeader/>
        </w:trPr>
        <w:tc>
          <w:tcPr>
            <w:tcW w:w="1133" w:type="dxa"/>
            <w:tcBorders>
              <w:top w:val="single" w:sz="4" w:space="0" w:color="auto"/>
              <w:bottom w:val="single" w:sz="12" w:space="0" w:color="auto"/>
            </w:tcBorders>
            <w:shd w:val="clear" w:color="auto" w:fill="auto"/>
            <w:vAlign w:val="bottom"/>
          </w:tcPr>
          <w:p w:rsidR="00FE4F97" w:rsidRPr="00340BA7" w:rsidRDefault="00FE4F97">
            <w:pPr>
              <w:pStyle w:val="DualTxt"/>
              <w:spacing w:before="80" w:after="80" w:line="240" w:lineRule="exact"/>
              <w:rPr>
                <w:rFonts w:hint="cs"/>
                <w:i/>
                <w:iCs/>
                <w:sz w:val="16"/>
                <w:szCs w:val="24"/>
                <w:rtl/>
              </w:rPr>
            </w:pPr>
          </w:p>
        </w:tc>
        <w:tc>
          <w:tcPr>
            <w:tcW w:w="824" w:type="dxa"/>
            <w:tcBorders>
              <w:top w:val="single" w:sz="4" w:space="0" w:color="auto"/>
              <w:bottom w:val="single" w:sz="12" w:space="0" w:color="auto"/>
            </w:tcBorders>
            <w:shd w:val="clear" w:color="auto" w:fill="auto"/>
            <w:vAlign w:val="bottom"/>
          </w:tcPr>
          <w:p w:rsidR="00FE4F97" w:rsidRPr="00340BA7" w:rsidRDefault="00FE4F97">
            <w:pPr>
              <w:pStyle w:val="DualTxt"/>
              <w:spacing w:before="80" w:after="80" w:line="240" w:lineRule="exact"/>
              <w:ind w:right="144"/>
              <w:rPr>
                <w:rFonts w:hint="cs"/>
                <w:i/>
                <w:iCs/>
                <w:sz w:val="16"/>
                <w:szCs w:val="24"/>
                <w:rtl/>
              </w:rPr>
            </w:pPr>
            <w:r>
              <w:rPr>
                <w:rFonts w:hint="cs"/>
                <w:i/>
                <w:iCs/>
                <w:sz w:val="16"/>
                <w:szCs w:val="24"/>
                <w:rtl/>
              </w:rPr>
              <w:t>أميون</w:t>
            </w:r>
          </w:p>
        </w:tc>
        <w:tc>
          <w:tcPr>
            <w:tcW w:w="927" w:type="dxa"/>
            <w:tcBorders>
              <w:top w:val="single" w:sz="4" w:space="0" w:color="auto"/>
              <w:bottom w:val="single" w:sz="12" w:space="0" w:color="auto"/>
            </w:tcBorders>
            <w:shd w:val="clear" w:color="auto" w:fill="auto"/>
            <w:vAlign w:val="bottom"/>
          </w:tcPr>
          <w:p w:rsidR="00FE4F97" w:rsidRPr="00340BA7" w:rsidRDefault="00FE4F97">
            <w:pPr>
              <w:pStyle w:val="DualTxt"/>
              <w:spacing w:before="80" w:after="80" w:line="240" w:lineRule="exact"/>
              <w:ind w:right="144"/>
              <w:rPr>
                <w:rFonts w:hint="cs"/>
                <w:i/>
                <w:iCs/>
                <w:sz w:val="16"/>
                <w:szCs w:val="24"/>
                <w:rtl/>
              </w:rPr>
            </w:pPr>
            <w:r>
              <w:rPr>
                <w:rFonts w:hint="cs"/>
                <w:i/>
                <w:iCs/>
                <w:sz w:val="16"/>
                <w:szCs w:val="24"/>
                <w:rtl/>
              </w:rPr>
              <w:t>متعلمون</w:t>
            </w:r>
          </w:p>
        </w:tc>
        <w:tc>
          <w:tcPr>
            <w:tcW w:w="927" w:type="dxa"/>
            <w:tcBorders>
              <w:top w:val="single" w:sz="4" w:space="0" w:color="auto"/>
              <w:bottom w:val="single" w:sz="12" w:space="0" w:color="auto"/>
            </w:tcBorders>
            <w:shd w:val="clear" w:color="auto" w:fill="auto"/>
            <w:vAlign w:val="bottom"/>
          </w:tcPr>
          <w:p w:rsidR="00FE4F97" w:rsidRPr="00340BA7" w:rsidRDefault="00FE4F97">
            <w:pPr>
              <w:pStyle w:val="DualTxt"/>
              <w:spacing w:before="80" w:after="80" w:line="240" w:lineRule="exact"/>
              <w:ind w:right="144"/>
              <w:rPr>
                <w:rFonts w:hint="cs"/>
                <w:i/>
                <w:iCs/>
                <w:sz w:val="16"/>
                <w:szCs w:val="24"/>
                <w:rtl/>
              </w:rPr>
            </w:pPr>
            <w:r>
              <w:rPr>
                <w:rFonts w:hint="cs"/>
                <w:i/>
                <w:iCs/>
                <w:sz w:val="16"/>
                <w:szCs w:val="24"/>
                <w:rtl/>
              </w:rPr>
              <w:t>تعليم ابتدائي</w:t>
            </w:r>
          </w:p>
        </w:tc>
        <w:tc>
          <w:tcPr>
            <w:tcW w:w="824" w:type="dxa"/>
            <w:tcBorders>
              <w:top w:val="single" w:sz="4" w:space="0" w:color="auto"/>
              <w:bottom w:val="single" w:sz="12" w:space="0" w:color="auto"/>
            </w:tcBorders>
            <w:shd w:val="clear" w:color="auto" w:fill="auto"/>
            <w:vAlign w:val="bottom"/>
          </w:tcPr>
          <w:p w:rsidR="00FE4F97" w:rsidRPr="00340BA7" w:rsidRDefault="00FE4F97">
            <w:pPr>
              <w:pStyle w:val="DualTxt"/>
              <w:spacing w:before="80" w:after="80" w:line="240" w:lineRule="exact"/>
              <w:ind w:right="144"/>
              <w:rPr>
                <w:rFonts w:hint="cs"/>
                <w:i/>
                <w:iCs/>
                <w:sz w:val="16"/>
                <w:szCs w:val="24"/>
                <w:rtl/>
              </w:rPr>
            </w:pPr>
            <w:r>
              <w:rPr>
                <w:rFonts w:hint="cs"/>
                <w:i/>
                <w:iCs/>
                <w:sz w:val="16"/>
                <w:szCs w:val="24"/>
                <w:rtl/>
              </w:rPr>
              <w:t>تعليم ثانوي غير كامل</w:t>
            </w:r>
          </w:p>
        </w:tc>
        <w:tc>
          <w:tcPr>
            <w:tcW w:w="824" w:type="dxa"/>
            <w:tcBorders>
              <w:top w:val="single" w:sz="4" w:space="0" w:color="auto"/>
              <w:bottom w:val="single" w:sz="12" w:space="0" w:color="auto"/>
            </w:tcBorders>
            <w:shd w:val="clear" w:color="auto" w:fill="auto"/>
            <w:vAlign w:val="bottom"/>
          </w:tcPr>
          <w:p w:rsidR="00FE4F97" w:rsidRPr="00340BA7" w:rsidRDefault="00FE4F97">
            <w:pPr>
              <w:pStyle w:val="DualTxt"/>
              <w:spacing w:before="80" w:after="80" w:line="240" w:lineRule="exact"/>
              <w:ind w:right="144"/>
              <w:rPr>
                <w:rFonts w:hint="cs"/>
                <w:i/>
                <w:iCs/>
                <w:sz w:val="16"/>
                <w:szCs w:val="24"/>
                <w:rtl/>
              </w:rPr>
            </w:pPr>
            <w:r>
              <w:rPr>
                <w:rFonts w:hint="cs"/>
                <w:i/>
                <w:iCs/>
                <w:sz w:val="16"/>
                <w:szCs w:val="24"/>
                <w:rtl/>
              </w:rPr>
              <w:t>تعليم ثانوي كامل</w:t>
            </w:r>
          </w:p>
        </w:tc>
        <w:tc>
          <w:tcPr>
            <w:tcW w:w="927" w:type="dxa"/>
            <w:tcBorders>
              <w:top w:val="single" w:sz="4" w:space="0" w:color="auto"/>
              <w:bottom w:val="single" w:sz="12" w:space="0" w:color="auto"/>
            </w:tcBorders>
            <w:shd w:val="clear" w:color="auto" w:fill="auto"/>
            <w:vAlign w:val="bottom"/>
          </w:tcPr>
          <w:p w:rsidR="00FE4F97" w:rsidRPr="00340BA7" w:rsidRDefault="00FE4F97">
            <w:pPr>
              <w:pStyle w:val="DualTxt"/>
              <w:spacing w:before="80" w:after="80" w:line="240" w:lineRule="exact"/>
              <w:ind w:right="144"/>
              <w:rPr>
                <w:rFonts w:hint="cs"/>
                <w:i/>
                <w:iCs/>
                <w:sz w:val="16"/>
                <w:szCs w:val="24"/>
                <w:rtl/>
              </w:rPr>
            </w:pPr>
            <w:r>
              <w:rPr>
                <w:rFonts w:hint="cs"/>
                <w:i/>
                <w:iCs/>
                <w:sz w:val="16"/>
                <w:szCs w:val="24"/>
                <w:rtl/>
              </w:rPr>
              <w:t>حاصلون على دبلوم</w:t>
            </w:r>
          </w:p>
        </w:tc>
        <w:tc>
          <w:tcPr>
            <w:tcW w:w="927" w:type="dxa"/>
            <w:tcBorders>
              <w:top w:val="single" w:sz="4" w:space="0" w:color="auto"/>
              <w:bottom w:val="single" w:sz="12" w:space="0" w:color="auto"/>
            </w:tcBorders>
            <w:shd w:val="clear" w:color="auto" w:fill="auto"/>
            <w:vAlign w:val="bottom"/>
          </w:tcPr>
          <w:p w:rsidR="00FE4F97" w:rsidRPr="00340BA7" w:rsidRDefault="00FE4F97">
            <w:pPr>
              <w:pStyle w:val="DualTxt"/>
              <w:spacing w:before="80" w:after="80" w:line="240" w:lineRule="exact"/>
              <w:ind w:right="144"/>
              <w:rPr>
                <w:rFonts w:hint="cs"/>
                <w:i/>
                <w:iCs/>
                <w:sz w:val="16"/>
                <w:szCs w:val="24"/>
                <w:rtl/>
              </w:rPr>
            </w:pPr>
            <w:r>
              <w:rPr>
                <w:rFonts w:hint="cs"/>
                <w:i/>
                <w:iCs/>
                <w:sz w:val="16"/>
                <w:szCs w:val="24"/>
                <w:rtl/>
              </w:rPr>
              <w:t>حاصلون على درجة تعليمية</w:t>
            </w:r>
          </w:p>
        </w:tc>
      </w:tr>
      <w:tr w:rsidR="00FE4F97" w:rsidRPr="00340BA7">
        <w:trPr>
          <w:cantSplit/>
        </w:trPr>
        <w:tc>
          <w:tcPr>
            <w:tcW w:w="7313" w:type="dxa"/>
            <w:gridSpan w:val="8"/>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1979</w:t>
            </w:r>
          </w:p>
        </w:tc>
      </w:tr>
      <w:tr w:rsidR="00FE4F97" w:rsidRPr="00340BA7">
        <w:trPr>
          <w:cantSplit/>
        </w:trPr>
        <w:tc>
          <w:tcPr>
            <w:tcW w:w="1133" w:type="dxa"/>
            <w:shd w:val="clear" w:color="auto" w:fill="auto"/>
            <w:vAlign w:val="bottom"/>
          </w:tcPr>
          <w:p w:rsidR="00FE4F97" w:rsidRPr="00340BA7" w:rsidRDefault="00FE4F97">
            <w:pPr>
              <w:pStyle w:val="DualTxt"/>
              <w:spacing w:before="40" w:after="80" w:line="240" w:lineRule="exact"/>
              <w:rPr>
                <w:rFonts w:hint="cs"/>
                <w:sz w:val="16"/>
                <w:szCs w:val="24"/>
                <w:rtl/>
              </w:rPr>
            </w:pPr>
            <w:r>
              <w:rPr>
                <w:rFonts w:hint="cs"/>
                <w:sz w:val="16"/>
                <w:szCs w:val="24"/>
                <w:rtl/>
              </w:rPr>
              <w:t>المجموع</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7.3</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11.4</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29</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28.4</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9.8</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7.9</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6.2</w:t>
            </w:r>
          </w:p>
        </w:tc>
      </w:tr>
      <w:tr w:rsidR="00FE4F97" w:rsidRPr="00340BA7">
        <w:trPr>
          <w:cantSplit/>
        </w:trPr>
        <w:tc>
          <w:tcPr>
            <w:tcW w:w="1133" w:type="dxa"/>
            <w:shd w:val="clear" w:color="auto" w:fill="auto"/>
            <w:vAlign w:val="bottom"/>
          </w:tcPr>
          <w:p w:rsidR="00FE4F97" w:rsidRPr="00340BA7" w:rsidRDefault="00FE4F97">
            <w:pPr>
              <w:pStyle w:val="DualTxt"/>
              <w:spacing w:before="40" w:after="80" w:line="240" w:lineRule="exact"/>
              <w:rPr>
                <w:rFonts w:hint="cs"/>
                <w:sz w:val="16"/>
                <w:szCs w:val="24"/>
                <w:rtl/>
              </w:rPr>
            </w:pPr>
            <w:r>
              <w:rPr>
                <w:rFonts w:hint="cs"/>
                <w:sz w:val="16"/>
                <w:szCs w:val="24"/>
                <w:rtl/>
              </w:rPr>
              <w:t>ذكور</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3.9</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11.6</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28.8</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32.5</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9.2</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6.6</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7.4</w:t>
            </w:r>
          </w:p>
        </w:tc>
      </w:tr>
      <w:tr w:rsidR="00FE4F97" w:rsidRPr="00340BA7">
        <w:trPr>
          <w:cantSplit/>
        </w:trPr>
        <w:tc>
          <w:tcPr>
            <w:tcW w:w="1133" w:type="dxa"/>
            <w:shd w:val="clear" w:color="auto" w:fill="auto"/>
            <w:vAlign w:val="bottom"/>
          </w:tcPr>
          <w:p w:rsidR="00FE4F97" w:rsidRPr="00340BA7" w:rsidRDefault="00FE4F97">
            <w:pPr>
              <w:pStyle w:val="DualTxt"/>
              <w:spacing w:before="40" w:after="80" w:line="240" w:lineRule="exact"/>
              <w:rPr>
                <w:rFonts w:hint="cs"/>
                <w:sz w:val="16"/>
                <w:szCs w:val="24"/>
                <w:rtl/>
              </w:rPr>
            </w:pPr>
            <w:r>
              <w:rPr>
                <w:rFonts w:hint="cs"/>
                <w:sz w:val="16"/>
                <w:szCs w:val="24"/>
                <w:rtl/>
              </w:rPr>
              <w:t>إناث</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10.6</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11.3</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29.1</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24.3</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10.4</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9.3</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5</w:t>
            </w:r>
          </w:p>
        </w:tc>
      </w:tr>
      <w:tr w:rsidR="00FE4F97" w:rsidRPr="00340BA7">
        <w:trPr>
          <w:cantSplit/>
        </w:trPr>
        <w:tc>
          <w:tcPr>
            <w:tcW w:w="7313" w:type="dxa"/>
            <w:gridSpan w:val="8"/>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1989</w:t>
            </w:r>
          </w:p>
        </w:tc>
      </w:tr>
      <w:tr w:rsidR="00FE4F97" w:rsidRPr="00340BA7">
        <w:trPr>
          <w:cantSplit/>
        </w:trPr>
        <w:tc>
          <w:tcPr>
            <w:tcW w:w="1133" w:type="dxa"/>
            <w:shd w:val="clear" w:color="auto" w:fill="auto"/>
            <w:vAlign w:val="bottom"/>
          </w:tcPr>
          <w:p w:rsidR="00FE4F97" w:rsidRPr="00340BA7" w:rsidRDefault="00FE4F97">
            <w:pPr>
              <w:pStyle w:val="DualTxt"/>
              <w:spacing w:before="40" w:after="80" w:line="240" w:lineRule="exact"/>
              <w:rPr>
                <w:rFonts w:hint="cs"/>
                <w:sz w:val="16"/>
                <w:szCs w:val="24"/>
                <w:rtl/>
              </w:rPr>
            </w:pPr>
            <w:r>
              <w:rPr>
                <w:rFonts w:hint="cs"/>
                <w:sz w:val="16"/>
                <w:szCs w:val="24"/>
                <w:rtl/>
              </w:rPr>
              <w:t>المجموع</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3.5</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6</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20.5</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33.9</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18.1</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9.6</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8.5</w:t>
            </w:r>
          </w:p>
        </w:tc>
      </w:tr>
      <w:tr w:rsidR="00FE4F97" w:rsidRPr="00340BA7">
        <w:trPr>
          <w:cantSplit/>
        </w:trPr>
        <w:tc>
          <w:tcPr>
            <w:tcW w:w="1133" w:type="dxa"/>
            <w:shd w:val="clear" w:color="auto" w:fill="auto"/>
            <w:vAlign w:val="bottom"/>
          </w:tcPr>
          <w:p w:rsidR="00FE4F97" w:rsidRPr="00340BA7" w:rsidRDefault="00FE4F97">
            <w:pPr>
              <w:pStyle w:val="DualTxt"/>
              <w:spacing w:before="40" w:after="80" w:line="240" w:lineRule="exact"/>
              <w:rPr>
                <w:rFonts w:hint="cs"/>
                <w:sz w:val="16"/>
                <w:szCs w:val="24"/>
                <w:rtl/>
              </w:rPr>
            </w:pPr>
            <w:r>
              <w:rPr>
                <w:rFonts w:hint="cs"/>
                <w:sz w:val="16"/>
                <w:szCs w:val="24"/>
                <w:rtl/>
              </w:rPr>
              <w:t>ذكور</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1.8</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5</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19.7</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38.8</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17.6</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7.4</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9.8</w:t>
            </w:r>
          </w:p>
        </w:tc>
      </w:tr>
      <w:tr w:rsidR="00FE4F97" w:rsidRPr="00340BA7">
        <w:trPr>
          <w:cantSplit/>
        </w:trPr>
        <w:tc>
          <w:tcPr>
            <w:tcW w:w="1133" w:type="dxa"/>
            <w:shd w:val="clear" w:color="auto" w:fill="auto"/>
            <w:vAlign w:val="bottom"/>
          </w:tcPr>
          <w:p w:rsidR="00FE4F97" w:rsidRPr="00340BA7" w:rsidRDefault="00FE4F97">
            <w:pPr>
              <w:pStyle w:val="DualTxt"/>
              <w:spacing w:before="40" w:after="80" w:line="240" w:lineRule="exact"/>
              <w:rPr>
                <w:rFonts w:hint="cs"/>
                <w:sz w:val="16"/>
                <w:szCs w:val="24"/>
                <w:rtl/>
              </w:rPr>
            </w:pPr>
            <w:r>
              <w:rPr>
                <w:rFonts w:hint="cs"/>
                <w:sz w:val="16"/>
                <w:szCs w:val="24"/>
                <w:rtl/>
              </w:rPr>
              <w:t>إناث</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5.1</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7</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21.4</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29</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18.6</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11.7</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7.2</w:t>
            </w:r>
          </w:p>
        </w:tc>
      </w:tr>
      <w:tr w:rsidR="00FE4F97" w:rsidRPr="00340BA7">
        <w:trPr>
          <w:cantSplit/>
        </w:trPr>
        <w:tc>
          <w:tcPr>
            <w:tcW w:w="7313" w:type="dxa"/>
            <w:gridSpan w:val="8"/>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2000</w:t>
            </w:r>
          </w:p>
        </w:tc>
      </w:tr>
      <w:tr w:rsidR="00FE4F97" w:rsidRPr="00340BA7">
        <w:trPr>
          <w:cantSplit/>
        </w:trPr>
        <w:tc>
          <w:tcPr>
            <w:tcW w:w="1133" w:type="dxa"/>
            <w:shd w:val="clear" w:color="auto" w:fill="auto"/>
            <w:vAlign w:val="bottom"/>
          </w:tcPr>
          <w:p w:rsidR="00FE4F97" w:rsidRPr="00340BA7" w:rsidRDefault="00FE4F97">
            <w:pPr>
              <w:pStyle w:val="DualTxt"/>
              <w:spacing w:before="40" w:after="80" w:line="240" w:lineRule="exact"/>
              <w:rPr>
                <w:rFonts w:hint="cs"/>
                <w:sz w:val="16"/>
                <w:szCs w:val="24"/>
                <w:rtl/>
              </w:rPr>
            </w:pPr>
            <w:r>
              <w:rPr>
                <w:rFonts w:hint="cs"/>
                <w:sz w:val="16"/>
                <w:szCs w:val="24"/>
                <w:rtl/>
              </w:rPr>
              <w:t>المجموع</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2.2</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3.2</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16.4</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30.1</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29.7</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9.2</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9.2</w:t>
            </w:r>
          </w:p>
        </w:tc>
      </w:tr>
      <w:tr w:rsidR="00FE4F97" w:rsidRPr="00340BA7">
        <w:trPr>
          <w:cantSplit/>
        </w:trPr>
        <w:tc>
          <w:tcPr>
            <w:tcW w:w="1133" w:type="dxa"/>
            <w:shd w:val="clear" w:color="auto" w:fill="auto"/>
            <w:vAlign w:val="bottom"/>
          </w:tcPr>
          <w:p w:rsidR="00FE4F97" w:rsidRPr="00340BA7" w:rsidRDefault="00FE4F97">
            <w:pPr>
              <w:pStyle w:val="DualTxt"/>
              <w:spacing w:before="40" w:after="80" w:line="240" w:lineRule="exact"/>
              <w:rPr>
                <w:rFonts w:hint="cs"/>
                <w:sz w:val="16"/>
                <w:szCs w:val="24"/>
                <w:rtl/>
              </w:rPr>
            </w:pPr>
            <w:r>
              <w:rPr>
                <w:rFonts w:hint="cs"/>
                <w:sz w:val="16"/>
                <w:szCs w:val="24"/>
                <w:rtl/>
              </w:rPr>
              <w:t>ذكور</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2</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3.1</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17</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34</w:t>
            </w:r>
          </w:p>
        </w:tc>
        <w:tc>
          <w:tcPr>
            <w:tcW w:w="824"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27.8</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6.9</w:t>
            </w:r>
          </w:p>
        </w:tc>
        <w:tc>
          <w:tcPr>
            <w:tcW w:w="927" w:type="dxa"/>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9.2</w:t>
            </w:r>
          </w:p>
        </w:tc>
      </w:tr>
      <w:tr w:rsidR="00FE4F97" w:rsidRPr="00340BA7">
        <w:trPr>
          <w:cantSplit/>
        </w:trPr>
        <w:tc>
          <w:tcPr>
            <w:tcW w:w="1133" w:type="dxa"/>
            <w:tcBorders>
              <w:bottom w:val="single" w:sz="12" w:space="0" w:color="auto"/>
            </w:tcBorders>
            <w:shd w:val="clear" w:color="auto" w:fill="auto"/>
            <w:vAlign w:val="bottom"/>
          </w:tcPr>
          <w:p w:rsidR="00FE4F97" w:rsidRPr="00340BA7" w:rsidRDefault="00FE4F97">
            <w:pPr>
              <w:pStyle w:val="DualTxt"/>
              <w:spacing w:before="40" w:after="80" w:line="240" w:lineRule="exact"/>
              <w:rPr>
                <w:rFonts w:hint="cs"/>
                <w:sz w:val="16"/>
                <w:szCs w:val="24"/>
                <w:rtl/>
              </w:rPr>
            </w:pPr>
            <w:r>
              <w:rPr>
                <w:rFonts w:hint="cs"/>
                <w:sz w:val="16"/>
                <w:szCs w:val="24"/>
                <w:rtl/>
              </w:rPr>
              <w:t>إناث</w:t>
            </w:r>
          </w:p>
        </w:tc>
        <w:tc>
          <w:tcPr>
            <w:tcW w:w="824" w:type="dxa"/>
            <w:tcBorders>
              <w:bottom w:val="single" w:sz="12" w:space="0" w:color="auto"/>
            </w:tcBorders>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2.5</w:t>
            </w:r>
          </w:p>
        </w:tc>
        <w:tc>
          <w:tcPr>
            <w:tcW w:w="927" w:type="dxa"/>
            <w:tcBorders>
              <w:bottom w:val="single" w:sz="12" w:space="0" w:color="auto"/>
            </w:tcBorders>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3.4</w:t>
            </w:r>
          </w:p>
        </w:tc>
        <w:tc>
          <w:tcPr>
            <w:tcW w:w="927" w:type="dxa"/>
            <w:tcBorders>
              <w:bottom w:val="single" w:sz="12" w:space="0" w:color="auto"/>
            </w:tcBorders>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15.8</w:t>
            </w:r>
          </w:p>
        </w:tc>
        <w:tc>
          <w:tcPr>
            <w:tcW w:w="824" w:type="dxa"/>
            <w:tcBorders>
              <w:bottom w:val="single" w:sz="12" w:space="0" w:color="auto"/>
            </w:tcBorders>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26.2</w:t>
            </w:r>
          </w:p>
        </w:tc>
        <w:tc>
          <w:tcPr>
            <w:tcW w:w="824" w:type="dxa"/>
            <w:tcBorders>
              <w:bottom w:val="single" w:sz="12" w:space="0" w:color="auto"/>
            </w:tcBorders>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31.6</w:t>
            </w:r>
          </w:p>
        </w:tc>
        <w:tc>
          <w:tcPr>
            <w:tcW w:w="927" w:type="dxa"/>
            <w:tcBorders>
              <w:bottom w:val="single" w:sz="12" w:space="0" w:color="auto"/>
            </w:tcBorders>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11.3</w:t>
            </w:r>
          </w:p>
        </w:tc>
        <w:tc>
          <w:tcPr>
            <w:tcW w:w="927" w:type="dxa"/>
            <w:tcBorders>
              <w:bottom w:val="single" w:sz="12" w:space="0" w:color="auto"/>
            </w:tcBorders>
            <w:shd w:val="clear" w:color="auto" w:fill="auto"/>
            <w:vAlign w:val="bottom"/>
          </w:tcPr>
          <w:p w:rsidR="00FE4F97" w:rsidRPr="00340BA7" w:rsidRDefault="00FE4F97">
            <w:pPr>
              <w:pStyle w:val="DualTxt"/>
              <w:spacing w:before="40" w:after="80" w:line="240" w:lineRule="exact"/>
              <w:ind w:right="144"/>
              <w:rPr>
                <w:rFonts w:hint="cs"/>
                <w:sz w:val="16"/>
                <w:szCs w:val="24"/>
                <w:rtl/>
              </w:rPr>
            </w:pPr>
            <w:r>
              <w:rPr>
                <w:rFonts w:hint="cs"/>
                <w:sz w:val="16"/>
                <w:szCs w:val="24"/>
                <w:rtl/>
              </w:rPr>
              <w:t>9.2</w:t>
            </w:r>
          </w:p>
        </w:tc>
      </w:tr>
    </w:tbl>
    <w:p w:rsidR="00FE4F97" w:rsidRPr="00745A7E" w:rsidRDefault="00FE4F97">
      <w:pPr>
        <w:pStyle w:val="SingleTxt"/>
        <w:spacing w:after="0" w:line="120" w:lineRule="exact"/>
        <w:ind w:left="2592" w:hanging="1325"/>
        <w:rPr>
          <w:rFonts w:hint="cs"/>
          <w:sz w:val="12"/>
          <w:rtl/>
        </w:rPr>
      </w:pPr>
    </w:p>
    <w:p w:rsidR="00FE4F97" w:rsidRDefault="00FE4F9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9B24A3">
        <w:rPr>
          <w:rFonts w:hint="cs"/>
          <w:i/>
          <w:iCs/>
          <w:rtl/>
        </w:rPr>
        <w:t>المصدر</w:t>
      </w:r>
      <w:r>
        <w:rPr>
          <w:rFonts w:hint="cs"/>
          <w:rtl/>
        </w:rPr>
        <w:t xml:space="preserve">: </w:t>
      </w:r>
      <w:r>
        <w:rPr>
          <w:rFonts w:hint="cs"/>
          <w:rtl/>
        </w:rPr>
        <w:tab/>
      </w:r>
      <w:r>
        <w:rPr>
          <w:rFonts w:hint="cs"/>
          <w:rtl/>
        </w:rPr>
        <w:tab/>
        <w:t>المكتب الوطني للإحصاءات. تعداد السكان والمساكن لعام 2000، التعليم والإلمام بالقراءة والكتابة: أولانباتار.</w:t>
      </w:r>
    </w:p>
    <w:p w:rsidR="00FE4F97" w:rsidRPr="009B24A3" w:rsidRDefault="00FE4F97">
      <w:pPr>
        <w:pStyle w:val="SingleTxt"/>
        <w:spacing w:after="0" w:line="120" w:lineRule="exact"/>
        <w:rPr>
          <w:rFonts w:hint="cs"/>
          <w:sz w:val="10"/>
          <w:rtl/>
        </w:rPr>
      </w:pPr>
    </w:p>
    <w:p w:rsidR="00FE4F97" w:rsidRPr="00745A7E" w:rsidRDefault="00FE4F97">
      <w:pPr>
        <w:pStyle w:val="SingleTxt"/>
        <w:spacing w:after="0" w:line="120" w:lineRule="exact"/>
        <w:rPr>
          <w:rFonts w:hint="cs"/>
          <w:sz w:val="12"/>
          <w:rtl/>
        </w:rPr>
      </w:pPr>
    </w:p>
    <w:p w:rsidR="00FE4F97" w:rsidRDefault="00FE4F97">
      <w:pPr>
        <w:pStyle w:val="SingleTxt"/>
        <w:rPr>
          <w:rFonts w:hint="cs"/>
          <w:rtl/>
        </w:rPr>
      </w:pPr>
      <w:r>
        <w:rPr>
          <w:rFonts w:hint="cs"/>
          <w:rtl/>
        </w:rPr>
        <w:tab/>
        <w:t>وبيانات تعداد السكان والمساكن لعام 2000 (الرسم البياني1) تظهر بوضوح أن الحالة التعليمية للرجال والنساء في مجموعهم على الصعيد الوطني متشابهة في جميع الجوانب.</w:t>
      </w:r>
    </w:p>
    <w:p w:rsidR="00FE4F97" w:rsidRDefault="00FE4F97">
      <w:pPr>
        <w:pStyle w:val="SingleTxt"/>
        <w:rPr>
          <w:rFonts w:hint="cs"/>
          <w:rtl/>
        </w:rPr>
      </w:pPr>
    </w:p>
    <w:p w:rsidR="00FE4F97" w:rsidRDefault="00FE4F97">
      <w:pPr>
        <w:pStyle w:val="SingleTxt"/>
        <w:spacing w:after="0"/>
        <w:rPr>
          <w:rFonts w:hint="cs"/>
          <w:rtl/>
        </w:rPr>
      </w:pPr>
      <w:r>
        <w:rPr>
          <w:rtl/>
        </w:rPr>
        <w:br w:type="page"/>
      </w:r>
      <w:r>
        <w:rPr>
          <w:rFonts w:hint="cs"/>
          <w:rtl/>
        </w:rPr>
        <w:t>الرسم البياني 1</w:t>
      </w:r>
    </w:p>
    <w:p w:rsidR="00FE4F97" w:rsidRPr="00534C74" w:rsidRDefault="00FE4F97">
      <w:pPr>
        <w:pStyle w:val="SingleTxt"/>
        <w:rPr>
          <w:rFonts w:hint="cs"/>
          <w:b/>
          <w:bCs/>
          <w:rtl/>
        </w:rPr>
      </w:pPr>
      <w:r w:rsidRPr="00534C74">
        <w:rPr>
          <w:rFonts w:hint="cs"/>
          <w:b/>
          <w:bCs/>
          <w:rtl/>
        </w:rPr>
        <w:t>تعليم السكان، حسب الجنس</w:t>
      </w:r>
    </w:p>
    <w:p w:rsidR="00FE4F97" w:rsidRPr="00534C74" w:rsidRDefault="00FE4F97">
      <w:pPr>
        <w:pStyle w:val="SingleTxt"/>
        <w:spacing w:after="0" w:line="120" w:lineRule="exact"/>
        <w:rPr>
          <w:rFonts w:hint="cs"/>
          <w:sz w:val="10"/>
          <w:rtl/>
        </w:rPr>
      </w:pPr>
    </w:p>
    <w:p w:rsidR="00FE4F97" w:rsidRDefault="00FE4F97">
      <w:pPr>
        <w:pStyle w:val="SingleTxt"/>
        <w:rPr>
          <w:rFonts w:hint="cs"/>
          <w:rtl/>
        </w:rPr>
      </w:pPr>
      <w:r>
        <w:rPr>
          <w:b/>
          <w:bCs/>
          <w:iC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24" type="#_x0000_t75" style="position:absolute;left:0;text-align:left;margin-left:40.75pt;margin-top:3.8pt;width:410.95pt;height:229.6pt;z-index:8">
            <v:imagedata r:id="rId13" o:title=""/>
            <w10:wrap type="square"/>
          </v:shape>
          <o:OLEObject Type="Embed" ProgID="MSGraph.Chart.8" ShapeID="_x0000_s1224" DrawAspect="Content" ObjectID="_1395245879" r:id="rId14">
            <o:FieldCodes>\s</o:FieldCodes>
          </o:OLEObject>
        </w:pict>
      </w:r>
    </w:p>
    <w:p w:rsidR="00FE4F97" w:rsidRDefault="00FE4F97">
      <w:pPr>
        <w:pStyle w:val="SingleTxt"/>
        <w:rPr>
          <w:rFonts w:hint="cs"/>
          <w:rtl/>
        </w:rPr>
      </w:pPr>
    </w:p>
    <w:p w:rsidR="00FE4F97" w:rsidRDefault="00FE4F97">
      <w:pPr>
        <w:pStyle w:val="SingleTxt"/>
        <w:rPr>
          <w:rFonts w:hint="cs"/>
          <w:rtl/>
        </w:rPr>
      </w:pPr>
      <w:r>
        <w:rPr>
          <w:rFonts w:hint="cs"/>
          <w:noProof/>
          <w:w w:val="100"/>
          <w:rtl/>
        </w:rPr>
        <w:pict>
          <v:shapetype id="_x0000_t202" coordsize="21600,21600" o:spt="202" path="m,l,21600r21600,l21600,xe">
            <v:stroke joinstyle="miter"/>
            <v:path gradientshapeok="t" o:connecttype="rect"/>
          </v:shapetype>
          <v:shape id="_x0000_s1230" type="#_x0000_t202" style="position:absolute;left:0;text-align:left;margin-left:66.95pt;margin-top:19.4pt;width:25.05pt;height:63pt;z-index:14" stroked="f">
            <v:textbox style="layout-flow:vertical;mso-layout-flow-alt:bottom-to-top" inset="0,0,0,0">
              <w:txbxContent>
                <w:p w:rsidR="007433E8" w:rsidRPr="006032E6" w:rsidRDefault="007433E8">
                  <w:pPr>
                    <w:spacing w:line="120" w:lineRule="exact"/>
                    <w:jc w:val="center"/>
                    <w:rPr>
                      <w:rFonts w:hint="cs"/>
                      <w:sz w:val="10"/>
                      <w:rtl/>
                    </w:rPr>
                  </w:pPr>
                </w:p>
                <w:p w:rsidR="007433E8" w:rsidRPr="009B24A3" w:rsidRDefault="007433E8">
                  <w:pPr>
                    <w:spacing w:line="200" w:lineRule="exact"/>
                    <w:jc w:val="center"/>
                    <w:rPr>
                      <w:rFonts w:hint="cs"/>
                      <w:szCs w:val="20"/>
                    </w:rPr>
                  </w:pPr>
                  <w:r>
                    <w:rPr>
                      <w:rFonts w:hint="cs"/>
                      <w:rtl/>
                    </w:rPr>
                    <w:t>نسبة مئوية</w:t>
                  </w:r>
                </w:p>
              </w:txbxContent>
            </v:textbox>
            <w10:wrap anchorx="page"/>
          </v:shape>
        </w:pict>
      </w:r>
    </w:p>
    <w:p w:rsidR="00FE4F97" w:rsidRDefault="00FE4F97">
      <w:pPr>
        <w:pStyle w:val="SingleTxt"/>
        <w:rPr>
          <w:rFonts w:hint="cs"/>
          <w:rtl/>
        </w:rPr>
      </w:pPr>
      <w:r>
        <w:rPr>
          <w:rFonts w:hint="cs"/>
          <w:noProof/>
          <w:w w:val="100"/>
          <w:rtl/>
        </w:rPr>
        <w:pict>
          <v:shape id="_x0000_s1231" type="#_x0000_t202" style="position:absolute;left:0;text-align:left;margin-left:406.85pt;margin-top:25.2pt;width:30.9pt;height:27pt;z-index:15" stroked="f">
            <v:textbox inset="0,0,0,0">
              <w:txbxContent>
                <w:p w:rsidR="007433E8" w:rsidRPr="009B24A3" w:rsidRDefault="007433E8">
                  <w:pPr>
                    <w:spacing w:line="240" w:lineRule="exact"/>
                    <w:jc w:val="right"/>
                    <w:rPr>
                      <w:rFonts w:hint="cs"/>
                      <w:sz w:val="14"/>
                      <w:szCs w:val="14"/>
                      <w:rtl/>
                    </w:rPr>
                  </w:pPr>
                  <w:r w:rsidRPr="009B24A3">
                    <w:rPr>
                      <w:rFonts w:hint="cs"/>
                      <w:sz w:val="14"/>
                      <w:szCs w:val="24"/>
                      <w:rtl/>
                    </w:rPr>
                    <w:t>ذكور</w:t>
                  </w:r>
                </w:p>
                <w:p w:rsidR="007433E8" w:rsidRPr="009B24A3" w:rsidRDefault="007433E8">
                  <w:pPr>
                    <w:spacing w:line="240" w:lineRule="exact"/>
                    <w:jc w:val="right"/>
                    <w:rPr>
                      <w:rFonts w:hint="cs"/>
                      <w:szCs w:val="20"/>
                    </w:rPr>
                  </w:pPr>
                  <w:r w:rsidRPr="009B24A3">
                    <w:rPr>
                      <w:rFonts w:hint="cs"/>
                      <w:sz w:val="14"/>
                      <w:szCs w:val="24"/>
                      <w:rtl/>
                    </w:rPr>
                    <w:t>إناث</w:t>
                  </w:r>
                </w:p>
              </w:txbxContent>
            </v:textbox>
            <w10:wrap anchorx="page"/>
          </v:shape>
        </w:pict>
      </w: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r>
        <w:rPr>
          <w:rFonts w:hint="cs"/>
          <w:noProof/>
          <w:w w:val="100"/>
          <w:rtl/>
        </w:rPr>
        <w:pict>
          <v:shape id="_x0000_s1227" type="#_x0000_t202" style="position:absolute;left:0;text-align:left;margin-left:252.35pt;margin-top:7.5pt;width:61.8pt;height:42.2pt;z-index:11" stroked="f">
            <v:textbox style="mso-next-textbox:#_x0000_s1227" inset="0,0,0,0">
              <w:txbxContent>
                <w:p w:rsidR="007433E8" w:rsidRPr="00B35C66" w:rsidRDefault="007433E8">
                  <w:pPr>
                    <w:spacing w:line="240" w:lineRule="exact"/>
                    <w:jc w:val="center"/>
                    <w:rPr>
                      <w:rFonts w:hint="cs"/>
                      <w:sz w:val="28"/>
                      <w:szCs w:val="28"/>
                    </w:rPr>
                  </w:pPr>
                  <w:r w:rsidRPr="00B35C66">
                    <w:rPr>
                      <w:rFonts w:hint="cs"/>
                      <w:sz w:val="28"/>
                      <w:szCs w:val="28"/>
                      <w:rtl/>
                    </w:rPr>
                    <w:t>تعليم ثانوي، ومهني وتقني وثالثي</w:t>
                  </w:r>
                </w:p>
              </w:txbxContent>
            </v:textbox>
            <w10:wrap anchorx="page"/>
          </v:shape>
        </w:pict>
      </w:r>
      <w:r>
        <w:rPr>
          <w:rFonts w:hint="cs"/>
          <w:noProof/>
          <w:w w:val="100"/>
          <w:rtl/>
        </w:rPr>
        <w:pict>
          <v:shape id="_x0000_s1226" type="#_x0000_t202" style="position:absolute;left:0;text-align:left;margin-left:311.35pt;margin-top:7.5pt;width:69.75pt;height:18pt;z-index:10" stroked="f">
            <v:textbox inset="0,0,0,0">
              <w:txbxContent>
                <w:p w:rsidR="007433E8" w:rsidRPr="009B24A3" w:rsidRDefault="007433E8">
                  <w:pPr>
                    <w:spacing w:line="200" w:lineRule="exact"/>
                    <w:jc w:val="center"/>
                    <w:rPr>
                      <w:rFonts w:hint="cs"/>
                      <w:szCs w:val="20"/>
                    </w:rPr>
                  </w:pPr>
                  <w:r>
                    <w:rPr>
                      <w:rFonts w:hint="cs"/>
                      <w:rtl/>
                    </w:rPr>
                    <w:t>تعليم عال</w:t>
                  </w:r>
                </w:p>
              </w:txbxContent>
            </v:textbox>
            <w10:wrap anchorx="page"/>
          </v:shape>
        </w:pict>
      </w:r>
      <w:r>
        <w:rPr>
          <w:rFonts w:hint="cs"/>
          <w:noProof/>
          <w:w w:val="100"/>
          <w:rtl/>
        </w:rPr>
        <w:pict>
          <v:shape id="_x0000_s1228" type="#_x0000_t202" style="position:absolute;left:0;text-align:left;margin-left:190.55pt;margin-top:7.5pt;width:61.8pt;height:18pt;z-index:12" stroked="f">
            <v:textbox inset="0,0,0,0">
              <w:txbxContent>
                <w:p w:rsidR="007433E8" w:rsidRPr="009B24A3" w:rsidRDefault="007433E8">
                  <w:pPr>
                    <w:spacing w:line="200" w:lineRule="exact"/>
                    <w:jc w:val="center"/>
                    <w:rPr>
                      <w:rFonts w:hint="cs"/>
                      <w:szCs w:val="20"/>
                    </w:rPr>
                  </w:pPr>
                  <w:r>
                    <w:rPr>
                      <w:rFonts w:hint="cs"/>
                      <w:rtl/>
                    </w:rPr>
                    <w:t>تعليم ابتدائي</w:t>
                  </w:r>
                </w:p>
              </w:txbxContent>
            </v:textbox>
            <w10:wrap anchorx="page"/>
          </v:shape>
        </w:pict>
      </w:r>
      <w:r>
        <w:rPr>
          <w:rFonts w:hint="cs"/>
          <w:noProof/>
          <w:w w:val="100"/>
          <w:rtl/>
        </w:rPr>
        <w:pict>
          <v:shape id="_x0000_s1229" type="#_x0000_t202" style="position:absolute;left:0;text-align:left;margin-left:128.75pt;margin-top:7.5pt;width:61.8pt;height:18pt;z-index:13" stroked="f">
            <v:textbox inset="0,0,0,0">
              <w:txbxContent>
                <w:p w:rsidR="007433E8" w:rsidRPr="009B24A3" w:rsidRDefault="007433E8">
                  <w:pPr>
                    <w:spacing w:line="200" w:lineRule="exact"/>
                    <w:jc w:val="center"/>
                    <w:rPr>
                      <w:rFonts w:hint="cs"/>
                      <w:szCs w:val="20"/>
                    </w:rPr>
                  </w:pPr>
                  <w:r>
                    <w:rPr>
                      <w:rFonts w:hint="cs"/>
                      <w:rtl/>
                    </w:rPr>
                    <w:t>بدون تعليم</w:t>
                  </w:r>
                </w:p>
              </w:txbxContent>
            </v:textbox>
            <w10:wrap anchorx="page"/>
          </v:shape>
        </w:pict>
      </w:r>
    </w:p>
    <w:p w:rsidR="00FE4F97" w:rsidRDefault="00FE4F97">
      <w:pPr>
        <w:pStyle w:val="SingleTxt"/>
        <w:rPr>
          <w:rFonts w:hint="cs"/>
          <w:rtl/>
        </w:rPr>
      </w:pPr>
      <w:r>
        <w:rPr>
          <w:rFonts w:hint="cs"/>
          <w:noProof/>
          <w:w w:val="100"/>
          <w:rtl/>
        </w:rPr>
        <w:pict>
          <v:shape id="_x0000_s1225" type="#_x0000_t202" style="position:absolute;left:0;text-align:left;margin-left:195.7pt;margin-top:24.4pt;width:113.3pt;height:20.4pt;z-index:9" stroked="f">
            <v:textbox inset="0,0,0,0">
              <w:txbxContent>
                <w:p w:rsidR="007433E8" w:rsidRPr="00534C74" w:rsidRDefault="007433E8">
                  <w:pPr>
                    <w:spacing w:line="120" w:lineRule="exact"/>
                    <w:jc w:val="center"/>
                    <w:rPr>
                      <w:rFonts w:hint="cs"/>
                      <w:sz w:val="10"/>
                      <w:rtl/>
                    </w:rPr>
                  </w:pPr>
                </w:p>
                <w:p w:rsidR="007433E8" w:rsidRPr="00534C74" w:rsidRDefault="007433E8">
                  <w:pPr>
                    <w:spacing w:line="200" w:lineRule="exact"/>
                    <w:jc w:val="center"/>
                    <w:rPr>
                      <w:rFonts w:hint="cs"/>
                      <w:b/>
                      <w:bCs/>
                      <w:szCs w:val="20"/>
                    </w:rPr>
                  </w:pPr>
                  <w:r w:rsidRPr="00534C74">
                    <w:rPr>
                      <w:rFonts w:hint="cs"/>
                      <w:b/>
                      <w:bCs/>
                      <w:rtl/>
                    </w:rPr>
                    <w:t>الفرق التعليمي</w:t>
                  </w:r>
                </w:p>
              </w:txbxContent>
            </v:textbox>
            <w10:wrap anchorx="page"/>
          </v:shape>
        </w:pict>
      </w:r>
    </w:p>
    <w:p w:rsidR="00FE4F97" w:rsidRDefault="00FE4F97">
      <w:pPr>
        <w:pStyle w:val="SingleTxt"/>
        <w:rPr>
          <w:rFonts w:hint="cs"/>
          <w:rtl/>
        </w:rPr>
      </w:pPr>
    </w:p>
    <w:p w:rsidR="00FE4F97" w:rsidRPr="00534C74" w:rsidRDefault="00FE4F97">
      <w:pPr>
        <w:pStyle w:val="SingleTxt"/>
        <w:spacing w:after="0" w:line="120" w:lineRule="exact"/>
        <w:rPr>
          <w:rFonts w:hint="cs"/>
          <w:sz w:val="10"/>
          <w:rtl/>
        </w:rPr>
      </w:pPr>
    </w:p>
    <w:p w:rsidR="00FE4F97" w:rsidRDefault="00FE4F97">
      <w:pPr>
        <w:pStyle w:val="SingleTxt"/>
        <w:ind w:left="1930" w:hanging="663"/>
        <w:rPr>
          <w:rFonts w:hint="cs"/>
          <w:rtl/>
        </w:rPr>
      </w:pPr>
      <w:r w:rsidRPr="00534C74">
        <w:rPr>
          <w:rFonts w:hint="cs"/>
          <w:i/>
          <w:iCs/>
          <w:rtl/>
        </w:rPr>
        <w:t>المصدر</w:t>
      </w:r>
      <w:r>
        <w:rPr>
          <w:rFonts w:hint="cs"/>
          <w:rtl/>
        </w:rPr>
        <w:t>:</w:t>
      </w:r>
      <w:r>
        <w:rPr>
          <w:rFonts w:hint="cs"/>
          <w:rtl/>
        </w:rPr>
        <w:tab/>
        <w:t>المكتب الوطني للإحصاءات، تعداد السكان والمساكن لعام 2000، التعليم والإلمام بالقراءة والكتابة: أولانباتار.</w:t>
      </w:r>
    </w:p>
    <w:p w:rsidR="00FE4F97" w:rsidRPr="006032E6" w:rsidRDefault="00FE4F97">
      <w:pPr>
        <w:pStyle w:val="SingleTxt"/>
        <w:spacing w:after="0" w:line="120" w:lineRule="exact"/>
        <w:rPr>
          <w:sz w:val="10"/>
          <w:rtl/>
        </w:rPr>
      </w:pPr>
    </w:p>
    <w:p w:rsidR="00FE4F97" w:rsidRPr="006032E6" w:rsidRDefault="00FE4F97">
      <w:pPr>
        <w:pStyle w:val="SingleTxt"/>
        <w:spacing w:after="0" w:line="120" w:lineRule="exact"/>
        <w:rPr>
          <w:sz w:val="10"/>
          <w:rtl/>
        </w:rPr>
      </w:pPr>
    </w:p>
    <w:p w:rsidR="00FE4F97" w:rsidRDefault="00FE4F97">
      <w:pPr>
        <w:pStyle w:val="SingleTxt"/>
        <w:rPr>
          <w:rFonts w:hint="cs"/>
          <w:rtl/>
        </w:rPr>
      </w:pPr>
      <w:r>
        <w:rPr>
          <w:rFonts w:hint="cs"/>
          <w:rtl/>
        </w:rPr>
        <w:tab/>
        <w:t>وطبقا للتعداد، فإن نسبة 97.8 في المائة من مجموع سكان منغوليا البالغين من العمر 15 عاما وأكبر ملمة بالقراءة والكتابة، بما في ذلك نسبة 98 في المائة من الرجال و97.5 في المائة من النساء. وطبقا للمنهجية المقبولة دوليا، فإن النسبة المئوية للأشخاص الملمين بالقراءة والكتابة البالغين من العمر 15 عاما وأكبر من بين مجموع السكان في نفس الفئة العمرية يُعبر عنها بمصطلح النسبة المئوية لإلمام الكبار بالقراءة والكتابة.</w:t>
      </w:r>
    </w:p>
    <w:p w:rsidR="00FE4F97" w:rsidRPr="00065F95" w:rsidRDefault="00FE4F97">
      <w:pPr>
        <w:pStyle w:val="SingleTxt"/>
        <w:spacing w:after="0" w:line="120" w:lineRule="exact"/>
        <w:rPr>
          <w:rFonts w:hint="cs"/>
          <w:sz w:val="12"/>
          <w:rtl/>
        </w:rPr>
      </w:pPr>
    </w:p>
    <w:p w:rsidR="00FE4F97" w:rsidRPr="006032E6" w:rsidRDefault="00B35C66">
      <w:pPr>
        <w:pStyle w:val="SingleTxt"/>
        <w:spacing w:after="0"/>
        <w:rPr>
          <w:rFonts w:hint="cs"/>
          <w:rtl/>
        </w:rPr>
      </w:pPr>
      <w:r>
        <w:rPr>
          <w:rtl/>
        </w:rPr>
        <w:br w:type="page"/>
      </w:r>
      <w:r w:rsidR="00FE4F97" w:rsidRPr="006032E6">
        <w:rPr>
          <w:rFonts w:hint="cs"/>
          <w:rtl/>
        </w:rPr>
        <w:t>الجدول 5</w:t>
      </w:r>
    </w:p>
    <w:p w:rsidR="00FE4F97" w:rsidRDefault="00FE4F97">
      <w:pPr>
        <w:pStyle w:val="SingleTxt"/>
        <w:rPr>
          <w:rFonts w:hint="cs"/>
          <w:b/>
          <w:bCs/>
          <w:rtl/>
        </w:rPr>
      </w:pPr>
      <w:r>
        <w:rPr>
          <w:rFonts w:hint="cs"/>
          <w:b/>
          <w:bCs/>
          <w:rtl/>
        </w:rPr>
        <w:t>نسبة إلمام الكبار بالقراءة والكتابة</w:t>
      </w:r>
    </w:p>
    <w:tbl>
      <w:tblPr>
        <w:bidiVisual/>
        <w:tblW w:w="7210" w:type="dxa"/>
        <w:tblInd w:w="1409" w:type="dxa"/>
        <w:tblLook w:val="01E0" w:firstRow="1" w:lastRow="1" w:firstColumn="1" w:lastColumn="1" w:noHBand="0" w:noVBand="0"/>
      </w:tblPr>
      <w:tblGrid>
        <w:gridCol w:w="1854"/>
        <w:gridCol w:w="1648"/>
        <w:gridCol w:w="1751"/>
        <w:gridCol w:w="1957"/>
      </w:tblGrid>
      <w:tr w:rsidR="00FE4F97" w:rsidRPr="00065F95">
        <w:trPr>
          <w:cantSplit/>
          <w:tblHeader/>
        </w:trPr>
        <w:tc>
          <w:tcPr>
            <w:tcW w:w="7210" w:type="dxa"/>
            <w:gridSpan w:val="4"/>
            <w:tcBorders>
              <w:top w:val="single" w:sz="4" w:space="0" w:color="auto"/>
              <w:bottom w:val="single" w:sz="12" w:space="0" w:color="auto"/>
            </w:tcBorders>
            <w:shd w:val="clear" w:color="auto" w:fill="auto"/>
            <w:vAlign w:val="bottom"/>
          </w:tcPr>
          <w:p w:rsidR="00FE4F97" w:rsidRPr="00065F95" w:rsidRDefault="00FE4F97">
            <w:pPr>
              <w:pStyle w:val="DualTxt"/>
              <w:spacing w:before="80" w:after="80" w:line="240" w:lineRule="exact"/>
              <w:ind w:right="144"/>
              <w:jc w:val="center"/>
              <w:rPr>
                <w:rFonts w:hint="cs"/>
                <w:i/>
                <w:iCs/>
                <w:sz w:val="16"/>
                <w:szCs w:val="24"/>
                <w:rtl/>
              </w:rPr>
            </w:pPr>
            <w:r>
              <w:rPr>
                <w:rFonts w:hint="cs"/>
                <w:i/>
                <w:iCs/>
                <w:sz w:val="16"/>
                <w:szCs w:val="24"/>
                <w:rtl/>
              </w:rPr>
              <w:t>النسبة المئوية للإلمام بالقراءة والكتابة</w:t>
            </w:r>
          </w:p>
        </w:tc>
      </w:tr>
      <w:tr w:rsidR="00FE4F97" w:rsidRPr="00065F95">
        <w:trPr>
          <w:cantSplit/>
        </w:trPr>
        <w:tc>
          <w:tcPr>
            <w:tcW w:w="1854" w:type="dxa"/>
            <w:shd w:val="clear" w:color="auto" w:fill="auto"/>
            <w:vAlign w:val="bottom"/>
          </w:tcPr>
          <w:p w:rsidR="00FE4F97" w:rsidRPr="00065F95" w:rsidRDefault="00FE4F97">
            <w:pPr>
              <w:pStyle w:val="DualTxt"/>
              <w:spacing w:before="40" w:after="80" w:line="240" w:lineRule="exact"/>
              <w:rPr>
                <w:rFonts w:hint="cs"/>
                <w:sz w:val="16"/>
                <w:szCs w:val="24"/>
                <w:rtl/>
              </w:rPr>
            </w:pPr>
            <w:r>
              <w:rPr>
                <w:rFonts w:hint="cs"/>
                <w:sz w:val="16"/>
                <w:szCs w:val="24"/>
                <w:rtl/>
              </w:rPr>
              <w:t>السنة</w:t>
            </w:r>
          </w:p>
        </w:tc>
        <w:tc>
          <w:tcPr>
            <w:tcW w:w="1648" w:type="dxa"/>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المجموع</w:t>
            </w:r>
          </w:p>
        </w:tc>
        <w:tc>
          <w:tcPr>
            <w:tcW w:w="1751" w:type="dxa"/>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ذكور</w:t>
            </w:r>
          </w:p>
        </w:tc>
        <w:tc>
          <w:tcPr>
            <w:tcW w:w="1957" w:type="dxa"/>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إناث</w:t>
            </w:r>
          </w:p>
        </w:tc>
      </w:tr>
      <w:tr w:rsidR="00FE4F97" w:rsidRPr="00065F95">
        <w:trPr>
          <w:cantSplit/>
        </w:trPr>
        <w:tc>
          <w:tcPr>
            <w:tcW w:w="1854" w:type="dxa"/>
            <w:shd w:val="clear" w:color="auto" w:fill="auto"/>
            <w:vAlign w:val="bottom"/>
          </w:tcPr>
          <w:p w:rsidR="00FE4F97" w:rsidRPr="00065F95" w:rsidRDefault="00FE4F97">
            <w:pPr>
              <w:pStyle w:val="DualTxt"/>
              <w:spacing w:before="40" w:after="80" w:line="240" w:lineRule="exact"/>
              <w:rPr>
                <w:rFonts w:hint="cs"/>
                <w:sz w:val="16"/>
                <w:szCs w:val="24"/>
                <w:rtl/>
              </w:rPr>
            </w:pPr>
            <w:r>
              <w:rPr>
                <w:rFonts w:hint="cs"/>
                <w:sz w:val="16"/>
                <w:szCs w:val="24"/>
                <w:rtl/>
              </w:rPr>
              <w:t>1956</w:t>
            </w:r>
          </w:p>
        </w:tc>
        <w:tc>
          <w:tcPr>
            <w:tcW w:w="1648" w:type="dxa"/>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70.3</w:t>
            </w:r>
          </w:p>
        </w:tc>
        <w:tc>
          <w:tcPr>
            <w:tcW w:w="1751" w:type="dxa"/>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80.7</w:t>
            </w:r>
          </w:p>
        </w:tc>
        <w:tc>
          <w:tcPr>
            <w:tcW w:w="1957" w:type="dxa"/>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60.2</w:t>
            </w:r>
          </w:p>
        </w:tc>
      </w:tr>
      <w:tr w:rsidR="00FE4F97" w:rsidRPr="00065F95">
        <w:trPr>
          <w:cantSplit/>
        </w:trPr>
        <w:tc>
          <w:tcPr>
            <w:tcW w:w="1854" w:type="dxa"/>
            <w:shd w:val="clear" w:color="auto" w:fill="auto"/>
            <w:vAlign w:val="bottom"/>
          </w:tcPr>
          <w:p w:rsidR="00FE4F97" w:rsidRPr="00065F95" w:rsidRDefault="00FE4F97">
            <w:pPr>
              <w:pStyle w:val="DualTxt"/>
              <w:spacing w:before="40" w:after="80" w:line="240" w:lineRule="exact"/>
              <w:rPr>
                <w:rFonts w:hint="cs"/>
                <w:sz w:val="16"/>
                <w:szCs w:val="24"/>
                <w:rtl/>
              </w:rPr>
            </w:pPr>
            <w:r>
              <w:rPr>
                <w:rFonts w:hint="cs"/>
                <w:sz w:val="16"/>
                <w:szCs w:val="24"/>
                <w:rtl/>
              </w:rPr>
              <w:t>1963</w:t>
            </w:r>
          </w:p>
        </w:tc>
        <w:tc>
          <w:tcPr>
            <w:tcW w:w="1648" w:type="dxa"/>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70.1</w:t>
            </w:r>
          </w:p>
        </w:tc>
        <w:tc>
          <w:tcPr>
            <w:tcW w:w="1751" w:type="dxa"/>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79.0</w:t>
            </w:r>
          </w:p>
        </w:tc>
        <w:tc>
          <w:tcPr>
            <w:tcW w:w="1957" w:type="dxa"/>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61.2</w:t>
            </w:r>
          </w:p>
        </w:tc>
      </w:tr>
      <w:tr w:rsidR="00FE4F97" w:rsidRPr="00065F95">
        <w:trPr>
          <w:cantSplit/>
        </w:trPr>
        <w:tc>
          <w:tcPr>
            <w:tcW w:w="1854" w:type="dxa"/>
            <w:shd w:val="clear" w:color="auto" w:fill="auto"/>
            <w:vAlign w:val="bottom"/>
          </w:tcPr>
          <w:p w:rsidR="00FE4F97" w:rsidRPr="00065F95" w:rsidRDefault="00FE4F97">
            <w:pPr>
              <w:pStyle w:val="DualTxt"/>
              <w:spacing w:before="40" w:after="80" w:line="240" w:lineRule="exact"/>
              <w:rPr>
                <w:rFonts w:hint="cs"/>
                <w:sz w:val="16"/>
                <w:szCs w:val="24"/>
                <w:rtl/>
              </w:rPr>
            </w:pPr>
            <w:r>
              <w:rPr>
                <w:rFonts w:hint="cs"/>
                <w:sz w:val="16"/>
                <w:szCs w:val="24"/>
                <w:rtl/>
              </w:rPr>
              <w:t>1969</w:t>
            </w:r>
          </w:p>
        </w:tc>
        <w:tc>
          <w:tcPr>
            <w:tcW w:w="1648" w:type="dxa"/>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79.1</w:t>
            </w:r>
          </w:p>
        </w:tc>
        <w:tc>
          <w:tcPr>
            <w:tcW w:w="1751" w:type="dxa"/>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87.2</w:t>
            </w:r>
          </w:p>
        </w:tc>
        <w:tc>
          <w:tcPr>
            <w:tcW w:w="1957" w:type="dxa"/>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72.3</w:t>
            </w:r>
          </w:p>
        </w:tc>
      </w:tr>
      <w:tr w:rsidR="00FE4F97" w:rsidRPr="00065F95">
        <w:trPr>
          <w:cantSplit/>
        </w:trPr>
        <w:tc>
          <w:tcPr>
            <w:tcW w:w="1854" w:type="dxa"/>
            <w:shd w:val="clear" w:color="auto" w:fill="auto"/>
            <w:vAlign w:val="bottom"/>
          </w:tcPr>
          <w:p w:rsidR="00FE4F97" w:rsidRPr="00065F95" w:rsidRDefault="00FE4F97">
            <w:pPr>
              <w:pStyle w:val="DualTxt"/>
              <w:spacing w:before="40" w:after="80" w:line="240" w:lineRule="exact"/>
              <w:rPr>
                <w:rFonts w:hint="cs"/>
                <w:sz w:val="16"/>
                <w:szCs w:val="24"/>
                <w:rtl/>
              </w:rPr>
            </w:pPr>
            <w:r>
              <w:rPr>
                <w:rFonts w:hint="cs"/>
                <w:sz w:val="16"/>
                <w:szCs w:val="24"/>
                <w:rtl/>
              </w:rPr>
              <w:t>1979</w:t>
            </w:r>
          </w:p>
        </w:tc>
        <w:tc>
          <w:tcPr>
            <w:tcW w:w="1648" w:type="dxa"/>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92.1</w:t>
            </w:r>
          </w:p>
        </w:tc>
        <w:tc>
          <w:tcPr>
            <w:tcW w:w="1751" w:type="dxa"/>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96.0</w:t>
            </w:r>
          </w:p>
        </w:tc>
        <w:tc>
          <w:tcPr>
            <w:tcW w:w="1957" w:type="dxa"/>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88.2</w:t>
            </w:r>
          </w:p>
        </w:tc>
      </w:tr>
      <w:tr w:rsidR="00FE4F97" w:rsidRPr="00065F95">
        <w:trPr>
          <w:cantSplit/>
        </w:trPr>
        <w:tc>
          <w:tcPr>
            <w:tcW w:w="1854" w:type="dxa"/>
            <w:shd w:val="clear" w:color="auto" w:fill="auto"/>
            <w:vAlign w:val="bottom"/>
          </w:tcPr>
          <w:p w:rsidR="00FE4F97" w:rsidRPr="00065F95" w:rsidRDefault="00FE4F97">
            <w:pPr>
              <w:pStyle w:val="DualTxt"/>
              <w:spacing w:before="40" w:after="80" w:line="240" w:lineRule="exact"/>
              <w:rPr>
                <w:rFonts w:hint="cs"/>
                <w:sz w:val="16"/>
                <w:szCs w:val="24"/>
                <w:rtl/>
              </w:rPr>
            </w:pPr>
            <w:r>
              <w:rPr>
                <w:rFonts w:hint="cs"/>
                <w:sz w:val="16"/>
                <w:szCs w:val="24"/>
                <w:rtl/>
              </w:rPr>
              <w:t>1989</w:t>
            </w:r>
          </w:p>
        </w:tc>
        <w:tc>
          <w:tcPr>
            <w:tcW w:w="1648" w:type="dxa"/>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96.5</w:t>
            </w:r>
          </w:p>
        </w:tc>
        <w:tc>
          <w:tcPr>
            <w:tcW w:w="1751" w:type="dxa"/>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98.2</w:t>
            </w:r>
          </w:p>
        </w:tc>
        <w:tc>
          <w:tcPr>
            <w:tcW w:w="1957" w:type="dxa"/>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94.9</w:t>
            </w:r>
          </w:p>
        </w:tc>
      </w:tr>
      <w:tr w:rsidR="00FE4F97" w:rsidRPr="00065F95">
        <w:trPr>
          <w:cantSplit/>
        </w:trPr>
        <w:tc>
          <w:tcPr>
            <w:tcW w:w="1854" w:type="dxa"/>
            <w:tcBorders>
              <w:bottom w:val="single" w:sz="12" w:space="0" w:color="auto"/>
            </w:tcBorders>
            <w:shd w:val="clear" w:color="auto" w:fill="auto"/>
            <w:vAlign w:val="bottom"/>
          </w:tcPr>
          <w:p w:rsidR="00FE4F97" w:rsidRPr="00065F95" w:rsidRDefault="00FE4F97">
            <w:pPr>
              <w:pStyle w:val="DualTxt"/>
              <w:spacing w:before="40" w:after="80" w:line="240" w:lineRule="exact"/>
              <w:rPr>
                <w:rFonts w:hint="cs"/>
                <w:sz w:val="16"/>
                <w:szCs w:val="24"/>
                <w:rtl/>
              </w:rPr>
            </w:pPr>
            <w:r>
              <w:rPr>
                <w:rFonts w:hint="cs"/>
                <w:sz w:val="16"/>
                <w:szCs w:val="24"/>
                <w:rtl/>
              </w:rPr>
              <w:t>2000</w:t>
            </w:r>
          </w:p>
        </w:tc>
        <w:tc>
          <w:tcPr>
            <w:tcW w:w="1648" w:type="dxa"/>
            <w:tcBorders>
              <w:bottom w:val="single" w:sz="12" w:space="0" w:color="auto"/>
            </w:tcBorders>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97.8</w:t>
            </w:r>
          </w:p>
        </w:tc>
        <w:tc>
          <w:tcPr>
            <w:tcW w:w="1751" w:type="dxa"/>
            <w:tcBorders>
              <w:bottom w:val="single" w:sz="12" w:space="0" w:color="auto"/>
            </w:tcBorders>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98.0</w:t>
            </w:r>
          </w:p>
        </w:tc>
        <w:tc>
          <w:tcPr>
            <w:tcW w:w="1957" w:type="dxa"/>
            <w:tcBorders>
              <w:bottom w:val="single" w:sz="12" w:space="0" w:color="auto"/>
            </w:tcBorders>
            <w:shd w:val="clear" w:color="auto" w:fill="auto"/>
            <w:vAlign w:val="bottom"/>
          </w:tcPr>
          <w:p w:rsidR="00FE4F97" w:rsidRPr="00065F95" w:rsidRDefault="00FE4F97">
            <w:pPr>
              <w:pStyle w:val="DualTxt"/>
              <w:spacing w:before="40" w:after="80" w:line="240" w:lineRule="exact"/>
              <w:ind w:right="144"/>
              <w:rPr>
                <w:rFonts w:hint="cs"/>
                <w:sz w:val="16"/>
                <w:szCs w:val="24"/>
                <w:rtl/>
              </w:rPr>
            </w:pPr>
            <w:r>
              <w:rPr>
                <w:rFonts w:hint="cs"/>
                <w:sz w:val="16"/>
                <w:szCs w:val="24"/>
                <w:rtl/>
              </w:rPr>
              <w:t>97.5</w:t>
            </w:r>
          </w:p>
        </w:tc>
      </w:tr>
    </w:tbl>
    <w:p w:rsidR="00FE4F97" w:rsidRPr="00CD6C19" w:rsidRDefault="00FE4F97">
      <w:pPr>
        <w:pStyle w:val="SingleTxt"/>
        <w:spacing w:after="0" w:line="120" w:lineRule="exact"/>
        <w:rPr>
          <w:rFonts w:hint="cs"/>
          <w:b/>
          <w:bCs/>
          <w:sz w:val="12"/>
          <w:rtl/>
        </w:rPr>
      </w:pPr>
    </w:p>
    <w:p w:rsidR="00FE4F97" w:rsidRDefault="00FE4F9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6032E6">
        <w:rPr>
          <w:rFonts w:hint="cs"/>
          <w:i/>
          <w:iCs/>
          <w:rtl/>
        </w:rPr>
        <w:t>المصدر</w:t>
      </w:r>
      <w:r>
        <w:rPr>
          <w:rFonts w:hint="cs"/>
          <w:rtl/>
        </w:rPr>
        <w:t>:</w:t>
      </w:r>
      <w:r>
        <w:rPr>
          <w:rFonts w:hint="cs"/>
          <w:rtl/>
        </w:rPr>
        <w:tab/>
      </w:r>
      <w:r>
        <w:rPr>
          <w:rFonts w:hint="cs"/>
          <w:rtl/>
        </w:rPr>
        <w:tab/>
        <w:t>المكتب الوطني للإحصاءات، تعداد السكان والمساكن لعام 2000، التعليم والإلمام بالقراءة والكتابة: أولانباتار.</w:t>
      </w:r>
    </w:p>
    <w:p w:rsidR="00FE4F97" w:rsidRPr="006032E6" w:rsidRDefault="00FE4F9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4"/>
          <w:szCs w:val="30"/>
          <w:rtl/>
        </w:rPr>
      </w:pPr>
    </w:p>
    <w:p w:rsidR="00FE4F97" w:rsidRPr="006032E6" w:rsidRDefault="00FE4F9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6"/>
          <w:szCs w:val="30"/>
          <w:rtl/>
        </w:rPr>
      </w:pPr>
    </w:p>
    <w:p w:rsidR="00FE4F97" w:rsidRDefault="00FE4F97">
      <w:pPr>
        <w:pStyle w:val="SingleTxt"/>
        <w:rPr>
          <w:rFonts w:hint="cs"/>
          <w:rtl/>
        </w:rPr>
      </w:pPr>
      <w:r>
        <w:rPr>
          <w:rFonts w:hint="cs"/>
          <w:rtl/>
        </w:rPr>
        <w:tab/>
        <w:t>ونسبة 2 في المائة من الرجال و2.5 في المائة من النساء من بين السكان الكبار الأميين (2.2 في المائة أو 011 34</w:t>
      </w:r>
      <w:r w:rsidRPr="00B14F97">
        <w:rPr>
          <w:vertAlign w:val="superscript"/>
          <w:rtl/>
        </w:rPr>
        <w:t>(</w:t>
      </w:r>
      <w:r>
        <w:rPr>
          <w:rStyle w:val="FootnoteReference"/>
          <w:rtl/>
        </w:rPr>
        <w:footnoteReference w:id="6"/>
      </w:r>
      <w:r w:rsidRPr="00B14F97">
        <w:rPr>
          <w:vertAlign w:val="superscript"/>
          <w:rtl/>
        </w:rPr>
        <w:t>)</w:t>
      </w:r>
      <w:r>
        <w:rPr>
          <w:rFonts w:hint="cs"/>
          <w:rtl/>
        </w:rPr>
        <w:t>) لا تكشف عن فقدان التوازن في النسبة. بيد أن الأحصاءات حسب الفئات العمرية تبين بوضوح أنه، من بين السكان الشباب، تكون النسبة المئوية للرجال الملمين بالقراءة والكتابة أعلى منها للنساء الملمات بالقراءة والكتابة (الرسم البياني 2).</w:t>
      </w:r>
    </w:p>
    <w:p w:rsidR="00FE4F97" w:rsidRPr="00296DDC" w:rsidRDefault="00FE4F97">
      <w:pPr>
        <w:pStyle w:val="SingleTxt"/>
        <w:spacing w:after="0" w:line="120" w:lineRule="exact"/>
        <w:rPr>
          <w:rFonts w:hint="cs"/>
          <w:sz w:val="12"/>
          <w:rtl/>
        </w:rPr>
      </w:pPr>
    </w:p>
    <w:p w:rsidR="00FE4F97" w:rsidRDefault="00FE4F97">
      <w:pPr>
        <w:pStyle w:val="SingleTxt"/>
        <w:spacing w:after="0"/>
        <w:rPr>
          <w:rFonts w:hint="cs"/>
          <w:rtl/>
        </w:rPr>
      </w:pPr>
      <w:r>
        <w:rPr>
          <w:rtl/>
        </w:rPr>
        <w:br w:type="page"/>
      </w:r>
      <w:r>
        <w:rPr>
          <w:rFonts w:hint="cs"/>
          <w:rtl/>
        </w:rPr>
        <w:t>الرسم البياني 2</w:t>
      </w:r>
    </w:p>
    <w:p w:rsidR="00FE4F97" w:rsidRPr="006032E6" w:rsidRDefault="00FE4F97">
      <w:pPr>
        <w:pStyle w:val="SingleTxt"/>
        <w:rPr>
          <w:rFonts w:hint="cs"/>
          <w:b/>
          <w:bCs/>
          <w:rtl/>
        </w:rPr>
      </w:pPr>
      <w:r w:rsidRPr="006032E6">
        <w:rPr>
          <w:rFonts w:hint="cs"/>
          <w:b/>
          <w:bCs/>
          <w:rtl/>
        </w:rPr>
        <w:t>السكان غير الملمين بالقراءة والكتابة حسب السن</w:t>
      </w:r>
    </w:p>
    <w:p w:rsidR="00FE4F97" w:rsidRDefault="00FE4F97">
      <w:pPr>
        <w:pStyle w:val="SingleTxt"/>
        <w:rPr>
          <w:rFonts w:hint="cs"/>
          <w:rtl/>
        </w:rPr>
      </w:pPr>
      <w:r>
        <w:rPr>
          <w:noProof/>
        </w:rPr>
        <w:pict>
          <v:shape id="_x0000_s1232" type="#_x0000_t75" style="position:absolute;left:0;text-align:left;margin-left:44.85pt;margin-top:12.55pt;width:389.6pt;height:219.3pt;z-index:16">
            <v:imagedata r:id="rId15" o:title=""/>
            <w10:wrap type="square"/>
          </v:shape>
          <o:OLEObject Type="Embed" ProgID="MSGraph.Chart.8" ShapeID="_x0000_s1232" DrawAspect="Content" ObjectID="_1395245880" r:id="rId16">
            <o:FieldCodes>\s</o:FieldCodes>
          </o:OLEObject>
        </w:pict>
      </w:r>
    </w:p>
    <w:p w:rsidR="00FE4F97" w:rsidRDefault="00FE4F97">
      <w:pPr>
        <w:pStyle w:val="SingleTxt"/>
        <w:rPr>
          <w:rFonts w:hint="cs"/>
          <w:rtl/>
        </w:rPr>
      </w:pPr>
    </w:p>
    <w:p w:rsidR="00FE4F97" w:rsidRDefault="00FE4F97">
      <w:pPr>
        <w:pStyle w:val="SingleTxt"/>
        <w:rPr>
          <w:rFonts w:hint="cs"/>
          <w:rtl/>
        </w:rPr>
      </w:pPr>
      <w:r>
        <w:rPr>
          <w:rFonts w:hint="cs"/>
          <w:noProof/>
          <w:w w:val="100"/>
          <w:rtl/>
        </w:rPr>
        <w:pict>
          <v:shape id="_x0000_s1235" type="#_x0000_t202" style="position:absolute;left:0;text-align:left;margin-left:46.35pt;margin-top:20.5pt;width:18.9pt;height:63pt;z-index:19" stroked="f">
            <v:textbox style="layout-flow:vertical;mso-layout-flow-alt:bottom-to-top" inset="0,0,0,0">
              <w:txbxContent>
                <w:p w:rsidR="007433E8" w:rsidRPr="009B24A3" w:rsidRDefault="007433E8">
                  <w:pPr>
                    <w:spacing w:line="240" w:lineRule="exact"/>
                    <w:jc w:val="center"/>
                    <w:rPr>
                      <w:rFonts w:hint="cs"/>
                      <w:szCs w:val="20"/>
                    </w:rPr>
                  </w:pPr>
                  <w:r>
                    <w:rPr>
                      <w:rFonts w:hint="cs"/>
                      <w:sz w:val="14"/>
                      <w:szCs w:val="24"/>
                      <w:rtl/>
                    </w:rPr>
                    <w:t>النسبة المئوية</w:t>
                  </w:r>
                </w:p>
              </w:txbxContent>
            </v:textbox>
            <w10:wrap anchorx="page"/>
          </v:shape>
        </w:pict>
      </w:r>
    </w:p>
    <w:p w:rsidR="00FE4F97" w:rsidRDefault="004A5549">
      <w:pPr>
        <w:pStyle w:val="SingleTxt"/>
        <w:rPr>
          <w:rFonts w:hint="cs"/>
          <w:rtl/>
        </w:rPr>
      </w:pPr>
      <w:r>
        <w:rPr>
          <w:rFonts w:hint="cs"/>
          <w:noProof/>
          <w:w w:val="100"/>
          <w:rtl/>
        </w:rPr>
        <w:pict>
          <v:shape id="_x0000_s1234" type="#_x0000_t202" style="position:absolute;left:0;text-align:left;margin-left:390pt;margin-top:5pt;width:36.5pt;height:43.2pt;z-index:18" stroked="f">
            <v:textbox inset="0,0,0,0">
              <w:txbxContent>
                <w:p w:rsidR="007433E8" w:rsidRPr="009B24A3" w:rsidRDefault="007433E8">
                  <w:pPr>
                    <w:spacing w:line="280" w:lineRule="exact"/>
                    <w:jc w:val="right"/>
                    <w:rPr>
                      <w:rFonts w:hint="cs"/>
                      <w:sz w:val="14"/>
                      <w:szCs w:val="14"/>
                      <w:rtl/>
                    </w:rPr>
                  </w:pPr>
                  <w:r w:rsidRPr="009B24A3">
                    <w:rPr>
                      <w:rFonts w:hint="cs"/>
                      <w:sz w:val="14"/>
                      <w:szCs w:val="24"/>
                      <w:rtl/>
                    </w:rPr>
                    <w:t>ذكور</w:t>
                  </w:r>
                </w:p>
                <w:p w:rsidR="007433E8" w:rsidRDefault="007433E8">
                  <w:pPr>
                    <w:spacing w:line="280" w:lineRule="exact"/>
                    <w:jc w:val="right"/>
                    <w:rPr>
                      <w:rFonts w:hint="cs"/>
                      <w:sz w:val="14"/>
                      <w:szCs w:val="24"/>
                      <w:rtl/>
                    </w:rPr>
                  </w:pPr>
                  <w:r w:rsidRPr="009B24A3">
                    <w:rPr>
                      <w:rFonts w:hint="cs"/>
                      <w:sz w:val="14"/>
                      <w:szCs w:val="24"/>
                      <w:rtl/>
                    </w:rPr>
                    <w:t>إناث</w:t>
                  </w:r>
                </w:p>
                <w:p w:rsidR="007433E8" w:rsidRPr="009B24A3" w:rsidRDefault="007433E8">
                  <w:pPr>
                    <w:spacing w:line="280" w:lineRule="exact"/>
                    <w:jc w:val="right"/>
                    <w:rPr>
                      <w:rFonts w:hint="cs"/>
                      <w:szCs w:val="20"/>
                    </w:rPr>
                  </w:pPr>
                  <w:r>
                    <w:rPr>
                      <w:rFonts w:hint="cs"/>
                      <w:szCs w:val="20"/>
                      <w:rtl/>
                    </w:rPr>
                    <w:t>المجموع</w:t>
                  </w:r>
                </w:p>
              </w:txbxContent>
            </v:textbox>
            <w10:wrap anchorx="page"/>
          </v:shape>
        </w:pict>
      </w: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r>
        <w:rPr>
          <w:rFonts w:hint="cs"/>
          <w:noProof/>
          <w:w w:val="100"/>
          <w:rtl/>
        </w:rPr>
        <w:pict>
          <v:shape id="_x0000_s1233" type="#_x0000_t202" style="position:absolute;left:0;text-align:left;margin-left:190.55pt;margin-top:4.4pt;width:113.3pt;height:20.4pt;z-index:17" stroked="f">
            <v:textbox inset="0,0,0,0">
              <w:txbxContent>
                <w:p w:rsidR="007433E8" w:rsidRPr="00534C74" w:rsidRDefault="007433E8">
                  <w:pPr>
                    <w:spacing w:line="120" w:lineRule="exact"/>
                    <w:jc w:val="center"/>
                    <w:rPr>
                      <w:rFonts w:hint="cs"/>
                      <w:sz w:val="10"/>
                      <w:rtl/>
                    </w:rPr>
                  </w:pPr>
                </w:p>
                <w:p w:rsidR="007433E8" w:rsidRPr="00534C74" w:rsidRDefault="007433E8">
                  <w:pPr>
                    <w:spacing w:line="200" w:lineRule="exact"/>
                    <w:jc w:val="center"/>
                    <w:rPr>
                      <w:rFonts w:hint="cs"/>
                      <w:b/>
                      <w:bCs/>
                      <w:szCs w:val="20"/>
                    </w:rPr>
                  </w:pPr>
                  <w:r>
                    <w:rPr>
                      <w:rFonts w:hint="cs"/>
                      <w:b/>
                      <w:bCs/>
                      <w:rtl/>
                    </w:rPr>
                    <w:t>الفئة العمرية</w:t>
                  </w:r>
                </w:p>
              </w:txbxContent>
            </v:textbox>
            <w10:wrap anchorx="page"/>
          </v:shape>
        </w:pict>
      </w:r>
    </w:p>
    <w:p w:rsidR="00FE4F97" w:rsidRDefault="00FE4F97">
      <w:pPr>
        <w:pStyle w:val="SingleTxt"/>
        <w:rPr>
          <w:rFonts w:hint="cs"/>
          <w:rtl/>
        </w:rPr>
      </w:pPr>
    </w:p>
    <w:p w:rsidR="00FE4F97" w:rsidRDefault="00FE4F97">
      <w:pPr>
        <w:pStyle w:val="SingleTxt"/>
        <w:rPr>
          <w:rFonts w:hint="cs"/>
          <w:rtl/>
        </w:rPr>
      </w:pPr>
      <w:r w:rsidRPr="006032E6">
        <w:rPr>
          <w:rFonts w:hint="cs"/>
          <w:i/>
          <w:iCs/>
          <w:rtl/>
        </w:rPr>
        <w:t>المصدر</w:t>
      </w:r>
      <w:r>
        <w:rPr>
          <w:rFonts w:hint="cs"/>
          <w:rtl/>
        </w:rPr>
        <w:t>:</w:t>
      </w:r>
      <w:r>
        <w:rPr>
          <w:rFonts w:hint="cs"/>
          <w:rtl/>
        </w:rPr>
        <w:tab/>
        <w:t>بيانات تعداد السكان لعام 2000.</w:t>
      </w:r>
    </w:p>
    <w:p w:rsidR="00FE4F97" w:rsidRPr="00EE0C1C" w:rsidRDefault="00FE4F97">
      <w:pPr>
        <w:pStyle w:val="SingleTxt"/>
        <w:spacing w:after="0" w:line="120" w:lineRule="exact"/>
        <w:rPr>
          <w:sz w:val="10"/>
          <w:rtl/>
        </w:rPr>
      </w:pPr>
    </w:p>
    <w:p w:rsidR="00FE4F97" w:rsidRPr="00EE0C1C" w:rsidRDefault="00FE4F97">
      <w:pPr>
        <w:pStyle w:val="SingleTxt"/>
        <w:spacing w:after="0" w:line="120" w:lineRule="exact"/>
        <w:rPr>
          <w:sz w:val="10"/>
          <w:rtl/>
        </w:rPr>
      </w:pPr>
    </w:p>
    <w:p w:rsidR="00FE4F97" w:rsidRDefault="00FE4F97">
      <w:pPr>
        <w:pStyle w:val="SingleTxt"/>
        <w:rPr>
          <w:rFonts w:hint="cs"/>
          <w:rtl/>
        </w:rPr>
      </w:pPr>
      <w:r>
        <w:rPr>
          <w:rFonts w:hint="cs"/>
          <w:rtl/>
        </w:rPr>
        <w:tab/>
        <w:t>وبالمقارنة بعام 1989، فإن النسبة المئوية لغير الملمين بالقراءة والكتابة من بين السكان الشباب الذين تراوحت أعمارهم بين 15 و19 عاما زادت بـ 2.2 وحدة في عام 2000. ونسبة 4.2 في المائة أو 8.4 ألف نسمة من بين تلك الفئة العمرية للسكان غير ملمين بالقراءة والكتابة، منهم 66.7 في المائة من الذكور في حين توجد نسبة 33.3 في المائة من الإناث. وهذا يرجع إلى ارتفاع النسبة المئوية للبنين المتسربين من المدارس عنها للبنات. ومع ذلك، في حين أنه في عام 1989، كانت نسبة 1.8 في المائة من الشباب الذين تراوحت أعمارهم بين 20 و29 عاما غير ملمة بالقراءة والكتابة، بلغت هذه النسبة المئوية 2.3 في عام 2000. وعلى العكس من ذلك، في حين يوجد 5.3 ألف نسمة غير ملمين بالقراءة والكتابة، فإن نسبة 39.6 في المائة منهم من النساء ونسبة 60.4 في المائة من الرجال.</w:t>
      </w:r>
    </w:p>
    <w:p w:rsidR="00FE4F97" w:rsidRDefault="00FE4F97">
      <w:pPr>
        <w:pStyle w:val="SingleTxt"/>
        <w:rPr>
          <w:rFonts w:hint="cs"/>
          <w:rtl/>
        </w:rPr>
      </w:pPr>
      <w:r>
        <w:rPr>
          <w:rFonts w:hint="cs"/>
          <w:rtl/>
        </w:rPr>
        <w:tab/>
        <w:t>وإذا نظرنا إلى جنس غير الملمين بالقراءة والكتابة، تختلف الإحصاءات إلى حد ما فيما يتعلق بمناطق الحضر ومناطق الريف. وعلى سبيل المثال، في حين أنه في مناطق الريف تكون النسبة المئوية للرجال بين السكان غير الملمين بالقراءة والكتابة، من الأطفال والكبار على حد سواء، أعلى منها للنساء، لا يوجد تقريبا في مناطق الحضر فرق حسب نوع الجنس بين الأطفال والكبار. ويمكن تعليل هذا بأن البنين في أسر الرعاة في المناطق الريفية يتركون المدارس مبكرا لمساعدة آبائهم. وفيما يتعلق بسكان الحضر، لا توجد مثل هذه الظروف، ومن ثم لا يوجد فرق كبير بين الجنسين.</w:t>
      </w:r>
    </w:p>
    <w:p w:rsidR="00FE4F97" w:rsidRDefault="00FE4F97">
      <w:pPr>
        <w:pStyle w:val="SingleTxt"/>
        <w:rPr>
          <w:rFonts w:hint="cs"/>
          <w:rtl/>
        </w:rPr>
      </w:pPr>
      <w:r>
        <w:rPr>
          <w:rFonts w:hint="cs"/>
          <w:rtl/>
        </w:rPr>
        <w:tab/>
        <w:t xml:space="preserve">وفيما يتعلق بالتعليم غير الرسمي، مع أن هناك تدريبات على القراءة والكتابة وتدريبات لإعادة التعليم فضلا عن تدريبات على المهارات المعيشية تجرى للرجال والنساء، لاتوفر تلك البرامج تربية جنسانية. وبعبارة أخرى، لم تكن التربية الجنسانية سوى عنصر في التعليم الرسمي.ولذلك، من الأهمية أن يجري، على نحو متسم بالكفاءة، تنظيم أعمال في المستقبل القريب بشأن توفير التربية الجنسانية للسكان بوجه عام، ولا سيما الأطفال والشباب المتسربون من المدارس والمواطنون الحاصلون على مستوى تعليمي منخفض. </w:t>
      </w:r>
    </w:p>
    <w:p w:rsidR="00FE4F97" w:rsidRPr="006E7E08" w:rsidRDefault="00FE4F97">
      <w:pPr>
        <w:pStyle w:val="SingleTxt"/>
        <w:spacing w:after="0" w:line="120" w:lineRule="exact"/>
        <w:rPr>
          <w:rFonts w:hint="cs"/>
          <w:sz w:val="10"/>
          <w:rtl/>
        </w:rPr>
      </w:pPr>
    </w:p>
    <w:p w:rsidR="00FE4F97" w:rsidRDefault="00FE4F97">
      <w:pPr>
        <w:pStyle w:val="SingleTxt"/>
        <w:spacing w:after="0"/>
        <w:rPr>
          <w:rFonts w:hint="cs"/>
          <w:rtl/>
        </w:rPr>
      </w:pPr>
      <w:r>
        <w:rPr>
          <w:rFonts w:hint="cs"/>
          <w:rtl/>
        </w:rPr>
        <w:t>الجدول 6</w:t>
      </w:r>
    </w:p>
    <w:p w:rsidR="00FE4F97" w:rsidRPr="006E7E08" w:rsidRDefault="00FE4F97">
      <w:pPr>
        <w:pStyle w:val="SingleTxt"/>
        <w:rPr>
          <w:rFonts w:hint="cs"/>
          <w:b/>
          <w:bCs/>
          <w:rtl/>
        </w:rPr>
      </w:pPr>
      <w:r w:rsidRPr="006E7E08">
        <w:rPr>
          <w:rFonts w:hint="cs"/>
          <w:b/>
          <w:bCs/>
          <w:rtl/>
        </w:rPr>
        <w:t>عدد الأشخاص</w:t>
      </w:r>
      <w:r>
        <w:rPr>
          <w:rFonts w:hint="cs"/>
          <w:b/>
          <w:bCs/>
          <w:rtl/>
        </w:rPr>
        <w:t xml:space="preserve"> المنخرطين في التعليم غير الرسمي</w:t>
      </w:r>
    </w:p>
    <w:p w:rsidR="00FE4F97" w:rsidRPr="006E7E08" w:rsidRDefault="00FE4F97">
      <w:pPr>
        <w:pStyle w:val="SingleTxt"/>
        <w:spacing w:after="0" w:line="120" w:lineRule="exact"/>
        <w:rPr>
          <w:rFonts w:hint="cs"/>
          <w:sz w:val="10"/>
          <w:rtl/>
        </w:rPr>
      </w:pPr>
    </w:p>
    <w:tbl>
      <w:tblPr>
        <w:bidiVisual/>
        <w:tblW w:w="8338" w:type="dxa"/>
        <w:jc w:val="center"/>
        <w:tblInd w:w="108" w:type="dxa"/>
        <w:tblLayout w:type="fixed"/>
        <w:tblLook w:val="01E0" w:firstRow="1" w:lastRow="1" w:firstColumn="1" w:lastColumn="1" w:noHBand="0" w:noVBand="0"/>
      </w:tblPr>
      <w:tblGrid>
        <w:gridCol w:w="1522"/>
        <w:gridCol w:w="927"/>
        <w:gridCol w:w="1041"/>
        <w:gridCol w:w="1041"/>
        <w:gridCol w:w="1269"/>
        <w:gridCol w:w="1269"/>
        <w:gridCol w:w="1269"/>
      </w:tblGrid>
      <w:tr w:rsidR="00FE4F97" w:rsidRPr="00F34000">
        <w:trPr>
          <w:cantSplit/>
          <w:tblHeader/>
          <w:jc w:val="center"/>
        </w:trPr>
        <w:tc>
          <w:tcPr>
            <w:tcW w:w="1522" w:type="dxa"/>
            <w:tcBorders>
              <w:top w:val="single" w:sz="4" w:space="0" w:color="auto"/>
              <w:bottom w:val="single" w:sz="12" w:space="0" w:color="auto"/>
            </w:tcBorders>
            <w:shd w:val="clear" w:color="auto" w:fill="auto"/>
            <w:vAlign w:val="bottom"/>
          </w:tcPr>
          <w:p w:rsidR="00FE4F97" w:rsidRPr="00F34000" w:rsidRDefault="00FE4F97">
            <w:pPr>
              <w:pStyle w:val="DualTxt"/>
              <w:spacing w:after="80" w:line="240" w:lineRule="exact"/>
              <w:rPr>
                <w:rFonts w:hint="cs"/>
                <w:i/>
                <w:iCs/>
                <w:sz w:val="16"/>
                <w:szCs w:val="24"/>
                <w:rtl/>
              </w:rPr>
            </w:pPr>
          </w:p>
        </w:tc>
        <w:tc>
          <w:tcPr>
            <w:tcW w:w="3009" w:type="dxa"/>
            <w:gridSpan w:val="3"/>
            <w:tcBorders>
              <w:top w:val="single" w:sz="4" w:space="0" w:color="auto"/>
              <w:bottom w:val="single" w:sz="12" w:space="0" w:color="auto"/>
            </w:tcBorders>
            <w:shd w:val="clear" w:color="auto" w:fill="auto"/>
            <w:vAlign w:val="bottom"/>
          </w:tcPr>
          <w:p w:rsidR="00FE4F97" w:rsidRDefault="00FE4F97">
            <w:pPr>
              <w:pStyle w:val="DualTxt"/>
              <w:spacing w:after="80" w:line="240" w:lineRule="exact"/>
              <w:ind w:right="144"/>
              <w:jc w:val="center"/>
              <w:rPr>
                <w:rFonts w:hint="cs"/>
                <w:i/>
                <w:iCs/>
                <w:sz w:val="16"/>
                <w:szCs w:val="24"/>
                <w:rtl/>
              </w:rPr>
            </w:pPr>
            <w:r>
              <w:rPr>
                <w:rFonts w:hint="cs"/>
                <w:i/>
                <w:iCs/>
                <w:sz w:val="16"/>
                <w:szCs w:val="24"/>
                <w:rtl/>
              </w:rPr>
              <w:t>تعليم القراءة والكتابة</w:t>
            </w:r>
          </w:p>
        </w:tc>
        <w:tc>
          <w:tcPr>
            <w:tcW w:w="3807" w:type="dxa"/>
            <w:gridSpan w:val="3"/>
            <w:tcBorders>
              <w:top w:val="single" w:sz="4" w:space="0" w:color="auto"/>
              <w:bottom w:val="single" w:sz="12" w:space="0" w:color="auto"/>
            </w:tcBorders>
            <w:shd w:val="clear" w:color="auto" w:fill="auto"/>
            <w:vAlign w:val="bottom"/>
          </w:tcPr>
          <w:p w:rsidR="00FE4F97" w:rsidRDefault="00FE4F97">
            <w:pPr>
              <w:pStyle w:val="DualTxt"/>
              <w:spacing w:after="80" w:line="240" w:lineRule="exact"/>
              <w:ind w:right="144"/>
              <w:jc w:val="center"/>
              <w:rPr>
                <w:rFonts w:hint="cs"/>
                <w:i/>
                <w:iCs/>
                <w:sz w:val="16"/>
                <w:szCs w:val="24"/>
                <w:rtl/>
              </w:rPr>
            </w:pPr>
            <w:r>
              <w:rPr>
                <w:rFonts w:hint="cs"/>
                <w:i/>
                <w:iCs/>
                <w:sz w:val="16"/>
                <w:szCs w:val="24"/>
                <w:rtl/>
              </w:rPr>
              <w:t>التدريب لتحسين المستوى التعليمي العام</w:t>
            </w:r>
          </w:p>
        </w:tc>
      </w:tr>
      <w:tr w:rsidR="00FE4F97" w:rsidRPr="00F34000">
        <w:trPr>
          <w:cantSplit/>
          <w:tblHeader/>
          <w:jc w:val="center"/>
        </w:trPr>
        <w:tc>
          <w:tcPr>
            <w:tcW w:w="1522" w:type="dxa"/>
            <w:tcBorders>
              <w:bottom w:val="single" w:sz="4" w:space="0" w:color="auto"/>
            </w:tcBorders>
            <w:shd w:val="clear" w:color="auto" w:fill="auto"/>
            <w:vAlign w:val="bottom"/>
          </w:tcPr>
          <w:p w:rsidR="00FE4F97" w:rsidRPr="00F34000" w:rsidRDefault="00FE4F97">
            <w:pPr>
              <w:pStyle w:val="DualTxt"/>
              <w:spacing w:after="80" w:line="240" w:lineRule="exact"/>
              <w:rPr>
                <w:rFonts w:hint="cs"/>
                <w:i/>
                <w:iCs/>
                <w:sz w:val="16"/>
                <w:szCs w:val="24"/>
                <w:rtl/>
              </w:rPr>
            </w:pPr>
          </w:p>
        </w:tc>
        <w:tc>
          <w:tcPr>
            <w:tcW w:w="927" w:type="dxa"/>
            <w:tcBorders>
              <w:bottom w:val="single" w:sz="4" w:space="0" w:color="auto"/>
            </w:tcBorders>
            <w:shd w:val="clear" w:color="auto" w:fill="auto"/>
            <w:vAlign w:val="bottom"/>
          </w:tcPr>
          <w:p w:rsidR="00FE4F97" w:rsidRPr="00F34000" w:rsidRDefault="00FE4F97">
            <w:pPr>
              <w:pStyle w:val="DualTxt"/>
              <w:spacing w:after="80" w:line="240" w:lineRule="exact"/>
              <w:ind w:right="144"/>
              <w:rPr>
                <w:rFonts w:hint="cs"/>
                <w:i/>
                <w:iCs/>
                <w:sz w:val="16"/>
                <w:szCs w:val="24"/>
                <w:rtl/>
              </w:rPr>
            </w:pPr>
            <w:r>
              <w:rPr>
                <w:rFonts w:hint="cs"/>
                <w:i/>
                <w:iCs/>
                <w:sz w:val="16"/>
                <w:szCs w:val="24"/>
                <w:rtl/>
              </w:rPr>
              <w:t>2003</w:t>
            </w:r>
          </w:p>
        </w:tc>
        <w:tc>
          <w:tcPr>
            <w:tcW w:w="1041" w:type="dxa"/>
            <w:tcBorders>
              <w:bottom w:val="single" w:sz="4" w:space="0" w:color="auto"/>
            </w:tcBorders>
            <w:shd w:val="clear" w:color="auto" w:fill="auto"/>
            <w:vAlign w:val="bottom"/>
          </w:tcPr>
          <w:p w:rsidR="00FE4F97" w:rsidRPr="00F34000" w:rsidRDefault="00FE4F97">
            <w:pPr>
              <w:pStyle w:val="DualTxt"/>
              <w:spacing w:after="80" w:line="240" w:lineRule="exact"/>
              <w:ind w:right="144"/>
              <w:rPr>
                <w:rFonts w:hint="cs"/>
                <w:i/>
                <w:iCs/>
                <w:sz w:val="16"/>
                <w:szCs w:val="24"/>
                <w:rtl/>
              </w:rPr>
            </w:pPr>
            <w:r>
              <w:rPr>
                <w:rFonts w:hint="cs"/>
                <w:i/>
                <w:iCs/>
                <w:sz w:val="16"/>
                <w:szCs w:val="24"/>
                <w:rtl/>
              </w:rPr>
              <w:t>2004</w:t>
            </w:r>
          </w:p>
        </w:tc>
        <w:tc>
          <w:tcPr>
            <w:tcW w:w="1041" w:type="dxa"/>
            <w:tcBorders>
              <w:bottom w:val="single" w:sz="4" w:space="0" w:color="auto"/>
            </w:tcBorders>
            <w:shd w:val="clear" w:color="auto" w:fill="auto"/>
            <w:vAlign w:val="bottom"/>
          </w:tcPr>
          <w:p w:rsidR="00FE4F97" w:rsidRPr="00F34000" w:rsidRDefault="00FE4F97">
            <w:pPr>
              <w:pStyle w:val="DualTxt"/>
              <w:spacing w:after="80" w:line="240" w:lineRule="exact"/>
              <w:ind w:right="144"/>
              <w:rPr>
                <w:rFonts w:hint="cs"/>
                <w:i/>
                <w:iCs/>
                <w:sz w:val="16"/>
                <w:szCs w:val="24"/>
                <w:rtl/>
              </w:rPr>
            </w:pPr>
            <w:r>
              <w:rPr>
                <w:rFonts w:hint="cs"/>
                <w:i/>
                <w:iCs/>
                <w:sz w:val="16"/>
                <w:szCs w:val="24"/>
                <w:rtl/>
              </w:rPr>
              <w:t>2005</w:t>
            </w:r>
          </w:p>
        </w:tc>
        <w:tc>
          <w:tcPr>
            <w:tcW w:w="1269" w:type="dxa"/>
            <w:tcBorders>
              <w:bottom w:val="single" w:sz="4" w:space="0" w:color="auto"/>
            </w:tcBorders>
            <w:shd w:val="clear" w:color="auto" w:fill="auto"/>
            <w:vAlign w:val="bottom"/>
          </w:tcPr>
          <w:p w:rsidR="00FE4F97" w:rsidRPr="00F34000" w:rsidRDefault="00FE4F97">
            <w:pPr>
              <w:pStyle w:val="DualTxt"/>
              <w:spacing w:after="80" w:line="240" w:lineRule="exact"/>
              <w:ind w:right="144"/>
              <w:rPr>
                <w:rFonts w:hint="cs"/>
                <w:i/>
                <w:iCs/>
                <w:sz w:val="16"/>
                <w:szCs w:val="24"/>
                <w:rtl/>
              </w:rPr>
            </w:pPr>
            <w:r>
              <w:rPr>
                <w:rFonts w:hint="cs"/>
                <w:i/>
                <w:iCs/>
                <w:sz w:val="16"/>
                <w:szCs w:val="24"/>
                <w:rtl/>
              </w:rPr>
              <w:t>2003</w:t>
            </w:r>
          </w:p>
        </w:tc>
        <w:tc>
          <w:tcPr>
            <w:tcW w:w="1269" w:type="dxa"/>
            <w:tcBorders>
              <w:bottom w:val="single" w:sz="4" w:space="0" w:color="auto"/>
            </w:tcBorders>
            <w:shd w:val="clear" w:color="auto" w:fill="auto"/>
            <w:vAlign w:val="bottom"/>
          </w:tcPr>
          <w:p w:rsidR="00FE4F97" w:rsidRPr="00F34000" w:rsidRDefault="00FE4F97">
            <w:pPr>
              <w:pStyle w:val="DualTxt"/>
              <w:spacing w:after="80" w:line="240" w:lineRule="exact"/>
              <w:ind w:right="144"/>
              <w:rPr>
                <w:rFonts w:hint="cs"/>
                <w:i/>
                <w:iCs/>
                <w:sz w:val="16"/>
                <w:szCs w:val="24"/>
                <w:rtl/>
              </w:rPr>
            </w:pPr>
            <w:r>
              <w:rPr>
                <w:rFonts w:hint="cs"/>
                <w:i/>
                <w:iCs/>
                <w:sz w:val="16"/>
                <w:szCs w:val="24"/>
                <w:rtl/>
              </w:rPr>
              <w:t>2004</w:t>
            </w:r>
          </w:p>
        </w:tc>
        <w:tc>
          <w:tcPr>
            <w:tcW w:w="1269" w:type="dxa"/>
            <w:tcBorders>
              <w:bottom w:val="single" w:sz="4" w:space="0" w:color="auto"/>
            </w:tcBorders>
            <w:shd w:val="clear" w:color="auto" w:fill="auto"/>
            <w:vAlign w:val="bottom"/>
          </w:tcPr>
          <w:p w:rsidR="00FE4F97" w:rsidRPr="00F34000" w:rsidRDefault="00FE4F97">
            <w:pPr>
              <w:pStyle w:val="DualTxt"/>
              <w:spacing w:after="80" w:line="240" w:lineRule="exact"/>
              <w:ind w:right="144"/>
              <w:rPr>
                <w:rFonts w:hint="cs"/>
                <w:i/>
                <w:iCs/>
                <w:sz w:val="16"/>
                <w:szCs w:val="24"/>
                <w:rtl/>
              </w:rPr>
            </w:pPr>
            <w:r>
              <w:rPr>
                <w:rFonts w:hint="cs"/>
                <w:i/>
                <w:iCs/>
                <w:sz w:val="16"/>
                <w:szCs w:val="24"/>
                <w:rtl/>
              </w:rPr>
              <w:t>2005</w:t>
            </w:r>
          </w:p>
        </w:tc>
      </w:tr>
      <w:tr w:rsidR="00FE4F97" w:rsidRPr="00F34000">
        <w:trPr>
          <w:cantSplit/>
          <w:jc w:val="center"/>
        </w:trPr>
        <w:tc>
          <w:tcPr>
            <w:tcW w:w="1522" w:type="dxa"/>
            <w:tcBorders>
              <w:top w:val="single" w:sz="4" w:space="0" w:color="auto"/>
              <w:bottom w:val="single" w:sz="12" w:space="0" w:color="auto"/>
            </w:tcBorders>
            <w:shd w:val="clear" w:color="auto" w:fill="auto"/>
            <w:vAlign w:val="bottom"/>
          </w:tcPr>
          <w:p w:rsidR="00FE4F97" w:rsidRPr="00F34000" w:rsidRDefault="00FE4F97">
            <w:pPr>
              <w:pStyle w:val="DualTxt"/>
              <w:spacing w:before="40" w:after="80" w:line="240" w:lineRule="exact"/>
              <w:rPr>
                <w:rFonts w:hint="cs"/>
                <w:sz w:val="16"/>
                <w:szCs w:val="24"/>
                <w:rtl/>
              </w:rPr>
            </w:pPr>
            <w:r>
              <w:rPr>
                <w:rFonts w:hint="cs"/>
                <w:sz w:val="16"/>
                <w:szCs w:val="24"/>
                <w:rtl/>
              </w:rPr>
              <w:t>عدد الأشخاص</w:t>
            </w:r>
          </w:p>
        </w:tc>
        <w:tc>
          <w:tcPr>
            <w:tcW w:w="927" w:type="dxa"/>
            <w:tcBorders>
              <w:top w:val="single" w:sz="4" w:space="0" w:color="auto"/>
              <w:bottom w:val="single" w:sz="12" w:space="0" w:color="auto"/>
            </w:tcBorders>
            <w:shd w:val="clear" w:color="auto" w:fill="auto"/>
            <w:vAlign w:val="bottom"/>
          </w:tcPr>
          <w:p w:rsidR="00FE4F97" w:rsidRPr="00F34000" w:rsidRDefault="00FE4F97">
            <w:pPr>
              <w:pStyle w:val="DualTxt"/>
              <w:spacing w:before="40" w:after="80" w:line="240" w:lineRule="exact"/>
              <w:ind w:right="144"/>
              <w:rPr>
                <w:rFonts w:hint="cs"/>
                <w:sz w:val="16"/>
                <w:szCs w:val="24"/>
                <w:rtl/>
              </w:rPr>
            </w:pPr>
            <w:r>
              <w:rPr>
                <w:rFonts w:hint="cs"/>
                <w:sz w:val="16"/>
                <w:szCs w:val="24"/>
                <w:rtl/>
              </w:rPr>
              <w:t>820 7</w:t>
            </w:r>
          </w:p>
        </w:tc>
        <w:tc>
          <w:tcPr>
            <w:tcW w:w="1041" w:type="dxa"/>
            <w:tcBorders>
              <w:top w:val="single" w:sz="4" w:space="0" w:color="auto"/>
              <w:bottom w:val="single" w:sz="12" w:space="0" w:color="auto"/>
            </w:tcBorders>
            <w:shd w:val="clear" w:color="auto" w:fill="auto"/>
            <w:vAlign w:val="bottom"/>
          </w:tcPr>
          <w:p w:rsidR="00FE4F97" w:rsidRPr="00F34000" w:rsidRDefault="00FE4F97">
            <w:pPr>
              <w:pStyle w:val="DualTxt"/>
              <w:spacing w:before="40" w:after="80" w:line="240" w:lineRule="exact"/>
              <w:ind w:right="144"/>
              <w:rPr>
                <w:rFonts w:hint="cs"/>
                <w:sz w:val="16"/>
                <w:szCs w:val="24"/>
                <w:rtl/>
              </w:rPr>
            </w:pPr>
            <w:r>
              <w:rPr>
                <w:rFonts w:hint="cs"/>
                <w:sz w:val="16"/>
                <w:szCs w:val="24"/>
                <w:rtl/>
              </w:rPr>
              <w:t>800 6</w:t>
            </w:r>
          </w:p>
        </w:tc>
        <w:tc>
          <w:tcPr>
            <w:tcW w:w="1041" w:type="dxa"/>
            <w:tcBorders>
              <w:top w:val="single" w:sz="4" w:space="0" w:color="auto"/>
              <w:bottom w:val="single" w:sz="12" w:space="0" w:color="auto"/>
            </w:tcBorders>
            <w:shd w:val="clear" w:color="auto" w:fill="auto"/>
            <w:vAlign w:val="bottom"/>
          </w:tcPr>
          <w:p w:rsidR="00FE4F97" w:rsidRPr="00F34000" w:rsidRDefault="00FE4F97">
            <w:pPr>
              <w:pStyle w:val="DualTxt"/>
              <w:spacing w:before="40" w:after="80" w:line="240" w:lineRule="exact"/>
              <w:ind w:right="144"/>
              <w:rPr>
                <w:rFonts w:hint="cs"/>
                <w:sz w:val="16"/>
                <w:szCs w:val="24"/>
                <w:rtl/>
              </w:rPr>
            </w:pPr>
            <w:r>
              <w:rPr>
                <w:rFonts w:hint="cs"/>
                <w:sz w:val="16"/>
                <w:szCs w:val="24"/>
                <w:rtl/>
              </w:rPr>
              <w:t>632 7</w:t>
            </w:r>
          </w:p>
        </w:tc>
        <w:tc>
          <w:tcPr>
            <w:tcW w:w="1269" w:type="dxa"/>
            <w:tcBorders>
              <w:top w:val="single" w:sz="4" w:space="0" w:color="auto"/>
              <w:bottom w:val="single" w:sz="12" w:space="0" w:color="auto"/>
            </w:tcBorders>
            <w:shd w:val="clear" w:color="auto" w:fill="auto"/>
            <w:vAlign w:val="bottom"/>
          </w:tcPr>
          <w:p w:rsidR="00FE4F97" w:rsidRPr="00F34000" w:rsidRDefault="00FE4F97">
            <w:pPr>
              <w:pStyle w:val="DualTxt"/>
              <w:spacing w:before="40" w:after="80" w:line="240" w:lineRule="exact"/>
              <w:ind w:right="144"/>
              <w:rPr>
                <w:rFonts w:hint="cs"/>
                <w:sz w:val="16"/>
                <w:szCs w:val="24"/>
                <w:rtl/>
              </w:rPr>
            </w:pPr>
            <w:r>
              <w:rPr>
                <w:rFonts w:hint="cs"/>
                <w:sz w:val="16"/>
                <w:szCs w:val="24"/>
                <w:rtl/>
              </w:rPr>
              <w:t>999 179</w:t>
            </w:r>
          </w:p>
        </w:tc>
        <w:tc>
          <w:tcPr>
            <w:tcW w:w="1269" w:type="dxa"/>
            <w:tcBorders>
              <w:top w:val="single" w:sz="4" w:space="0" w:color="auto"/>
              <w:bottom w:val="single" w:sz="12" w:space="0" w:color="auto"/>
            </w:tcBorders>
            <w:shd w:val="clear" w:color="auto" w:fill="auto"/>
            <w:vAlign w:val="bottom"/>
          </w:tcPr>
          <w:p w:rsidR="00FE4F97" w:rsidRPr="00F34000" w:rsidRDefault="00FE4F97">
            <w:pPr>
              <w:pStyle w:val="DualTxt"/>
              <w:spacing w:before="40" w:after="80" w:line="240" w:lineRule="exact"/>
              <w:ind w:right="144"/>
              <w:rPr>
                <w:rFonts w:hint="cs"/>
                <w:sz w:val="16"/>
                <w:szCs w:val="24"/>
                <w:rtl/>
              </w:rPr>
            </w:pPr>
            <w:r>
              <w:rPr>
                <w:rFonts w:hint="cs"/>
                <w:sz w:val="16"/>
                <w:szCs w:val="24"/>
                <w:rtl/>
              </w:rPr>
              <w:t>830 167</w:t>
            </w:r>
          </w:p>
        </w:tc>
        <w:tc>
          <w:tcPr>
            <w:tcW w:w="1269" w:type="dxa"/>
            <w:tcBorders>
              <w:top w:val="single" w:sz="4" w:space="0" w:color="auto"/>
              <w:bottom w:val="single" w:sz="12" w:space="0" w:color="auto"/>
            </w:tcBorders>
            <w:shd w:val="clear" w:color="auto" w:fill="auto"/>
            <w:vAlign w:val="bottom"/>
          </w:tcPr>
          <w:p w:rsidR="00FE4F97" w:rsidRPr="00F34000" w:rsidRDefault="00FE4F97">
            <w:pPr>
              <w:pStyle w:val="DualTxt"/>
              <w:spacing w:before="40" w:after="80" w:line="240" w:lineRule="exact"/>
              <w:ind w:right="144"/>
              <w:rPr>
                <w:rFonts w:hint="cs"/>
                <w:sz w:val="16"/>
                <w:szCs w:val="24"/>
                <w:rtl/>
              </w:rPr>
            </w:pPr>
            <w:r>
              <w:rPr>
                <w:rFonts w:hint="cs"/>
                <w:sz w:val="16"/>
                <w:szCs w:val="24"/>
                <w:rtl/>
              </w:rPr>
              <w:t>374 171</w:t>
            </w:r>
          </w:p>
        </w:tc>
      </w:tr>
    </w:tbl>
    <w:p w:rsidR="00FE4F97" w:rsidRPr="004E7E3E" w:rsidRDefault="00FE4F97">
      <w:pPr>
        <w:pStyle w:val="SingleTxt"/>
        <w:spacing w:after="0" w:line="120" w:lineRule="exact"/>
        <w:rPr>
          <w:rFonts w:hint="cs"/>
          <w:b/>
          <w:bCs/>
          <w:sz w:val="12"/>
          <w:rtl/>
        </w:rPr>
      </w:pPr>
    </w:p>
    <w:p w:rsidR="00FE4F97" w:rsidRDefault="00FE4F9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 xml:space="preserve">المصدر: </w:t>
      </w:r>
      <w:r>
        <w:rPr>
          <w:rFonts w:hint="cs"/>
          <w:rtl/>
        </w:rPr>
        <w:tab/>
        <w:t>بيانات من وزارة التعليم والثقافة العلوم.</w:t>
      </w:r>
    </w:p>
    <w:p w:rsidR="00FE4F97" w:rsidRDefault="00FE4F97">
      <w:pPr>
        <w:pStyle w:val="SingleTxt"/>
        <w:rPr>
          <w:rFonts w:hint="cs"/>
          <w:rtl/>
        </w:rPr>
      </w:pPr>
      <w:r>
        <w:rPr>
          <w:rFonts w:hint="cs"/>
          <w:rtl/>
        </w:rPr>
        <w:tab/>
        <w:t>والبيانات التالية تبين مدى إعطاء المرأة الحق في التعليم في منغوليا.</w:t>
      </w:r>
    </w:p>
    <w:p w:rsidR="00FE4F97" w:rsidRDefault="004A5549">
      <w:pPr>
        <w:pStyle w:val="SingleTxt"/>
        <w:rPr>
          <w:rFonts w:hint="cs"/>
          <w:rtl/>
        </w:rPr>
      </w:pPr>
      <w:r>
        <w:rPr>
          <w:rtl/>
        </w:rPr>
        <w:br w:type="page"/>
      </w:r>
      <w:r w:rsidR="00FE4F97">
        <w:rPr>
          <w:rFonts w:hint="cs"/>
          <w:rtl/>
        </w:rPr>
        <w:tab/>
      </w:r>
      <w:r w:rsidR="00FE4F97" w:rsidRPr="00290374">
        <w:rPr>
          <w:rFonts w:hint="cs"/>
          <w:b/>
          <w:bCs/>
          <w:rtl/>
        </w:rPr>
        <w:t>أولا</w:t>
      </w:r>
      <w:r w:rsidR="00FE4F97" w:rsidRPr="00B55F5A">
        <w:rPr>
          <w:rFonts w:hint="cs"/>
          <w:rtl/>
        </w:rPr>
        <w:t xml:space="preserve"> -</w:t>
      </w:r>
      <w:r w:rsidR="00FE4F97" w:rsidRPr="00B55F5A">
        <w:rPr>
          <w:rFonts w:hint="cs"/>
          <w:rtl/>
        </w:rPr>
        <w:tab/>
      </w:r>
      <w:r w:rsidR="00FE4F97">
        <w:rPr>
          <w:rFonts w:hint="cs"/>
          <w:rtl/>
        </w:rPr>
        <w:t>يوضح الرسم البياني التالي نطاق مدارس التعليم العام في السنتين الدراسيتين 2003/2004، و2004/2005، حسب نوع الجنس:</w:t>
      </w:r>
    </w:p>
    <w:p w:rsidR="00FE4F97" w:rsidRDefault="00FE4F97">
      <w:pPr>
        <w:pStyle w:val="SingleTxt"/>
        <w:spacing w:after="0"/>
        <w:rPr>
          <w:rFonts w:hint="cs"/>
          <w:rtl/>
        </w:rPr>
      </w:pPr>
      <w:r>
        <w:rPr>
          <w:rFonts w:hint="cs"/>
          <w:rtl/>
        </w:rPr>
        <w:t>الرسم البياني 3</w:t>
      </w:r>
    </w:p>
    <w:p w:rsidR="00FE4F97" w:rsidRDefault="00FE4F97">
      <w:pPr>
        <w:pStyle w:val="SingleTxt"/>
        <w:rPr>
          <w:rFonts w:hint="cs"/>
          <w:b/>
          <w:bCs/>
          <w:rtl/>
        </w:rPr>
      </w:pPr>
      <w:r w:rsidRPr="00D417A1">
        <w:rPr>
          <w:rFonts w:hint="cs"/>
          <w:b/>
          <w:bCs/>
          <w:rtl/>
        </w:rPr>
        <w:t>نسبة التسجيل في مدارس التعليم العام</w:t>
      </w:r>
    </w:p>
    <w:p w:rsidR="00FE4F97" w:rsidRPr="00D417A1" w:rsidRDefault="00FE4F97">
      <w:pPr>
        <w:pStyle w:val="SingleTxt"/>
        <w:rPr>
          <w:rFonts w:hint="cs"/>
          <w:i/>
          <w:iCs/>
          <w:rtl/>
        </w:rPr>
      </w:pPr>
      <w:r>
        <w:rPr>
          <w:rFonts w:hint="cs"/>
          <w:i/>
          <w:iCs/>
          <w:rtl/>
        </w:rPr>
        <w:t xml:space="preserve">السنتان الدراسيتان </w:t>
      </w:r>
      <w:r>
        <w:rPr>
          <w:rFonts w:hint="cs"/>
          <w:noProof/>
          <w:w w:val="100"/>
          <w:rtl/>
        </w:rPr>
        <w:pict>
          <v:shape id="_x0000_s1236" type="#_x0000_t75" style="position:absolute;left:0;text-align:left;margin-left:29.1pt;margin-top:23.6pt;width:427.5pt;height:238pt;z-index:20;mso-position-horizontal-relative:text;mso-position-vertical-relative:text" o:bwpure="highContrast" o:bwnormal="blackTextAndLines" fillcolor="#6cf" strokecolor="white">
            <v:fill color2="#669" o:detectmouseclick="t"/>
            <v:stroke o:forcedash="t"/>
            <v:imagedata r:id="rId17" o:title=""/>
            <v:shadow color="#9b69ff"/>
          </v:shape>
          <o:OLEObject Type="Embed" ProgID="MSGraph.Chart.8" ShapeID="_x0000_s1236" DrawAspect="Content" ObjectID="_1395245881" r:id="rId18">
            <o:FieldCodes>\s</o:FieldCodes>
          </o:OLEObject>
        </w:pict>
      </w:r>
      <w:r w:rsidRPr="00D417A1">
        <w:rPr>
          <w:rFonts w:hint="cs"/>
          <w:i/>
          <w:iCs/>
          <w:rtl/>
        </w:rPr>
        <w:t>2003/2004 و 2004/2005، حسب الجنس</w:t>
      </w:r>
    </w:p>
    <w:p w:rsidR="00FE4F97" w:rsidRDefault="00FE4F97">
      <w:pPr>
        <w:pStyle w:val="SingleTxt"/>
        <w:rPr>
          <w:rFonts w:hint="cs"/>
          <w:rtl/>
        </w:rPr>
      </w:pPr>
    </w:p>
    <w:p w:rsidR="00FE4F97" w:rsidRDefault="00FE4F97">
      <w:pPr>
        <w:pStyle w:val="SingleTxt"/>
        <w:rPr>
          <w:rFonts w:hint="cs"/>
          <w:rtl/>
        </w:rPr>
      </w:pPr>
      <w:r>
        <w:rPr>
          <w:rFonts w:hint="cs"/>
          <w:noProof/>
          <w:w w:val="100"/>
          <w:rtl/>
        </w:rPr>
        <w:pict>
          <v:shape id="_x0000_s1237" type="#_x0000_t202" style="position:absolute;left:0;text-align:left;margin-left:382.75pt;margin-top:11.6pt;width:44.7pt;height:27pt;z-index:21" stroked="f">
            <v:textbox inset="0,0,0,0">
              <w:txbxContent>
                <w:p w:rsidR="007433E8" w:rsidRPr="009B24A3" w:rsidRDefault="007433E8">
                  <w:pPr>
                    <w:spacing w:line="240" w:lineRule="exact"/>
                    <w:jc w:val="center"/>
                    <w:rPr>
                      <w:rFonts w:hint="cs"/>
                      <w:szCs w:val="20"/>
                    </w:rPr>
                  </w:pPr>
                  <w:r>
                    <w:rPr>
                      <w:rFonts w:hint="cs"/>
                      <w:sz w:val="14"/>
                      <w:szCs w:val="24"/>
                      <w:rtl/>
                    </w:rPr>
                    <w:t>مجموع التسجيل</w:t>
                  </w:r>
                </w:p>
              </w:txbxContent>
            </v:textbox>
            <w10:wrap anchorx="page"/>
          </v:shape>
        </w:pict>
      </w:r>
    </w:p>
    <w:p w:rsidR="00FE4F97" w:rsidRDefault="00FE4F97">
      <w:pPr>
        <w:pStyle w:val="SingleTxt"/>
        <w:rPr>
          <w:rFonts w:hint="cs"/>
          <w:rtl/>
        </w:rPr>
      </w:pPr>
      <w:r>
        <w:rPr>
          <w:rFonts w:hint="cs"/>
          <w:noProof/>
          <w:w w:val="100"/>
          <w:rtl/>
        </w:rPr>
        <w:pict>
          <v:shape id="_x0000_s1244" type="#_x0000_t202" style="position:absolute;left:0;text-align:left;margin-left:383.45pt;margin-top:15.3pt;width:49.8pt;height:18pt;z-index:28" stroked="f">
            <v:textbox inset="0,0,0,0">
              <w:txbxContent>
                <w:p w:rsidR="007433E8" w:rsidRPr="009B24A3" w:rsidRDefault="007433E8">
                  <w:pPr>
                    <w:spacing w:line="240" w:lineRule="exact"/>
                    <w:jc w:val="center"/>
                    <w:rPr>
                      <w:rFonts w:hint="cs"/>
                      <w:szCs w:val="20"/>
                    </w:rPr>
                  </w:pPr>
                  <w:r>
                    <w:rPr>
                      <w:rFonts w:hint="cs"/>
                      <w:sz w:val="14"/>
                      <w:szCs w:val="24"/>
                      <w:rtl/>
                    </w:rPr>
                    <w:t>إناث</w:t>
                  </w:r>
                </w:p>
              </w:txbxContent>
            </v:textbox>
            <w10:wrap anchorx="page"/>
          </v:shape>
        </w:pict>
      </w:r>
    </w:p>
    <w:p w:rsidR="00FE4F97" w:rsidRDefault="00FE4F97">
      <w:pPr>
        <w:pStyle w:val="SingleTxt"/>
        <w:rPr>
          <w:rFonts w:hint="cs"/>
          <w:rtl/>
        </w:rPr>
      </w:pPr>
      <w:r>
        <w:rPr>
          <w:rFonts w:hint="cs"/>
          <w:noProof/>
          <w:w w:val="100"/>
          <w:rtl/>
        </w:rPr>
        <w:pict>
          <v:shape id="_x0000_s1245" type="#_x0000_t202" style="position:absolute;left:0;text-align:left;margin-left:383.45pt;margin-top:14.9pt;width:44pt;height:18pt;z-index:29" stroked="f">
            <v:textbox inset="0,0,0,0">
              <w:txbxContent>
                <w:p w:rsidR="007433E8" w:rsidRPr="009B24A3" w:rsidRDefault="007433E8">
                  <w:pPr>
                    <w:spacing w:line="240" w:lineRule="exact"/>
                    <w:jc w:val="center"/>
                    <w:rPr>
                      <w:rFonts w:hint="cs"/>
                      <w:szCs w:val="20"/>
                    </w:rPr>
                  </w:pPr>
                  <w:r>
                    <w:rPr>
                      <w:rFonts w:hint="cs"/>
                      <w:sz w:val="14"/>
                      <w:szCs w:val="24"/>
                      <w:rtl/>
                    </w:rPr>
                    <w:t>ذكور</w:t>
                  </w:r>
                </w:p>
              </w:txbxContent>
            </v:textbox>
            <w10:wrap anchorx="page"/>
          </v:shape>
        </w:pict>
      </w: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r>
        <w:rPr>
          <w:rFonts w:hint="cs"/>
          <w:noProof/>
          <w:w w:val="100"/>
          <w:rtl/>
        </w:rPr>
        <w:pict>
          <v:shape id="_x0000_s1242" type="#_x0000_t202" style="position:absolute;left:0;text-align:left;margin-left:221.45pt;margin-top:22.1pt;width:36.05pt;height:63pt;z-index:26" stroked="f">
            <v:textbox style="layout-flow:vertical;mso-layout-flow-alt:bottom-to-top" inset="0,0,0,0">
              <w:txbxContent>
                <w:p w:rsidR="007433E8" w:rsidRPr="009B24A3" w:rsidRDefault="007433E8">
                  <w:pPr>
                    <w:spacing w:line="240" w:lineRule="exact"/>
                    <w:jc w:val="center"/>
                    <w:rPr>
                      <w:rFonts w:hint="cs"/>
                      <w:szCs w:val="20"/>
                    </w:rPr>
                  </w:pPr>
                  <w:r>
                    <w:rPr>
                      <w:rFonts w:hint="cs"/>
                      <w:sz w:val="14"/>
                      <w:szCs w:val="24"/>
                      <w:rtl/>
                    </w:rPr>
                    <w:t>ابتدائي</w:t>
                  </w:r>
                </w:p>
              </w:txbxContent>
            </v:textbox>
            <w10:wrap anchorx="page"/>
          </v:shape>
        </w:pict>
      </w:r>
      <w:r>
        <w:rPr>
          <w:rFonts w:hint="cs"/>
          <w:noProof/>
          <w:w w:val="100"/>
          <w:rtl/>
        </w:rPr>
        <w:pict>
          <v:shape id="_x0000_s1243" type="#_x0000_t202" style="position:absolute;left:0;text-align:left;margin-left:257.5pt;margin-top:22.8pt;width:46.35pt;height:63pt;z-index:27" stroked="f">
            <v:textbox style="layout-flow:vertical;mso-layout-flow-alt:bottom-to-top" inset="0,0,0,0">
              <w:txbxContent>
                <w:p w:rsidR="007433E8" w:rsidRPr="009B24A3" w:rsidRDefault="007433E8">
                  <w:pPr>
                    <w:spacing w:line="240" w:lineRule="exact"/>
                    <w:jc w:val="center"/>
                    <w:rPr>
                      <w:rFonts w:hint="cs"/>
                      <w:szCs w:val="20"/>
                    </w:rPr>
                  </w:pPr>
                  <w:r>
                    <w:rPr>
                      <w:rFonts w:hint="cs"/>
                      <w:sz w:val="14"/>
                      <w:szCs w:val="24"/>
                      <w:rtl/>
                    </w:rPr>
                    <w:t>ثانوي</w:t>
                  </w:r>
                </w:p>
              </w:txbxContent>
            </v:textbox>
            <w10:wrap anchorx="page"/>
          </v:shape>
        </w:pict>
      </w:r>
      <w:r>
        <w:rPr>
          <w:rFonts w:hint="cs"/>
          <w:noProof/>
          <w:w w:val="100"/>
          <w:rtl/>
        </w:rPr>
        <w:pict>
          <v:shape id="_x0000_s1238" type="#_x0000_t202" style="position:absolute;left:0;text-align:left;margin-left:151.05pt;margin-top:21.3pt;width:34.35pt;height:63pt;z-index:22" stroked="f">
            <v:textbox style="layout-flow:vertical;mso-layout-flow-alt:bottom-to-top" inset="0,0,0,0">
              <w:txbxContent>
                <w:p w:rsidR="007433E8" w:rsidRPr="009B24A3" w:rsidRDefault="007433E8">
                  <w:pPr>
                    <w:spacing w:line="240" w:lineRule="exact"/>
                    <w:jc w:val="center"/>
                    <w:rPr>
                      <w:rFonts w:hint="cs"/>
                      <w:szCs w:val="20"/>
                    </w:rPr>
                  </w:pPr>
                  <w:r>
                    <w:rPr>
                      <w:rFonts w:hint="cs"/>
                      <w:sz w:val="14"/>
                      <w:szCs w:val="24"/>
                      <w:rtl/>
                    </w:rPr>
                    <w:t>ثانوي</w:t>
                  </w:r>
                </w:p>
              </w:txbxContent>
            </v:textbox>
            <w10:wrap anchorx="page"/>
          </v:shape>
        </w:pict>
      </w:r>
      <w:r>
        <w:rPr>
          <w:rFonts w:hint="cs"/>
          <w:noProof/>
          <w:w w:val="100"/>
          <w:rtl/>
        </w:rPr>
        <w:pict>
          <v:shape id="_x0000_s1241" type="#_x0000_t202" style="position:absolute;left:0;text-align:left;margin-left:185.4pt;margin-top:22.1pt;width:30.9pt;height:63pt;z-index:25" stroked="f">
            <v:textbox style="layout-flow:vertical;mso-layout-flow-alt:bottom-to-top" inset="0,0,0,0">
              <w:txbxContent>
                <w:p w:rsidR="007433E8" w:rsidRPr="009B24A3" w:rsidRDefault="007433E8">
                  <w:pPr>
                    <w:spacing w:line="240" w:lineRule="exact"/>
                    <w:jc w:val="center"/>
                    <w:rPr>
                      <w:rFonts w:hint="cs"/>
                      <w:szCs w:val="20"/>
                    </w:rPr>
                  </w:pPr>
                  <w:r>
                    <w:rPr>
                      <w:rFonts w:hint="cs"/>
                      <w:sz w:val="14"/>
                      <w:szCs w:val="24"/>
                      <w:rtl/>
                    </w:rPr>
                    <w:t>أساسي</w:t>
                  </w:r>
                </w:p>
              </w:txbxContent>
            </v:textbox>
            <w10:wrap anchorx="page"/>
          </v:shape>
        </w:pict>
      </w:r>
      <w:r>
        <w:rPr>
          <w:rFonts w:hint="cs"/>
          <w:noProof/>
          <w:w w:val="100"/>
          <w:rtl/>
        </w:rPr>
        <w:pict>
          <v:shape id="_x0000_s1239" type="#_x0000_t202" style="position:absolute;left:0;text-align:left;margin-left:113.3pt;margin-top:21.4pt;width:36.05pt;height:63pt;z-index:23" stroked="f">
            <v:textbox style="layout-flow:vertical;mso-layout-flow-alt:bottom-to-top" inset="0,0,0,0">
              <w:txbxContent>
                <w:p w:rsidR="007433E8" w:rsidRPr="009B24A3" w:rsidRDefault="007433E8">
                  <w:pPr>
                    <w:spacing w:line="240" w:lineRule="exact"/>
                    <w:jc w:val="center"/>
                    <w:rPr>
                      <w:rFonts w:hint="cs"/>
                      <w:szCs w:val="20"/>
                    </w:rPr>
                  </w:pPr>
                  <w:r>
                    <w:rPr>
                      <w:rFonts w:hint="cs"/>
                      <w:sz w:val="14"/>
                      <w:szCs w:val="24"/>
                      <w:rtl/>
                    </w:rPr>
                    <w:t>ابتدائي</w:t>
                  </w:r>
                </w:p>
              </w:txbxContent>
            </v:textbox>
            <w10:wrap anchorx="page"/>
          </v:shape>
        </w:pict>
      </w:r>
      <w:r>
        <w:rPr>
          <w:rFonts w:hint="cs"/>
          <w:noProof/>
          <w:w w:val="100"/>
          <w:rtl/>
        </w:rPr>
        <w:pict>
          <v:shape id="_x0000_s1240" type="#_x0000_t202" style="position:absolute;left:0;text-align:left;margin-left:77.25pt;margin-top:21.4pt;width:25.75pt;height:63pt;z-index:24" stroked="f">
            <v:textbox style="layout-flow:vertical;mso-layout-flow-alt:bottom-to-top" inset="0,0,0,0">
              <w:txbxContent>
                <w:p w:rsidR="007433E8" w:rsidRPr="009B24A3" w:rsidRDefault="007433E8">
                  <w:pPr>
                    <w:spacing w:line="240" w:lineRule="exact"/>
                    <w:jc w:val="center"/>
                    <w:rPr>
                      <w:rFonts w:hint="cs"/>
                      <w:szCs w:val="20"/>
                    </w:rPr>
                  </w:pPr>
                  <w:r>
                    <w:rPr>
                      <w:rFonts w:hint="cs"/>
                      <w:sz w:val="14"/>
                      <w:szCs w:val="24"/>
                      <w:rtl/>
                    </w:rPr>
                    <w:t>أساسي</w:t>
                  </w:r>
                </w:p>
              </w:txbxContent>
            </v:textbox>
            <w10:wrap anchorx="page"/>
          </v:shape>
        </w:pict>
      </w: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spacing w:after="0"/>
        <w:rPr>
          <w:rFonts w:hint="cs"/>
          <w:rtl/>
        </w:rPr>
      </w:pPr>
      <w:r>
        <w:rPr>
          <w:rFonts w:hint="cs"/>
          <w:rtl/>
        </w:rPr>
        <w:tab/>
      </w:r>
      <w:r>
        <w:rPr>
          <w:rFonts w:hint="cs"/>
          <w:rtl/>
        </w:rPr>
        <w:tab/>
      </w:r>
      <w:r>
        <w:rPr>
          <w:rFonts w:hint="cs"/>
          <w:rtl/>
        </w:rPr>
        <w:tab/>
        <w:t>الفئة العمرية</w:t>
      </w:r>
      <w:r>
        <w:rPr>
          <w:rFonts w:hint="cs"/>
          <w:rtl/>
        </w:rPr>
        <w:tab/>
        <w:t>الفئة العمرية</w:t>
      </w:r>
      <w:r>
        <w:rPr>
          <w:rFonts w:hint="cs"/>
          <w:rtl/>
        </w:rPr>
        <w:tab/>
        <w:t>الفئة العمرية</w:t>
      </w:r>
      <w:r>
        <w:rPr>
          <w:rFonts w:hint="cs"/>
          <w:rtl/>
        </w:rPr>
        <w:tab/>
        <w:t>الفئة العمرية</w:t>
      </w:r>
    </w:p>
    <w:p w:rsidR="00FE4F97" w:rsidRDefault="00FE4F97">
      <w:pPr>
        <w:pStyle w:val="SingleTxt"/>
        <w:rPr>
          <w:rFonts w:hint="cs"/>
          <w:rtl/>
        </w:rPr>
      </w:pPr>
      <w:r>
        <w:rPr>
          <w:rFonts w:hint="cs"/>
          <w:rtl/>
        </w:rPr>
        <w:tab/>
      </w:r>
      <w:r>
        <w:rPr>
          <w:rFonts w:hint="cs"/>
          <w:rtl/>
        </w:rPr>
        <w:tab/>
      </w:r>
      <w:r>
        <w:rPr>
          <w:rFonts w:hint="cs"/>
          <w:rtl/>
        </w:rPr>
        <w:tab/>
        <w:t>8-11</w:t>
      </w:r>
      <w:r>
        <w:rPr>
          <w:rFonts w:hint="cs"/>
          <w:rtl/>
        </w:rPr>
        <w:tab/>
      </w:r>
      <w:r>
        <w:rPr>
          <w:rFonts w:hint="cs"/>
          <w:rtl/>
        </w:rPr>
        <w:tab/>
        <w:t>12-15</w:t>
      </w:r>
      <w:r>
        <w:rPr>
          <w:rFonts w:hint="cs"/>
          <w:rtl/>
        </w:rPr>
        <w:tab/>
        <w:t>8-11</w:t>
      </w:r>
      <w:r>
        <w:rPr>
          <w:rFonts w:hint="cs"/>
          <w:rtl/>
        </w:rPr>
        <w:tab/>
      </w:r>
      <w:r>
        <w:rPr>
          <w:rFonts w:hint="cs"/>
          <w:rtl/>
        </w:rPr>
        <w:tab/>
      </w:r>
      <w:r>
        <w:rPr>
          <w:rFonts w:hint="cs"/>
          <w:rtl/>
        </w:rPr>
        <w:tab/>
        <w:t>12-15</w:t>
      </w:r>
    </w:p>
    <w:p w:rsidR="00FE4F97" w:rsidRDefault="00FE4F97">
      <w:pPr>
        <w:pStyle w:val="SingleTxt"/>
        <w:rPr>
          <w:rFonts w:hint="cs"/>
          <w:rtl/>
        </w:rPr>
      </w:pPr>
      <w:r>
        <w:rPr>
          <w:rFonts w:hint="cs"/>
          <w:i/>
          <w:iCs/>
          <w:sz w:val="16"/>
          <w:szCs w:val="26"/>
          <w:rtl/>
        </w:rPr>
        <w:tab/>
      </w:r>
      <w:r w:rsidRPr="006E7E08">
        <w:rPr>
          <w:rFonts w:hint="cs"/>
          <w:i/>
          <w:iCs/>
          <w:sz w:val="16"/>
          <w:szCs w:val="26"/>
          <w:rtl/>
        </w:rPr>
        <w:t>المصدر</w:t>
      </w:r>
      <w:r w:rsidRPr="006E7E08">
        <w:rPr>
          <w:rFonts w:hint="cs"/>
          <w:sz w:val="16"/>
          <w:szCs w:val="26"/>
          <w:rtl/>
        </w:rPr>
        <w:t>:</w:t>
      </w:r>
      <w:r>
        <w:rPr>
          <w:rFonts w:hint="cs"/>
          <w:sz w:val="16"/>
          <w:szCs w:val="26"/>
          <w:rtl/>
        </w:rPr>
        <w:t xml:space="preserve"> بيانات من وزارة التعليم</w:t>
      </w:r>
      <w:r w:rsidRPr="006E7E08">
        <w:rPr>
          <w:rFonts w:hint="cs"/>
          <w:sz w:val="16"/>
          <w:szCs w:val="26"/>
          <w:rtl/>
        </w:rPr>
        <w:t xml:space="preserve"> والثقافة العلوم.</w:t>
      </w:r>
    </w:p>
    <w:p w:rsidR="00FE4F97" w:rsidRDefault="00FE4F97">
      <w:pPr>
        <w:pStyle w:val="SingleTxt"/>
        <w:rPr>
          <w:rFonts w:hint="cs"/>
          <w:rtl/>
        </w:rPr>
      </w:pPr>
    </w:p>
    <w:p w:rsidR="00FE4F97" w:rsidRDefault="00FE4F97">
      <w:pPr>
        <w:pStyle w:val="SingleTxt"/>
        <w:spacing w:after="0"/>
        <w:rPr>
          <w:rFonts w:hint="cs"/>
          <w:rtl/>
        </w:rPr>
      </w:pPr>
      <w:r>
        <w:rPr>
          <w:rFonts w:hint="cs"/>
          <w:rtl/>
        </w:rPr>
        <w:t>الجدول 7</w:t>
      </w:r>
    </w:p>
    <w:p w:rsidR="00FE4F97" w:rsidRPr="00290374" w:rsidRDefault="00FE4F97">
      <w:pPr>
        <w:pStyle w:val="SingleTxt"/>
        <w:rPr>
          <w:rFonts w:hint="cs"/>
          <w:b/>
          <w:bCs/>
          <w:rtl/>
        </w:rPr>
      </w:pPr>
      <w:r w:rsidRPr="00290374">
        <w:rPr>
          <w:rFonts w:hint="cs"/>
          <w:b/>
          <w:bCs/>
          <w:rtl/>
        </w:rPr>
        <w:t>عدد ال</w:t>
      </w:r>
      <w:r>
        <w:rPr>
          <w:rFonts w:hint="cs"/>
          <w:b/>
          <w:bCs/>
          <w:rtl/>
        </w:rPr>
        <w:t>طلبة</w:t>
      </w:r>
      <w:r w:rsidRPr="00290374">
        <w:rPr>
          <w:rFonts w:hint="cs"/>
          <w:b/>
          <w:bCs/>
          <w:rtl/>
        </w:rPr>
        <w:t xml:space="preserve"> في مدارس التعليم العام، </w:t>
      </w:r>
      <w:r>
        <w:rPr>
          <w:rFonts w:hint="cs"/>
          <w:b/>
          <w:bCs/>
          <w:rtl/>
        </w:rPr>
        <w:t xml:space="preserve">حسب </w:t>
      </w:r>
      <w:r w:rsidRPr="00290374">
        <w:rPr>
          <w:rFonts w:hint="cs"/>
          <w:b/>
          <w:bCs/>
          <w:rtl/>
        </w:rPr>
        <w:t>الجنس</w:t>
      </w:r>
    </w:p>
    <w:p w:rsidR="00FE4F97" w:rsidRPr="00290374" w:rsidRDefault="00FE4F97">
      <w:pPr>
        <w:pStyle w:val="SingleTxt"/>
        <w:spacing w:after="0" w:line="120" w:lineRule="exact"/>
        <w:rPr>
          <w:rFonts w:hint="cs"/>
          <w:sz w:val="10"/>
          <w:rtl/>
        </w:rPr>
      </w:pPr>
    </w:p>
    <w:tbl>
      <w:tblPr>
        <w:bidiVisual/>
        <w:tblW w:w="8343" w:type="dxa"/>
        <w:tblInd w:w="688" w:type="dxa"/>
        <w:tblLayout w:type="fixed"/>
        <w:tblLook w:val="01E0" w:firstRow="1" w:lastRow="1" w:firstColumn="1" w:lastColumn="1" w:noHBand="0" w:noVBand="0"/>
      </w:tblPr>
      <w:tblGrid>
        <w:gridCol w:w="1030"/>
        <w:gridCol w:w="927"/>
        <w:gridCol w:w="824"/>
        <w:gridCol w:w="927"/>
        <w:gridCol w:w="966"/>
        <w:gridCol w:w="888"/>
        <w:gridCol w:w="927"/>
        <w:gridCol w:w="927"/>
        <w:gridCol w:w="927"/>
      </w:tblGrid>
      <w:tr w:rsidR="00FE4F97" w:rsidRPr="00FE448A">
        <w:trPr>
          <w:cantSplit/>
          <w:tblHeader/>
        </w:trPr>
        <w:tc>
          <w:tcPr>
            <w:tcW w:w="2781" w:type="dxa"/>
            <w:gridSpan w:val="3"/>
            <w:tcBorders>
              <w:top w:val="single" w:sz="4" w:space="0" w:color="auto"/>
            </w:tcBorders>
            <w:shd w:val="clear" w:color="auto" w:fill="auto"/>
            <w:vAlign w:val="bottom"/>
          </w:tcPr>
          <w:p w:rsidR="00FE4F97" w:rsidRPr="00FE448A" w:rsidRDefault="00FE4F97">
            <w:pPr>
              <w:pStyle w:val="DualTxt"/>
              <w:spacing w:before="80" w:after="80" w:line="240" w:lineRule="exact"/>
              <w:jc w:val="center"/>
              <w:rPr>
                <w:rFonts w:hint="cs"/>
                <w:i/>
                <w:iCs/>
                <w:sz w:val="16"/>
                <w:szCs w:val="16"/>
                <w:rtl/>
              </w:rPr>
            </w:pPr>
            <w:r w:rsidRPr="00FE448A">
              <w:rPr>
                <w:rFonts w:hint="cs"/>
                <w:i/>
                <w:iCs/>
                <w:sz w:val="16"/>
                <w:szCs w:val="16"/>
                <w:rtl/>
              </w:rPr>
              <w:t>2003-2004</w:t>
            </w:r>
          </w:p>
        </w:tc>
        <w:tc>
          <w:tcPr>
            <w:tcW w:w="2781" w:type="dxa"/>
            <w:gridSpan w:val="3"/>
            <w:tcBorders>
              <w:top w:val="single" w:sz="4" w:space="0" w:color="auto"/>
            </w:tcBorders>
            <w:shd w:val="clear" w:color="auto" w:fill="auto"/>
            <w:vAlign w:val="bottom"/>
          </w:tcPr>
          <w:p w:rsidR="00FE4F97" w:rsidRPr="00FE448A" w:rsidRDefault="00FE4F97">
            <w:pPr>
              <w:pStyle w:val="DualTxt"/>
              <w:spacing w:before="80" w:after="80" w:line="240" w:lineRule="exact"/>
              <w:ind w:right="144"/>
              <w:jc w:val="center"/>
              <w:rPr>
                <w:rFonts w:hint="cs"/>
                <w:i/>
                <w:iCs/>
                <w:sz w:val="16"/>
                <w:szCs w:val="16"/>
                <w:rtl/>
              </w:rPr>
            </w:pPr>
            <w:r w:rsidRPr="00FE448A">
              <w:rPr>
                <w:rFonts w:hint="cs"/>
                <w:i/>
                <w:iCs/>
                <w:sz w:val="16"/>
                <w:szCs w:val="16"/>
                <w:rtl/>
              </w:rPr>
              <w:t>2004-2005</w:t>
            </w:r>
          </w:p>
        </w:tc>
        <w:tc>
          <w:tcPr>
            <w:tcW w:w="2781" w:type="dxa"/>
            <w:gridSpan w:val="3"/>
            <w:tcBorders>
              <w:top w:val="single" w:sz="4" w:space="0" w:color="auto"/>
            </w:tcBorders>
            <w:shd w:val="clear" w:color="auto" w:fill="auto"/>
            <w:vAlign w:val="bottom"/>
          </w:tcPr>
          <w:p w:rsidR="00FE4F97" w:rsidRPr="00FE448A" w:rsidRDefault="00FE4F97">
            <w:pPr>
              <w:pStyle w:val="DualTxt"/>
              <w:spacing w:before="80" w:after="80" w:line="240" w:lineRule="exact"/>
              <w:ind w:right="144"/>
              <w:jc w:val="center"/>
              <w:rPr>
                <w:rFonts w:hint="cs"/>
                <w:i/>
                <w:iCs/>
                <w:sz w:val="16"/>
                <w:szCs w:val="16"/>
                <w:rtl/>
              </w:rPr>
            </w:pPr>
            <w:r w:rsidRPr="00FE448A">
              <w:rPr>
                <w:rFonts w:hint="cs"/>
                <w:i/>
                <w:iCs/>
                <w:sz w:val="16"/>
                <w:szCs w:val="16"/>
                <w:rtl/>
              </w:rPr>
              <w:t>2005-2006</w:t>
            </w:r>
          </w:p>
        </w:tc>
      </w:tr>
      <w:tr w:rsidR="00FE4F97" w:rsidRPr="00FE448A">
        <w:trPr>
          <w:cantSplit/>
          <w:tblHeader/>
        </w:trPr>
        <w:tc>
          <w:tcPr>
            <w:tcW w:w="1030" w:type="dxa"/>
            <w:tcBorders>
              <w:bottom w:val="single" w:sz="12" w:space="0" w:color="auto"/>
            </w:tcBorders>
            <w:shd w:val="clear" w:color="auto" w:fill="auto"/>
            <w:vAlign w:val="bottom"/>
          </w:tcPr>
          <w:p w:rsidR="00FE4F97" w:rsidRPr="00FE448A" w:rsidRDefault="00FE4F97">
            <w:pPr>
              <w:pStyle w:val="DualTxt"/>
              <w:spacing w:after="80" w:line="240" w:lineRule="exact"/>
              <w:jc w:val="center"/>
              <w:rPr>
                <w:rFonts w:hint="cs"/>
                <w:i/>
                <w:iCs/>
                <w:sz w:val="16"/>
                <w:szCs w:val="16"/>
                <w:rtl/>
              </w:rPr>
            </w:pPr>
            <w:r>
              <w:rPr>
                <w:rFonts w:hint="cs"/>
                <w:i/>
                <w:iCs/>
                <w:sz w:val="16"/>
                <w:szCs w:val="16"/>
                <w:rtl/>
              </w:rPr>
              <w:t>عدد الطلبة</w:t>
            </w:r>
          </w:p>
        </w:tc>
        <w:tc>
          <w:tcPr>
            <w:tcW w:w="927" w:type="dxa"/>
            <w:tcBorders>
              <w:bottom w:val="single" w:sz="12" w:space="0" w:color="auto"/>
            </w:tcBorders>
            <w:shd w:val="clear" w:color="auto" w:fill="auto"/>
            <w:vAlign w:val="bottom"/>
          </w:tcPr>
          <w:p w:rsidR="00FE4F97" w:rsidRPr="00FE448A" w:rsidRDefault="00FE4F97">
            <w:pPr>
              <w:pStyle w:val="DualTxt"/>
              <w:spacing w:after="80" w:line="240" w:lineRule="exact"/>
              <w:jc w:val="center"/>
              <w:rPr>
                <w:rFonts w:hint="cs"/>
                <w:i/>
                <w:iCs/>
                <w:sz w:val="16"/>
                <w:szCs w:val="16"/>
                <w:rtl/>
              </w:rPr>
            </w:pPr>
            <w:r>
              <w:rPr>
                <w:rFonts w:hint="cs"/>
                <w:i/>
                <w:iCs/>
                <w:sz w:val="16"/>
                <w:szCs w:val="16"/>
                <w:rtl/>
              </w:rPr>
              <w:t>إناث</w:t>
            </w:r>
          </w:p>
        </w:tc>
        <w:tc>
          <w:tcPr>
            <w:tcW w:w="824" w:type="dxa"/>
            <w:tcBorders>
              <w:bottom w:val="single" w:sz="12" w:space="0" w:color="auto"/>
            </w:tcBorders>
            <w:shd w:val="clear" w:color="auto" w:fill="auto"/>
            <w:vAlign w:val="bottom"/>
          </w:tcPr>
          <w:p w:rsidR="00FE4F97" w:rsidRPr="00FE448A" w:rsidRDefault="00FE4F97">
            <w:pPr>
              <w:pStyle w:val="DualTxt"/>
              <w:spacing w:after="80" w:line="240" w:lineRule="exact"/>
              <w:jc w:val="center"/>
              <w:rPr>
                <w:rFonts w:hint="cs"/>
                <w:i/>
                <w:iCs/>
                <w:sz w:val="16"/>
                <w:szCs w:val="16"/>
                <w:rtl/>
              </w:rPr>
            </w:pPr>
            <w:r>
              <w:rPr>
                <w:rFonts w:hint="cs"/>
                <w:i/>
                <w:iCs/>
                <w:sz w:val="16"/>
                <w:szCs w:val="16"/>
                <w:rtl/>
              </w:rPr>
              <w:t>ذكور</w:t>
            </w:r>
          </w:p>
        </w:tc>
        <w:tc>
          <w:tcPr>
            <w:tcW w:w="927" w:type="dxa"/>
            <w:tcBorders>
              <w:bottom w:val="single" w:sz="12" w:space="0" w:color="auto"/>
            </w:tcBorders>
            <w:shd w:val="clear" w:color="auto" w:fill="auto"/>
            <w:vAlign w:val="bottom"/>
          </w:tcPr>
          <w:p w:rsidR="00FE4F97" w:rsidRPr="00FE448A" w:rsidRDefault="00FE4F97">
            <w:pPr>
              <w:pStyle w:val="DualTxt"/>
              <w:spacing w:after="80" w:line="240" w:lineRule="exact"/>
              <w:ind w:right="144"/>
              <w:jc w:val="center"/>
              <w:rPr>
                <w:rFonts w:hint="cs"/>
                <w:i/>
                <w:iCs/>
                <w:sz w:val="16"/>
                <w:szCs w:val="16"/>
                <w:rtl/>
              </w:rPr>
            </w:pPr>
            <w:r>
              <w:rPr>
                <w:rFonts w:hint="cs"/>
                <w:i/>
                <w:iCs/>
                <w:sz w:val="16"/>
                <w:szCs w:val="16"/>
                <w:rtl/>
              </w:rPr>
              <w:t>عدد الطلبة</w:t>
            </w:r>
          </w:p>
        </w:tc>
        <w:tc>
          <w:tcPr>
            <w:tcW w:w="966" w:type="dxa"/>
            <w:tcBorders>
              <w:bottom w:val="single" w:sz="12" w:space="0" w:color="auto"/>
            </w:tcBorders>
            <w:shd w:val="clear" w:color="auto" w:fill="auto"/>
            <w:vAlign w:val="bottom"/>
          </w:tcPr>
          <w:p w:rsidR="00FE4F97" w:rsidRPr="00FE448A" w:rsidRDefault="00FE4F97">
            <w:pPr>
              <w:pStyle w:val="DualTxt"/>
              <w:spacing w:after="80" w:line="240" w:lineRule="exact"/>
              <w:ind w:right="144"/>
              <w:jc w:val="center"/>
              <w:rPr>
                <w:rFonts w:hint="cs"/>
                <w:i/>
                <w:iCs/>
                <w:sz w:val="16"/>
                <w:szCs w:val="16"/>
                <w:rtl/>
              </w:rPr>
            </w:pPr>
            <w:r>
              <w:rPr>
                <w:rFonts w:hint="cs"/>
                <w:i/>
                <w:iCs/>
                <w:sz w:val="16"/>
                <w:szCs w:val="16"/>
                <w:rtl/>
              </w:rPr>
              <w:t>إناث</w:t>
            </w:r>
          </w:p>
        </w:tc>
        <w:tc>
          <w:tcPr>
            <w:tcW w:w="888" w:type="dxa"/>
            <w:tcBorders>
              <w:bottom w:val="single" w:sz="12" w:space="0" w:color="auto"/>
            </w:tcBorders>
            <w:shd w:val="clear" w:color="auto" w:fill="auto"/>
            <w:vAlign w:val="bottom"/>
          </w:tcPr>
          <w:p w:rsidR="00FE4F97" w:rsidRPr="00FE448A" w:rsidRDefault="00FE4F97">
            <w:pPr>
              <w:pStyle w:val="DualTxt"/>
              <w:spacing w:after="80" w:line="240" w:lineRule="exact"/>
              <w:ind w:right="144"/>
              <w:jc w:val="center"/>
              <w:rPr>
                <w:rFonts w:hint="cs"/>
                <w:i/>
                <w:iCs/>
                <w:sz w:val="16"/>
                <w:szCs w:val="16"/>
                <w:rtl/>
              </w:rPr>
            </w:pPr>
            <w:r>
              <w:rPr>
                <w:rFonts w:hint="cs"/>
                <w:i/>
                <w:iCs/>
                <w:sz w:val="16"/>
                <w:szCs w:val="16"/>
                <w:rtl/>
              </w:rPr>
              <w:t>ذكور</w:t>
            </w:r>
          </w:p>
        </w:tc>
        <w:tc>
          <w:tcPr>
            <w:tcW w:w="927" w:type="dxa"/>
            <w:tcBorders>
              <w:bottom w:val="single" w:sz="12" w:space="0" w:color="auto"/>
            </w:tcBorders>
            <w:shd w:val="clear" w:color="auto" w:fill="auto"/>
            <w:vAlign w:val="bottom"/>
          </w:tcPr>
          <w:p w:rsidR="00FE4F97" w:rsidRPr="00FE448A" w:rsidRDefault="00FE4F97">
            <w:pPr>
              <w:pStyle w:val="DualTxt"/>
              <w:spacing w:after="80" w:line="240" w:lineRule="exact"/>
              <w:ind w:right="144"/>
              <w:jc w:val="center"/>
              <w:rPr>
                <w:rFonts w:hint="cs"/>
                <w:i/>
                <w:iCs/>
                <w:sz w:val="16"/>
                <w:szCs w:val="16"/>
                <w:rtl/>
              </w:rPr>
            </w:pPr>
            <w:r>
              <w:rPr>
                <w:rFonts w:hint="cs"/>
                <w:i/>
                <w:iCs/>
                <w:sz w:val="16"/>
                <w:szCs w:val="16"/>
                <w:rtl/>
              </w:rPr>
              <w:t>عدد الطلبة</w:t>
            </w:r>
          </w:p>
        </w:tc>
        <w:tc>
          <w:tcPr>
            <w:tcW w:w="927" w:type="dxa"/>
            <w:tcBorders>
              <w:bottom w:val="single" w:sz="12" w:space="0" w:color="auto"/>
            </w:tcBorders>
            <w:shd w:val="clear" w:color="auto" w:fill="auto"/>
            <w:vAlign w:val="bottom"/>
          </w:tcPr>
          <w:p w:rsidR="00FE4F97" w:rsidRPr="00FE448A" w:rsidRDefault="00FE4F97">
            <w:pPr>
              <w:pStyle w:val="DualTxt"/>
              <w:spacing w:after="80" w:line="240" w:lineRule="exact"/>
              <w:ind w:right="144"/>
              <w:jc w:val="center"/>
              <w:rPr>
                <w:rFonts w:hint="cs"/>
                <w:i/>
                <w:iCs/>
                <w:sz w:val="16"/>
                <w:szCs w:val="16"/>
                <w:rtl/>
              </w:rPr>
            </w:pPr>
            <w:r>
              <w:rPr>
                <w:rFonts w:hint="cs"/>
                <w:i/>
                <w:iCs/>
                <w:sz w:val="16"/>
                <w:szCs w:val="16"/>
                <w:rtl/>
              </w:rPr>
              <w:t>إناث</w:t>
            </w:r>
          </w:p>
        </w:tc>
        <w:tc>
          <w:tcPr>
            <w:tcW w:w="927" w:type="dxa"/>
            <w:tcBorders>
              <w:bottom w:val="single" w:sz="12" w:space="0" w:color="auto"/>
            </w:tcBorders>
            <w:shd w:val="clear" w:color="auto" w:fill="auto"/>
            <w:vAlign w:val="bottom"/>
          </w:tcPr>
          <w:p w:rsidR="00FE4F97" w:rsidRPr="00FE448A" w:rsidRDefault="00FE4F97">
            <w:pPr>
              <w:pStyle w:val="DualTxt"/>
              <w:spacing w:after="80" w:line="240" w:lineRule="exact"/>
              <w:ind w:right="144"/>
              <w:jc w:val="center"/>
              <w:rPr>
                <w:rFonts w:hint="cs"/>
                <w:i/>
                <w:iCs/>
                <w:sz w:val="16"/>
                <w:szCs w:val="16"/>
                <w:rtl/>
              </w:rPr>
            </w:pPr>
            <w:r>
              <w:rPr>
                <w:rFonts w:hint="cs"/>
                <w:i/>
                <w:iCs/>
                <w:sz w:val="16"/>
                <w:szCs w:val="16"/>
                <w:rtl/>
              </w:rPr>
              <w:t>ذكور</w:t>
            </w:r>
          </w:p>
        </w:tc>
      </w:tr>
      <w:tr w:rsidR="00FE4F97" w:rsidRPr="00FE448A">
        <w:trPr>
          <w:cantSplit/>
        </w:trPr>
        <w:tc>
          <w:tcPr>
            <w:tcW w:w="1030" w:type="dxa"/>
            <w:tcBorders>
              <w:bottom w:val="single" w:sz="12" w:space="0" w:color="auto"/>
            </w:tcBorders>
            <w:shd w:val="clear" w:color="auto" w:fill="auto"/>
            <w:vAlign w:val="bottom"/>
          </w:tcPr>
          <w:p w:rsidR="00FE4F97" w:rsidRPr="00FE448A" w:rsidRDefault="00FE4F97">
            <w:pPr>
              <w:pStyle w:val="DualTxt"/>
              <w:spacing w:before="40" w:after="80" w:line="240" w:lineRule="exact"/>
              <w:rPr>
                <w:rFonts w:hint="cs"/>
                <w:sz w:val="16"/>
                <w:szCs w:val="16"/>
                <w:rtl/>
              </w:rPr>
            </w:pPr>
            <w:r w:rsidRPr="00FE448A">
              <w:rPr>
                <w:rFonts w:hint="cs"/>
                <w:sz w:val="16"/>
                <w:szCs w:val="16"/>
                <w:rtl/>
              </w:rPr>
              <w:t>398 537</w:t>
            </w:r>
          </w:p>
        </w:tc>
        <w:tc>
          <w:tcPr>
            <w:tcW w:w="927" w:type="dxa"/>
            <w:tcBorders>
              <w:bottom w:val="single" w:sz="12" w:space="0" w:color="auto"/>
            </w:tcBorders>
            <w:shd w:val="clear" w:color="auto" w:fill="auto"/>
            <w:vAlign w:val="bottom"/>
          </w:tcPr>
          <w:p w:rsidR="00FE4F97" w:rsidRPr="00FE448A" w:rsidRDefault="00FE4F97">
            <w:pPr>
              <w:pStyle w:val="DualTxt"/>
              <w:spacing w:before="40" w:after="80" w:line="240" w:lineRule="exact"/>
              <w:rPr>
                <w:rFonts w:hint="cs"/>
                <w:sz w:val="16"/>
                <w:szCs w:val="16"/>
                <w:rtl/>
              </w:rPr>
            </w:pPr>
            <w:r w:rsidRPr="00FE448A">
              <w:rPr>
                <w:rFonts w:hint="cs"/>
                <w:sz w:val="16"/>
                <w:szCs w:val="16"/>
                <w:rtl/>
              </w:rPr>
              <w:t>200 276</w:t>
            </w:r>
          </w:p>
        </w:tc>
        <w:tc>
          <w:tcPr>
            <w:tcW w:w="824" w:type="dxa"/>
            <w:tcBorders>
              <w:bottom w:val="single" w:sz="12" w:space="0" w:color="auto"/>
            </w:tcBorders>
            <w:shd w:val="clear" w:color="auto" w:fill="auto"/>
            <w:vAlign w:val="bottom"/>
          </w:tcPr>
          <w:p w:rsidR="00FE4F97" w:rsidRPr="00FE448A" w:rsidRDefault="00FE4F97">
            <w:pPr>
              <w:pStyle w:val="DualTxt"/>
              <w:spacing w:before="40" w:after="80" w:line="240" w:lineRule="exact"/>
              <w:rPr>
                <w:rFonts w:hint="cs"/>
                <w:sz w:val="16"/>
                <w:szCs w:val="16"/>
                <w:rtl/>
              </w:rPr>
            </w:pPr>
            <w:r w:rsidRPr="00FE448A">
              <w:rPr>
                <w:rFonts w:hint="cs"/>
                <w:sz w:val="16"/>
                <w:szCs w:val="16"/>
                <w:rtl/>
              </w:rPr>
              <w:t>198 261</w:t>
            </w:r>
          </w:p>
        </w:tc>
        <w:tc>
          <w:tcPr>
            <w:tcW w:w="927" w:type="dxa"/>
            <w:tcBorders>
              <w:bottom w:val="single" w:sz="12" w:space="0" w:color="auto"/>
            </w:tcBorders>
            <w:shd w:val="clear" w:color="auto" w:fill="auto"/>
            <w:vAlign w:val="bottom"/>
          </w:tcPr>
          <w:p w:rsidR="00FE4F97" w:rsidRPr="00FE448A" w:rsidRDefault="00FE4F97">
            <w:pPr>
              <w:pStyle w:val="DualTxt"/>
              <w:spacing w:before="40" w:after="80" w:line="240" w:lineRule="exact"/>
              <w:ind w:right="144"/>
              <w:rPr>
                <w:rFonts w:hint="cs"/>
                <w:sz w:val="16"/>
                <w:szCs w:val="16"/>
                <w:rtl/>
              </w:rPr>
            </w:pPr>
            <w:r w:rsidRPr="00FE448A">
              <w:rPr>
                <w:rFonts w:hint="cs"/>
                <w:sz w:val="16"/>
                <w:szCs w:val="16"/>
                <w:rtl/>
              </w:rPr>
              <w:t>346 557</w:t>
            </w:r>
          </w:p>
        </w:tc>
        <w:tc>
          <w:tcPr>
            <w:tcW w:w="966" w:type="dxa"/>
            <w:tcBorders>
              <w:bottom w:val="single" w:sz="12" w:space="0" w:color="auto"/>
            </w:tcBorders>
            <w:shd w:val="clear" w:color="auto" w:fill="auto"/>
            <w:vAlign w:val="bottom"/>
          </w:tcPr>
          <w:p w:rsidR="00FE4F97" w:rsidRPr="00FE448A" w:rsidRDefault="00FE4F97">
            <w:pPr>
              <w:pStyle w:val="DualTxt"/>
              <w:spacing w:before="40" w:after="80" w:line="240" w:lineRule="exact"/>
              <w:ind w:right="144"/>
              <w:rPr>
                <w:rFonts w:hint="cs"/>
                <w:sz w:val="16"/>
                <w:szCs w:val="16"/>
                <w:rtl/>
              </w:rPr>
            </w:pPr>
            <w:r w:rsidRPr="00FE448A">
              <w:rPr>
                <w:rFonts w:hint="cs"/>
                <w:sz w:val="16"/>
                <w:szCs w:val="16"/>
                <w:rtl/>
              </w:rPr>
              <w:t>761 285</w:t>
            </w:r>
          </w:p>
        </w:tc>
        <w:tc>
          <w:tcPr>
            <w:tcW w:w="888" w:type="dxa"/>
            <w:tcBorders>
              <w:bottom w:val="single" w:sz="12" w:space="0" w:color="auto"/>
            </w:tcBorders>
            <w:shd w:val="clear" w:color="auto" w:fill="auto"/>
            <w:vAlign w:val="bottom"/>
          </w:tcPr>
          <w:p w:rsidR="00FE4F97" w:rsidRPr="00FE448A" w:rsidRDefault="00FE4F97">
            <w:pPr>
              <w:pStyle w:val="DualTxt"/>
              <w:spacing w:before="40" w:after="80" w:line="240" w:lineRule="exact"/>
              <w:ind w:right="144"/>
              <w:rPr>
                <w:rFonts w:hint="cs"/>
                <w:sz w:val="16"/>
                <w:szCs w:val="16"/>
                <w:rtl/>
              </w:rPr>
            </w:pPr>
            <w:r w:rsidRPr="00FE448A">
              <w:rPr>
                <w:rFonts w:hint="cs"/>
                <w:sz w:val="16"/>
                <w:szCs w:val="16"/>
                <w:rtl/>
              </w:rPr>
              <w:t>585 271</w:t>
            </w:r>
          </w:p>
        </w:tc>
        <w:tc>
          <w:tcPr>
            <w:tcW w:w="927" w:type="dxa"/>
            <w:tcBorders>
              <w:bottom w:val="single" w:sz="12" w:space="0" w:color="auto"/>
            </w:tcBorders>
            <w:shd w:val="clear" w:color="auto" w:fill="auto"/>
            <w:vAlign w:val="bottom"/>
          </w:tcPr>
          <w:p w:rsidR="00FE4F97" w:rsidRPr="00FE448A" w:rsidRDefault="00FE4F97">
            <w:pPr>
              <w:pStyle w:val="DualTxt"/>
              <w:spacing w:before="40" w:after="80" w:line="240" w:lineRule="exact"/>
              <w:ind w:right="144"/>
              <w:rPr>
                <w:rFonts w:hint="cs"/>
                <w:sz w:val="16"/>
                <w:szCs w:val="16"/>
                <w:rtl/>
              </w:rPr>
            </w:pPr>
            <w:r w:rsidRPr="00FE448A">
              <w:rPr>
                <w:rFonts w:hint="cs"/>
                <w:sz w:val="16"/>
                <w:szCs w:val="16"/>
                <w:rtl/>
              </w:rPr>
              <w:t>876 556</w:t>
            </w:r>
          </w:p>
        </w:tc>
        <w:tc>
          <w:tcPr>
            <w:tcW w:w="927" w:type="dxa"/>
            <w:tcBorders>
              <w:bottom w:val="single" w:sz="12" w:space="0" w:color="auto"/>
            </w:tcBorders>
            <w:shd w:val="clear" w:color="auto" w:fill="auto"/>
            <w:vAlign w:val="bottom"/>
          </w:tcPr>
          <w:p w:rsidR="00FE4F97" w:rsidRPr="00FE448A" w:rsidRDefault="00FE4F97">
            <w:pPr>
              <w:pStyle w:val="DualTxt"/>
              <w:spacing w:before="40" w:after="80" w:line="240" w:lineRule="exact"/>
              <w:ind w:right="144"/>
              <w:rPr>
                <w:rFonts w:hint="cs"/>
                <w:sz w:val="16"/>
                <w:szCs w:val="16"/>
                <w:rtl/>
              </w:rPr>
            </w:pPr>
            <w:r w:rsidRPr="00FE448A">
              <w:rPr>
                <w:rFonts w:hint="cs"/>
                <w:sz w:val="16"/>
                <w:szCs w:val="16"/>
                <w:rtl/>
              </w:rPr>
              <w:t>128 285</w:t>
            </w:r>
          </w:p>
        </w:tc>
        <w:tc>
          <w:tcPr>
            <w:tcW w:w="927" w:type="dxa"/>
            <w:tcBorders>
              <w:bottom w:val="single" w:sz="12" w:space="0" w:color="auto"/>
            </w:tcBorders>
            <w:shd w:val="clear" w:color="auto" w:fill="auto"/>
            <w:vAlign w:val="bottom"/>
          </w:tcPr>
          <w:p w:rsidR="00FE4F97" w:rsidRPr="00FE448A" w:rsidRDefault="00FE4F97">
            <w:pPr>
              <w:pStyle w:val="DualTxt"/>
              <w:spacing w:before="40" w:after="80" w:line="240" w:lineRule="exact"/>
              <w:ind w:right="144"/>
              <w:rPr>
                <w:rFonts w:hint="cs"/>
                <w:sz w:val="16"/>
                <w:szCs w:val="16"/>
                <w:rtl/>
              </w:rPr>
            </w:pPr>
            <w:r w:rsidRPr="00FE448A">
              <w:rPr>
                <w:rFonts w:hint="cs"/>
                <w:sz w:val="16"/>
                <w:szCs w:val="16"/>
                <w:rtl/>
              </w:rPr>
              <w:t>748 271</w:t>
            </w:r>
          </w:p>
        </w:tc>
      </w:tr>
    </w:tbl>
    <w:p w:rsidR="00FE4F97" w:rsidRPr="00FE448A" w:rsidRDefault="00FE4F97">
      <w:pPr>
        <w:pStyle w:val="SingleTxt"/>
        <w:spacing w:after="0" w:line="120" w:lineRule="exact"/>
        <w:rPr>
          <w:rFonts w:hint="cs"/>
          <w:sz w:val="12"/>
          <w:rtl/>
        </w:rPr>
      </w:pPr>
    </w:p>
    <w:p w:rsidR="00FE4F97" w:rsidRDefault="00FE4F9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290374">
        <w:rPr>
          <w:rFonts w:hint="cs"/>
          <w:i/>
          <w:iCs/>
          <w:rtl/>
        </w:rPr>
        <w:t>المصدر</w:t>
      </w:r>
      <w:r>
        <w:rPr>
          <w:rFonts w:hint="cs"/>
          <w:rtl/>
        </w:rPr>
        <w:t>:  بيانات من وزارة التعليم والثقافة والعلوم.</w:t>
      </w:r>
    </w:p>
    <w:p w:rsidR="00FE4F97" w:rsidRPr="00FE448A" w:rsidRDefault="00FE4F9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2"/>
          <w:rtl/>
        </w:rPr>
      </w:pPr>
    </w:p>
    <w:p w:rsidR="00FE4F97" w:rsidRDefault="00FE4F97">
      <w:pPr>
        <w:pStyle w:val="SingleTxt"/>
        <w:rPr>
          <w:rFonts w:hint="cs"/>
          <w:rtl/>
        </w:rPr>
      </w:pPr>
      <w:r>
        <w:rPr>
          <w:rFonts w:hint="cs"/>
          <w:rtl/>
        </w:rPr>
        <w:tab/>
        <w:t>ومع أن الرسم البياني والجدول الواردين أعلاه يوضحان التسجيل الضخم والعدد الكبير للطلبة في مدارس التعليم العام، ليست النسبة المئوية للأطفال المتسربين من المدارس آخذة في الانخفاض.</w:t>
      </w:r>
    </w:p>
    <w:p w:rsidR="00FE4F97" w:rsidRPr="00FE448A" w:rsidRDefault="00FE4F97">
      <w:pPr>
        <w:pStyle w:val="SingleTxt"/>
        <w:spacing w:after="0" w:line="120" w:lineRule="exact"/>
        <w:rPr>
          <w:rFonts w:hint="cs"/>
          <w:sz w:val="12"/>
          <w:rtl/>
        </w:rPr>
      </w:pPr>
    </w:p>
    <w:p w:rsidR="00FE4F97" w:rsidRPr="00290374" w:rsidRDefault="00FE4F97">
      <w:pPr>
        <w:pStyle w:val="SingleTxt"/>
        <w:spacing w:after="0"/>
        <w:rPr>
          <w:rFonts w:hint="cs"/>
          <w:rtl/>
        </w:rPr>
      </w:pPr>
      <w:r w:rsidRPr="00290374">
        <w:rPr>
          <w:rFonts w:hint="cs"/>
          <w:rtl/>
        </w:rPr>
        <w:t>الجدول 8</w:t>
      </w:r>
    </w:p>
    <w:p w:rsidR="00FE4F97" w:rsidRDefault="00FE4F97">
      <w:pPr>
        <w:pStyle w:val="SingleTxt"/>
        <w:rPr>
          <w:rFonts w:hint="cs"/>
          <w:b/>
          <w:bCs/>
          <w:rtl/>
        </w:rPr>
      </w:pPr>
      <w:r>
        <w:rPr>
          <w:rFonts w:hint="cs"/>
          <w:b/>
          <w:bCs/>
          <w:rtl/>
        </w:rPr>
        <w:t>عدد المتسربين من مدارس التعليم العام</w:t>
      </w:r>
    </w:p>
    <w:p w:rsidR="00FE4F97" w:rsidRPr="00290374" w:rsidRDefault="00FE4F97">
      <w:pPr>
        <w:pStyle w:val="SingleTxt"/>
        <w:rPr>
          <w:rFonts w:hint="cs"/>
          <w:i/>
          <w:iCs/>
          <w:rtl/>
        </w:rPr>
      </w:pPr>
      <w:r w:rsidRPr="00290374">
        <w:rPr>
          <w:rFonts w:hint="cs"/>
          <w:i/>
          <w:iCs/>
          <w:rtl/>
        </w:rPr>
        <w:t>(</w:t>
      </w:r>
      <w:r>
        <w:rPr>
          <w:rFonts w:hint="cs"/>
          <w:i/>
          <w:iCs/>
          <w:rtl/>
        </w:rPr>
        <w:t>السنوات الدراسية</w:t>
      </w:r>
      <w:r w:rsidRPr="00290374">
        <w:rPr>
          <w:rFonts w:hint="cs"/>
          <w:i/>
          <w:iCs/>
          <w:rtl/>
        </w:rPr>
        <w:t xml:space="preserve"> 2003/2004، و2004/2005، و2005/2006)</w:t>
      </w:r>
    </w:p>
    <w:p w:rsidR="00FE4F97" w:rsidRPr="00290374" w:rsidRDefault="00FE4F97">
      <w:pPr>
        <w:pStyle w:val="SingleTxt"/>
        <w:spacing w:after="0" w:line="120" w:lineRule="exact"/>
        <w:rPr>
          <w:rFonts w:hint="cs"/>
          <w:sz w:val="10"/>
          <w:rtl/>
        </w:rPr>
      </w:pPr>
    </w:p>
    <w:tbl>
      <w:tblPr>
        <w:bidiVisual/>
        <w:tblW w:w="7416" w:type="dxa"/>
        <w:tblInd w:w="1306" w:type="dxa"/>
        <w:tblLook w:val="01E0" w:firstRow="1" w:lastRow="1" w:firstColumn="1" w:lastColumn="1" w:noHBand="0" w:noVBand="0"/>
      </w:tblPr>
      <w:tblGrid>
        <w:gridCol w:w="1236"/>
        <w:gridCol w:w="1236"/>
        <w:gridCol w:w="1236"/>
        <w:gridCol w:w="1236"/>
        <w:gridCol w:w="1236"/>
        <w:gridCol w:w="1236"/>
      </w:tblGrid>
      <w:tr w:rsidR="00FE4F97" w:rsidRPr="00FE448A">
        <w:trPr>
          <w:cantSplit/>
          <w:tblHeader/>
        </w:trPr>
        <w:tc>
          <w:tcPr>
            <w:tcW w:w="2472" w:type="dxa"/>
            <w:gridSpan w:val="2"/>
            <w:tcBorders>
              <w:top w:val="single" w:sz="4" w:space="0" w:color="auto"/>
            </w:tcBorders>
            <w:shd w:val="clear" w:color="auto" w:fill="auto"/>
            <w:vAlign w:val="bottom"/>
          </w:tcPr>
          <w:p w:rsidR="00FE4F97" w:rsidRPr="00FE448A" w:rsidRDefault="00FE4F97">
            <w:pPr>
              <w:pStyle w:val="DualTxt"/>
              <w:spacing w:before="80" w:after="80" w:line="240" w:lineRule="exact"/>
              <w:ind w:right="144"/>
              <w:jc w:val="center"/>
              <w:rPr>
                <w:rFonts w:hint="cs"/>
                <w:i/>
                <w:iCs/>
                <w:sz w:val="16"/>
                <w:szCs w:val="24"/>
                <w:rtl/>
              </w:rPr>
            </w:pPr>
            <w:r>
              <w:rPr>
                <w:rFonts w:hint="cs"/>
                <w:i/>
                <w:iCs/>
                <w:sz w:val="16"/>
                <w:szCs w:val="24"/>
                <w:rtl/>
              </w:rPr>
              <w:t>2003-2004</w:t>
            </w:r>
          </w:p>
        </w:tc>
        <w:tc>
          <w:tcPr>
            <w:tcW w:w="2472" w:type="dxa"/>
            <w:gridSpan w:val="2"/>
            <w:tcBorders>
              <w:top w:val="single" w:sz="4" w:space="0" w:color="auto"/>
            </w:tcBorders>
            <w:shd w:val="clear" w:color="auto" w:fill="auto"/>
            <w:vAlign w:val="bottom"/>
          </w:tcPr>
          <w:p w:rsidR="00FE4F97" w:rsidRPr="00FE448A" w:rsidRDefault="00FE4F97">
            <w:pPr>
              <w:pStyle w:val="DualTxt"/>
              <w:spacing w:before="80" w:after="80" w:line="240" w:lineRule="exact"/>
              <w:ind w:right="144"/>
              <w:jc w:val="center"/>
              <w:rPr>
                <w:rFonts w:hint="cs"/>
                <w:i/>
                <w:iCs/>
                <w:sz w:val="16"/>
                <w:szCs w:val="24"/>
                <w:rtl/>
              </w:rPr>
            </w:pPr>
            <w:r>
              <w:rPr>
                <w:rFonts w:hint="cs"/>
                <w:i/>
                <w:iCs/>
                <w:sz w:val="16"/>
                <w:szCs w:val="24"/>
                <w:rtl/>
              </w:rPr>
              <w:t>2004-2005</w:t>
            </w:r>
          </w:p>
        </w:tc>
        <w:tc>
          <w:tcPr>
            <w:tcW w:w="2472" w:type="dxa"/>
            <w:gridSpan w:val="2"/>
            <w:tcBorders>
              <w:top w:val="single" w:sz="4" w:space="0" w:color="auto"/>
            </w:tcBorders>
            <w:shd w:val="clear" w:color="auto" w:fill="auto"/>
            <w:vAlign w:val="bottom"/>
          </w:tcPr>
          <w:p w:rsidR="00FE4F97" w:rsidRPr="00FE448A" w:rsidRDefault="00FE4F97">
            <w:pPr>
              <w:pStyle w:val="DualTxt"/>
              <w:spacing w:before="80" w:after="80" w:line="240" w:lineRule="exact"/>
              <w:ind w:right="144"/>
              <w:jc w:val="center"/>
              <w:rPr>
                <w:rFonts w:hint="cs"/>
                <w:i/>
                <w:iCs/>
                <w:sz w:val="16"/>
                <w:szCs w:val="24"/>
                <w:rtl/>
              </w:rPr>
            </w:pPr>
            <w:r>
              <w:rPr>
                <w:rFonts w:hint="cs"/>
                <w:i/>
                <w:iCs/>
                <w:sz w:val="16"/>
                <w:szCs w:val="24"/>
                <w:rtl/>
              </w:rPr>
              <w:t>2005-2006</w:t>
            </w:r>
          </w:p>
        </w:tc>
      </w:tr>
      <w:tr w:rsidR="00FE4F97" w:rsidRPr="00FE448A">
        <w:trPr>
          <w:cantSplit/>
          <w:tblHeader/>
        </w:trPr>
        <w:tc>
          <w:tcPr>
            <w:tcW w:w="1236" w:type="dxa"/>
            <w:tcBorders>
              <w:bottom w:val="single" w:sz="12" w:space="0" w:color="auto"/>
            </w:tcBorders>
            <w:shd w:val="clear" w:color="auto" w:fill="auto"/>
            <w:vAlign w:val="bottom"/>
          </w:tcPr>
          <w:p w:rsidR="00FE4F97" w:rsidRPr="00FE448A" w:rsidRDefault="00FE4F97">
            <w:pPr>
              <w:pStyle w:val="DualTxt"/>
              <w:spacing w:after="80" w:line="240" w:lineRule="exact"/>
              <w:rPr>
                <w:rFonts w:hint="cs"/>
                <w:i/>
                <w:iCs/>
                <w:sz w:val="16"/>
                <w:szCs w:val="24"/>
                <w:rtl/>
              </w:rPr>
            </w:pPr>
            <w:r>
              <w:rPr>
                <w:rFonts w:hint="cs"/>
                <w:i/>
                <w:iCs/>
                <w:sz w:val="16"/>
                <w:szCs w:val="24"/>
                <w:rtl/>
              </w:rPr>
              <w:t>عدد الأطفال</w:t>
            </w:r>
          </w:p>
        </w:tc>
        <w:tc>
          <w:tcPr>
            <w:tcW w:w="1236" w:type="dxa"/>
            <w:tcBorders>
              <w:bottom w:val="single" w:sz="12" w:space="0" w:color="auto"/>
            </w:tcBorders>
            <w:shd w:val="clear" w:color="auto" w:fill="auto"/>
            <w:vAlign w:val="bottom"/>
          </w:tcPr>
          <w:p w:rsidR="00FE4F97" w:rsidRPr="00FE448A" w:rsidRDefault="00FE4F97">
            <w:pPr>
              <w:pStyle w:val="DualTxt"/>
              <w:spacing w:after="80" w:line="240" w:lineRule="exact"/>
              <w:ind w:right="144"/>
              <w:rPr>
                <w:rFonts w:hint="cs"/>
                <w:i/>
                <w:iCs/>
                <w:sz w:val="16"/>
                <w:szCs w:val="24"/>
                <w:rtl/>
              </w:rPr>
            </w:pPr>
            <w:r>
              <w:rPr>
                <w:rFonts w:hint="cs"/>
                <w:i/>
                <w:iCs/>
                <w:sz w:val="16"/>
                <w:szCs w:val="24"/>
                <w:rtl/>
              </w:rPr>
              <w:t>النسبة المئوية للمتسربين</w:t>
            </w:r>
          </w:p>
        </w:tc>
        <w:tc>
          <w:tcPr>
            <w:tcW w:w="1236" w:type="dxa"/>
            <w:tcBorders>
              <w:bottom w:val="single" w:sz="12" w:space="0" w:color="auto"/>
            </w:tcBorders>
            <w:shd w:val="clear" w:color="auto" w:fill="auto"/>
            <w:vAlign w:val="bottom"/>
          </w:tcPr>
          <w:p w:rsidR="00FE4F97" w:rsidRPr="00FE448A" w:rsidRDefault="00FE4F97">
            <w:pPr>
              <w:pStyle w:val="DualTxt"/>
              <w:spacing w:after="80" w:line="240" w:lineRule="exact"/>
              <w:ind w:right="144"/>
              <w:rPr>
                <w:rFonts w:hint="cs"/>
                <w:i/>
                <w:iCs/>
                <w:sz w:val="16"/>
                <w:szCs w:val="24"/>
                <w:rtl/>
              </w:rPr>
            </w:pPr>
            <w:r>
              <w:rPr>
                <w:rFonts w:hint="cs"/>
                <w:i/>
                <w:iCs/>
                <w:sz w:val="16"/>
                <w:szCs w:val="24"/>
                <w:rtl/>
              </w:rPr>
              <w:t>عدد الأطفال</w:t>
            </w:r>
          </w:p>
        </w:tc>
        <w:tc>
          <w:tcPr>
            <w:tcW w:w="1236" w:type="dxa"/>
            <w:tcBorders>
              <w:bottom w:val="single" w:sz="12" w:space="0" w:color="auto"/>
            </w:tcBorders>
            <w:shd w:val="clear" w:color="auto" w:fill="auto"/>
            <w:vAlign w:val="bottom"/>
          </w:tcPr>
          <w:p w:rsidR="00FE4F97" w:rsidRPr="00FE448A" w:rsidRDefault="00FE4F97">
            <w:pPr>
              <w:pStyle w:val="DualTxt"/>
              <w:spacing w:after="80" w:line="240" w:lineRule="exact"/>
              <w:ind w:right="144"/>
              <w:rPr>
                <w:rFonts w:hint="cs"/>
                <w:i/>
                <w:iCs/>
                <w:sz w:val="16"/>
                <w:szCs w:val="24"/>
                <w:rtl/>
              </w:rPr>
            </w:pPr>
            <w:r>
              <w:rPr>
                <w:rFonts w:hint="cs"/>
                <w:i/>
                <w:iCs/>
                <w:sz w:val="16"/>
                <w:szCs w:val="24"/>
                <w:rtl/>
              </w:rPr>
              <w:t>النسبة المئوية للمتسربين</w:t>
            </w:r>
          </w:p>
        </w:tc>
        <w:tc>
          <w:tcPr>
            <w:tcW w:w="1236" w:type="dxa"/>
            <w:tcBorders>
              <w:bottom w:val="single" w:sz="12" w:space="0" w:color="auto"/>
            </w:tcBorders>
            <w:shd w:val="clear" w:color="auto" w:fill="auto"/>
            <w:vAlign w:val="bottom"/>
          </w:tcPr>
          <w:p w:rsidR="00FE4F97" w:rsidRPr="00FE448A" w:rsidRDefault="00FE4F97">
            <w:pPr>
              <w:pStyle w:val="DualTxt"/>
              <w:spacing w:after="80" w:line="240" w:lineRule="exact"/>
              <w:ind w:right="144"/>
              <w:rPr>
                <w:rFonts w:hint="cs"/>
                <w:i/>
                <w:iCs/>
                <w:sz w:val="16"/>
                <w:szCs w:val="24"/>
                <w:rtl/>
              </w:rPr>
            </w:pPr>
            <w:r>
              <w:rPr>
                <w:rFonts w:hint="cs"/>
                <w:i/>
                <w:iCs/>
                <w:sz w:val="16"/>
                <w:szCs w:val="24"/>
                <w:rtl/>
              </w:rPr>
              <w:t>عدد الأطفال</w:t>
            </w:r>
          </w:p>
        </w:tc>
        <w:tc>
          <w:tcPr>
            <w:tcW w:w="1236" w:type="dxa"/>
            <w:tcBorders>
              <w:bottom w:val="single" w:sz="12" w:space="0" w:color="auto"/>
            </w:tcBorders>
            <w:shd w:val="clear" w:color="auto" w:fill="auto"/>
            <w:vAlign w:val="bottom"/>
          </w:tcPr>
          <w:p w:rsidR="00FE4F97" w:rsidRPr="00FE448A" w:rsidRDefault="00FE4F97">
            <w:pPr>
              <w:pStyle w:val="DualTxt"/>
              <w:spacing w:after="80" w:line="240" w:lineRule="exact"/>
              <w:ind w:right="144"/>
              <w:rPr>
                <w:rFonts w:hint="cs"/>
                <w:i/>
                <w:iCs/>
                <w:sz w:val="16"/>
                <w:szCs w:val="24"/>
                <w:rtl/>
              </w:rPr>
            </w:pPr>
            <w:r>
              <w:rPr>
                <w:rFonts w:hint="cs"/>
                <w:i/>
                <w:iCs/>
                <w:sz w:val="16"/>
                <w:szCs w:val="24"/>
                <w:rtl/>
              </w:rPr>
              <w:t>النسبة المئوية للمتسربين</w:t>
            </w:r>
          </w:p>
        </w:tc>
      </w:tr>
      <w:tr w:rsidR="00FE4F97" w:rsidRPr="00FE448A">
        <w:trPr>
          <w:cantSplit/>
        </w:trPr>
        <w:tc>
          <w:tcPr>
            <w:tcW w:w="1236" w:type="dxa"/>
            <w:tcBorders>
              <w:bottom w:val="single" w:sz="12" w:space="0" w:color="auto"/>
            </w:tcBorders>
            <w:shd w:val="clear" w:color="auto" w:fill="auto"/>
            <w:vAlign w:val="bottom"/>
          </w:tcPr>
          <w:p w:rsidR="00FE4F97" w:rsidRPr="00FE448A" w:rsidRDefault="00FE4F97">
            <w:pPr>
              <w:pStyle w:val="DualTxt"/>
              <w:spacing w:before="40" w:after="80" w:line="240" w:lineRule="exact"/>
              <w:jc w:val="center"/>
              <w:rPr>
                <w:rFonts w:hint="cs"/>
                <w:sz w:val="16"/>
                <w:szCs w:val="24"/>
                <w:rtl/>
              </w:rPr>
            </w:pPr>
            <w:r>
              <w:rPr>
                <w:rFonts w:hint="cs"/>
                <w:sz w:val="16"/>
                <w:szCs w:val="24"/>
                <w:rtl/>
              </w:rPr>
              <w:t>953 11</w:t>
            </w:r>
          </w:p>
        </w:tc>
        <w:tc>
          <w:tcPr>
            <w:tcW w:w="1236" w:type="dxa"/>
            <w:tcBorders>
              <w:bottom w:val="single" w:sz="12" w:space="0" w:color="auto"/>
            </w:tcBorders>
            <w:shd w:val="clear" w:color="auto" w:fill="auto"/>
            <w:vAlign w:val="bottom"/>
          </w:tcPr>
          <w:p w:rsidR="00FE4F97" w:rsidRPr="00FE448A" w:rsidRDefault="00FE4F97">
            <w:pPr>
              <w:pStyle w:val="DualTxt"/>
              <w:spacing w:before="40" w:after="80" w:line="240" w:lineRule="exact"/>
              <w:ind w:right="144"/>
              <w:jc w:val="center"/>
              <w:rPr>
                <w:rFonts w:hint="cs"/>
                <w:sz w:val="16"/>
                <w:szCs w:val="24"/>
                <w:rtl/>
              </w:rPr>
            </w:pPr>
            <w:r>
              <w:rPr>
                <w:rFonts w:hint="cs"/>
                <w:sz w:val="16"/>
                <w:szCs w:val="24"/>
                <w:rtl/>
              </w:rPr>
              <w:t>2.1</w:t>
            </w:r>
          </w:p>
        </w:tc>
        <w:tc>
          <w:tcPr>
            <w:tcW w:w="1236" w:type="dxa"/>
            <w:tcBorders>
              <w:bottom w:val="single" w:sz="12" w:space="0" w:color="auto"/>
            </w:tcBorders>
            <w:shd w:val="clear" w:color="auto" w:fill="auto"/>
            <w:vAlign w:val="bottom"/>
          </w:tcPr>
          <w:p w:rsidR="00FE4F97" w:rsidRPr="00FE448A" w:rsidRDefault="00FE4F97">
            <w:pPr>
              <w:pStyle w:val="DualTxt"/>
              <w:spacing w:before="40" w:after="80" w:line="240" w:lineRule="exact"/>
              <w:ind w:right="144"/>
              <w:jc w:val="center"/>
              <w:rPr>
                <w:rFonts w:hint="cs"/>
                <w:sz w:val="16"/>
                <w:szCs w:val="24"/>
                <w:rtl/>
              </w:rPr>
            </w:pPr>
            <w:r>
              <w:rPr>
                <w:rFonts w:hint="cs"/>
                <w:sz w:val="16"/>
                <w:szCs w:val="24"/>
                <w:rtl/>
              </w:rPr>
              <w:t>770 10</w:t>
            </w:r>
          </w:p>
        </w:tc>
        <w:tc>
          <w:tcPr>
            <w:tcW w:w="1236" w:type="dxa"/>
            <w:tcBorders>
              <w:bottom w:val="single" w:sz="12" w:space="0" w:color="auto"/>
            </w:tcBorders>
            <w:shd w:val="clear" w:color="auto" w:fill="auto"/>
            <w:vAlign w:val="bottom"/>
          </w:tcPr>
          <w:p w:rsidR="00FE4F97" w:rsidRPr="00FE448A" w:rsidRDefault="00FE4F97">
            <w:pPr>
              <w:pStyle w:val="DualTxt"/>
              <w:spacing w:before="40" w:after="80" w:line="240" w:lineRule="exact"/>
              <w:ind w:right="144"/>
              <w:jc w:val="center"/>
              <w:rPr>
                <w:rFonts w:hint="cs"/>
                <w:sz w:val="16"/>
                <w:szCs w:val="24"/>
                <w:rtl/>
              </w:rPr>
            </w:pPr>
            <w:r>
              <w:rPr>
                <w:rFonts w:hint="cs"/>
                <w:sz w:val="16"/>
                <w:szCs w:val="24"/>
                <w:rtl/>
              </w:rPr>
              <w:t>1.9</w:t>
            </w:r>
          </w:p>
        </w:tc>
        <w:tc>
          <w:tcPr>
            <w:tcW w:w="1236" w:type="dxa"/>
            <w:tcBorders>
              <w:bottom w:val="single" w:sz="12" w:space="0" w:color="auto"/>
            </w:tcBorders>
            <w:shd w:val="clear" w:color="auto" w:fill="auto"/>
            <w:vAlign w:val="bottom"/>
          </w:tcPr>
          <w:p w:rsidR="00FE4F97" w:rsidRPr="00FE448A" w:rsidRDefault="00FE4F97">
            <w:pPr>
              <w:pStyle w:val="DualTxt"/>
              <w:spacing w:before="40" w:after="80" w:line="240" w:lineRule="exact"/>
              <w:ind w:right="144"/>
              <w:jc w:val="center"/>
              <w:rPr>
                <w:rFonts w:hint="cs"/>
                <w:sz w:val="16"/>
                <w:szCs w:val="24"/>
                <w:rtl/>
              </w:rPr>
            </w:pPr>
            <w:r>
              <w:rPr>
                <w:rFonts w:hint="cs"/>
                <w:sz w:val="16"/>
                <w:szCs w:val="24"/>
                <w:rtl/>
              </w:rPr>
              <w:t>032 9</w:t>
            </w:r>
          </w:p>
        </w:tc>
        <w:tc>
          <w:tcPr>
            <w:tcW w:w="1236" w:type="dxa"/>
            <w:tcBorders>
              <w:bottom w:val="single" w:sz="12" w:space="0" w:color="auto"/>
            </w:tcBorders>
            <w:shd w:val="clear" w:color="auto" w:fill="auto"/>
            <w:vAlign w:val="bottom"/>
          </w:tcPr>
          <w:p w:rsidR="00FE4F97" w:rsidRPr="00FE448A" w:rsidRDefault="00FE4F97">
            <w:pPr>
              <w:pStyle w:val="DualTxt"/>
              <w:spacing w:before="40" w:after="80" w:line="240" w:lineRule="exact"/>
              <w:ind w:right="144"/>
              <w:jc w:val="center"/>
              <w:rPr>
                <w:rFonts w:hint="cs"/>
                <w:sz w:val="16"/>
                <w:szCs w:val="24"/>
                <w:rtl/>
              </w:rPr>
            </w:pPr>
            <w:r>
              <w:rPr>
                <w:rFonts w:hint="cs"/>
                <w:sz w:val="16"/>
                <w:szCs w:val="24"/>
                <w:rtl/>
              </w:rPr>
              <w:t>1.6</w:t>
            </w:r>
          </w:p>
        </w:tc>
      </w:tr>
    </w:tbl>
    <w:p w:rsidR="00FE4F97" w:rsidRPr="001016CF" w:rsidRDefault="00FE4F97">
      <w:pPr>
        <w:pStyle w:val="SingleTxt"/>
        <w:spacing w:after="0" w:line="120" w:lineRule="exact"/>
        <w:rPr>
          <w:rFonts w:hint="cs"/>
          <w:sz w:val="12"/>
          <w:rtl/>
        </w:rPr>
      </w:pPr>
    </w:p>
    <w:p w:rsidR="00FE4F97" w:rsidRDefault="00FE4F9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المصدر:  بيانات من وزارة التعليم والثقافة والعلوم.</w:t>
      </w:r>
    </w:p>
    <w:p w:rsidR="00FE4F97" w:rsidRPr="00290374" w:rsidRDefault="00FE4F9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FE4F97" w:rsidRPr="00290374" w:rsidRDefault="00FE4F9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FE4F97" w:rsidRDefault="00FE4F97">
      <w:pPr>
        <w:pStyle w:val="SingleTxt"/>
        <w:rPr>
          <w:rFonts w:hint="cs"/>
          <w:rtl/>
        </w:rPr>
      </w:pPr>
      <w:r>
        <w:rPr>
          <w:rFonts w:hint="cs"/>
          <w:rtl/>
        </w:rPr>
        <w:tab/>
        <w:t>وحسب نوع الجنس، فإن النسبة المئوية للبنات اللائي تركن المدارس أقل منها للبنين.</w:t>
      </w:r>
    </w:p>
    <w:p w:rsidR="00FE4F97" w:rsidRPr="00290374" w:rsidRDefault="00FE4F97">
      <w:pPr>
        <w:pStyle w:val="SingleTxt"/>
        <w:spacing w:after="0"/>
        <w:rPr>
          <w:rFonts w:hint="cs"/>
          <w:rtl/>
        </w:rPr>
      </w:pPr>
      <w:r w:rsidRPr="00290374">
        <w:rPr>
          <w:rFonts w:hint="cs"/>
          <w:rtl/>
        </w:rPr>
        <w:t>الرسم البياني 4</w:t>
      </w:r>
    </w:p>
    <w:p w:rsidR="00FE4F97" w:rsidRDefault="00FE4F97">
      <w:pPr>
        <w:pStyle w:val="SingleTxt"/>
        <w:rPr>
          <w:rFonts w:hint="cs"/>
          <w:b/>
          <w:bCs/>
          <w:rtl/>
        </w:rPr>
      </w:pPr>
      <w:r>
        <w:rPr>
          <w:rFonts w:hint="cs"/>
          <w:b/>
          <w:bCs/>
          <w:rtl/>
        </w:rPr>
        <w:t>التسرب من المدارس، حسب المنطقتين الحضرية والريفية، وحسب الجنس</w:t>
      </w:r>
    </w:p>
    <w:p w:rsidR="00FE4F97" w:rsidRPr="00290374" w:rsidRDefault="00FE4F97">
      <w:pPr>
        <w:pStyle w:val="SingleTxt"/>
        <w:rPr>
          <w:rFonts w:hint="cs"/>
          <w:i/>
          <w:iCs/>
          <w:rtl/>
        </w:rPr>
      </w:pPr>
      <w:r w:rsidRPr="00290374">
        <w:rPr>
          <w:rFonts w:hint="cs"/>
          <w:i/>
          <w:iCs/>
          <w:rtl/>
        </w:rPr>
        <w:t xml:space="preserve">(953 11 طفلا في </w:t>
      </w:r>
      <w:r>
        <w:rPr>
          <w:rFonts w:hint="cs"/>
          <w:i/>
          <w:iCs/>
          <w:rtl/>
        </w:rPr>
        <w:t>السنة الدراسية</w:t>
      </w:r>
      <w:r w:rsidRPr="00290374">
        <w:rPr>
          <w:rFonts w:hint="cs"/>
          <w:i/>
          <w:iCs/>
          <w:rtl/>
        </w:rPr>
        <w:t xml:space="preserve"> 2003-2004)</w:t>
      </w:r>
    </w:p>
    <w:p w:rsidR="00FE4F97" w:rsidRDefault="00FE4F97">
      <w:pPr>
        <w:pStyle w:val="SingleTxt"/>
        <w:rPr>
          <w:rFonts w:hint="cs"/>
          <w:rtl/>
        </w:rPr>
      </w:pPr>
      <w:r>
        <w:rPr>
          <w:rFonts w:hint="cs"/>
          <w:noProof/>
          <w:w w:val="100"/>
          <w:rtl/>
        </w:rPr>
        <w:pict>
          <v:shape id="_x0000_s1246" type="#_x0000_t75" style="position:absolute;left:0;text-align:left;margin-left:79.9pt;margin-top:17.2pt;width:356.75pt;height:151.2pt;z-index:-68">
            <v:imagedata r:id="rId19" o:title=""/>
            <w10:wrap type="square"/>
          </v:shape>
          <o:OLEObject Type="Embed" ProgID="MSGraph.Chart.8" ShapeID="_x0000_s1246" DrawAspect="Content" ObjectID="_1395245882" r:id="rId20">
            <o:FieldCodes>\s</o:FieldCodes>
          </o:OLEObject>
        </w:pict>
      </w: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Pr="00356918" w:rsidRDefault="00FE4F97">
      <w:pPr>
        <w:pStyle w:val="SingleTxt"/>
        <w:spacing w:after="0" w:line="120" w:lineRule="exact"/>
        <w:rPr>
          <w:rFonts w:hint="cs"/>
          <w:sz w:val="10"/>
          <w:rtl/>
        </w:rPr>
      </w:pPr>
    </w:p>
    <w:p w:rsidR="00FE4F97" w:rsidRDefault="00FE4F97">
      <w:pPr>
        <w:pStyle w:val="SingleTxt"/>
        <w:rPr>
          <w:rFonts w:hint="cs"/>
          <w:rtl/>
        </w:rPr>
      </w:pPr>
      <w:r w:rsidRPr="00356918">
        <w:rPr>
          <w:rFonts w:hint="cs"/>
          <w:i/>
          <w:iCs/>
          <w:sz w:val="16"/>
          <w:szCs w:val="26"/>
          <w:rtl/>
        </w:rPr>
        <w:t>المصدر</w:t>
      </w:r>
      <w:r>
        <w:rPr>
          <w:rFonts w:hint="cs"/>
          <w:sz w:val="16"/>
          <w:szCs w:val="26"/>
          <w:rtl/>
        </w:rPr>
        <w:t>:  بيانات من وزارة التعليم</w:t>
      </w:r>
      <w:r w:rsidRPr="00356918">
        <w:rPr>
          <w:rFonts w:hint="cs"/>
          <w:sz w:val="16"/>
          <w:szCs w:val="26"/>
          <w:rtl/>
        </w:rPr>
        <w:t xml:space="preserve"> والثقافة والعلوم.</w:t>
      </w:r>
    </w:p>
    <w:p w:rsidR="00FE4F97" w:rsidRPr="00356918" w:rsidRDefault="00FE4F97">
      <w:pPr>
        <w:pStyle w:val="SingleTxt"/>
        <w:spacing w:after="0" w:line="120" w:lineRule="exact"/>
        <w:rPr>
          <w:rFonts w:hint="cs"/>
          <w:sz w:val="10"/>
          <w:rtl/>
        </w:rPr>
      </w:pPr>
    </w:p>
    <w:p w:rsidR="00FE4F97" w:rsidRPr="00356918" w:rsidRDefault="00FE4F97">
      <w:pPr>
        <w:pStyle w:val="SingleTxt"/>
        <w:spacing w:after="0" w:line="120" w:lineRule="exact"/>
        <w:rPr>
          <w:rFonts w:hint="cs"/>
          <w:sz w:val="10"/>
          <w:rtl/>
        </w:rPr>
      </w:pPr>
    </w:p>
    <w:p w:rsidR="00FE4F97" w:rsidRDefault="00FE4F97">
      <w:pPr>
        <w:pStyle w:val="SingleTxt"/>
        <w:rPr>
          <w:rFonts w:hint="cs"/>
          <w:rtl/>
        </w:rPr>
      </w:pPr>
      <w:r>
        <w:rPr>
          <w:rFonts w:hint="cs"/>
          <w:rtl/>
        </w:rPr>
        <w:tab/>
        <w:t>وتشير الإحصاءات المتعلقة بإعادة تدريب الأطفال والشباب المتسربين إلى وجود فروق هامة بين الجنسين. وفي حين أن أغلبية المنخرطين في برامج التعليم الابتدائي هم من  الأطفال الذين تتراوح أعمارهم بين 8 و14 عاما، فإن أغلبية المنخرطين في برامج التعليم الأساسي غير الرسمي هم من الأطفال الذين تزيد أعمارهم عن 15 عاما. ويمكن أن نرى اتجاها إيجابيا يتمثل في أن النسبة المئوية للبنين من بين الأطفال المنخرطين في التعليم الابتدائي قد زادت. ومن الضروري إيلاء اهتمام رئيسي لتوفير خدمات التعليم غير الرسمي للرجال الذين تزيد أعمارهم عن 15 عاما الذين مضت سنوات كثيرة على تسربهم من المدارس.</w:t>
      </w:r>
    </w:p>
    <w:p w:rsidR="00FE4F97" w:rsidRPr="005176EE" w:rsidRDefault="00FE4F97">
      <w:pPr>
        <w:pStyle w:val="SingleTxt"/>
        <w:spacing w:after="0" w:line="120" w:lineRule="exact"/>
        <w:rPr>
          <w:rFonts w:hint="cs"/>
          <w:sz w:val="12"/>
          <w:rtl/>
        </w:rPr>
      </w:pPr>
    </w:p>
    <w:p w:rsidR="00FE4F97" w:rsidRPr="00EB7078" w:rsidRDefault="00FE4F97">
      <w:pPr>
        <w:pStyle w:val="SingleTxt"/>
        <w:spacing w:after="0"/>
        <w:rPr>
          <w:rFonts w:hint="cs"/>
          <w:rtl/>
        </w:rPr>
      </w:pPr>
      <w:r w:rsidRPr="00EB7078">
        <w:rPr>
          <w:rFonts w:hint="cs"/>
          <w:rtl/>
        </w:rPr>
        <w:t>الرسم البياني 5</w:t>
      </w:r>
    </w:p>
    <w:p w:rsidR="00FE4F97" w:rsidRPr="005176EE" w:rsidRDefault="00FE4F97">
      <w:pPr>
        <w:pStyle w:val="SingleTxt"/>
        <w:rPr>
          <w:rFonts w:hint="cs"/>
          <w:b/>
          <w:bCs/>
          <w:rtl/>
        </w:rPr>
      </w:pPr>
      <w:r w:rsidRPr="005176EE">
        <w:rPr>
          <w:rFonts w:hint="cs"/>
          <w:b/>
          <w:bCs/>
          <w:rtl/>
        </w:rPr>
        <w:t>الان</w:t>
      </w:r>
      <w:r>
        <w:rPr>
          <w:rFonts w:hint="cs"/>
          <w:b/>
          <w:bCs/>
          <w:rtl/>
        </w:rPr>
        <w:t>خ</w:t>
      </w:r>
      <w:r w:rsidRPr="005176EE">
        <w:rPr>
          <w:rFonts w:hint="cs"/>
          <w:b/>
          <w:bCs/>
          <w:rtl/>
        </w:rPr>
        <w:t>را</w:t>
      </w:r>
      <w:r>
        <w:rPr>
          <w:rFonts w:hint="cs"/>
          <w:b/>
          <w:bCs/>
          <w:rtl/>
        </w:rPr>
        <w:t>ط</w:t>
      </w:r>
      <w:r w:rsidRPr="005176EE">
        <w:rPr>
          <w:rFonts w:hint="cs"/>
          <w:b/>
          <w:bCs/>
          <w:rtl/>
        </w:rPr>
        <w:t xml:space="preserve"> في إعادة التدريب </w:t>
      </w:r>
      <w:r>
        <w:rPr>
          <w:rFonts w:hint="cs"/>
          <w:b/>
          <w:bCs/>
          <w:rtl/>
        </w:rPr>
        <w:t>ل</w:t>
      </w:r>
      <w:r w:rsidRPr="005176EE">
        <w:rPr>
          <w:rFonts w:hint="cs"/>
          <w:b/>
          <w:bCs/>
          <w:rtl/>
        </w:rPr>
        <w:t>لتعليم الابتدائي،</w:t>
      </w:r>
    </w:p>
    <w:p w:rsidR="00FE4F97" w:rsidRPr="00EB7078" w:rsidRDefault="00FE4F97">
      <w:pPr>
        <w:pStyle w:val="SingleTxt"/>
        <w:rPr>
          <w:rFonts w:hint="cs"/>
          <w:i/>
          <w:iCs/>
          <w:rtl/>
        </w:rPr>
      </w:pPr>
      <w:r w:rsidRPr="00EB7078">
        <w:rPr>
          <w:rFonts w:hint="cs"/>
          <w:i/>
          <w:iCs/>
          <w:rtl/>
        </w:rPr>
        <w:t>حسب المناطق الحضرية والريفية</w:t>
      </w:r>
    </w:p>
    <w:p w:rsidR="00FE4F97" w:rsidRDefault="00FE4F97">
      <w:pPr>
        <w:pStyle w:val="SingleTxt"/>
        <w:rPr>
          <w:rFonts w:hint="cs"/>
          <w:rtl/>
        </w:rPr>
      </w:pPr>
      <w:r>
        <w:rPr>
          <w:rFonts w:hint="cs"/>
          <w:noProof/>
          <w:w w:val="100"/>
          <w:rtl/>
        </w:rPr>
        <w:pict>
          <v:shape id="_x0000_s1247" type="#_x0000_t75" style="position:absolute;left:0;text-align:left;margin-left:137.55pt;margin-top:24.4pt;width:241.4pt;height:135.85pt;z-index:-67">
            <v:imagedata r:id="rId21" o:title=""/>
            <w10:wrap type="square"/>
          </v:shape>
          <o:OLEObject Type="Embed" ProgID="MSGraph.Chart.8" ShapeID="_x0000_s1247" DrawAspect="Content" ObjectID="_1395245883" r:id="rId22">
            <o:FieldCodes>\s</o:FieldCodes>
          </o:OLEObject>
        </w:pict>
      </w: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r>
        <w:rPr>
          <w:rFonts w:hint="cs"/>
          <w:b/>
          <w:bCs/>
          <w:noProof/>
          <w:w w:val="100"/>
          <w:rtl/>
        </w:rPr>
      </w:r>
      <w:r>
        <w:pict>
          <v:group id="_x0000_s1194" editas="canvas" style="width:489.25pt;height:297pt;mso-position-horizontal-relative:char;mso-position-vertical-relative:line" coordorigin="-9,-1006" coordsize="9785,5940">
            <o:lock v:ext="edit" aspectratio="t"/>
            <v:shape id="_x0000_s1195" type="#_x0000_t75" style="position:absolute;left:-9;top:-1006;width:9785;height:5940" o:preferrelative="f">
              <v:fill o:detectmouseclick="t"/>
              <v:path o:extrusionok="t" o:connecttype="none"/>
              <o:lock v:ext="edit" text="t"/>
            </v:shape>
            <v:shape id="_x0000_s1196" type="#_x0000_t202" style="position:absolute;left:4593;top:3494;width:3708;height:719">
              <v:textbox style="mso-next-textbox:#_x0000_s1196">
                <w:txbxContent>
                  <w:p w:rsidR="007433E8" w:rsidRDefault="007433E8">
                    <w:pPr>
                      <w:rPr>
                        <w:b/>
                        <w:bCs/>
                        <w:szCs w:val="20"/>
                      </w:rPr>
                    </w:pPr>
                    <w:r>
                      <w:rPr>
                        <w:rFonts w:hint="cs"/>
                        <w:b/>
                        <w:bCs/>
                        <w:szCs w:val="20"/>
                        <w:rtl/>
                      </w:rPr>
                      <w:t>التعليم الابتدائي، (حسب المنطقة الريفية والجنس)</w:t>
                    </w:r>
                  </w:p>
                </w:txbxContent>
              </v:textbox>
            </v:shape>
            <w10:wrap anchorx="page"/>
            <w10:anchorlock/>
          </v:group>
        </w:pict>
      </w: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r w:rsidRPr="00F8366A">
        <w:rPr>
          <w:rFonts w:hint="cs"/>
          <w:i/>
          <w:iCs/>
          <w:sz w:val="16"/>
          <w:szCs w:val="26"/>
          <w:rtl/>
        </w:rPr>
        <w:t>المصدر</w:t>
      </w:r>
      <w:r w:rsidRPr="00F8366A">
        <w:rPr>
          <w:rFonts w:hint="cs"/>
          <w:sz w:val="16"/>
          <w:szCs w:val="26"/>
          <w:rtl/>
        </w:rPr>
        <w:t>:  بيانات من وزارة التعليم والثقافة والعلوم.</w:t>
      </w:r>
    </w:p>
    <w:p w:rsidR="00FE4F97" w:rsidRPr="00F8366A" w:rsidRDefault="00FE4F97">
      <w:pPr>
        <w:pStyle w:val="SingleTxt"/>
        <w:spacing w:after="0" w:line="120" w:lineRule="exact"/>
        <w:rPr>
          <w:rFonts w:hint="cs"/>
          <w:sz w:val="10"/>
          <w:rtl/>
        </w:rPr>
      </w:pPr>
    </w:p>
    <w:p w:rsidR="00FE4F97" w:rsidRDefault="00FE4F97">
      <w:pPr>
        <w:pStyle w:val="SingleTxt"/>
        <w:rPr>
          <w:rFonts w:hint="cs"/>
          <w:rtl/>
        </w:rPr>
      </w:pPr>
      <w:r>
        <w:rPr>
          <w:rFonts w:hint="cs"/>
          <w:rtl/>
        </w:rPr>
        <w:tab/>
        <w:t xml:space="preserve">ومع أنه لا يوجد فرق هام بين البنين والبنات فيما يتعلق بالأطفال الذين تتراوح أعمارهم بين 8 و14 عاما المنخرطين في برامج التعليم الأساسي غير الرسمي، يشير ارتفاع النسبة المئوية للذكور بين فئة الكبار إلى أن تسرب البنات من المدارس قد انخفض. </w:t>
      </w:r>
    </w:p>
    <w:p w:rsidR="00FE4F97" w:rsidRPr="003E1173" w:rsidRDefault="00FE4F97">
      <w:pPr>
        <w:pStyle w:val="SingleTxt"/>
        <w:spacing w:after="0" w:line="120" w:lineRule="exact"/>
        <w:rPr>
          <w:rFonts w:hint="cs"/>
          <w:sz w:val="10"/>
          <w:rtl/>
        </w:rPr>
      </w:pPr>
    </w:p>
    <w:p w:rsidR="00FE4F97" w:rsidRPr="005C7D88" w:rsidRDefault="00B35C66">
      <w:pPr>
        <w:pStyle w:val="SingleTxt"/>
        <w:spacing w:after="0"/>
        <w:rPr>
          <w:rFonts w:hint="cs"/>
          <w:rtl/>
        </w:rPr>
      </w:pPr>
      <w:r>
        <w:rPr>
          <w:rtl/>
        </w:rPr>
        <w:br w:type="page"/>
      </w:r>
      <w:r w:rsidR="00FE4F97" w:rsidRPr="005C7D88">
        <w:rPr>
          <w:rFonts w:hint="cs"/>
          <w:rtl/>
        </w:rPr>
        <w:t>الرسم البياني 6</w:t>
      </w:r>
    </w:p>
    <w:p w:rsidR="00FE4F97" w:rsidRDefault="00FE4F97">
      <w:pPr>
        <w:pStyle w:val="SingleTxt"/>
        <w:rPr>
          <w:rFonts w:hint="cs"/>
          <w:b/>
          <w:bCs/>
          <w:rtl/>
        </w:rPr>
      </w:pPr>
      <w:r>
        <w:rPr>
          <w:rFonts w:hint="cs"/>
          <w:b/>
          <w:bCs/>
          <w:rtl/>
        </w:rPr>
        <w:t>الانخراط في إعادة التدريب للتعليم الأساسي،</w:t>
      </w:r>
    </w:p>
    <w:p w:rsidR="00FE4F97" w:rsidRPr="005C7D88" w:rsidRDefault="00FE4F97">
      <w:pPr>
        <w:pStyle w:val="SingleTxt"/>
        <w:rPr>
          <w:rFonts w:hint="cs"/>
          <w:i/>
          <w:iCs/>
          <w:rtl/>
        </w:rPr>
      </w:pPr>
      <w:r w:rsidRPr="005C7D88">
        <w:rPr>
          <w:rFonts w:hint="cs"/>
          <w:i/>
          <w:iCs/>
          <w:rtl/>
        </w:rPr>
        <w:t>حسب المناطق الحضرية والريفية</w:t>
      </w:r>
    </w:p>
    <w:p w:rsidR="00FE4F97" w:rsidRDefault="004A5549">
      <w:pPr>
        <w:pStyle w:val="SingleTxt"/>
        <w:rPr>
          <w:rFonts w:hint="cs"/>
          <w:rtl/>
        </w:rPr>
      </w:pPr>
      <w:r>
        <w:rPr>
          <w:rFonts w:hint="cs"/>
          <w:noProof/>
          <w:w w:val="100"/>
          <w:rtl/>
        </w:rPr>
        <w:pict>
          <v:shape id="_x0000_s1252" type="#_x0000_t202" style="position:absolute;left:0;text-align:left;margin-left:257.5pt;margin-top:6pt;width:216.3pt;height:35.95pt;z-index:34" o:regroupid="2" stroked="f">
            <v:textbox style="mso-next-textbox:#_x0000_s1252">
              <w:txbxContent>
                <w:p w:rsidR="007433E8" w:rsidRPr="005C7D88" w:rsidRDefault="007433E8">
                  <w:pPr>
                    <w:rPr>
                      <w:b/>
                      <w:bCs/>
                      <w:sz w:val="18"/>
                      <w:szCs w:val="28"/>
                    </w:rPr>
                  </w:pPr>
                  <w:r w:rsidRPr="005C7D88">
                    <w:rPr>
                      <w:rFonts w:hint="cs"/>
                      <w:b/>
                      <w:bCs/>
                      <w:sz w:val="18"/>
                      <w:szCs w:val="28"/>
                      <w:rtl/>
                    </w:rPr>
                    <w:t xml:space="preserve">التعليم </w:t>
                  </w:r>
                  <w:r>
                    <w:rPr>
                      <w:rFonts w:hint="cs"/>
                      <w:b/>
                      <w:bCs/>
                      <w:sz w:val="18"/>
                      <w:szCs w:val="28"/>
                      <w:rtl/>
                    </w:rPr>
                    <w:t>الأساسي</w:t>
                  </w:r>
                  <w:r w:rsidRPr="005C7D88">
                    <w:rPr>
                      <w:rFonts w:hint="cs"/>
                      <w:b/>
                      <w:bCs/>
                      <w:sz w:val="18"/>
                      <w:szCs w:val="28"/>
                      <w:rtl/>
                    </w:rPr>
                    <w:t xml:space="preserve">، (حسب المنطقة </w:t>
                  </w:r>
                  <w:r>
                    <w:rPr>
                      <w:rFonts w:hint="cs"/>
                      <w:b/>
                      <w:bCs/>
                      <w:sz w:val="18"/>
                      <w:szCs w:val="28"/>
                      <w:rtl/>
                    </w:rPr>
                    <w:t xml:space="preserve">الحضرية </w:t>
                  </w:r>
                  <w:r w:rsidRPr="005C7D88">
                    <w:rPr>
                      <w:rFonts w:hint="cs"/>
                      <w:b/>
                      <w:bCs/>
                      <w:sz w:val="18"/>
                      <w:szCs w:val="28"/>
                      <w:rtl/>
                    </w:rPr>
                    <w:t>والجنس)</w:t>
                  </w:r>
                </w:p>
              </w:txbxContent>
            </v:textbox>
          </v:shape>
        </w:pict>
      </w:r>
      <w:r>
        <w:rPr>
          <w:rFonts w:hint="cs"/>
          <w:noProof/>
          <w:w w:val="100"/>
          <w:rtl/>
        </w:rPr>
        <w:pict>
          <v:shape id="_x0000_s1251" type="#_x0000_t202" style="position:absolute;left:0;text-align:left;margin-left:41.2pt;margin-top:2.8pt;width:211.15pt;height:35.95pt;z-index:33" o:regroupid="2" stroked="f">
            <v:textbox style="mso-next-textbox:#_x0000_s1251">
              <w:txbxContent>
                <w:p w:rsidR="007433E8" w:rsidRPr="005C7D88" w:rsidRDefault="007433E8">
                  <w:pPr>
                    <w:rPr>
                      <w:b/>
                      <w:bCs/>
                      <w:sz w:val="18"/>
                      <w:szCs w:val="28"/>
                    </w:rPr>
                  </w:pPr>
                  <w:r w:rsidRPr="005C7D88">
                    <w:rPr>
                      <w:rFonts w:hint="cs"/>
                      <w:b/>
                      <w:bCs/>
                      <w:sz w:val="18"/>
                      <w:szCs w:val="28"/>
                      <w:rtl/>
                    </w:rPr>
                    <w:t xml:space="preserve">التعليم </w:t>
                  </w:r>
                  <w:r>
                    <w:rPr>
                      <w:rFonts w:hint="cs"/>
                      <w:b/>
                      <w:bCs/>
                      <w:sz w:val="18"/>
                      <w:szCs w:val="28"/>
                      <w:rtl/>
                    </w:rPr>
                    <w:t>الأساسي</w:t>
                  </w:r>
                  <w:r w:rsidRPr="005C7D88">
                    <w:rPr>
                      <w:rFonts w:hint="cs"/>
                      <w:b/>
                      <w:bCs/>
                      <w:sz w:val="18"/>
                      <w:szCs w:val="28"/>
                      <w:rtl/>
                    </w:rPr>
                    <w:t xml:space="preserve">، (حسب المنطقة </w:t>
                  </w:r>
                  <w:r>
                    <w:rPr>
                      <w:rFonts w:hint="cs"/>
                      <w:b/>
                      <w:bCs/>
                      <w:sz w:val="18"/>
                      <w:szCs w:val="28"/>
                      <w:rtl/>
                    </w:rPr>
                    <w:t>الريفية</w:t>
                  </w:r>
                  <w:r w:rsidRPr="005C7D88">
                    <w:rPr>
                      <w:rFonts w:hint="cs"/>
                      <w:b/>
                      <w:bCs/>
                      <w:sz w:val="18"/>
                      <w:szCs w:val="28"/>
                      <w:rtl/>
                    </w:rPr>
                    <w:t>والجنس)</w:t>
                  </w:r>
                </w:p>
              </w:txbxContent>
            </v:textbox>
          </v:shape>
        </w:pict>
      </w:r>
      <w:r>
        <w:rPr>
          <w:rFonts w:hint="cs"/>
          <w:noProof/>
          <w:w w:val="100"/>
          <w:rtl/>
        </w:rPr>
        <w:pict>
          <v:group id="_x0000_s1248" style="position:absolute;left:0;text-align:left;margin-left:16.8pt;margin-top:14pt;width:458.85pt;height:130.7pt;z-index:-66" coordorigin="954,13796" coordsize="9178,2614" wrapcoords="12388 1862 1447 2359 1447 3848 16553 3848 5965 4345 1482 4966 1412 6579 1624 6952 2435 7821 1447 8441 1447 9310 2435 9807 1694 11172 1624 11545 1765 12538 2082 13779 2082 14524 2541 15766 2824 15766 2824 16386 8541 17752 3635 18000 3635 20359 17894 20359 17965 18124 17682 18000 10800 17752 19165 16138 19376 15890 19235 15766 19906 13903 20118 13531 20047 13159 19447 11793 19447 7076 18000 6579 13271 5834 15388 5834 16765 5090 16694 3848 19976 3228 20188 2110 19765 1862 12388 1862" o:regroupid="2">
            <v:shape id="_x0000_s1249" type="#_x0000_t75" style="position:absolute;left:954;top:13796;width:4498;height:2614">
              <v:imagedata r:id="rId23" o:title=""/>
            </v:shape>
            <v:shape id="_x0000_s1250" type="#_x0000_t75" style="position:absolute;left:5634;top:13796;width:4498;height:2614">
              <v:imagedata r:id="rId24" o:title=""/>
            </v:shape>
          </v:group>
          <o:OLEObject Type="Embed" ProgID="MSGraph.Chart.8" ShapeID="_x0000_s1249" DrawAspect="Content" ObjectID="_1395245884" r:id="rId25">
            <o:FieldCodes>\s</o:FieldCodes>
          </o:OLEObject>
          <o:OLEObject Type="Embed" ProgID="MSGraph.Chart.8" ShapeID="_x0000_s1250" DrawAspect="Content" ObjectID="_1395245885" r:id="rId26">
            <o:FieldCodes>\s</o:FieldCodes>
          </o:OLEObject>
        </w:pict>
      </w:r>
    </w:p>
    <w:p w:rsidR="00FE4F97" w:rsidRDefault="004A5549">
      <w:pPr>
        <w:pStyle w:val="SingleTxt"/>
        <w:rPr>
          <w:rFonts w:hint="cs"/>
          <w:rtl/>
        </w:rPr>
      </w:pPr>
      <w:r>
        <w:rPr>
          <w:rFonts w:hint="cs"/>
          <w:noProof/>
          <w:w w:val="100"/>
          <w:rtl/>
        </w:rPr>
        <w:pict>
          <v:shape id="_x0000_s1318" type="#_x0000_t202" style="position:absolute;left:0;text-align:left;margin-left:103pt;margin-top:14.4pt;width:46.35pt;height:9pt;z-index:95" strokecolor="white">
            <v:textbox>
              <w:txbxContent>
                <w:p w:rsidR="007433E8" w:rsidRDefault="007433E8" w:rsidP="004A5549"/>
              </w:txbxContent>
            </v:textbox>
          </v:shape>
        </w:pict>
      </w:r>
      <w:r>
        <w:rPr>
          <w:rFonts w:hint="cs"/>
          <w:noProof/>
          <w:w w:val="100"/>
          <w:rtl/>
        </w:rPr>
        <w:pict>
          <v:shape id="_x0000_s1317" type="#_x0000_t202" style="position:absolute;left:0;text-align:left;margin-left:334.75pt;margin-top:10.1pt;width:46.35pt;height:9pt;z-index:94" strokecolor="white">
            <v:textbox>
              <w:txbxContent>
                <w:p w:rsidR="007433E8" w:rsidRDefault="007433E8"/>
              </w:txbxContent>
            </v:textbox>
          </v:shape>
        </w:pict>
      </w: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Pr="00CA4E75" w:rsidRDefault="00FE4F97">
      <w:pPr>
        <w:pStyle w:val="SingleTxt"/>
        <w:spacing w:after="0" w:line="120" w:lineRule="exact"/>
        <w:rPr>
          <w:rFonts w:hint="cs"/>
          <w:sz w:val="10"/>
          <w:rtl/>
        </w:rPr>
      </w:pPr>
    </w:p>
    <w:p w:rsidR="00FE4F97" w:rsidRDefault="00FE4F97">
      <w:pPr>
        <w:pStyle w:val="SingleTxt"/>
        <w:rPr>
          <w:rFonts w:hint="cs"/>
          <w:rtl/>
        </w:rPr>
      </w:pPr>
      <w:r>
        <w:rPr>
          <w:rFonts w:hint="cs"/>
          <w:i/>
          <w:iCs/>
          <w:sz w:val="16"/>
          <w:szCs w:val="26"/>
          <w:rtl/>
        </w:rPr>
        <w:tab/>
      </w:r>
      <w:r w:rsidRPr="00CA4E75">
        <w:rPr>
          <w:rFonts w:hint="cs"/>
          <w:i/>
          <w:iCs/>
          <w:sz w:val="16"/>
          <w:szCs w:val="26"/>
          <w:rtl/>
        </w:rPr>
        <w:t>المصدر</w:t>
      </w:r>
      <w:r w:rsidRPr="00CA4E75">
        <w:rPr>
          <w:rFonts w:hint="cs"/>
          <w:sz w:val="16"/>
          <w:szCs w:val="26"/>
          <w:rtl/>
        </w:rPr>
        <w:t xml:space="preserve">: بيانات من وزارة </w:t>
      </w:r>
      <w:r>
        <w:rPr>
          <w:rFonts w:hint="cs"/>
          <w:sz w:val="16"/>
          <w:szCs w:val="26"/>
          <w:rtl/>
        </w:rPr>
        <w:t>التعليم</w:t>
      </w:r>
      <w:r w:rsidRPr="00CA4E75">
        <w:rPr>
          <w:rFonts w:hint="cs"/>
          <w:sz w:val="16"/>
          <w:szCs w:val="26"/>
          <w:rtl/>
        </w:rPr>
        <w:t xml:space="preserve"> والثقافة والعلوم.</w:t>
      </w:r>
    </w:p>
    <w:p w:rsidR="00FE4F97" w:rsidRDefault="00FE4F97">
      <w:pPr>
        <w:pStyle w:val="SingleTxt"/>
        <w:rPr>
          <w:rFonts w:hint="cs"/>
          <w:rtl/>
        </w:rPr>
      </w:pPr>
      <w:r>
        <w:rPr>
          <w:rFonts w:hint="cs"/>
          <w:rtl/>
        </w:rPr>
        <w:tab/>
        <w:t>والدراسة التي أجريت على 953 11 من الأطفال الذين تسربوا من المدارس تكشف عن بعض الأسباب مثل صعوبة الأوضاع المعيشية، والافتقار إلى الرغبة في الدراسة، والتحـــول إلى الاشتغال بعمـــل، فضلا عن أسباب غير محددة. وعلى سبيل المثال،  كان 515 2 من هؤلاء الأطفال (039 1 منهم من الإناث) يعيشون في أوضاع معيشية صعبة، و932 1 (725 منهم من الإناث) لم يرغبوا في الدراسة، و235 3 (307 1 منهم من الإناث) تحولوا إلى الاشتغال بعمل و371 4 (837 1 منهم من الإناث) لم يكن لديهم سبب محدد لترك المدرسة.</w:t>
      </w:r>
    </w:p>
    <w:p w:rsidR="00FE4F97" w:rsidRPr="00384D6E" w:rsidRDefault="00FE4F97">
      <w:pPr>
        <w:pStyle w:val="SingleTxt"/>
        <w:spacing w:after="0" w:line="120" w:lineRule="exact"/>
        <w:rPr>
          <w:rFonts w:hint="cs"/>
          <w:sz w:val="12"/>
          <w:rtl/>
        </w:rPr>
      </w:pPr>
    </w:p>
    <w:p w:rsidR="00FE4F97" w:rsidRDefault="00FE4F97">
      <w:pPr>
        <w:pStyle w:val="SingleTxt"/>
        <w:rPr>
          <w:rFonts w:hint="cs"/>
          <w:rtl/>
        </w:rPr>
      </w:pPr>
      <w:r>
        <w:rPr>
          <w:rFonts w:hint="cs"/>
          <w:rtl/>
        </w:rPr>
        <w:tab/>
      </w:r>
      <w:r>
        <w:rPr>
          <w:rFonts w:hint="cs"/>
          <w:b/>
          <w:bCs/>
          <w:rtl/>
        </w:rPr>
        <w:t>ثانيا</w:t>
      </w:r>
      <w:r>
        <w:rPr>
          <w:rFonts w:hint="cs"/>
          <w:rtl/>
        </w:rPr>
        <w:t xml:space="preserve"> -</w:t>
      </w:r>
      <w:r>
        <w:rPr>
          <w:rFonts w:hint="cs"/>
          <w:rtl/>
        </w:rPr>
        <w:tab/>
        <w:t>يبين الجدول التالي وضع طلبة مراكز التدريب المهني في السنة الدراسية 2005/2006:</w:t>
      </w:r>
    </w:p>
    <w:p w:rsidR="00FE4F97" w:rsidRPr="003E1173" w:rsidRDefault="00FE4F97">
      <w:pPr>
        <w:pStyle w:val="SingleTxt"/>
        <w:spacing w:after="0" w:line="120" w:lineRule="exact"/>
        <w:rPr>
          <w:rFonts w:hint="cs"/>
          <w:sz w:val="12"/>
          <w:rtl/>
        </w:rPr>
      </w:pPr>
    </w:p>
    <w:p w:rsidR="00FE4F97" w:rsidRPr="003E1173" w:rsidRDefault="00B35C66">
      <w:pPr>
        <w:pStyle w:val="SingleTxt"/>
        <w:spacing w:after="0"/>
        <w:rPr>
          <w:rFonts w:hint="cs"/>
          <w:rtl/>
        </w:rPr>
      </w:pPr>
      <w:r>
        <w:rPr>
          <w:rtl/>
        </w:rPr>
        <w:br w:type="page"/>
      </w:r>
      <w:r w:rsidR="00FE4F97" w:rsidRPr="003E1173">
        <w:rPr>
          <w:rFonts w:hint="cs"/>
          <w:rtl/>
        </w:rPr>
        <w:t>الجدول 9</w:t>
      </w:r>
    </w:p>
    <w:p w:rsidR="00FE4F97" w:rsidRDefault="00FE4F97">
      <w:pPr>
        <w:pStyle w:val="SingleTxt"/>
        <w:rPr>
          <w:rFonts w:hint="cs"/>
          <w:b/>
          <w:bCs/>
          <w:rtl/>
        </w:rPr>
      </w:pPr>
      <w:r>
        <w:rPr>
          <w:rFonts w:hint="cs"/>
          <w:b/>
          <w:bCs/>
          <w:rtl/>
        </w:rPr>
        <w:t>طلبة مراكز التدريب المهني، السنة الدراسية 2005-2006</w:t>
      </w:r>
    </w:p>
    <w:p w:rsidR="00FE4F97" w:rsidRPr="003E1173" w:rsidRDefault="00FE4F97">
      <w:pPr>
        <w:pStyle w:val="SingleTxt"/>
        <w:spacing w:after="0" w:line="120" w:lineRule="exact"/>
        <w:rPr>
          <w:rFonts w:hint="cs"/>
          <w:sz w:val="10"/>
          <w:rtl/>
        </w:rPr>
      </w:pPr>
    </w:p>
    <w:tbl>
      <w:tblPr>
        <w:bidiVisual/>
        <w:tblW w:w="5459" w:type="dxa"/>
        <w:jc w:val="center"/>
        <w:tblInd w:w="2130" w:type="dxa"/>
        <w:tblLook w:val="01E0" w:firstRow="1" w:lastRow="1" w:firstColumn="1" w:lastColumn="1" w:noHBand="0" w:noVBand="0"/>
      </w:tblPr>
      <w:tblGrid>
        <w:gridCol w:w="2987"/>
        <w:gridCol w:w="1236"/>
        <w:gridCol w:w="1236"/>
      </w:tblGrid>
      <w:tr w:rsidR="00FE4F97" w:rsidRPr="00384D6E">
        <w:trPr>
          <w:cantSplit/>
          <w:tblHeader/>
          <w:jc w:val="center"/>
        </w:trPr>
        <w:tc>
          <w:tcPr>
            <w:tcW w:w="2987" w:type="dxa"/>
            <w:vMerge w:val="restart"/>
            <w:tcBorders>
              <w:top w:val="single" w:sz="4" w:space="0" w:color="auto"/>
            </w:tcBorders>
            <w:shd w:val="clear" w:color="auto" w:fill="auto"/>
            <w:vAlign w:val="bottom"/>
          </w:tcPr>
          <w:p w:rsidR="00FE4F97" w:rsidRPr="00384D6E" w:rsidRDefault="00FE4F97">
            <w:pPr>
              <w:pStyle w:val="DualTxt"/>
              <w:spacing w:before="80" w:after="80" w:line="240" w:lineRule="exact"/>
              <w:rPr>
                <w:rFonts w:hint="cs"/>
                <w:i/>
                <w:iCs/>
                <w:sz w:val="16"/>
                <w:szCs w:val="24"/>
                <w:rtl/>
              </w:rPr>
            </w:pPr>
            <w:r>
              <w:rPr>
                <w:rFonts w:hint="cs"/>
                <w:i/>
                <w:iCs/>
                <w:sz w:val="16"/>
                <w:szCs w:val="24"/>
                <w:rtl/>
              </w:rPr>
              <w:t>الفهرس المهني</w:t>
            </w:r>
          </w:p>
        </w:tc>
        <w:tc>
          <w:tcPr>
            <w:tcW w:w="2472" w:type="dxa"/>
            <w:gridSpan w:val="2"/>
            <w:tcBorders>
              <w:top w:val="single" w:sz="4" w:space="0" w:color="auto"/>
            </w:tcBorders>
            <w:shd w:val="clear" w:color="auto" w:fill="auto"/>
            <w:vAlign w:val="bottom"/>
          </w:tcPr>
          <w:p w:rsidR="00FE4F97" w:rsidRPr="00384D6E" w:rsidRDefault="00FE4F97">
            <w:pPr>
              <w:pStyle w:val="DualTxt"/>
              <w:spacing w:before="80" w:after="80" w:line="240" w:lineRule="exact"/>
              <w:ind w:right="144"/>
              <w:rPr>
                <w:rFonts w:hint="cs"/>
                <w:i/>
                <w:iCs/>
                <w:sz w:val="16"/>
                <w:szCs w:val="24"/>
                <w:rtl/>
              </w:rPr>
            </w:pPr>
            <w:r>
              <w:rPr>
                <w:rFonts w:hint="cs"/>
                <w:i/>
                <w:iCs/>
                <w:sz w:val="16"/>
                <w:szCs w:val="24"/>
                <w:rtl/>
              </w:rPr>
              <w:t>الطلبة</w:t>
            </w:r>
          </w:p>
        </w:tc>
      </w:tr>
      <w:tr w:rsidR="00FE4F97" w:rsidRPr="00384D6E">
        <w:trPr>
          <w:cantSplit/>
          <w:tblHeader/>
          <w:jc w:val="center"/>
        </w:trPr>
        <w:tc>
          <w:tcPr>
            <w:tcW w:w="2987" w:type="dxa"/>
            <w:vMerge/>
            <w:tcBorders>
              <w:bottom w:val="single" w:sz="12" w:space="0" w:color="auto"/>
            </w:tcBorders>
            <w:shd w:val="clear" w:color="auto" w:fill="auto"/>
            <w:vAlign w:val="bottom"/>
          </w:tcPr>
          <w:p w:rsidR="00FE4F97" w:rsidRPr="00384D6E" w:rsidRDefault="00FE4F97">
            <w:pPr>
              <w:pStyle w:val="DualTxt"/>
              <w:spacing w:after="80" w:line="240" w:lineRule="exact"/>
              <w:rPr>
                <w:rFonts w:hint="cs"/>
                <w:i/>
                <w:iCs/>
                <w:sz w:val="16"/>
                <w:szCs w:val="24"/>
                <w:rtl/>
              </w:rPr>
            </w:pPr>
          </w:p>
        </w:tc>
        <w:tc>
          <w:tcPr>
            <w:tcW w:w="1236" w:type="dxa"/>
            <w:tcBorders>
              <w:bottom w:val="single" w:sz="12" w:space="0" w:color="auto"/>
            </w:tcBorders>
            <w:shd w:val="clear" w:color="auto" w:fill="auto"/>
            <w:vAlign w:val="bottom"/>
          </w:tcPr>
          <w:p w:rsidR="00FE4F97" w:rsidRPr="00384D6E" w:rsidRDefault="00FE4F97">
            <w:pPr>
              <w:pStyle w:val="DualTxt"/>
              <w:spacing w:after="80" w:line="240" w:lineRule="exact"/>
              <w:ind w:right="144"/>
              <w:rPr>
                <w:rFonts w:hint="cs"/>
                <w:i/>
                <w:iCs/>
                <w:sz w:val="16"/>
                <w:szCs w:val="24"/>
                <w:rtl/>
              </w:rPr>
            </w:pPr>
            <w:r>
              <w:rPr>
                <w:rFonts w:hint="cs"/>
                <w:i/>
                <w:iCs/>
                <w:sz w:val="16"/>
                <w:szCs w:val="24"/>
                <w:rtl/>
              </w:rPr>
              <w:t>المجموع</w:t>
            </w:r>
          </w:p>
        </w:tc>
        <w:tc>
          <w:tcPr>
            <w:tcW w:w="1236" w:type="dxa"/>
            <w:tcBorders>
              <w:bottom w:val="single" w:sz="12" w:space="0" w:color="auto"/>
            </w:tcBorders>
            <w:shd w:val="clear" w:color="auto" w:fill="auto"/>
            <w:vAlign w:val="bottom"/>
          </w:tcPr>
          <w:p w:rsidR="00FE4F97" w:rsidRPr="00384D6E" w:rsidRDefault="00FE4F97">
            <w:pPr>
              <w:pStyle w:val="DualTxt"/>
              <w:spacing w:after="80" w:line="240" w:lineRule="exact"/>
              <w:ind w:right="144"/>
              <w:rPr>
                <w:rFonts w:hint="cs"/>
                <w:i/>
                <w:iCs/>
                <w:sz w:val="16"/>
                <w:szCs w:val="24"/>
                <w:rtl/>
              </w:rPr>
            </w:pPr>
            <w:r>
              <w:rPr>
                <w:rFonts w:hint="cs"/>
                <w:i/>
                <w:iCs/>
                <w:sz w:val="16"/>
                <w:szCs w:val="24"/>
                <w:rtl/>
              </w:rPr>
              <w:t>إناث</w:t>
            </w:r>
          </w:p>
        </w:tc>
      </w:tr>
      <w:tr w:rsidR="00FE4F97" w:rsidRPr="00C05A60">
        <w:trPr>
          <w:cantSplit/>
          <w:jc w:val="center"/>
        </w:trPr>
        <w:tc>
          <w:tcPr>
            <w:tcW w:w="2987" w:type="dxa"/>
            <w:shd w:val="clear" w:color="auto" w:fill="auto"/>
            <w:vAlign w:val="bottom"/>
          </w:tcPr>
          <w:p w:rsidR="00FE4F97" w:rsidRPr="00C05A60" w:rsidRDefault="00FE4F97">
            <w:pPr>
              <w:pStyle w:val="DualTxt"/>
              <w:spacing w:before="40" w:after="80" w:line="240" w:lineRule="exact"/>
              <w:rPr>
                <w:rFonts w:hint="cs"/>
                <w:b/>
                <w:bCs/>
                <w:sz w:val="16"/>
                <w:szCs w:val="24"/>
                <w:rtl/>
              </w:rPr>
            </w:pPr>
            <w:r w:rsidRPr="00C05A60">
              <w:rPr>
                <w:rFonts w:hint="cs"/>
                <w:b/>
                <w:bCs/>
                <w:sz w:val="16"/>
                <w:szCs w:val="24"/>
                <w:rtl/>
              </w:rPr>
              <w:t>التدريب المهني الأساسي والمتوسط</w:t>
            </w:r>
          </w:p>
        </w:tc>
        <w:tc>
          <w:tcPr>
            <w:tcW w:w="1236" w:type="dxa"/>
            <w:shd w:val="clear" w:color="auto" w:fill="auto"/>
            <w:vAlign w:val="bottom"/>
          </w:tcPr>
          <w:p w:rsidR="00FE4F97" w:rsidRPr="00C05A60" w:rsidRDefault="00FE4F97">
            <w:pPr>
              <w:pStyle w:val="DualTxt"/>
              <w:spacing w:before="40" w:after="80" w:line="240" w:lineRule="exact"/>
              <w:ind w:right="144"/>
              <w:rPr>
                <w:rFonts w:hint="cs"/>
                <w:b/>
                <w:bCs/>
                <w:sz w:val="16"/>
                <w:szCs w:val="24"/>
                <w:rtl/>
              </w:rPr>
            </w:pPr>
            <w:r w:rsidRPr="00C05A60">
              <w:rPr>
                <w:rFonts w:hint="cs"/>
                <w:b/>
                <w:bCs/>
                <w:sz w:val="16"/>
                <w:szCs w:val="24"/>
                <w:rtl/>
              </w:rPr>
              <w:t>249 23</w:t>
            </w:r>
          </w:p>
        </w:tc>
        <w:tc>
          <w:tcPr>
            <w:tcW w:w="1236" w:type="dxa"/>
            <w:shd w:val="clear" w:color="auto" w:fill="auto"/>
            <w:vAlign w:val="bottom"/>
          </w:tcPr>
          <w:p w:rsidR="00FE4F97" w:rsidRPr="00C05A60" w:rsidRDefault="00FE4F97">
            <w:pPr>
              <w:pStyle w:val="DualTxt"/>
              <w:spacing w:before="40" w:after="80" w:line="240" w:lineRule="exact"/>
              <w:ind w:right="144"/>
              <w:rPr>
                <w:rFonts w:hint="cs"/>
                <w:b/>
                <w:bCs/>
                <w:sz w:val="16"/>
                <w:szCs w:val="24"/>
                <w:rtl/>
              </w:rPr>
            </w:pPr>
            <w:r w:rsidRPr="00C05A60">
              <w:rPr>
                <w:rFonts w:hint="cs"/>
                <w:b/>
                <w:bCs/>
                <w:sz w:val="16"/>
                <w:szCs w:val="24"/>
                <w:rtl/>
              </w:rPr>
              <w:t>084 5</w:t>
            </w:r>
          </w:p>
        </w:tc>
      </w:tr>
      <w:tr w:rsidR="00FE4F97" w:rsidRPr="00384D6E">
        <w:trPr>
          <w:cantSplit/>
          <w:jc w:val="center"/>
        </w:trPr>
        <w:tc>
          <w:tcPr>
            <w:tcW w:w="2987" w:type="dxa"/>
            <w:shd w:val="clear" w:color="auto" w:fill="auto"/>
            <w:vAlign w:val="bottom"/>
          </w:tcPr>
          <w:p w:rsidR="00FE4F97" w:rsidRPr="00384D6E" w:rsidRDefault="00FE4F97">
            <w:pPr>
              <w:pStyle w:val="DualTxt"/>
              <w:spacing w:before="40" w:after="80" w:line="240" w:lineRule="exact"/>
              <w:rPr>
                <w:rFonts w:hint="cs"/>
                <w:sz w:val="16"/>
                <w:szCs w:val="24"/>
                <w:rtl/>
              </w:rPr>
            </w:pPr>
            <w:r>
              <w:rPr>
                <w:rFonts w:hint="cs"/>
                <w:sz w:val="16"/>
                <w:szCs w:val="24"/>
                <w:rtl/>
              </w:rPr>
              <w:t xml:space="preserve">التدريب المهني الأساسي </w:t>
            </w:r>
          </w:p>
        </w:tc>
        <w:tc>
          <w:tcPr>
            <w:tcW w:w="1236" w:type="dxa"/>
            <w:shd w:val="clear" w:color="auto" w:fill="auto"/>
            <w:vAlign w:val="bottom"/>
          </w:tcPr>
          <w:p w:rsidR="00FE4F97" w:rsidRPr="00384D6E" w:rsidRDefault="00FE4F97">
            <w:pPr>
              <w:pStyle w:val="DualTxt"/>
              <w:spacing w:before="40" w:after="80" w:line="240" w:lineRule="exact"/>
              <w:ind w:right="144"/>
              <w:rPr>
                <w:rFonts w:hint="cs"/>
                <w:sz w:val="16"/>
                <w:szCs w:val="24"/>
                <w:rtl/>
              </w:rPr>
            </w:pPr>
            <w:r>
              <w:rPr>
                <w:rFonts w:hint="cs"/>
                <w:sz w:val="16"/>
                <w:szCs w:val="24"/>
                <w:rtl/>
              </w:rPr>
              <w:t>015 22</w:t>
            </w:r>
          </w:p>
        </w:tc>
        <w:tc>
          <w:tcPr>
            <w:tcW w:w="1236" w:type="dxa"/>
            <w:shd w:val="clear" w:color="auto" w:fill="auto"/>
            <w:vAlign w:val="bottom"/>
          </w:tcPr>
          <w:p w:rsidR="00FE4F97" w:rsidRPr="00384D6E" w:rsidRDefault="00FE4F97">
            <w:pPr>
              <w:pStyle w:val="DualTxt"/>
              <w:spacing w:before="40" w:after="80" w:line="240" w:lineRule="exact"/>
              <w:ind w:right="144"/>
              <w:rPr>
                <w:rFonts w:hint="cs"/>
                <w:sz w:val="16"/>
                <w:szCs w:val="24"/>
                <w:rtl/>
              </w:rPr>
            </w:pPr>
            <w:r>
              <w:rPr>
                <w:rFonts w:hint="cs"/>
                <w:sz w:val="16"/>
                <w:szCs w:val="24"/>
                <w:rtl/>
              </w:rPr>
              <w:t>156 10</w:t>
            </w:r>
          </w:p>
        </w:tc>
      </w:tr>
      <w:tr w:rsidR="00FE4F97" w:rsidRPr="00384D6E">
        <w:trPr>
          <w:cantSplit/>
          <w:jc w:val="center"/>
        </w:trPr>
        <w:tc>
          <w:tcPr>
            <w:tcW w:w="2987" w:type="dxa"/>
            <w:shd w:val="clear" w:color="auto" w:fill="auto"/>
            <w:vAlign w:val="bottom"/>
          </w:tcPr>
          <w:p w:rsidR="00FE4F97" w:rsidRPr="00384D6E" w:rsidRDefault="00FE4F97">
            <w:pPr>
              <w:pStyle w:val="DualTxt"/>
              <w:spacing w:before="40" w:after="80" w:line="240" w:lineRule="exact"/>
              <w:rPr>
                <w:rFonts w:hint="cs"/>
                <w:sz w:val="16"/>
                <w:szCs w:val="24"/>
                <w:rtl/>
              </w:rPr>
            </w:pPr>
            <w:r>
              <w:rPr>
                <w:rFonts w:hint="cs"/>
                <w:sz w:val="16"/>
                <w:szCs w:val="24"/>
                <w:rtl/>
              </w:rPr>
              <w:t>التدريب المهني المتوسط</w:t>
            </w:r>
          </w:p>
        </w:tc>
        <w:tc>
          <w:tcPr>
            <w:tcW w:w="1236" w:type="dxa"/>
            <w:shd w:val="clear" w:color="auto" w:fill="auto"/>
            <w:vAlign w:val="bottom"/>
          </w:tcPr>
          <w:p w:rsidR="00FE4F97" w:rsidRPr="00384D6E" w:rsidRDefault="00FE4F97">
            <w:pPr>
              <w:pStyle w:val="DualTxt"/>
              <w:spacing w:before="40" w:after="80" w:line="240" w:lineRule="exact"/>
              <w:ind w:right="144"/>
              <w:rPr>
                <w:rFonts w:hint="cs"/>
                <w:sz w:val="16"/>
                <w:szCs w:val="24"/>
                <w:rtl/>
              </w:rPr>
            </w:pPr>
            <w:r>
              <w:rPr>
                <w:rFonts w:hint="cs"/>
                <w:sz w:val="16"/>
                <w:szCs w:val="24"/>
                <w:rtl/>
              </w:rPr>
              <w:t>234 1</w:t>
            </w:r>
          </w:p>
        </w:tc>
        <w:tc>
          <w:tcPr>
            <w:tcW w:w="1236" w:type="dxa"/>
            <w:shd w:val="clear" w:color="auto" w:fill="auto"/>
            <w:vAlign w:val="bottom"/>
          </w:tcPr>
          <w:p w:rsidR="00FE4F97" w:rsidRPr="00384D6E" w:rsidRDefault="00FE4F97">
            <w:pPr>
              <w:pStyle w:val="DualTxt"/>
              <w:spacing w:before="40" w:after="80" w:line="240" w:lineRule="exact"/>
              <w:ind w:right="144"/>
              <w:rPr>
                <w:rFonts w:hint="cs"/>
                <w:sz w:val="16"/>
                <w:szCs w:val="24"/>
                <w:rtl/>
              </w:rPr>
            </w:pPr>
            <w:r>
              <w:rPr>
                <w:rFonts w:hint="cs"/>
                <w:sz w:val="16"/>
                <w:szCs w:val="24"/>
                <w:rtl/>
              </w:rPr>
              <w:t>673</w:t>
            </w:r>
          </w:p>
        </w:tc>
      </w:tr>
      <w:tr w:rsidR="00FE4F97" w:rsidRPr="00C05A60">
        <w:trPr>
          <w:cantSplit/>
          <w:jc w:val="center"/>
        </w:trPr>
        <w:tc>
          <w:tcPr>
            <w:tcW w:w="2987" w:type="dxa"/>
            <w:shd w:val="clear" w:color="auto" w:fill="auto"/>
            <w:vAlign w:val="bottom"/>
          </w:tcPr>
          <w:p w:rsidR="00FE4F97" w:rsidRPr="00C05A60" w:rsidRDefault="00FE4F97">
            <w:pPr>
              <w:pStyle w:val="DualTxt"/>
              <w:spacing w:before="40" w:after="80" w:line="240" w:lineRule="exact"/>
              <w:rPr>
                <w:rFonts w:hint="cs"/>
                <w:b/>
                <w:bCs/>
                <w:sz w:val="16"/>
                <w:szCs w:val="24"/>
                <w:rtl/>
              </w:rPr>
            </w:pPr>
            <w:r w:rsidRPr="00C05A60">
              <w:rPr>
                <w:rFonts w:hint="cs"/>
                <w:b/>
                <w:bCs/>
                <w:sz w:val="16"/>
                <w:szCs w:val="24"/>
                <w:rtl/>
              </w:rPr>
              <w:t>التدريب المهني الأساسي والمتوسط</w:t>
            </w:r>
          </w:p>
        </w:tc>
        <w:tc>
          <w:tcPr>
            <w:tcW w:w="1236" w:type="dxa"/>
            <w:shd w:val="clear" w:color="auto" w:fill="auto"/>
            <w:vAlign w:val="bottom"/>
          </w:tcPr>
          <w:p w:rsidR="00FE4F97" w:rsidRPr="00C05A60" w:rsidRDefault="00FE4F97">
            <w:pPr>
              <w:pStyle w:val="DualTxt"/>
              <w:spacing w:before="40" w:after="80" w:line="240" w:lineRule="exact"/>
              <w:ind w:right="144"/>
              <w:rPr>
                <w:rFonts w:hint="cs"/>
                <w:b/>
                <w:bCs/>
                <w:sz w:val="16"/>
                <w:szCs w:val="24"/>
                <w:rtl/>
              </w:rPr>
            </w:pPr>
            <w:r w:rsidRPr="00C05A60">
              <w:rPr>
                <w:rFonts w:hint="cs"/>
                <w:b/>
                <w:bCs/>
                <w:sz w:val="16"/>
                <w:szCs w:val="24"/>
                <w:rtl/>
              </w:rPr>
              <w:t>334 22</w:t>
            </w:r>
          </w:p>
        </w:tc>
        <w:tc>
          <w:tcPr>
            <w:tcW w:w="1236" w:type="dxa"/>
            <w:shd w:val="clear" w:color="auto" w:fill="auto"/>
            <w:vAlign w:val="bottom"/>
          </w:tcPr>
          <w:p w:rsidR="00FE4F97" w:rsidRPr="00C05A60" w:rsidRDefault="00FE4F97">
            <w:pPr>
              <w:pStyle w:val="DualTxt"/>
              <w:spacing w:before="40" w:after="80" w:line="240" w:lineRule="exact"/>
              <w:ind w:right="144"/>
              <w:rPr>
                <w:rFonts w:hint="cs"/>
                <w:b/>
                <w:bCs/>
                <w:sz w:val="16"/>
                <w:szCs w:val="24"/>
                <w:rtl/>
              </w:rPr>
            </w:pPr>
            <w:r w:rsidRPr="00C05A60">
              <w:rPr>
                <w:rFonts w:hint="cs"/>
                <w:b/>
                <w:bCs/>
                <w:sz w:val="16"/>
                <w:szCs w:val="24"/>
                <w:rtl/>
              </w:rPr>
              <w:t>688 4</w:t>
            </w:r>
          </w:p>
        </w:tc>
      </w:tr>
      <w:tr w:rsidR="00FE4F97" w:rsidRPr="00C05A60">
        <w:trPr>
          <w:cantSplit/>
          <w:jc w:val="center"/>
        </w:trPr>
        <w:tc>
          <w:tcPr>
            <w:tcW w:w="2987" w:type="dxa"/>
            <w:shd w:val="clear" w:color="auto" w:fill="auto"/>
            <w:vAlign w:val="bottom"/>
          </w:tcPr>
          <w:p w:rsidR="00FE4F97" w:rsidRPr="00C05A60" w:rsidRDefault="00FE4F97">
            <w:pPr>
              <w:pStyle w:val="DualTxt"/>
              <w:spacing w:before="40" w:after="80" w:line="240" w:lineRule="exact"/>
              <w:rPr>
                <w:rFonts w:hint="cs"/>
                <w:b/>
                <w:bCs/>
                <w:sz w:val="16"/>
                <w:szCs w:val="24"/>
                <w:rtl/>
              </w:rPr>
            </w:pPr>
            <w:r w:rsidRPr="00C05A60">
              <w:rPr>
                <w:rFonts w:hint="cs"/>
                <w:b/>
                <w:bCs/>
                <w:sz w:val="16"/>
                <w:szCs w:val="24"/>
                <w:rtl/>
              </w:rPr>
              <w:t>في المدارس المملوكة للدولة</w:t>
            </w:r>
          </w:p>
        </w:tc>
        <w:tc>
          <w:tcPr>
            <w:tcW w:w="1236" w:type="dxa"/>
            <w:shd w:val="clear" w:color="auto" w:fill="auto"/>
            <w:vAlign w:val="bottom"/>
          </w:tcPr>
          <w:p w:rsidR="00FE4F97" w:rsidRPr="00C05A60" w:rsidRDefault="00FE4F97">
            <w:pPr>
              <w:pStyle w:val="DualTxt"/>
              <w:spacing w:before="40" w:after="80" w:line="240" w:lineRule="exact"/>
              <w:ind w:right="144"/>
              <w:rPr>
                <w:rFonts w:hint="cs"/>
                <w:b/>
                <w:bCs/>
                <w:sz w:val="16"/>
                <w:szCs w:val="24"/>
                <w:rtl/>
              </w:rPr>
            </w:pPr>
          </w:p>
        </w:tc>
        <w:tc>
          <w:tcPr>
            <w:tcW w:w="1236" w:type="dxa"/>
            <w:shd w:val="clear" w:color="auto" w:fill="auto"/>
            <w:vAlign w:val="bottom"/>
          </w:tcPr>
          <w:p w:rsidR="00FE4F97" w:rsidRPr="00C05A60" w:rsidRDefault="00FE4F97">
            <w:pPr>
              <w:pStyle w:val="DualTxt"/>
              <w:spacing w:before="40" w:after="80" w:line="240" w:lineRule="exact"/>
              <w:ind w:right="144"/>
              <w:rPr>
                <w:rFonts w:hint="cs"/>
                <w:b/>
                <w:bCs/>
                <w:sz w:val="16"/>
                <w:szCs w:val="24"/>
                <w:rtl/>
              </w:rPr>
            </w:pPr>
          </w:p>
        </w:tc>
      </w:tr>
      <w:tr w:rsidR="00FE4F97" w:rsidRPr="00384D6E">
        <w:trPr>
          <w:cantSplit/>
          <w:jc w:val="center"/>
        </w:trPr>
        <w:tc>
          <w:tcPr>
            <w:tcW w:w="2987" w:type="dxa"/>
            <w:shd w:val="clear" w:color="auto" w:fill="auto"/>
            <w:vAlign w:val="bottom"/>
          </w:tcPr>
          <w:p w:rsidR="00FE4F97" w:rsidRDefault="00FE4F97">
            <w:pPr>
              <w:pStyle w:val="DualTxt"/>
              <w:spacing w:before="40" w:after="80" w:line="240" w:lineRule="exact"/>
              <w:rPr>
                <w:rFonts w:hint="cs"/>
                <w:sz w:val="16"/>
                <w:szCs w:val="24"/>
                <w:rtl/>
              </w:rPr>
            </w:pPr>
            <w:r>
              <w:rPr>
                <w:rFonts w:hint="cs"/>
                <w:sz w:val="16"/>
                <w:szCs w:val="24"/>
                <w:rtl/>
              </w:rPr>
              <w:t>التدريب المهني الأساسي</w:t>
            </w:r>
          </w:p>
        </w:tc>
        <w:tc>
          <w:tcPr>
            <w:tcW w:w="1236" w:type="dxa"/>
            <w:shd w:val="clear" w:color="auto" w:fill="auto"/>
            <w:vAlign w:val="bottom"/>
          </w:tcPr>
          <w:p w:rsidR="00FE4F97" w:rsidRDefault="00FE4F97">
            <w:pPr>
              <w:pStyle w:val="DualTxt"/>
              <w:spacing w:before="40" w:after="80" w:line="240" w:lineRule="exact"/>
              <w:ind w:right="144"/>
              <w:rPr>
                <w:rFonts w:hint="cs"/>
                <w:sz w:val="16"/>
                <w:szCs w:val="24"/>
                <w:rtl/>
              </w:rPr>
            </w:pPr>
            <w:r>
              <w:rPr>
                <w:rFonts w:hint="cs"/>
                <w:sz w:val="16"/>
                <w:szCs w:val="24"/>
                <w:rtl/>
              </w:rPr>
              <w:t>100 21</w:t>
            </w:r>
          </w:p>
        </w:tc>
        <w:tc>
          <w:tcPr>
            <w:tcW w:w="1236" w:type="dxa"/>
            <w:shd w:val="clear" w:color="auto" w:fill="auto"/>
            <w:vAlign w:val="bottom"/>
          </w:tcPr>
          <w:p w:rsidR="00FE4F97" w:rsidRDefault="00FE4F97">
            <w:pPr>
              <w:pStyle w:val="DualTxt"/>
              <w:spacing w:before="40" w:after="80" w:line="240" w:lineRule="exact"/>
              <w:ind w:right="144"/>
              <w:rPr>
                <w:rFonts w:hint="cs"/>
                <w:sz w:val="16"/>
                <w:szCs w:val="24"/>
                <w:rtl/>
              </w:rPr>
            </w:pPr>
            <w:r>
              <w:rPr>
                <w:rFonts w:hint="cs"/>
                <w:sz w:val="16"/>
                <w:szCs w:val="24"/>
                <w:rtl/>
              </w:rPr>
              <w:t>015 4</w:t>
            </w:r>
          </w:p>
        </w:tc>
      </w:tr>
      <w:tr w:rsidR="00FE4F97" w:rsidRPr="00384D6E">
        <w:trPr>
          <w:cantSplit/>
          <w:jc w:val="center"/>
        </w:trPr>
        <w:tc>
          <w:tcPr>
            <w:tcW w:w="2987" w:type="dxa"/>
            <w:shd w:val="clear" w:color="auto" w:fill="auto"/>
            <w:vAlign w:val="bottom"/>
          </w:tcPr>
          <w:p w:rsidR="00FE4F97" w:rsidRDefault="00FE4F97">
            <w:pPr>
              <w:pStyle w:val="DualTxt"/>
              <w:spacing w:before="40" w:after="80" w:line="240" w:lineRule="exact"/>
              <w:rPr>
                <w:rFonts w:hint="cs"/>
                <w:sz w:val="16"/>
                <w:szCs w:val="24"/>
                <w:rtl/>
              </w:rPr>
            </w:pPr>
            <w:r>
              <w:rPr>
                <w:rFonts w:hint="cs"/>
                <w:sz w:val="16"/>
                <w:szCs w:val="24"/>
                <w:rtl/>
              </w:rPr>
              <w:t>التدريب المهني المتوسط</w:t>
            </w:r>
          </w:p>
        </w:tc>
        <w:tc>
          <w:tcPr>
            <w:tcW w:w="1236" w:type="dxa"/>
            <w:shd w:val="clear" w:color="auto" w:fill="auto"/>
            <w:vAlign w:val="bottom"/>
          </w:tcPr>
          <w:p w:rsidR="00FE4F97" w:rsidRDefault="00FE4F97">
            <w:pPr>
              <w:pStyle w:val="DualTxt"/>
              <w:spacing w:before="40" w:after="80" w:line="240" w:lineRule="exact"/>
              <w:ind w:right="144"/>
              <w:rPr>
                <w:rFonts w:hint="cs"/>
                <w:sz w:val="16"/>
                <w:szCs w:val="24"/>
                <w:rtl/>
              </w:rPr>
            </w:pPr>
            <w:r>
              <w:rPr>
                <w:rFonts w:hint="cs"/>
                <w:sz w:val="16"/>
                <w:szCs w:val="24"/>
                <w:rtl/>
              </w:rPr>
              <w:t>234 1</w:t>
            </w:r>
          </w:p>
        </w:tc>
        <w:tc>
          <w:tcPr>
            <w:tcW w:w="1236" w:type="dxa"/>
            <w:shd w:val="clear" w:color="auto" w:fill="auto"/>
            <w:vAlign w:val="bottom"/>
          </w:tcPr>
          <w:p w:rsidR="00FE4F97" w:rsidRDefault="00FE4F97">
            <w:pPr>
              <w:pStyle w:val="DualTxt"/>
              <w:spacing w:before="40" w:after="80" w:line="240" w:lineRule="exact"/>
              <w:ind w:right="144"/>
              <w:rPr>
                <w:rFonts w:hint="cs"/>
                <w:sz w:val="16"/>
                <w:szCs w:val="24"/>
                <w:rtl/>
              </w:rPr>
            </w:pPr>
            <w:r>
              <w:rPr>
                <w:rFonts w:hint="cs"/>
                <w:sz w:val="16"/>
                <w:szCs w:val="24"/>
                <w:rtl/>
              </w:rPr>
              <w:t>673</w:t>
            </w:r>
          </w:p>
        </w:tc>
      </w:tr>
      <w:tr w:rsidR="00FE4F97" w:rsidRPr="00C05A60">
        <w:trPr>
          <w:cantSplit/>
          <w:jc w:val="center"/>
        </w:trPr>
        <w:tc>
          <w:tcPr>
            <w:tcW w:w="2987" w:type="dxa"/>
            <w:tcBorders>
              <w:bottom w:val="single" w:sz="12" w:space="0" w:color="auto"/>
            </w:tcBorders>
            <w:shd w:val="clear" w:color="auto" w:fill="auto"/>
            <w:vAlign w:val="bottom"/>
          </w:tcPr>
          <w:p w:rsidR="00FE4F97" w:rsidRPr="00C05A60" w:rsidRDefault="00FE4F97">
            <w:pPr>
              <w:pStyle w:val="DualTxt"/>
              <w:spacing w:before="40" w:after="80" w:line="240" w:lineRule="exact"/>
              <w:rPr>
                <w:rFonts w:hint="cs"/>
                <w:b/>
                <w:bCs/>
                <w:sz w:val="16"/>
                <w:szCs w:val="24"/>
                <w:rtl/>
              </w:rPr>
            </w:pPr>
            <w:r w:rsidRPr="00C05A60">
              <w:rPr>
                <w:rFonts w:hint="cs"/>
                <w:b/>
                <w:bCs/>
                <w:sz w:val="16"/>
                <w:szCs w:val="24"/>
                <w:rtl/>
              </w:rPr>
              <w:t>التدريب المهني الأساسي والمتوسط في المدارس غير المملوكة للدولة</w:t>
            </w:r>
          </w:p>
        </w:tc>
        <w:tc>
          <w:tcPr>
            <w:tcW w:w="1236" w:type="dxa"/>
            <w:tcBorders>
              <w:bottom w:val="single" w:sz="12" w:space="0" w:color="auto"/>
            </w:tcBorders>
            <w:shd w:val="clear" w:color="auto" w:fill="auto"/>
            <w:vAlign w:val="bottom"/>
          </w:tcPr>
          <w:p w:rsidR="00FE4F97" w:rsidRPr="00C05A60" w:rsidRDefault="00FE4F97">
            <w:pPr>
              <w:pStyle w:val="DualTxt"/>
              <w:spacing w:before="40" w:after="80" w:line="240" w:lineRule="exact"/>
              <w:ind w:right="144"/>
              <w:rPr>
                <w:rFonts w:hint="cs"/>
                <w:b/>
                <w:bCs/>
                <w:sz w:val="16"/>
                <w:szCs w:val="24"/>
                <w:rtl/>
              </w:rPr>
            </w:pPr>
            <w:r w:rsidRPr="00C05A60">
              <w:rPr>
                <w:rFonts w:hint="cs"/>
                <w:b/>
                <w:bCs/>
                <w:sz w:val="16"/>
                <w:szCs w:val="24"/>
                <w:rtl/>
              </w:rPr>
              <w:t>915</w:t>
            </w:r>
          </w:p>
        </w:tc>
        <w:tc>
          <w:tcPr>
            <w:tcW w:w="1236" w:type="dxa"/>
            <w:tcBorders>
              <w:bottom w:val="single" w:sz="12" w:space="0" w:color="auto"/>
            </w:tcBorders>
            <w:shd w:val="clear" w:color="auto" w:fill="auto"/>
            <w:vAlign w:val="bottom"/>
          </w:tcPr>
          <w:p w:rsidR="00FE4F97" w:rsidRPr="00C05A60" w:rsidRDefault="00FE4F97">
            <w:pPr>
              <w:pStyle w:val="DualTxt"/>
              <w:spacing w:before="40" w:after="80" w:line="240" w:lineRule="exact"/>
              <w:ind w:right="144"/>
              <w:rPr>
                <w:rFonts w:hint="cs"/>
                <w:b/>
                <w:bCs/>
                <w:sz w:val="16"/>
                <w:szCs w:val="24"/>
                <w:rtl/>
              </w:rPr>
            </w:pPr>
            <w:r w:rsidRPr="00C05A60">
              <w:rPr>
                <w:rFonts w:hint="cs"/>
                <w:b/>
                <w:bCs/>
                <w:sz w:val="16"/>
                <w:szCs w:val="24"/>
                <w:rtl/>
              </w:rPr>
              <w:t>396</w:t>
            </w:r>
          </w:p>
        </w:tc>
      </w:tr>
    </w:tbl>
    <w:p w:rsidR="00FE4F97" w:rsidRPr="00D47353" w:rsidRDefault="00FE4F97">
      <w:pPr>
        <w:pStyle w:val="SingleTxt"/>
        <w:spacing w:after="0" w:line="120" w:lineRule="exact"/>
        <w:rPr>
          <w:rFonts w:hint="cs"/>
          <w:b/>
          <w:bCs/>
          <w:sz w:val="12"/>
          <w:rtl/>
        </w:rPr>
      </w:pPr>
    </w:p>
    <w:p w:rsidR="00FE4F97" w:rsidRPr="00C05A60" w:rsidRDefault="00FE4F97">
      <w:pPr>
        <w:pStyle w:val="SingleTxt"/>
        <w:spacing w:after="0" w:line="120" w:lineRule="exact"/>
        <w:rPr>
          <w:rFonts w:hint="cs"/>
          <w:b/>
          <w:bCs/>
          <w:sz w:val="12"/>
          <w:rtl/>
        </w:rPr>
      </w:pPr>
    </w:p>
    <w:p w:rsidR="00FE4F97" w:rsidRDefault="00FE4F97">
      <w:pPr>
        <w:pStyle w:val="SingleTxt"/>
        <w:rPr>
          <w:rFonts w:hint="cs"/>
          <w:rtl/>
        </w:rPr>
      </w:pPr>
      <w:r>
        <w:rPr>
          <w:rFonts w:hint="cs"/>
          <w:rtl/>
        </w:rPr>
        <w:tab/>
      </w:r>
      <w:r w:rsidRPr="003E1173">
        <w:rPr>
          <w:rFonts w:hint="cs"/>
          <w:i/>
          <w:iCs/>
          <w:sz w:val="16"/>
          <w:szCs w:val="26"/>
          <w:rtl/>
        </w:rPr>
        <w:t>المصدر</w:t>
      </w:r>
      <w:r w:rsidRPr="003E1173">
        <w:rPr>
          <w:rFonts w:hint="cs"/>
          <w:sz w:val="16"/>
          <w:szCs w:val="26"/>
          <w:rtl/>
        </w:rPr>
        <w:t>: بيانات من وزارة التعليم والثقافة والعلوم.</w:t>
      </w:r>
    </w:p>
    <w:p w:rsidR="00FE4F97" w:rsidRPr="003E1173" w:rsidRDefault="00FE4F9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4"/>
          <w:szCs w:val="30"/>
          <w:rtl/>
        </w:rPr>
      </w:pPr>
    </w:p>
    <w:p w:rsidR="00FE4F97" w:rsidRPr="003E1173" w:rsidRDefault="00FE4F9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4"/>
          <w:szCs w:val="30"/>
          <w:rtl/>
        </w:rPr>
      </w:pPr>
    </w:p>
    <w:p w:rsidR="00FE4F97" w:rsidRDefault="00FE4F97">
      <w:pPr>
        <w:pStyle w:val="SingleTxt"/>
        <w:rPr>
          <w:rFonts w:hint="cs"/>
          <w:rtl/>
        </w:rPr>
      </w:pPr>
      <w:r>
        <w:rPr>
          <w:rFonts w:hint="cs"/>
          <w:rtl/>
        </w:rPr>
        <w:tab/>
        <w:t>وحقيقة أن الأغلبية الساحقة من الطلبة الذين أنهوا الصف الثامن في مدارس التعليم العام والتحقوا بمراكز التدريب المهني كانوا من الذكور تشير إلى أن الآباء أكثر اهتماما بحصول بناتهم على تعليم أعلى في حين يريدون أن يحصل أبناؤهم على حرفة مهنية محددة للاشتغال بعمل. وأكثر من 70 في المائة من الطلبة الحاصلين على تعليم أساسي ومسجلين في الصفين التاسع والعاشر في المدارس من البنات. ومن ثم، فإن الأغلبية الساحقة من الطلبة المسجلين في الجامعات، والمعاهد والكليات المتوسطة من الإناث، وهو ما تظهره بجلاء البيانات التالية:</w:t>
      </w:r>
    </w:p>
    <w:p w:rsidR="00FE4F97" w:rsidRPr="003E1173" w:rsidRDefault="00B35C66">
      <w:pPr>
        <w:pStyle w:val="SingleTxt"/>
        <w:spacing w:after="0"/>
        <w:rPr>
          <w:rFonts w:hint="cs"/>
          <w:rtl/>
        </w:rPr>
      </w:pPr>
      <w:r>
        <w:rPr>
          <w:rtl/>
        </w:rPr>
        <w:br w:type="page"/>
      </w:r>
      <w:r w:rsidR="00FE4F97" w:rsidRPr="003E1173">
        <w:rPr>
          <w:rFonts w:hint="cs"/>
          <w:rtl/>
        </w:rPr>
        <w:t>الجدول 10</w:t>
      </w:r>
    </w:p>
    <w:p w:rsidR="00FE4F97" w:rsidRDefault="00FE4F97">
      <w:pPr>
        <w:pStyle w:val="SingleTxt"/>
        <w:rPr>
          <w:rFonts w:hint="cs"/>
          <w:b/>
          <w:bCs/>
          <w:rtl/>
        </w:rPr>
      </w:pPr>
      <w:r>
        <w:rPr>
          <w:rFonts w:hint="cs"/>
          <w:b/>
          <w:bCs/>
          <w:rtl/>
        </w:rPr>
        <w:t>طلبة مؤسسات التعليم العالي،</w:t>
      </w:r>
    </w:p>
    <w:p w:rsidR="00FE4F97" w:rsidRPr="003E1173" w:rsidRDefault="00FE4F97">
      <w:pPr>
        <w:pStyle w:val="SingleTxt"/>
        <w:rPr>
          <w:rFonts w:hint="cs"/>
          <w:i/>
          <w:iCs/>
          <w:rtl/>
        </w:rPr>
      </w:pPr>
      <w:r>
        <w:rPr>
          <w:rFonts w:hint="cs"/>
          <w:i/>
          <w:iCs/>
          <w:rtl/>
        </w:rPr>
        <w:t>السنة الدراسية</w:t>
      </w:r>
      <w:r w:rsidRPr="003E1173">
        <w:rPr>
          <w:rFonts w:hint="cs"/>
          <w:i/>
          <w:iCs/>
          <w:rtl/>
        </w:rPr>
        <w:t xml:space="preserve"> 2004/2005</w:t>
      </w:r>
    </w:p>
    <w:p w:rsidR="00FE4F97" w:rsidRPr="003E1173" w:rsidRDefault="00FE4F97">
      <w:pPr>
        <w:pStyle w:val="SingleTxt"/>
        <w:spacing w:after="0" w:line="120" w:lineRule="exact"/>
        <w:rPr>
          <w:rFonts w:hint="cs"/>
          <w:sz w:val="10"/>
          <w:rtl/>
        </w:rPr>
      </w:pPr>
    </w:p>
    <w:tbl>
      <w:tblPr>
        <w:bidiVisual/>
        <w:tblW w:w="6489" w:type="dxa"/>
        <w:tblInd w:w="1409" w:type="dxa"/>
        <w:tblLook w:val="01E0" w:firstRow="1" w:lastRow="1" w:firstColumn="1" w:lastColumn="1" w:noHBand="0" w:noVBand="0"/>
      </w:tblPr>
      <w:tblGrid>
        <w:gridCol w:w="2781"/>
        <w:gridCol w:w="1751"/>
        <w:gridCol w:w="1957"/>
      </w:tblGrid>
      <w:tr w:rsidR="00FE4F97" w:rsidRPr="00C05A60">
        <w:trPr>
          <w:cantSplit/>
          <w:tblHeader/>
        </w:trPr>
        <w:tc>
          <w:tcPr>
            <w:tcW w:w="2781" w:type="dxa"/>
            <w:vMerge w:val="restart"/>
            <w:tcBorders>
              <w:top w:val="single" w:sz="4" w:space="0" w:color="auto"/>
            </w:tcBorders>
            <w:shd w:val="clear" w:color="auto" w:fill="auto"/>
            <w:vAlign w:val="bottom"/>
          </w:tcPr>
          <w:p w:rsidR="00FE4F97" w:rsidRPr="00C05A60" w:rsidRDefault="00FE4F97">
            <w:pPr>
              <w:pStyle w:val="DualTxt"/>
              <w:spacing w:before="80" w:after="80" w:line="240" w:lineRule="exact"/>
              <w:rPr>
                <w:rFonts w:hint="cs"/>
                <w:i/>
                <w:iCs/>
                <w:sz w:val="16"/>
                <w:szCs w:val="24"/>
                <w:rtl/>
              </w:rPr>
            </w:pPr>
            <w:r>
              <w:rPr>
                <w:rFonts w:hint="cs"/>
                <w:i/>
                <w:iCs/>
                <w:sz w:val="16"/>
                <w:szCs w:val="24"/>
                <w:rtl/>
              </w:rPr>
              <w:t>المؤهلات</w:t>
            </w:r>
          </w:p>
        </w:tc>
        <w:tc>
          <w:tcPr>
            <w:tcW w:w="3708" w:type="dxa"/>
            <w:gridSpan w:val="2"/>
            <w:tcBorders>
              <w:top w:val="single" w:sz="4" w:space="0" w:color="auto"/>
            </w:tcBorders>
            <w:shd w:val="clear" w:color="auto" w:fill="auto"/>
            <w:vAlign w:val="bottom"/>
          </w:tcPr>
          <w:p w:rsidR="00FE4F97" w:rsidRPr="00C05A60" w:rsidRDefault="00FE4F97">
            <w:pPr>
              <w:pStyle w:val="DualTxt"/>
              <w:spacing w:before="80" w:after="80" w:line="240" w:lineRule="exact"/>
              <w:ind w:right="144"/>
              <w:rPr>
                <w:rFonts w:hint="cs"/>
                <w:i/>
                <w:iCs/>
                <w:sz w:val="16"/>
                <w:szCs w:val="24"/>
                <w:rtl/>
              </w:rPr>
            </w:pPr>
            <w:r>
              <w:rPr>
                <w:rFonts w:hint="cs"/>
                <w:i/>
                <w:iCs/>
                <w:sz w:val="16"/>
                <w:szCs w:val="24"/>
                <w:rtl/>
              </w:rPr>
              <w:t>الطلبة</w:t>
            </w:r>
          </w:p>
        </w:tc>
      </w:tr>
      <w:tr w:rsidR="00FE4F97" w:rsidRPr="00C05A60">
        <w:trPr>
          <w:cantSplit/>
          <w:tblHeader/>
        </w:trPr>
        <w:tc>
          <w:tcPr>
            <w:tcW w:w="2781" w:type="dxa"/>
            <w:vMerge/>
            <w:tcBorders>
              <w:bottom w:val="single" w:sz="12" w:space="0" w:color="auto"/>
            </w:tcBorders>
            <w:shd w:val="clear" w:color="auto" w:fill="auto"/>
            <w:vAlign w:val="bottom"/>
          </w:tcPr>
          <w:p w:rsidR="00FE4F97" w:rsidRPr="00C05A60" w:rsidRDefault="00FE4F97">
            <w:pPr>
              <w:pStyle w:val="DualTxt"/>
              <w:spacing w:after="80" w:line="240" w:lineRule="exact"/>
              <w:rPr>
                <w:rFonts w:hint="cs"/>
                <w:i/>
                <w:iCs/>
                <w:sz w:val="16"/>
                <w:szCs w:val="24"/>
                <w:rtl/>
              </w:rPr>
            </w:pPr>
          </w:p>
        </w:tc>
        <w:tc>
          <w:tcPr>
            <w:tcW w:w="1751" w:type="dxa"/>
            <w:tcBorders>
              <w:bottom w:val="single" w:sz="12" w:space="0" w:color="auto"/>
            </w:tcBorders>
            <w:shd w:val="clear" w:color="auto" w:fill="auto"/>
            <w:vAlign w:val="bottom"/>
          </w:tcPr>
          <w:p w:rsidR="00FE4F97" w:rsidRPr="00C05A60" w:rsidRDefault="00FE4F97">
            <w:pPr>
              <w:pStyle w:val="DualTxt"/>
              <w:spacing w:after="80" w:line="240" w:lineRule="exact"/>
              <w:ind w:right="144"/>
              <w:rPr>
                <w:rFonts w:hint="cs"/>
                <w:i/>
                <w:iCs/>
                <w:sz w:val="16"/>
                <w:szCs w:val="24"/>
                <w:rtl/>
              </w:rPr>
            </w:pPr>
            <w:r>
              <w:rPr>
                <w:rFonts w:hint="cs"/>
                <w:i/>
                <w:iCs/>
                <w:sz w:val="16"/>
                <w:szCs w:val="24"/>
                <w:rtl/>
              </w:rPr>
              <w:t>المجموع</w:t>
            </w:r>
          </w:p>
        </w:tc>
        <w:tc>
          <w:tcPr>
            <w:tcW w:w="1957" w:type="dxa"/>
            <w:tcBorders>
              <w:bottom w:val="single" w:sz="12" w:space="0" w:color="auto"/>
            </w:tcBorders>
            <w:shd w:val="clear" w:color="auto" w:fill="auto"/>
            <w:vAlign w:val="bottom"/>
          </w:tcPr>
          <w:p w:rsidR="00FE4F97" w:rsidRPr="00C05A60" w:rsidRDefault="00FE4F97">
            <w:pPr>
              <w:pStyle w:val="DualTxt"/>
              <w:spacing w:after="80" w:line="240" w:lineRule="exact"/>
              <w:ind w:right="144"/>
              <w:rPr>
                <w:rFonts w:hint="cs"/>
                <w:i/>
                <w:iCs/>
                <w:sz w:val="16"/>
                <w:szCs w:val="24"/>
                <w:rtl/>
              </w:rPr>
            </w:pPr>
            <w:r>
              <w:rPr>
                <w:rFonts w:hint="cs"/>
                <w:i/>
                <w:iCs/>
                <w:sz w:val="16"/>
                <w:szCs w:val="24"/>
                <w:rtl/>
              </w:rPr>
              <w:t>إناث</w:t>
            </w:r>
          </w:p>
        </w:tc>
      </w:tr>
      <w:tr w:rsidR="00FE4F97" w:rsidRPr="00C05A60">
        <w:trPr>
          <w:cantSplit/>
        </w:trPr>
        <w:tc>
          <w:tcPr>
            <w:tcW w:w="2781" w:type="dxa"/>
            <w:shd w:val="clear" w:color="auto" w:fill="auto"/>
            <w:vAlign w:val="bottom"/>
          </w:tcPr>
          <w:p w:rsidR="00FE4F97" w:rsidRPr="00C05A60" w:rsidRDefault="00FE4F97">
            <w:pPr>
              <w:pStyle w:val="DualTxt"/>
              <w:spacing w:before="40" w:after="80" w:line="240" w:lineRule="exact"/>
              <w:rPr>
                <w:rFonts w:hint="cs"/>
                <w:sz w:val="16"/>
                <w:szCs w:val="24"/>
                <w:rtl/>
              </w:rPr>
            </w:pPr>
            <w:r>
              <w:rPr>
                <w:rFonts w:hint="cs"/>
                <w:sz w:val="16"/>
                <w:szCs w:val="24"/>
                <w:rtl/>
              </w:rPr>
              <w:t>تعليم عال مع دبلوم</w:t>
            </w:r>
          </w:p>
        </w:tc>
        <w:tc>
          <w:tcPr>
            <w:tcW w:w="1751" w:type="dxa"/>
            <w:shd w:val="clear" w:color="auto" w:fill="auto"/>
            <w:vAlign w:val="bottom"/>
          </w:tcPr>
          <w:p w:rsidR="00FE4F97" w:rsidRPr="00C05A60" w:rsidRDefault="00FE4F97">
            <w:pPr>
              <w:pStyle w:val="DualTxt"/>
              <w:spacing w:before="40" w:after="80" w:line="240" w:lineRule="exact"/>
              <w:ind w:right="144"/>
              <w:rPr>
                <w:rFonts w:hint="cs"/>
                <w:sz w:val="16"/>
                <w:szCs w:val="24"/>
                <w:rtl/>
              </w:rPr>
            </w:pPr>
            <w:r>
              <w:rPr>
                <w:rFonts w:hint="cs"/>
                <w:sz w:val="16"/>
                <w:szCs w:val="24"/>
                <w:rtl/>
              </w:rPr>
              <w:t>764 5</w:t>
            </w:r>
          </w:p>
        </w:tc>
        <w:tc>
          <w:tcPr>
            <w:tcW w:w="1957" w:type="dxa"/>
            <w:shd w:val="clear" w:color="auto" w:fill="auto"/>
            <w:vAlign w:val="bottom"/>
          </w:tcPr>
          <w:p w:rsidR="00FE4F97" w:rsidRPr="00C05A60" w:rsidRDefault="00FE4F97">
            <w:pPr>
              <w:pStyle w:val="DualTxt"/>
              <w:spacing w:before="40" w:after="80" w:line="240" w:lineRule="exact"/>
              <w:ind w:right="144"/>
              <w:rPr>
                <w:rFonts w:hint="cs"/>
                <w:sz w:val="16"/>
                <w:szCs w:val="24"/>
                <w:rtl/>
              </w:rPr>
            </w:pPr>
            <w:r>
              <w:rPr>
                <w:rFonts w:hint="cs"/>
                <w:sz w:val="16"/>
                <w:szCs w:val="24"/>
                <w:rtl/>
              </w:rPr>
              <w:t>426 3</w:t>
            </w:r>
          </w:p>
        </w:tc>
      </w:tr>
      <w:tr w:rsidR="00FE4F97" w:rsidRPr="00C05A60">
        <w:trPr>
          <w:cantSplit/>
        </w:trPr>
        <w:tc>
          <w:tcPr>
            <w:tcW w:w="2781" w:type="dxa"/>
            <w:shd w:val="clear" w:color="auto" w:fill="auto"/>
            <w:vAlign w:val="bottom"/>
          </w:tcPr>
          <w:p w:rsidR="00FE4F97" w:rsidRPr="00C05A60" w:rsidRDefault="00FE4F97">
            <w:pPr>
              <w:pStyle w:val="DualTxt"/>
              <w:spacing w:before="40" w:after="80" w:line="240" w:lineRule="exact"/>
              <w:rPr>
                <w:rFonts w:hint="cs"/>
                <w:sz w:val="16"/>
                <w:szCs w:val="24"/>
                <w:rtl/>
              </w:rPr>
            </w:pPr>
            <w:r>
              <w:rPr>
                <w:rFonts w:hint="cs"/>
                <w:sz w:val="16"/>
                <w:szCs w:val="24"/>
                <w:rtl/>
              </w:rPr>
              <w:t>بكالوريوس</w:t>
            </w:r>
          </w:p>
        </w:tc>
        <w:tc>
          <w:tcPr>
            <w:tcW w:w="1751" w:type="dxa"/>
            <w:shd w:val="clear" w:color="auto" w:fill="auto"/>
            <w:vAlign w:val="bottom"/>
          </w:tcPr>
          <w:p w:rsidR="00FE4F97" w:rsidRPr="00C05A60" w:rsidRDefault="00FE4F97">
            <w:pPr>
              <w:pStyle w:val="DualTxt"/>
              <w:spacing w:before="40" w:after="80" w:line="240" w:lineRule="exact"/>
              <w:ind w:right="144"/>
              <w:rPr>
                <w:rFonts w:hint="cs"/>
                <w:sz w:val="16"/>
                <w:szCs w:val="24"/>
                <w:rtl/>
              </w:rPr>
            </w:pPr>
            <w:r>
              <w:rPr>
                <w:rFonts w:hint="cs"/>
                <w:sz w:val="16"/>
                <w:szCs w:val="24"/>
                <w:rtl/>
              </w:rPr>
              <w:t>186 111</w:t>
            </w:r>
          </w:p>
        </w:tc>
        <w:tc>
          <w:tcPr>
            <w:tcW w:w="1957" w:type="dxa"/>
            <w:shd w:val="clear" w:color="auto" w:fill="auto"/>
            <w:vAlign w:val="bottom"/>
          </w:tcPr>
          <w:p w:rsidR="00FE4F97" w:rsidRPr="00C05A60" w:rsidRDefault="00FE4F97">
            <w:pPr>
              <w:pStyle w:val="DualTxt"/>
              <w:spacing w:before="40" w:after="80" w:line="240" w:lineRule="exact"/>
              <w:ind w:right="144"/>
              <w:rPr>
                <w:rFonts w:hint="cs"/>
                <w:sz w:val="16"/>
                <w:szCs w:val="24"/>
                <w:rtl/>
              </w:rPr>
            </w:pPr>
            <w:r>
              <w:rPr>
                <w:rFonts w:hint="cs"/>
                <w:sz w:val="16"/>
                <w:szCs w:val="24"/>
                <w:rtl/>
              </w:rPr>
              <w:t>125 68</w:t>
            </w:r>
          </w:p>
        </w:tc>
      </w:tr>
      <w:tr w:rsidR="00FE4F97" w:rsidRPr="00C05A60">
        <w:trPr>
          <w:cantSplit/>
        </w:trPr>
        <w:tc>
          <w:tcPr>
            <w:tcW w:w="2781" w:type="dxa"/>
            <w:shd w:val="clear" w:color="auto" w:fill="auto"/>
            <w:vAlign w:val="bottom"/>
          </w:tcPr>
          <w:p w:rsidR="00FE4F97" w:rsidRPr="00C05A60" w:rsidRDefault="00FE4F97">
            <w:pPr>
              <w:pStyle w:val="DualTxt"/>
              <w:spacing w:before="40" w:after="80" w:line="240" w:lineRule="exact"/>
              <w:rPr>
                <w:rFonts w:hint="cs"/>
                <w:sz w:val="16"/>
                <w:szCs w:val="24"/>
                <w:rtl/>
              </w:rPr>
            </w:pPr>
            <w:r>
              <w:rPr>
                <w:rFonts w:hint="cs"/>
                <w:sz w:val="16"/>
                <w:szCs w:val="24"/>
                <w:rtl/>
              </w:rPr>
              <w:t>ماجستير</w:t>
            </w:r>
          </w:p>
        </w:tc>
        <w:tc>
          <w:tcPr>
            <w:tcW w:w="1751" w:type="dxa"/>
            <w:shd w:val="clear" w:color="auto" w:fill="auto"/>
            <w:vAlign w:val="bottom"/>
          </w:tcPr>
          <w:p w:rsidR="00FE4F97" w:rsidRPr="00C05A60" w:rsidRDefault="00FE4F97">
            <w:pPr>
              <w:pStyle w:val="DualTxt"/>
              <w:spacing w:before="40" w:after="80" w:line="240" w:lineRule="exact"/>
              <w:ind w:right="144"/>
              <w:rPr>
                <w:rFonts w:hint="cs"/>
                <w:sz w:val="16"/>
                <w:szCs w:val="24"/>
                <w:rtl/>
              </w:rPr>
            </w:pPr>
            <w:r>
              <w:rPr>
                <w:rFonts w:hint="cs"/>
                <w:sz w:val="16"/>
                <w:szCs w:val="24"/>
                <w:rtl/>
              </w:rPr>
              <w:t>084 5</w:t>
            </w:r>
          </w:p>
        </w:tc>
        <w:tc>
          <w:tcPr>
            <w:tcW w:w="1957" w:type="dxa"/>
            <w:shd w:val="clear" w:color="auto" w:fill="auto"/>
            <w:vAlign w:val="bottom"/>
          </w:tcPr>
          <w:p w:rsidR="00FE4F97" w:rsidRPr="00C05A60" w:rsidRDefault="00FE4F97">
            <w:pPr>
              <w:pStyle w:val="DualTxt"/>
              <w:spacing w:before="40" w:after="80" w:line="240" w:lineRule="exact"/>
              <w:ind w:right="144"/>
              <w:rPr>
                <w:rFonts w:hint="cs"/>
                <w:sz w:val="16"/>
                <w:szCs w:val="24"/>
                <w:rtl/>
              </w:rPr>
            </w:pPr>
            <w:r>
              <w:rPr>
                <w:rFonts w:hint="cs"/>
                <w:sz w:val="16"/>
                <w:szCs w:val="24"/>
                <w:rtl/>
              </w:rPr>
              <w:t>409 3</w:t>
            </w:r>
          </w:p>
        </w:tc>
      </w:tr>
      <w:tr w:rsidR="00FE4F97" w:rsidRPr="00C05A60">
        <w:trPr>
          <w:cantSplit/>
        </w:trPr>
        <w:tc>
          <w:tcPr>
            <w:tcW w:w="2781" w:type="dxa"/>
            <w:shd w:val="clear" w:color="auto" w:fill="auto"/>
            <w:vAlign w:val="bottom"/>
          </w:tcPr>
          <w:p w:rsidR="00FE4F97" w:rsidRPr="00C05A60" w:rsidRDefault="00FE4F97">
            <w:pPr>
              <w:pStyle w:val="DualTxt"/>
              <w:spacing w:before="40" w:after="80" w:line="240" w:lineRule="exact"/>
              <w:rPr>
                <w:rFonts w:hint="cs"/>
                <w:sz w:val="16"/>
                <w:szCs w:val="24"/>
                <w:rtl/>
              </w:rPr>
            </w:pPr>
            <w:r>
              <w:rPr>
                <w:rFonts w:hint="cs"/>
                <w:sz w:val="16"/>
                <w:szCs w:val="24"/>
                <w:rtl/>
              </w:rPr>
              <w:t>دكتوراة</w:t>
            </w:r>
          </w:p>
        </w:tc>
        <w:tc>
          <w:tcPr>
            <w:tcW w:w="1751" w:type="dxa"/>
            <w:shd w:val="clear" w:color="auto" w:fill="auto"/>
            <w:vAlign w:val="bottom"/>
          </w:tcPr>
          <w:p w:rsidR="00FE4F97" w:rsidRPr="00C05A60" w:rsidRDefault="00FE4F97">
            <w:pPr>
              <w:pStyle w:val="DualTxt"/>
              <w:spacing w:before="40" w:after="80" w:line="240" w:lineRule="exact"/>
              <w:ind w:right="144"/>
              <w:rPr>
                <w:rFonts w:hint="cs"/>
                <w:sz w:val="16"/>
                <w:szCs w:val="24"/>
                <w:rtl/>
              </w:rPr>
            </w:pPr>
            <w:r>
              <w:rPr>
                <w:rFonts w:hint="cs"/>
                <w:sz w:val="16"/>
                <w:szCs w:val="24"/>
                <w:rtl/>
              </w:rPr>
              <w:t>790 1</w:t>
            </w:r>
          </w:p>
        </w:tc>
        <w:tc>
          <w:tcPr>
            <w:tcW w:w="1957" w:type="dxa"/>
            <w:shd w:val="clear" w:color="auto" w:fill="auto"/>
            <w:vAlign w:val="bottom"/>
          </w:tcPr>
          <w:p w:rsidR="00FE4F97" w:rsidRPr="00C05A60" w:rsidRDefault="00FE4F97">
            <w:pPr>
              <w:pStyle w:val="DualTxt"/>
              <w:spacing w:before="40" w:after="80" w:line="240" w:lineRule="exact"/>
              <w:ind w:right="144"/>
              <w:rPr>
                <w:rFonts w:hint="cs"/>
                <w:sz w:val="16"/>
                <w:szCs w:val="24"/>
                <w:rtl/>
              </w:rPr>
            </w:pPr>
            <w:r>
              <w:rPr>
                <w:rFonts w:hint="cs"/>
                <w:sz w:val="16"/>
                <w:szCs w:val="24"/>
                <w:rtl/>
              </w:rPr>
              <w:t>089 1</w:t>
            </w:r>
          </w:p>
        </w:tc>
      </w:tr>
      <w:tr w:rsidR="00FE4F97" w:rsidRPr="00C05A60">
        <w:trPr>
          <w:cantSplit/>
        </w:trPr>
        <w:tc>
          <w:tcPr>
            <w:tcW w:w="2781" w:type="dxa"/>
            <w:tcBorders>
              <w:bottom w:val="single" w:sz="12" w:space="0" w:color="auto"/>
            </w:tcBorders>
            <w:shd w:val="clear" w:color="auto" w:fill="auto"/>
            <w:vAlign w:val="bottom"/>
          </w:tcPr>
          <w:p w:rsidR="00FE4F97" w:rsidRPr="00C05A60" w:rsidRDefault="00FE4F97">
            <w:pPr>
              <w:pStyle w:val="DualTxt"/>
              <w:spacing w:before="40" w:after="80" w:line="240" w:lineRule="exact"/>
              <w:rPr>
                <w:rFonts w:hint="cs"/>
                <w:sz w:val="16"/>
                <w:szCs w:val="24"/>
                <w:rtl/>
              </w:rPr>
            </w:pPr>
            <w:r>
              <w:rPr>
                <w:rFonts w:hint="cs"/>
                <w:sz w:val="16"/>
                <w:szCs w:val="24"/>
                <w:rtl/>
              </w:rPr>
              <w:t>المجموع</w:t>
            </w:r>
          </w:p>
        </w:tc>
        <w:tc>
          <w:tcPr>
            <w:tcW w:w="1751" w:type="dxa"/>
            <w:tcBorders>
              <w:bottom w:val="single" w:sz="12" w:space="0" w:color="auto"/>
            </w:tcBorders>
            <w:shd w:val="clear" w:color="auto" w:fill="auto"/>
            <w:vAlign w:val="bottom"/>
          </w:tcPr>
          <w:p w:rsidR="00FE4F97" w:rsidRPr="00C05A60" w:rsidRDefault="00FE4F97">
            <w:pPr>
              <w:pStyle w:val="DualTxt"/>
              <w:spacing w:before="40" w:after="80" w:line="240" w:lineRule="exact"/>
              <w:ind w:right="144"/>
              <w:rPr>
                <w:rFonts w:hint="cs"/>
                <w:sz w:val="16"/>
                <w:szCs w:val="24"/>
                <w:rtl/>
              </w:rPr>
            </w:pPr>
            <w:r>
              <w:rPr>
                <w:rFonts w:hint="cs"/>
                <w:sz w:val="16"/>
                <w:szCs w:val="24"/>
                <w:rtl/>
              </w:rPr>
              <w:t>824 123</w:t>
            </w:r>
          </w:p>
        </w:tc>
        <w:tc>
          <w:tcPr>
            <w:tcW w:w="1957" w:type="dxa"/>
            <w:tcBorders>
              <w:bottom w:val="single" w:sz="12" w:space="0" w:color="auto"/>
            </w:tcBorders>
            <w:shd w:val="clear" w:color="auto" w:fill="auto"/>
            <w:vAlign w:val="bottom"/>
          </w:tcPr>
          <w:p w:rsidR="00FE4F97" w:rsidRPr="00C05A60" w:rsidRDefault="00FE4F97">
            <w:pPr>
              <w:pStyle w:val="DualTxt"/>
              <w:spacing w:before="40" w:after="80" w:line="240" w:lineRule="exact"/>
              <w:ind w:right="144"/>
              <w:rPr>
                <w:rFonts w:hint="cs"/>
                <w:sz w:val="16"/>
                <w:szCs w:val="24"/>
                <w:rtl/>
              </w:rPr>
            </w:pPr>
            <w:r>
              <w:rPr>
                <w:rFonts w:hint="cs"/>
                <w:sz w:val="16"/>
                <w:szCs w:val="24"/>
                <w:rtl/>
              </w:rPr>
              <w:t>049 76</w:t>
            </w:r>
          </w:p>
        </w:tc>
      </w:tr>
    </w:tbl>
    <w:p w:rsidR="00FE4F97" w:rsidRPr="00A0769B" w:rsidRDefault="00FE4F97">
      <w:pPr>
        <w:pStyle w:val="SingleTxt"/>
        <w:spacing w:after="0" w:line="120" w:lineRule="exact"/>
        <w:rPr>
          <w:rFonts w:hint="cs"/>
          <w:sz w:val="12"/>
          <w:rtl/>
        </w:rPr>
      </w:pPr>
    </w:p>
    <w:p w:rsidR="00FE4F97" w:rsidRDefault="00FE4F97">
      <w:pPr>
        <w:pStyle w:val="SingleTxt"/>
        <w:rPr>
          <w:rFonts w:hint="cs"/>
          <w:rtl/>
        </w:rPr>
      </w:pPr>
      <w:r>
        <w:rPr>
          <w:rFonts w:hint="cs"/>
          <w:rtl/>
        </w:rPr>
        <w:tab/>
      </w:r>
      <w:r w:rsidRPr="003E1173">
        <w:rPr>
          <w:rFonts w:hint="cs"/>
          <w:i/>
          <w:iCs/>
          <w:sz w:val="16"/>
          <w:szCs w:val="26"/>
          <w:rtl/>
        </w:rPr>
        <w:t>المصدر</w:t>
      </w:r>
      <w:r w:rsidRPr="003E1173">
        <w:rPr>
          <w:rFonts w:hint="cs"/>
          <w:sz w:val="16"/>
          <w:szCs w:val="26"/>
          <w:rtl/>
        </w:rPr>
        <w:t>: بيانات من وزارة التعليم والثقافة والعلوم.</w:t>
      </w:r>
    </w:p>
    <w:p w:rsidR="00FE4F97" w:rsidRPr="003E1173" w:rsidRDefault="00FE4F9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FE4F97" w:rsidRPr="003E1173" w:rsidRDefault="00FE4F9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FE4F97" w:rsidRDefault="00FE4F97">
      <w:pPr>
        <w:pStyle w:val="SingleTxt"/>
        <w:rPr>
          <w:rFonts w:hint="cs"/>
          <w:rtl/>
        </w:rPr>
      </w:pPr>
      <w:r>
        <w:rPr>
          <w:rFonts w:hint="cs"/>
          <w:rtl/>
        </w:rPr>
        <w:tab/>
      </w:r>
      <w:r>
        <w:rPr>
          <w:rFonts w:hint="cs"/>
          <w:b/>
          <w:bCs/>
          <w:rtl/>
        </w:rPr>
        <w:t xml:space="preserve">ثالثا - </w:t>
      </w:r>
      <w:r>
        <w:rPr>
          <w:rFonts w:hint="cs"/>
          <w:b/>
          <w:bCs/>
          <w:rtl/>
        </w:rPr>
        <w:tab/>
      </w:r>
      <w:r>
        <w:rPr>
          <w:rFonts w:hint="cs"/>
          <w:rtl/>
        </w:rPr>
        <w:t>تمثل نسبة الذكور والإناث في مجتمع العاملين في المدارس عاملا مؤثرا إلى حد ما على التوازن الجنساني للطلبة.</w:t>
      </w:r>
    </w:p>
    <w:p w:rsidR="00FE4F97" w:rsidRDefault="00FE4F97">
      <w:pPr>
        <w:pStyle w:val="SingleTxt"/>
        <w:rPr>
          <w:rFonts w:hint="cs"/>
          <w:rtl/>
        </w:rPr>
      </w:pPr>
      <w:r w:rsidRPr="000F4CB2">
        <w:rPr>
          <w:rFonts w:hint="cs"/>
          <w:rtl/>
        </w:rPr>
        <w:tab/>
        <w:t xml:space="preserve">ودراسة هيئة </w:t>
      </w:r>
      <w:r>
        <w:rPr>
          <w:rFonts w:hint="cs"/>
          <w:rtl/>
        </w:rPr>
        <w:t>التدريس التي تعمل مباشرة مع الطلبة تكشف عن أنه، في السنة الدراسية 2004/2005، مثلت المرأة نسبة 80.2 من المدرسين في مدارس التعليم العام، ونسبة 63.2 في المائة من المدرسين في مدارس التدريب المهني ونسبة 53.2 في المائة من المدرسين في منظمات التعليم العالي</w:t>
      </w:r>
      <w:r w:rsidRPr="000F4CB2">
        <w:rPr>
          <w:vertAlign w:val="superscript"/>
          <w:rtl/>
        </w:rPr>
        <w:t>(</w:t>
      </w:r>
      <w:r>
        <w:rPr>
          <w:rStyle w:val="FootnoteReference"/>
          <w:rtl/>
        </w:rPr>
        <w:footnoteReference w:id="7"/>
      </w:r>
      <w:r w:rsidRPr="000F4CB2">
        <w:rPr>
          <w:vertAlign w:val="superscript"/>
          <w:rtl/>
        </w:rPr>
        <w:t>)</w:t>
      </w:r>
      <w:r>
        <w:rPr>
          <w:rFonts w:hint="cs"/>
          <w:rtl/>
        </w:rPr>
        <w:t>.</w:t>
      </w:r>
    </w:p>
    <w:p w:rsidR="00FE4F97" w:rsidRDefault="00FE4F97">
      <w:pPr>
        <w:pStyle w:val="SingleTxt"/>
        <w:rPr>
          <w:rFonts w:hint="cs"/>
          <w:rtl/>
        </w:rPr>
      </w:pPr>
      <w:r>
        <w:rPr>
          <w:rFonts w:hint="cs"/>
          <w:rtl/>
        </w:rPr>
        <w:tab/>
        <w:t>بيد أن نسبة الجنسين في إدارات المدارس هي عكس الإحصاءات المبينة أعلاه. وعلى سبيل المثال: مثلت المرأة نسبة 29.3 في المائة من مديري وموجهي مدارس التعليم العام، ونسبة 16.1 في المائة من رؤساء المراكز التعليمية والثقافية، و10 في المائة من مديري مراكز التدريب المهني، و15.5 في المائة من مديري الكليات المتوسطة والجامعات. وفي مؤسسات التعليم العالي مثلت المرأة أيضا نسبة تراوحت بين 40.8 و61.6 في المائة من وكلاء المديرين، والعمداء والمنهجيين.</w:t>
      </w:r>
    </w:p>
    <w:p w:rsidR="00FE4F97" w:rsidRDefault="00FE4F97">
      <w:pPr>
        <w:pStyle w:val="SingleTxt"/>
        <w:rPr>
          <w:rFonts w:hint="cs"/>
          <w:rtl/>
        </w:rPr>
      </w:pPr>
      <w:r>
        <w:rPr>
          <w:rFonts w:hint="cs"/>
          <w:rtl/>
        </w:rPr>
        <w:tab/>
        <w:t>ومن هذا يتضح أن الأنماط الجنسانية الجامدة القائمة على توزيع الوظائف بين الرجل والمرأة في أسلوب الحياة البدوية تؤثر بشدة على قضايا التعليم الخطيرة، وهو ما يظهر في فهم الشباب لمفهوم نوع الجنس.</w:t>
      </w:r>
    </w:p>
    <w:p w:rsidR="00FE4F97" w:rsidRDefault="00FE4F97">
      <w:pPr>
        <w:pStyle w:val="SingleTxt"/>
        <w:rPr>
          <w:rFonts w:hint="cs"/>
          <w:rtl/>
        </w:rPr>
      </w:pPr>
      <w:r>
        <w:rPr>
          <w:rFonts w:hint="cs"/>
          <w:rtl/>
        </w:rPr>
        <w:tab/>
        <w:t>وقد أنشئت وحدة مراقبة الشؤون الجنسانية في عام 2003 بموجب المرسوم الصادر عن وزير التعليم والثقافة والعلوم بوصفها منظمة مستقلة تتمثل وظائفها في إجراء دراسات استقصائية بشأن التوازن بين الجنسين في القطاع التعليمي في منغوليا، وتقديم توصيات ذات طابع متعلق بالسياسة إلى المنظمات التي تعد السياسات التعليمية وتنفذها. والدراسات الاستقصائية التي أجرتها وحدة مراقبة الشؤون الجنسانية في مجال التعليم في عام 2003-2004 بشأن العلاقات بين الجنسين في قطاع التعليم كشفت عن أن الفروق بين الجنسين أو الاحتياجات المحددة للذكور والإناث لا تؤخذ في الاعتبار كما ينبغي في بناء وتجهيز المدارس ورياض الأطفال، وأن الإحساس بالقضايا الجنسانية بمعيار جديد في مدارس التعليم العام يتسم بالضعف، وأن الكتب المدرسية تتضمن أنماطا جنسانية جامدة ومن المحتمل أن تزداد نُهج عدم المساواة بين الجنسين عمقا في الاختلالات بين المدرسين والطلبة.</w:t>
      </w:r>
    </w:p>
    <w:p w:rsidR="00FE4F97" w:rsidRDefault="00FE4F97">
      <w:pPr>
        <w:pStyle w:val="SingleTxt"/>
        <w:rPr>
          <w:rFonts w:hint="cs"/>
          <w:rtl/>
        </w:rPr>
      </w:pPr>
      <w:r>
        <w:rPr>
          <w:rFonts w:hint="cs"/>
          <w:rtl/>
        </w:rPr>
        <w:tab/>
        <w:t>ومع أن الأغلبية الساحقة من العاملين في قطاع التعليم والطلبة من النساء، ليست البيئة المادية والنفسية في قطاع التعليم مؤاتية تماما لهن حتى الآن.</w:t>
      </w:r>
    </w:p>
    <w:p w:rsidR="00FE4F97" w:rsidRDefault="00FE4F97">
      <w:pPr>
        <w:pStyle w:val="SingleTxt"/>
        <w:rPr>
          <w:rFonts w:hint="cs"/>
          <w:rtl/>
        </w:rPr>
      </w:pPr>
      <w:r>
        <w:rPr>
          <w:rFonts w:hint="cs"/>
          <w:rtl/>
        </w:rPr>
        <w:tab/>
        <w:t>ومع أن فهم الطلبة في الوقت الحاضر مختلف إلى حد ما فيما يتعلق بأدوار الرجل والمرأة في الحياة الاجتماعية، بما في ذلك فهم علاقات الأسر الجديدة، هناك اتجاه لعدم قبول اقتراحات النساء على صعيد صنع القرار.</w:t>
      </w:r>
    </w:p>
    <w:p w:rsidR="00FE4F97" w:rsidRDefault="00FE4F97">
      <w:pPr>
        <w:pStyle w:val="SingleTxt"/>
        <w:rPr>
          <w:rFonts w:hint="cs"/>
          <w:rtl/>
        </w:rPr>
      </w:pPr>
      <w:r>
        <w:rPr>
          <w:rFonts w:hint="cs"/>
          <w:rtl/>
        </w:rPr>
        <w:tab/>
        <w:t>وأيضا، تُظهر الدراسة التي أجرتها وحدة مراقبة الشؤون الجنسانية أن من الضروري تحسين نوعية التعليم، وتنمية قدرات المدرسين، وتحسين الوصول إلى المعلومات والمرافق التعليمية في المدارس الريفية إذ أنه من الناحية العملية يتسم الفرق بين نوعية التعليم في المناطق الحضرية والمناطق الريفية بالكبر وإن كان القانون ينص على تساوي الرجل والمرأة في الحق في الحصول على تعليم عالي الجودة في المناطق الحضرية والمناطق الريفية على حد سواء. ومن ناحية أخرى، تظهر الدراسة أن الحاصلين على الخدمات التعليمية بدأوا يفهمون أنه ليست جهود الحكومة فحسب بل أيضا جهود الطلبة ذاتهم، وآبائهم ومدرسيهم هامة لتحسين نوعية التعليم. وبعبارة أخرى، فإنهم يفهمون الآن أن نوعية التعليم هي ثمرة الجهود المشتركة التي يبذلها جميع المشتركين في هذا الميدان. وهكذا، تظهر الدراسة حدوث تغير عام في الموقف تجاه التعليم.</w:t>
      </w:r>
    </w:p>
    <w:p w:rsidR="00FE4F97" w:rsidRDefault="00FE4F97">
      <w:pPr>
        <w:pStyle w:val="SingleTxt"/>
        <w:rPr>
          <w:rFonts w:hint="cs"/>
          <w:rtl/>
        </w:rPr>
      </w:pPr>
      <w:r>
        <w:rPr>
          <w:rFonts w:hint="cs"/>
          <w:rtl/>
        </w:rPr>
        <w:tab/>
        <w:t>وبغية غرس فهم صحيح لنوع الجنس في الأذهان في وقت مبكر، نُشرت كتيبات للجمهور بشأن تنظيم أنشطة للدعوة على نطاق واسع من خلال وسائط الإعلام، ومنهجية البحث الجيد بشأن المسائل الجنسانية في التعليم وتهيئة بيئة دراسة مؤاتية ذات نطاق شامل. وعلى أساس مبادرة من وحدة مراقبة الشؤون الجنسانية وتوصية من اللجنة الدائمة للسياسات الاجتماعية التابعة لإيخ خورال الدولة (البرلمان)، فإنه منذ عام 2004 أدرجت في منهاج التدريب التأهيلي للمدرسين 16 ساعة للموضوع المتعلق بالعلاقات الجنسانية في التعليم. وكذلك، تضمنت تدريبات مدرسي وموجهي مدارس التعليم العام منهجية ملاحظة وتحليل الحالة الجنسانية منذ عام 2004.</w:t>
      </w:r>
    </w:p>
    <w:p w:rsidR="00FE4F97" w:rsidRDefault="00FE4F97">
      <w:pPr>
        <w:pStyle w:val="SingleTxt"/>
        <w:rPr>
          <w:rFonts w:hint="cs"/>
          <w:rtl/>
        </w:rPr>
      </w:pPr>
      <w:r>
        <w:rPr>
          <w:rFonts w:hint="cs"/>
          <w:rtl/>
        </w:rPr>
        <w:tab/>
        <w:t>وفي حين أن حالة العلاقات الجنسانية في التعليم تمثل قضية مثيرة للقلق على الصعيد الدولي وتختلف من بلد لآخر، يوجه الباحثون، والمنظمات العلمية والبحثية فضلا عن المنظمات الحكومية دراساتهم إلى حالة العلاقات الجنسانية في التعليم في منغوليا. وتمثل القضية أيضا مسألة مثيرة لقلق الحكومة. ومنذ عهد قريب، أصبحت معظم نتائج البحوث مصنفة حسب الجنس، مما يسهل تقييم السياسات والأنشطة المنفذة فيما يتعلق بالتعليم والتخطيط لاتخاذ مزيد من التدابير.</w:t>
      </w:r>
    </w:p>
    <w:p w:rsidR="00FE4F97" w:rsidRDefault="00FE4F97">
      <w:pPr>
        <w:pStyle w:val="SingleTxt"/>
        <w:rPr>
          <w:rFonts w:hint="cs"/>
          <w:rtl/>
        </w:rPr>
      </w:pPr>
      <w:r>
        <w:rPr>
          <w:rFonts w:hint="cs"/>
          <w:rtl/>
        </w:rPr>
        <w:tab/>
        <w:t xml:space="preserve">ويجب اتخاذ التدابير التالية لعلاج عدم المساواة بين الجنسين في قطاع التعليم في منغوليا: </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tab/>
      </w:r>
      <w:r>
        <w:rPr>
          <w:rFonts w:hint="cs"/>
        </w:rPr>
        <w:sym w:font="Symbol" w:char="F05C"/>
      </w:r>
      <w:r>
        <w:rPr>
          <w:rFonts w:hint="cs"/>
          <w:rtl/>
        </w:rPr>
        <w:tab/>
        <w:t>زيادة الأنشطة الجنسانية المتعلقة بالمعلومات، والتعليم والاتصال لتحسين المعرفة الجنسانية بين شباب منغوليا؛</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tab/>
      </w:r>
      <w:r>
        <w:rPr>
          <w:rFonts w:hint="cs"/>
        </w:rPr>
        <w:sym w:font="Symbol" w:char="F05C"/>
      </w:r>
      <w:r>
        <w:rPr>
          <w:rFonts w:hint="cs"/>
          <w:rtl/>
        </w:rPr>
        <w:tab/>
        <w:t>تحسين معرفة ومهارات صانعي، ومخططي ومنفذي سياسات التعليم فضلا عن الباحثين والمدرسين من أجل إدماج القضايا الجنسانية في المناهج الدراسية، والكتب المدرسية وممارسة التدريب على جميع مستويات التعليم؛</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tab/>
      </w:r>
      <w:r>
        <w:rPr>
          <w:rFonts w:hint="cs"/>
        </w:rPr>
        <w:sym w:font="Symbol" w:char="F05C"/>
      </w:r>
      <w:r>
        <w:rPr>
          <w:rFonts w:hint="cs"/>
          <w:rtl/>
        </w:rPr>
        <w:tab/>
        <w:t>تطبيق خبرة البلدان وممارساتها متى كانت المساواة بين الجنسين مكفولة في قطاع التعليم وتبادل المعلومات مع تلك البلدان؛</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tab/>
      </w:r>
      <w:r>
        <w:rPr>
          <w:rFonts w:hint="cs"/>
        </w:rPr>
        <w:sym w:font="Symbol" w:char="F05C"/>
      </w:r>
      <w:r>
        <w:rPr>
          <w:rFonts w:hint="cs"/>
          <w:rtl/>
        </w:rPr>
        <w:tab/>
        <w:t xml:space="preserve">تعزيز المشاركة والجهود المحلية النشطة بإدماج المفهوم الجنساني في سياسات الأقاليم  والمقاطعات وسياسات التنمية المحلية الأخرى الرامية إلى تهيئة الأوضاع والفرص المؤاتية بتوفير تعليم عالي الجودة للبنات والبنين في المناطق الريفية؛و </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tab/>
      </w:r>
      <w:r>
        <w:rPr>
          <w:rFonts w:hint="cs"/>
        </w:rPr>
        <w:sym w:font="Symbol" w:char="F05C"/>
      </w:r>
      <w:r>
        <w:rPr>
          <w:rFonts w:hint="cs"/>
          <w:rtl/>
        </w:rPr>
        <w:tab/>
        <w:t>توجيه تعاون المدارس نحو تحسين تعاون المدرسين، والإداريين، والآباء والمجتمع المحلي لزيادة تدريب وإعادة تدريب البنات والبنين المتسربين من المدارس.</w:t>
      </w:r>
    </w:p>
    <w:p w:rsidR="00FE4F97" w:rsidRPr="003D02B8" w:rsidRDefault="00FE4F97">
      <w:pPr>
        <w:pStyle w:val="SingleTxt"/>
        <w:spacing w:after="0" w:line="120" w:lineRule="exact"/>
        <w:rPr>
          <w:rFonts w:hint="cs"/>
          <w:sz w:val="12"/>
          <w:rtl/>
        </w:rPr>
      </w:pPr>
    </w:p>
    <w:p w:rsidR="00FE4F97" w:rsidRDefault="00FE4F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3-2 -</w:t>
      </w:r>
      <w:r>
        <w:rPr>
          <w:rFonts w:hint="cs"/>
          <w:rtl/>
        </w:rPr>
        <w:tab/>
        <w:t>حماية صحة المرأة وكفالة الحق في الصحة الإنجابية</w:t>
      </w:r>
    </w:p>
    <w:p w:rsidR="00FE4F97" w:rsidRDefault="00FE4F97">
      <w:pPr>
        <w:pStyle w:val="SingleTxt"/>
        <w:rPr>
          <w:rFonts w:hint="cs"/>
          <w:rtl/>
        </w:rPr>
      </w:pPr>
      <w:r>
        <w:rPr>
          <w:rFonts w:hint="cs"/>
          <w:rtl/>
        </w:rPr>
        <w:tab/>
        <w:t>إن هيكل مؤسسات الصحة في منغوليا منظم وفقا للأقسام الإدارية ويتضمن ثلاث خطوات رئيسية لتوفير المعونة والخدمات الطبية (الرسم البياني 7).</w:t>
      </w:r>
    </w:p>
    <w:p w:rsidR="00FE4F97" w:rsidRDefault="00FE4F97">
      <w:pPr>
        <w:pStyle w:val="SingleTxt"/>
        <w:rPr>
          <w:rFonts w:hint="cs"/>
          <w:rtl/>
        </w:rPr>
      </w:pPr>
      <w:r>
        <w:rPr>
          <w:rFonts w:hint="cs"/>
          <w:rtl/>
        </w:rPr>
        <w:tab/>
        <w:t>وفي المرحلة الأولى، يقدم الأطباء على مستوى الأسرة المعيشية والقرية المعونة والخدمات ذات الصلة بالصحة بما في ذلك الإشراف، وخدمات الرعاية أثناء الحمل وبعد الوضع للمرأة الحامل المتمتعة بالصحة والأقل تعرضا للمخاطر ومن أجل تنظيم الأسرة. ويقوم هؤلاء الأطباء بإسداء المشورة وتحويل اللائي قد يكن عرضة لمخاطر شديدة ومضاعفات متعلقة بالحمل إلى الخطوة التالية أو إلى مستشفى المنطقة أو المركز الصحي في المنطقة أو المراكز الطبية في الإقليم والمدينة.</w:t>
      </w:r>
    </w:p>
    <w:p w:rsidR="00FE4F97" w:rsidRDefault="00FE4F97">
      <w:pPr>
        <w:pStyle w:val="SingleTxt"/>
        <w:rPr>
          <w:rFonts w:hint="cs"/>
          <w:rtl/>
        </w:rPr>
      </w:pPr>
      <w:r>
        <w:rPr>
          <w:rFonts w:hint="cs"/>
          <w:rtl/>
        </w:rPr>
        <w:tab/>
        <w:t xml:space="preserve">ونسبة 40-60 في المائة من النساء اللائي وضعن في المراكز الإقليمية للتشخيص والعلاج والعيادات الإقليمية تمثل اللائي حضرن من القرى التماسا لمزيد من المساعدة المهنية. ومركز البحوث الطبية للأم والطفل يتلقى ويقدم خدمات متخصصة للأمهات المعرضات لمخاطر شديدة متعلقة بمضاعفات الحمل والوضع وللأطفال الرضع ويضطلع بأنشطة تدريبية وبحثية. </w:t>
      </w:r>
    </w:p>
    <w:p w:rsidR="00FE4F97" w:rsidRPr="00F80365" w:rsidRDefault="00FE4F97">
      <w:pPr>
        <w:pStyle w:val="SingleTxt"/>
        <w:spacing w:after="0" w:line="120" w:lineRule="exact"/>
        <w:rPr>
          <w:rFonts w:hint="cs"/>
          <w:sz w:val="12"/>
          <w:rtl/>
        </w:rPr>
      </w:pPr>
    </w:p>
    <w:p w:rsidR="00FE4F97" w:rsidRDefault="00FE4F97">
      <w:pPr>
        <w:pStyle w:val="SingleTxt"/>
        <w:spacing w:after="0"/>
        <w:rPr>
          <w:rFonts w:hint="cs"/>
          <w:rtl/>
        </w:rPr>
      </w:pPr>
      <w:r>
        <w:rPr>
          <w:rFonts w:hint="cs"/>
          <w:rtl/>
        </w:rPr>
        <w:t>الرسم البياني 7</w:t>
      </w:r>
    </w:p>
    <w:p w:rsidR="00FE4F97" w:rsidRPr="003E1173" w:rsidRDefault="00FE4F97">
      <w:pPr>
        <w:pStyle w:val="SingleTxt"/>
        <w:rPr>
          <w:rFonts w:hint="cs"/>
          <w:b/>
          <w:bCs/>
          <w:rtl/>
        </w:rPr>
      </w:pPr>
      <w:r>
        <w:rPr>
          <w:rFonts w:hint="cs"/>
          <w:noProof/>
          <w:w w:val="100"/>
          <w:rtl/>
        </w:rPr>
        <w:pict>
          <v:oval id="_x0000_s1258" style="position:absolute;left:0;text-align:left;margin-left:203.85pt;margin-top:22.4pt;width:118.45pt;height:45pt;z-index:40">
            <w10:wrap anchorx="page"/>
          </v:oval>
        </w:pict>
      </w:r>
      <w:r>
        <w:rPr>
          <w:rFonts w:hint="cs"/>
          <w:noProof/>
          <w:w w:val="100"/>
          <w:rtl/>
        </w:rPr>
        <w:pict>
          <v:shape id="_x0000_s1257" type="#_x0000_t202" style="position:absolute;left:0;text-align:left;margin-left:77.25pt;margin-top:25.9pt;width:103pt;height:36pt;z-index:39">
            <v:textbox style="mso-next-textbox:#_x0000_s1257">
              <w:txbxContent>
                <w:p w:rsidR="007433E8" w:rsidRPr="005F5F04" w:rsidRDefault="007433E8">
                  <w:pPr>
                    <w:spacing w:line="240" w:lineRule="exact"/>
                    <w:jc w:val="center"/>
                    <w:rPr>
                      <w:rFonts w:hint="cs"/>
                      <w:sz w:val="24"/>
                      <w:szCs w:val="24"/>
                    </w:rPr>
                  </w:pPr>
                  <w:r>
                    <w:rPr>
                      <w:rFonts w:hint="cs"/>
                      <w:sz w:val="24"/>
                      <w:szCs w:val="24"/>
                      <w:rtl/>
                    </w:rPr>
                    <w:t>17 مركزا صحيا ومستشفى متخصص</w:t>
                  </w:r>
                </w:p>
              </w:txbxContent>
            </v:textbox>
            <w10:wrap anchorx="page"/>
          </v:shape>
        </w:pict>
      </w:r>
      <w:r>
        <w:rPr>
          <w:rFonts w:hint="cs"/>
          <w:b/>
          <w:bCs/>
          <w:rtl/>
        </w:rPr>
        <w:t>مراحل المعونة الطبية</w:t>
      </w:r>
    </w:p>
    <w:p w:rsidR="00FE4F97" w:rsidRDefault="00FE4F97">
      <w:pPr>
        <w:pStyle w:val="SingleTxt"/>
        <w:rPr>
          <w:rFonts w:hint="cs"/>
          <w:rtl/>
        </w:rPr>
      </w:pPr>
      <w:r>
        <w:rPr>
          <w:rFonts w:hint="cs"/>
          <w:noProof/>
          <w:w w:val="100"/>
          <w:rtl/>
        </w:rPr>
        <w:pict>
          <v:shape id="_x0000_s1259" type="#_x0000_t202" style="position:absolute;left:0;text-align:left;margin-left:220.5pt;margin-top:5.4pt;width:77.25pt;height:27pt;z-index:41" stroked="f">
            <v:textbox style="mso-next-textbox:#_x0000_s1259" inset="0,0,0,0">
              <w:txbxContent>
                <w:p w:rsidR="007433E8" w:rsidRPr="00216E0E" w:rsidRDefault="007433E8">
                  <w:pPr>
                    <w:spacing w:line="240" w:lineRule="exact"/>
                    <w:jc w:val="center"/>
                    <w:rPr>
                      <w:rFonts w:hint="cs"/>
                      <w:sz w:val="24"/>
                      <w:szCs w:val="24"/>
                    </w:rPr>
                  </w:pPr>
                  <w:r>
                    <w:rPr>
                      <w:rFonts w:hint="cs"/>
                      <w:sz w:val="24"/>
                      <w:szCs w:val="24"/>
                      <w:rtl/>
                    </w:rPr>
                    <w:t>أطباء متخصصون وأساتذة وباحثون</w:t>
                  </w:r>
                </w:p>
              </w:txbxContent>
            </v:textbox>
            <w10:wrap anchorx="page"/>
          </v:shape>
        </w:pict>
      </w:r>
      <w:r>
        <w:rPr>
          <w:rFonts w:hint="cs"/>
          <w:noProof/>
          <w:w w:val="100"/>
          <w:rtl/>
        </w:rPr>
        <w:pict>
          <v:group id="_x0000_s1208" editas="canvas" style="position:absolute;margin-left:0;margin-top:0;width:489.25pt;height:297pt;z-index:6;mso-position-horizontal-relative:char;mso-position-vertical-relative:line" coordorigin="-9,-3086" coordsize="9785,5940">
            <o:lock v:ext="edit" aspectratio="t"/>
            <v:shape id="_x0000_s1209" type="#_x0000_t75" style="position:absolute;left:-9;top:-3086;width:9785;height:5940" o:preferrelative="f">
              <v:fill o:detectmouseclick="t"/>
              <v:path o:extrusionok="t" o:connecttype="none"/>
              <o:lock v:ext="edit" text="t"/>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210" type="#_x0000_t67" style="position:absolute;left:5140;top:-2978;width:102;height:3960;flip:x"/>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211" type="#_x0000_t68" style="position:absolute;left:4860;top:-2978;width:135;height:3960"/>
            <v:line id="_x0000_s1212" style="position:absolute" from="2430,-2798" to="2462,802"/>
            <v:line id="_x0000_s1213" style="position:absolute" from="2420,-2798" to="2729,-2797"/>
            <v:line id="_x0000_s1214" style="position:absolute" from="2430,-1857" to="2739,-1856"/>
            <v:line id="_x0000_s1215" style="position:absolute" from="2430,-956" to="2739,-955"/>
            <v:line id="_x0000_s1216" style="position:absolute" from="2430,11" to="2739,12"/>
            <v:line id="_x0000_s1217" style="position:absolute" from="2458,801" to="2767,802"/>
            <v:line id="_x0000_s1218" style="position:absolute;flip:y" from="4799,-2686" to="5417,-2685"/>
            <v:line id="_x0000_s1219" style="position:absolute;flip:y" from="4799,-900" to="5417,-899"/>
            <v:line id="_x0000_s1220" style="position:absolute;flip:y" from="4799,-3" to="5417,-2"/>
            <v:line id="_x0000_s1221" style="position:absolute;flip:y" from="4799,886" to="5417,887"/>
            <v:line id="_x0000_s1222" style="position:absolute;flip:y" from="4799,-1831" to="5417,-1830"/>
          </v:group>
        </w:pict>
      </w:r>
      <w:r>
        <w:pict>
          <v:shape id="_x0000_i1026" type="#_x0000_t75" style="width:489pt;height:297pt">
            <v:imagedata croptop="-65520f" cropbottom="65520f"/>
          </v:shape>
        </w:pict>
      </w:r>
    </w:p>
    <w:p w:rsidR="00FE4F97" w:rsidRDefault="00FE4F97">
      <w:pPr>
        <w:pStyle w:val="SingleTxt"/>
        <w:rPr>
          <w:rFonts w:hint="cs"/>
          <w:rtl/>
        </w:rPr>
      </w:pPr>
      <w:r>
        <w:rPr>
          <w:rFonts w:hint="cs"/>
          <w:noProof/>
          <w:w w:val="100"/>
          <w:rtl/>
        </w:rPr>
        <w:pict>
          <v:shape id="_x0000_s1256" type="#_x0000_t202" style="position:absolute;left:0;text-align:left;margin-left:77.25pt;margin-top:18.2pt;width:103pt;height:36pt;z-index:38">
            <v:textbox style="mso-next-textbox:#_x0000_s1256">
              <w:txbxContent>
                <w:p w:rsidR="007433E8" w:rsidRPr="005F5F04" w:rsidRDefault="007433E8">
                  <w:pPr>
                    <w:spacing w:line="240" w:lineRule="exact"/>
                    <w:jc w:val="center"/>
                    <w:rPr>
                      <w:rFonts w:hint="cs"/>
                      <w:sz w:val="24"/>
                      <w:szCs w:val="24"/>
                    </w:rPr>
                  </w:pPr>
                  <w:r>
                    <w:rPr>
                      <w:rFonts w:hint="cs"/>
                      <w:sz w:val="24"/>
                      <w:szCs w:val="24"/>
                      <w:rtl/>
                    </w:rPr>
                    <w:t>مراكز إقليمية للتشخيص والعلاج</w:t>
                  </w:r>
                </w:p>
              </w:txbxContent>
            </v:textbox>
            <w10:wrap anchorx="page"/>
          </v:shape>
        </w:pict>
      </w:r>
      <w:r>
        <w:rPr>
          <w:rFonts w:hint="cs"/>
          <w:noProof/>
          <w:w w:val="100"/>
          <w:rtl/>
        </w:rPr>
        <w:pict>
          <v:shape id="_x0000_s1264" type="#_x0000_t202" style="position:absolute;left:0;text-align:left;margin-left:221.45pt;margin-top:24.4pt;width:77.25pt;height:27pt;z-index:46" stroked="f">
            <v:textbox style="mso-next-textbox:#_x0000_s1264" inset="0,0,0,0">
              <w:txbxContent>
                <w:p w:rsidR="007433E8" w:rsidRPr="00216E0E" w:rsidRDefault="007433E8">
                  <w:pPr>
                    <w:spacing w:line="120" w:lineRule="exact"/>
                    <w:jc w:val="center"/>
                    <w:rPr>
                      <w:rFonts w:hint="cs"/>
                      <w:sz w:val="10"/>
                      <w:szCs w:val="24"/>
                      <w:rtl/>
                    </w:rPr>
                  </w:pPr>
                </w:p>
                <w:p w:rsidR="007433E8" w:rsidRPr="00216E0E" w:rsidRDefault="007433E8">
                  <w:pPr>
                    <w:spacing w:line="240" w:lineRule="exact"/>
                    <w:jc w:val="center"/>
                    <w:rPr>
                      <w:rFonts w:hint="cs"/>
                      <w:sz w:val="24"/>
                      <w:szCs w:val="24"/>
                    </w:rPr>
                  </w:pPr>
                  <w:r>
                    <w:rPr>
                      <w:rFonts w:hint="cs"/>
                      <w:sz w:val="24"/>
                      <w:szCs w:val="24"/>
                      <w:rtl/>
                    </w:rPr>
                    <w:t>أطباء مهنيون</w:t>
                  </w:r>
                </w:p>
              </w:txbxContent>
            </v:textbox>
            <w10:wrap anchorx="page"/>
          </v:shape>
        </w:pict>
      </w:r>
      <w:r>
        <w:rPr>
          <w:rFonts w:hint="cs"/>
          <w:noProof/>
          <w:w w:val="100"/>
          <w:rtl/>
        </w:rPr>
        <w:pict>
          <v:oval id="_x0000_s1260" style="position:absolute;left:0;text-align:left;margin-left:206pt;margin-top:15.4pt;width:118.45pt;height:45pt;z-index:42">
            <w10:wrap anchorx="page"/>
          </v:oval>
        </w:pict>
      </w:r>
    </w:p>
    <w:p w:rsidR="00FE4F97" w:rsidRDefault="00FE4F97">
      <w:pPr>
        <w:pStyle w:val="SingleTxt"/>
        <w:rPr>
          <w:rFonts w:hint="cs"/>
          <w:rtl/>
        </w:rPr>
      </w:pPr>
    </w:p>
    <w:p w:rsidR="00FE4F97" w:rsidRDefault="00FE4F97">
      <w:pPr>
        <w:pStyle w:val="SingleTxt"/>
        <w:rPr>
          <w:rFonts w:hint="cs"/>
          <w:rtl/>
        </w:rPr>
      </w:pPr>
      <w:r>
        <w:rPr>
          <w:rFonts w:hint="cs"/>
          <w:noProof/>
          <w:w w:val="100"/>
          <w:rtl/>
        </w:rPr>
        <w:pict>
          <v:shape id="_x0000_s1255" type="#_x0000_t202" style="position:absolute;left:0;text-align:left;margin-left:77.25pt;margin-top:11.2pt;width:103pt;height:36pt;z-index:37">
            <v:textbox style="mso-next-textbox:#_x0000_s1255">
              <w:txbxContent>
                <w:p w:rsidR="007433E8" w:rsidRPr="005F5F04" w:rsidRDefault="007433E8">
                  <w:pPr>
                    <w:spacing w:line="240" w:lineRule="exact"/>
                    <w:jc w:val="center"/>
                    <w:rPr>
                      <w:rFonts w:hint="cs"/>
                      <w:sz w:val="24"/>
                      <w:szCs w:val="24"/>
                    </w:rPr>
                  </w:pPr>
                  <w:r>
                    <w:rPr>
                      <w:rFonts w:hint="cs"/>
                      <w:sz w:val="24"/>
                      <w:szCs w:val="24"/>
                      <w:rtl/>
                    </w:rPr>
                    <w:t>34 عيادة في المناطق والأقاليم</w:t>
                  </w:r>
                </w:p>
              </w:txbxContent>
            </v:textbox>
            <w10:wrap anchorx="page"/>
          </v:shape>
        </w:pict>
      </w:r>
      <w:r>
        <w:rPr>
          <w:rFonts w:hint="cs"/>
          <w:noProof/>
          <w:w w:val="100"/>
          <w:rtl/>
        </w:rPr>
        <w:pict>
          <v:shape id="_x0000_s1267" type="#_x0000_t202" style="position:absolute;left:0;text-align:left;margin-left:221.45pt;margin-top:17.4pt;width:77.25pt;height:27pt;z-index:49" stroked="f">
            <v:textbox style="mso-next-textbox:#_x0000_s1267" inset="0,0,0,0">
              <w:txbxContent>
                <w:p w:rsidR="007433E8" w:rsidRPr="00216E0E" w:rsidRDefault="007433E8">
                  <w:pPr>
                    <w:spacing w:line="120" w:lineRule="exact"/>
                    <w:jc w:val="center"/>
                    <w:rPr>
                      <w:rFonts w:hint="cs"/>
                      <w:sz w:val="10"/>
                      <w:szCs w:val="24"/>
                      <w:rtl/>
                    </w:rPr>
                  </w:pPr>
                </w:p>
                <w:p w:rsidR="007433E8" w:rsidRPr="00216E0E" w:rsidRDefault="007433E8">
                  <w:pPr>
                    <w:spacing w:line="240" w:lineRule="exact"/>
                    <w:jc w:val="center"/>
                    <w:rPr>
                      <w:rFonts w:hint="cs"/>
                      <w:sz w:val="24"/>
                      <w:szCs w:val="24"/>
                    </w:rPr>
                  </w:pPr>
                  <w:r>
                    <w:rPr>
                      <w:rFonts w:hint="cs"/>
                      <w:sz w:val="24"/>
                      <w:szCs w:val="24"/>
                      <w:rtl/>
                    </w:rPr>
                    <w:t>أطباء مهنيون</w:t>
                  </w:r>
                </w:p>
              </w:txbxContent>
            </v:textbox>
            <w10:wrap anchorx="page"/>
          </v:shape>
        </w:pict>
      </w:r>
      <w:r>
        <w:rPr>
          <w:rFonts w:hint="cs"/>
          <w:noProof/>
          <w:w w:val="100"/>
          <w:rtl/>
        </w:rPr>
        <w:pict>
          <v:oval id="_x0000_s1261" style="position:absolute;left:0;text-align:left;margin-left:206pt;margin-top:8.4pt;width:118.45pt;height:45pt;z-index:43">
            <w10:wrap anchorx="page"/>
          </v:oval>
        </w:pict>
      </w:r>
    </w:p>
    <w:p w:rsidR="00FE4F97" w:rsidRDefault="00FE4F97">
      <w:pPr>
        <w:pStyle w:val="SingleTxt"/>
        <w:rPr>
          <w:rFonts w:hint="cs"/>
          <w:rtl/>
        </w:rPr>
      </w:pPr>
    </w:p>
    <w:p w:rsidR="00FE4F97" w:rsidRDefault="00FE4F97">
      <w:pPr>
        <w:pStyle w:val="SingleTxt"/>
        <w:rPr>
          <w:rFonts w:hint="cs"/>
          <w:rtl/>
        </w:rPr>
      </w:pPr>
      <w:r>
        <w:rPr>
          <w:rFonts w:hint="cs"/>
          <w:noProof/>
          <w:w w:val="100"/>
          <w:rtl/>
        </w:rPr>
        <w:pict>
          <v:shape id="_x0000_s1254" type="#_x0000_t202" style="position:absolute;left:0;text-align:left;margin-left:77.25pt;margin-top:7pt;width:103pt;height:36pt;z-index:36">
            <v:textbox style="mso-next-textbox:#_x0000_s1254">
              <w:txbxContent>
                <w:p w:rsidR="007433E8" w:rsidRPr="005F5F04" w:rsidRDefault="007433E8">
                  <w:pPr>
                    <w:spacing w:line="240" w:lineRule="exact"/>
                    <w:jc w:val="center"/>
                    <w:rPr>
                      <w:rFonts w:hint="cs"/>
                      <w:sz w:val="24"/>
                      <w:szCs w:val="24"/>
                    </w:rPr>
                  </w:pPr>
                  <w:r>
                    <w:rPr>
                      <w:rFonts w:hint="cs"/>
                      <w:sz w:val="24"/>
                      <w:szCs w:val="24"/>
                      <w:rtl/>
                    </w:rPr>
                    <w:t>571 مستشفى للأسر المعيشية والقرى</w:t>
                  </w:r>
                </w:p>
              </w:txbxContent>
            </v:textbox>
            <w10:wrap anchorx="page"/>
          </v:shape>
        </w:pict>
      </w:r>
      <w:r>
        <w:rPr>
          <w:rFonts w:hint="cs"/>
          <w:noProof/>
          <w:w w:val="100"/>
          <w:rtl/>
        </w:rPr>
        <w:pict>
          <v:shape id="_x0000_s1266" type="#_x0000_t202" style="position:absolute;left:0;text-align:left;margin-left:221.45pt;margin-top:10.4pt;width:77.25pt;height:27pt;z-index:48" stroked="f">
            <v:textbox style="mso-next-textbox:#_x0000_s1266" inset="0,0,0,0">
              <w:txbxContent>
                <w:p w:rsidR="007433E8" w:rsidRPr="00216E0E" w:rsidRDefault="007433E8">
                  <w:pPr>
                    <w:spacing w:line="120" w:lineRule="exact"/>
                    <w:jc w:val="center"/>
                    <w:rPr>
                      <w:rFonts w:hint="cs"/>
                      <w:sz w:val="10"/>
                      <w:szCs w:val="24"/>
                      <w:rtl/>
                    </w:rPr>
                  </w:pPr>
                </w:p>
                <w:p w:rsidR="007433E8" w:rsidRPr="00216E0E" w:rsidRDefault="007433E8">
                  <w:pPr>
                    <w:spacing w:line="240" w:lineRule="exact"/>
                    <w:jc w:val="center"/>
                    <w:rPr>
                      <w:rFonts w:hint="cs"/>
                      <w:sz w:val="24"/>
                      <w:szCs w:val="24"/>
                    </w:rPr>
                  </w:pPr>
                  <w:r>
                    <w:rPr>
                      <w:rFonts w:hint="cs"/>
                      <w:sz w:val="24"/>
                      <w:szCs w:val="24"/>
                      <w:rtl/>
                    </w:rPr>
                    <w:t>أطباء</w:t>
                  </w:r>
                </w:p>
              </w:txbxContent>
            </v:textbox>
            <w10:wrap anchorx="page"/>
          </v:shape>
        </w:pict>
      </w:r>
      <w:r>
        <w:rPr>
          <w:rFonts w:hint="cs"/>
          <w:noProof/>
          <w:w w:val="100"/>
          <w:rtl/>
        </w:rPr>
        <w:pict>
          <v:oval id="_x0000_s1262" style="position:absolute;left:0;text-align:left;margin-left:206pt;margin-top:1.4pt;width:118.45pt;height:45pt;z-index:44">
            <w10:wrap anchorx="page"/>
          </v:oval>
        </w:pict>
      </w:r>
    </w:p>
    <w:p w:rsidR="00FE4F97" w:rsidRDefault="00FE4F97">
      <w:pPr>
        <w:pStyle w:val="SingleTxt"/>
        <w:rPr>
          <w:rFonts w:hint="cs"/>
          <w:rtl/>
        </w:rPr>
      </w:pPr>
      <w:r>
        <w:rPr>
          <w:rFonts w:hint="cs"/>
          <w:noProof/>
          <w:w w:val="100"/>
          <w:rtl/>
        </w:rPr>
        <w:pict>
          <v:oval id="_x0000_s1263" style="position:absolute;left:0;text-align:left;margin-left:206pt;margin-top:20.4pt;width:118.45pt;height:45pt;z-index:45">
            <w10:wrap anchorx="page"/>
          </v:oval>
        </w:pict>
      </w:r>
    </w:p>
    <w:p w:rsidR="00FE4F97" w:rsidRDefault="00FE4F97">
      <w:pPr>
        <w:pStyle w:val="SingleTxt"/>
        <w:rPr>
          <w:rFonts w:hint="cs"/>
          <w:rtl/>
        </w:rPr>
      </w:pPr>
      <w:r>
        <w:rPr>
          <w:rFonts w:hint="cs"/>
          <w:noProof/>
          <w:w w:val="100"/>
          <w:rtl/>
        </w:rPr>
        <w:pict>
          <v:shape id="_x0000_s1265" type="#_x0000_t202" style="position:absolute;left:0;text-align:left;margin-left:221.45pt;margin-top:3.4pt;width:77.25pt;height:27pt;z-index:47" stroked="f">
            <v:textbox style="mso-next-textbox:#_x0000_s1265" inset="0,0,0,0">
              <w:txbxContent>
                <w:p w:rsidR="007433E8" w:rsidRPr="00216E0E" w:rsidRDefault="007433E8">
                  <w:pPr>
                    <w:spacing w:line="120" w:lineRule="exact"/>
                    <w:jc w:val="center"/>
                    <w:rPr>
                      <w:rFonts w:hint="cs"/>
                      <w:sz w:val="10"/>
                      <w:szCs w:val="24"/>
                      <w:rtl/>
                    </w:rPr>
                  </w:pPr>
                </w:p>
                <w:p w:rsidR="007433E8" w:rsidRPr="00216E0E" w:rsidRDefault="007433E8">
                  <w:pPr>
                    <w:spacing w:line="240" w:lineRule="exact"/>
                    <w:jc w:val="center"/>
                    <w:rPr>
                      <w:rFonts w:hint="cs"/>
                      <w:sz w:val="24"/>
                      <w:szCs w:val="24"/>
                    </w:rPr>
                  </w:pPr>
                  <w:r>
                    <w:rPr>
                      <w:rFonts w:hint="cs"/>
                      <w:sz w:val="24"/>
                      <w:szCs w:val="24"/>
                      <w:rtl/>
                    </w:rPr>
                    <w:t>مساعدو أطباء الوحدات</w:t>
                  </w:r>
                </w:p>
              </w:txbxContent>
            </v:textbox>
            <w10:wrap anchorx="page"/>
          </v:shape>
        </w:pict>
      </w:r>
      <w:r>
        <w:rPr>
          <w:rFonts w:hint="cs"/>
          <w:noProof/>
          <w:w w:val="100"/>
          <w:rtl/>
        </w:rPr>
        <w:pict>
          <v:shape id="_x0000_s1253" type="#_x0000_t202" style="position:absolute;left:0;text-align:left;margin-left:77.25pt;margin-top:3.4pt;width:103pt;height:27pt;z-index:35">
            <v:textbox style="mso-next-textbox:#_x0000_s1253">
              <w:txbxContent>
                <w:p w:rsidR="007433E8" w:rsidRPr="005F5F04" w:rsidRDefault="007433E8">
                  <w:pPr>
                    <w:spacing w:line="240" w:lineRule="exact"/>
                    <w:jc w:val="center"/>
                    <w:rPr>
                      <w:rFonts w:hint="cs"/>
                      <w:sz w:val="24"/>
                      <w:szCs w:val="24"/>
                    </w:rPr>
                  </w:pPr>
                  <w:r>
                    <w:rPr>
                      <w:rFonts w:hint="cs"/>
                      <w:sz w:val="24"/>
                      <w:szCs w:val="24"/>
                      <w:rtl/>
                    </w:rPr>
                    <w:t xml:space="preserve">200 1 وحدة </w:t>
                  </w:r>
                </w:p>
              </w:txbxContent>
            </v:textbox>
            <w10:wrap anchorx="page"/>
          </v:shape>
        </w:pict>
      </w:r>
      <w:r>
        <w:rPr>
          <w:rFonts w:hint="cs"/>
          <w:noProof/>
          <w:w w:val="100"/>
          <w:rtl/>
        </w:rPr>
        <w:pict>
          <v:group id="_x0000_s1206" editas="canvas" style="position:absolute;margin-left:0;margin-top:0;width:489.25pt;height:297pt;z-index:5;mso-position-horizontal-relative:char;mso-position-vertical-relative:line" coordorigin="-8,554" coordsize="9785,5940">
            <o:lock v:ext="edit" aspectratio="t"/>
            <v:shape id="_x0000_s1207" type="#_x0000_t75" style="position:absolute;left:-8;top:554;width:9785;height:5940" o:preferrelative="f">
              <v:fill o:detectmouseclick="t"/>
              <v:path o:extrusionok="t" o:connecttype="none"/>
              <o:lock v:ext="edit" text="t"/>
            </v:shape>
          </v:group>
        </w:pict>
      </w:r>
      <w:r>
        <w:pict>
          <v:shape id="_x0000_i1027" type="#_x0000_t75" style="width:489pt;height:297pt">
            <v:imagedata croptop="-65520f" cropbottom="65520f"/>
          </v:shape>
        </w:pict>
      </w:r>
    </w:p>
    <w:p w:rsidR="00FE4F97" w:rsidRDefault="00FE4F97">
      <w:pPr>
        <w:pStyle w:val="SingleTxt"/>
        <w:rPr>
          <w:rFonts w:hint="cs"/>
          <w:rtl/>
        </w:rPr>
      </w:pPr>
    </w:p>
    <w:p w:rsidR="00FE4F97" w:rsidRDefault="00FE4F97">
      <w:pPr>
        <w:pStyle w:val="SingleTxt"/>
        <w:rPr>
          <w:rFonts w:hint="cs"/>
          <w:rtl/>
        </w:rPr>
      </w:pPr>
      <w:r>
        <w:rPr>
          <w:rFonts w:hint="cs"/>
          <w:rtl/>
        </w:rPr>
        <w:tab/>
        <w:t>وهناك حاليا 27 طبيبا و57.2 مهنيا صحيا لكل 000 10 نسمة وتمثل المرأة نسبة 83.6 في المائة من العاملين في قطاع الصحة. بيد أن اشتراكها على مستوى صنع القرار في هذا القطاع ليس كافيا بالنظر إلى أن نسبة 16.2 في المائة من النساء فحسب تشغل مناصب رئيسات الإدارات الصحية ومديرات العيادات في الأقاليم.</w:t>
      </w:r>
    </w:p>
    <w:p w:rsidR="00FE4F97" w:rsidRDefault="00FE4F97">
      <w:pPr>
        <w:pStyle w:val="SingleTxt"/>
        <w:rPr>
          <w:rFonts w:hint="cs"/>
          <w:rtl/>
        </w:rPr>
      </w:pPr>
      <w:r>
        <w:rPr>
          <w:rFonts w:hint="cs"/>
          <w:rtl/>
        </w:rPr>
        <w:tab/>
        <w:t>والمهنيون الصحيون العاملون في المؤسسات الصحية الريفية أقل مرتين عن العاملين في المناطق الحضرية. ومع أنه مع عملية الامتداد الحضري الحديثة تتركز أغلبية منظمات الصحة، والموارد البشرية، والممتلكات والتمويل في المناطق الحضرية، لا يستطيع معظم الذين يعيشون في المناطق المجاورة ومناطق البيوت اللبادية في المدينة الحصول بالتساوي على مجموعة متنوعة من الخدمات الجيدة ذات الصلة بالصحة.</w:t>
      </w:r>
    </w:p>
    <w:p w:rsidR="00FE4F97" w:rsidRDefault="00FE4F97">
      <w:pPr>
        <w:pStyle w:val="SingleTxt"/>
        <w:rPr>
          <w:rFonts w:hint="cs"/>
          <w:rtl/>
        </w:rPr>
      </w:pPr>
      <w:r>
        <w:rPr>
          <w:rFonts w:hint="cs"/>
          <w:rtl/>
        </w:rPr>
        <w:tab/>
        <w:t xml:space="preserve">ومع أن قانون الصحة يضمن أنه </w:t>
      </w:r>
      <w:r>
        <w:rPr>
          <w:rFonts w:hint="eastAsia"/>
          <w:rtl/>
        </w:rPr>
        <w:t xml:space="preserve">”يتمتع المواطن بالحق في اختيار مستشفاه وأطبائه </w:t>
      </w:r>
      <w:r>
        <w:rPr>
          <w:rFonts w:hint="cs"/>
          <w:rtl/>
        </w:rPr>
        <w:t>من غير مساعدة“، يتوقف الاختيار من الناحية العملية على محل الإقامة، ونوع المرض، وقيام صندوق التأمين الصحي بالدفع. وفي حالة الضرورة، ينبغي نقله إلى مستوى المستشفيات التالي بالتوصية، ولكن هذا يستغرق وقتا طويلا. ولذلك يمثل هذا انتهاكا للحق في حماية صحته. وينبغي تغيير هذا النوع من الآثار الضارة من أجل تحسين نوعية العلاج والخدمات وتشجيع المنافسة بين المستشفيات.</w:t>
      </w:r>
    </w:p>
    <w:p w:rsidR="00FE4F97" w:rsidRDefault="00FE4F97">
      <w:pPr>
        <w:pStyle w:val="SingleTxt"/>
        <w:rPr>
          <w:rFonts w:hint="cs"/>
          <w:rtl/>
        </w:rPr>
      </w:pPr>
      <w:r>
        <w:rPr>
          <w:rFonts w:hint="cs"/>
          <w:rtl/>
        </w:rPr>
        <w:tab/>
        <w:t>وتجري خصخصة الرعاية الصحية حسبما يقتضي الأمر بإبرام عقود إدارة، وأداء وتأجير بهدف القيام، في إطار برنامج خصخصة ممتلكات الدولة، بزيادة اشتراك القطاع الخاص في خدمات الرعاية الصحية، وتعديل الجوانب الهيكلية والتنظيمية، واستخدام الموارد بكفاءة، وزيادة فرص الاستثمار وزيادة الوصول إلى خدمات الرعاية الصحية</w:t>
      </w:r>
      <w:r w:rsidRPr="00A11935">
        <w:rPr>
          <w:vertAlign w:val="superscript"/>
          <w:rtl/>
        </w:rPr>
        <w:t>(</w:t>
      </w:r>
      <w:r>
        <w:rPr>
          <w:rStyle w:val="FootnoteReference"/>
          <w:rtl/>
        </w:rPr>
        <w:footnoteReference w:id="8"/>
      </w:r>
      <w:r w:rsidRPr="00A11935">
        <w:rPr>
          <w:vertAlign w:val="superscript"/>
          <w:rtl/>
        </w:rPr>
        <w:t>)</w:t>
      </w:r>
      <w:r>
        <w:rPr>
          <w:rFonts w:hint="cs"/>
          <w:rtl/>
        </w:rPr>
        <w:t>. ومع أن الخصخصة القائمة على عقود الإدارة للمستشفيات القروية التي تقدم الإسعافات الأولية جارية بالفعل، ما زالت النتائج المتوقعة غير واضحة بسبب عوامل مختلفة، هي: إخفاق الأقاليم في إجراء الخصخصة تمشيا مع احتياجاتها وأوضاعها المحددة، وإخفاق إدارات الأقاليم في توفير الأموال انتهاكا لالتزاماتها، وعدم كفاية الأعمال التحضيرية للخصخصة الجارية في الأقاليم، وعدم كفاية المعرفة بين المشتركين في خصخصة الرعاية الصحية والأطراف المعنية، وعدم كفاية عدد التدريبات</w:t>
      </w:r>
      <w:r w:rsidRPr="00BE0F18">
        <w:rPr>
          <w:vertAlign w:val="superscript"/>
          <w:rtl/>
        </w:rPr>
        <w:t>(</w:t>
      </w:r>
      <w:r>
        <w:rPr>
          <w:rStyle w:val="FootnoteReference"/>
          <w:rtl/>
        </w:rPr>
        <w:footnoteReference w:id="9"/>
      </w:r>
      <w:r w:rsidRPr="00BE0F18">
        <w:rPr>
          <w:vertAlign w:val="superscript"/>
          <w:rtl/>
        </w:rPr>
        <w:t>)</w:t>
      </w:r>
      <w:r>
        <w:rPr>
          <w:rFonts w:hint="cs"/>
          <w:rtl/>
        </w:rPr>
        <w:t>. ونسبة 29.8 في المائة من المنظمات الصحية تملكها الدولة ونسبة 70.2 في المائة يملكها القطاع الخاص.</w:t>
      </w:r>
    </w:p>
    <w:p w:rsidR="00FE4F97" w:rsidRDefault="00FE4F97">
      <w:pPr>
        <w:pStyle w:val="SingleTxt"/>
        <w:rPr>
          <w:rFonts w:hint="cs"/>
          <w:rtl/>
        </w:rPr>
      </w:pPr>
      <w:r>
        <w:rPr>
          <w:rFonts w:hint="cs"/>
          <w:rtl/>
        </w:rPr>
        <w:tab/>
        <w:t>ومن الضروري أن تتحول المعونة والخدمات الطبية من النهج المتسم بتأليه مقدم الخدمة إلى نهج قائم على توصيل المعونة إلى العملاء أو المرضى والخدمات الرامية إلى الوقاية من الأمراض المعدية وغير المعدية والحوادث بين الفئات الضعيفة. وقد برز توفير الرعاية، والخدمات والتغذية الجيدة للأمهات والأطفال كقضية من القضايا التي تستدعي إيلاء اهتمام خاص في القطاع الصحي. وينبغي أن تسير عملية التحول في منغوليا على نحو يكفل توفير المعونة الممولة من الدولة، بما في ذلك بعض الخدمات المنخفضة الثمن، الداخلة في مجموعة معونة أولية إضافية</w:t>
      </w:r>
      <w:r w:rsidRPr="00AF44D3">
        <w:rPr>
          <w:vertAlign w:val="superscript"/>
          <w:rtl/>
        </w:rPr>
        <w:t>(</w:t>
      </w:r>
      <w:r>
        <w:rPr>
          <w:rStyle w:val="FootnoteReference"/>
          <w:rtl/>
        </w:rPr>
        <w:footnoteReference w:id="10"/>
      </w:r>
      <w:r w:rsidRPr="00AF44D3">
        <w:rPr>
          <w:vertAlign w:val="superscript"/>
          <w:rtl/>
        </w:rPr>
        <w:t>)</w:t>
      </w:r>
      <w:r>
        <w:rPr>
          <w:rFonts w:hint="cs"/>
          <w:rtl/>
        </w:rPr>
        <w:t>.</w:t>
      </w:r>
    </w:p>
    <w:p w:rsidR="00FE4F97" w:rsidRDefault="00FE4F97">
      <w:pPr>
        <w:pStyle w:val="SingleTxt"/>
        <w:rPr>
          <w:rFonts w:hint="cs"/>
          <w:rtl/>
        </w:rPr>
      </w:pPr>
      <w:r>
        <w:rPr>
          <w:rFonts w:hint="cs"/>
          <w:rtl/>
        </w:rPr>
        <w:tab/>
        <w:t>ونسبة 45 في المائة من مصروفات ميزانية قطاع الصحة تنفق على المرتبات، ونسبة 17 في المائة على المرافق، ونسبة 16 في المائة على العقاقير، ونسبة 8 في المائة على السلع والخدمات، ونسبة 5 في المائة على الأغذية، ونسبة 5 في المائة على السلع الرأسمالية، ونسبة 4 في المائة على النقل والاتصالات. ومعظم الميزانية الخاصة بالقطاع والمصادر الأخرى ينفق على المؤسسات الصحية في المدن والحضر بالنظر إلى أنها توفر أعلى مستوى من الخدمات</w:t>
      </w:r>
      <w:r w:rsidRPr="00AF44D3">
        <w:rPr>
          <w:vertAlign w:val="superscript"/>
          <w:rtl/>
        </w:rPr>
        <w:t>(</w:t>
      </w:r>
      <w:r>
        <w:rPr>
          <w:rStyle w:val="FootnoteReference"/>
          <w:rtl/>
        </w:rPr>
        <w:footnoteReference w:id="11"/>
      </w:r>
      <w:r w:rsidRPr="00AF44D3">
        <w:rPr>
          <w:vertAlign w:val="superscript"/>
          <w:rtl/>
        </w:rPr>
        <w:t>)</w:t>
      </w:r>
      <w:r>
        <w:rPr>
          <w:rFonts w:hint="cs"/>
          <w:rtl/>
        </w:rPr>
        <w:t>.</w:t>
      </w:r>
    </w:p>
    <w:p w:rsidR="00FE4F97" w:rsidRDefault="00FE4F97">
      <w:pPr>
        <w:pStyle w:val="SingleTxt"/>
        <w:rPr>
          <w:rFonts w:hint="cs"/>
          <w:rtl/>
        </w:rPr>
      </w:pPr>
      <w:r>
        <w:rPr>
          <w:rFonts w:hint="cs"/>
          <w:rtl/>
        </w:rPr>
        <w:tab/>
        <w:t>وتأخذ الحكومة في الاعتبار عدم كفاية حصول الفئات الفقيرة والضعيفة على الخدمات الصحية</w:t>
      </w:r>
      <w:r w:rsidRPr="00AF44D3">
        <w:rPr>
          <w:vertAlign w:val="superscript"/>
          <w:rtl/>
        </w:rPr>
        <w:t>(</w:t>
      </w:r>
      <w:r>
        <w:rPr>
          <w:rStyle w:val="FootnoteReference"/>
          <w:rtl/>
        </w:rPr>
        <w:footnoteReference w:id="12"/>
      </w:r>
      <w:r w:rsidRPr="00AF44D3">
        <w:rPr>
          <w:vertAlign w:val="superscript"/>
          <w:rtl/>
        </w:rPr>
        <w:t>)</w:t>
      </w:r>
      <w:r>
        <w:rPr>
          <w:rFonts w:hint="cs"/>
          <w:rtl/>
        </w:rPr>
        <w:t xml:space="preserve"> وقد تم تعديل قانون التأمين الصحي لتمكين الفئات الضعيفة من الحصول على خدمات صحية محسنة بتوفير التأمين الصحي لهم. ويهدف التعديل إلى تحويل نظام التأمين الصحي من نظام فردي إلى عائلي من شأنه تمكين الفقراء والذين يعيشون في فقر مدقع من التغطية بالتأمين. وتدفع الحكومة رسوم التأمين. وتتمتع الفئات الضعيفة اجتماعيا بمن فيهم المسنون والمعوقون بمزيد من فرص الحصول على الخدمات مثل الحصول على العقاقير مجانا أو بخصم، والرعاية البيتية، والعلاج والتمريض، والتمريض النهاري</w:t>
      </w:r>
      <w:r w:rsidRPr="00CE0368">
        <w:rPr>
          <w:vertAlign w:val="superscript"/>
          <w:rtl/>
        </w:rPr>
        <w:t>(</w:t>
      </w:r>
      <w:r>
        <w:rPr>
          <w:rStyle w:val="FootnoteReference"/>
          <w:rtl/>
        </w:rPr>
        <w:footnoteReference w:id="13"/>
      </w:r>
      <w:r w:rsidRPr="00CE0368">
        <w:rPr>
          <w:vertAlign w:val="superscript"/>
          <w:rtl/>
        </w:rPr>
        <w:t>)</w:t>
      </w:r>
      <w:r>
        <w:rPr>
          <w:rFonts w:hint="cs"/>
          <w:rtl/>
        </w:rPr>
        <w:t xml:space="preserve"> في مركز الشيخوخة.</w:t>
      </w:r>
    </w:p>
    <w:p w:rsidR="00FE4F97" w:rsidRDefault="00FE4F97">
      <w:pPr>
        <w:pStyle w:val="SingleTxt"/>
        <w:rPr>
          <w:rFonts w:hint="cs"/>
          <w:rtl/>
        </w:rPr>
      </w:pPr>
      <w:r>
        <w:rPr>
          <w:rFonts w:hint="cs"/>
          <w:rtl/>
        </w:rPr>
        <w:tab/>
        <w:t xml:space="preserve">وأحد التغييرات الرئيسية التي شهدها قطاع الصحة في تنفيذ </w:t>
      </w:r>
      <w:r>
        <w:rPr>
          <w:rFonts w:hint="eastAsia"/>
          <w:rtl/>
        </w:rPr>
        <w:t>”برنامج ت</w:t>
      </w:r>
      <w:r>
        <w:rPr>
          <w:rFonts w:hint="cs"/>
          <w:rtl/>
        </w:rPr>
        <w:t>نمية</w:t>
      </w:r>
      <w:r>
        <w:rPr>
          <w:rFonts w:hint="eastAsia"/>
          <w:rtl/>
        </w:rPr>
        <w:t xml:space="preserve"> قطاع الصح</w:t>
      </w:r>
      <w:r>
        <w:rPr>
          <w:rFonts w:hint="cs"/>
          <w:rtl/>
        </w:rPr>
        <w:t>ة“ الممول بقرض ميسر من مصرف التنمية الآسيوي يتمثل في إمكانية أن تعمل  مستشفى الأسرة على مسؤوليتها كما أنها تقع على مسافة أقرب إلى عملائها الذين يحصلون على خدماتها. وتعمل المستشفى على أساس التمويل التعاقدي حيث تحسب المصروفات على أساس الشخص الواحد. ويجري هذا الحساب بتقسيم الفئات العمرية من صفر - 1 عام و1-15 عاما للأطفال، و16-49 عاما للنساء والأشخاص الذين تزيد أعمارهم عن 60 عاما إلى فئة الفقراء وفئة الوضع المعيشي العادي أما مصروفات الفقراء فإن نسبتها أعلى بـ 7-18 في المائة من الفئة التي تعيش في وضع عادي وفقا للهياكل العمرية.</w:t>
      </w:r>
    </w:p>
    <w:p w:rsidR="00FE4F97" w:rsidRDefault="00FE4F97">
      <w:pPr>
        <w:pStyle w:val="SingleTxt"/>
        <w:rPr>
          <w:rFonts w:hint="cs"/>
          <w:rtl/>
        </w:rPr>
      </w:pPr>
      <w:r>
        <w:rPr>
          <w:rFonts w:hint="cs"/>
          <w:rtl/>
        </w:rPr>
        <w:tab/>
        <w:t>ويمثل الأطفال الذين تصل أعمارهم إلى 15 عاما نسبة 4, 32 من مجموع سكان منغوليا وتمثل النساء اللائي تتراوح أعمارهن بين 15 و49 عاما نسبة 3, 28 في المائة. وبلغ متوسط العمر المتوقع للشخص المنغولي 63.5 عاما ويبلغ 66.7 عاما للمرأة و60.8 عاما للرجل. ويبلغ معدل المواليد  17.7 لكل 1000 نسمة ويبلغ معدل النمو 11.63 ومعدل الوفيات 6.07</w:t>
      </w:r>
      <w:r w:rsidRPr="00CE0368">
        <w:rPr>
          <w:vertAlign w:val="superscript"/>
          <w:rtl/>
        </w:rPr>
        <w:t>(</w:t>
      </w:r>
      <w:r>
        <w:rPr>
          <w:rStyle w:val="FootnoteReference"/>
          <w:rtl/>
        </w:rPr>
        <w:footnoteReference w:id="14"/>
      </w:r>
      <w:r w:rsidRPr="00CE0368">
        <w:rPr>
          <w:vertAlign w:val="superscript"/>
          <w:rtl/>
        </w:rPr>
        <w:t>)</w:t>
      </w:r>
      <w:r>
        <w:rPr>
          <w:rFonts w:hint="cs"/>
          <w:rtl/>
        </w:rPr>
        <w:t>.</w:t>
      </w:r>
    </w:p>
    <w:p w:rsidR="00FE4F97" w:rsidRDefault="00FE4F97">
      <w:pPr>
        <w:pStyle w:val="SingleTxt"/>
        <w:rPr>
          <w:rFonts w:hint="cs"/>
          <w:rtl/>
        </w:rPr>
      </w:pPr>
    </w:p>
    <w:p w:rsidR="00FE4F97" w:rsidRDefault="00FE4F97">
      <w:pPr>
        <w:pStyle w:val="SingleTxt"/>
        <w:spacing w:after="0"/>
        <w:rPr>
          <w:rFonts w:hint="cs"/>
          <w:rtl/>
        </w:rPr>
      </w:pPr>
      <w:r>
        <w:rPr>
          <w:rFonts w:hint="cs"/>
          <w:rtl/>
        </w:rPr>
        <w:t>الرسم البياني 8</w:t>
      </w:r>
    </w:p>
    <w:p w:rsidR="00FE4F97" w:rsidRDefault="00FE4F97">
      <w:pPr>
        <w:pStyle w:val="SingleTxt"/>
        <w:rPr>
          <w:rFonts w:hint="cs"/>
          <w:rtl/>
        </w:rPr>
      </w:pPr>
      <w:r w:rsidRPr="003D3CC8">
        <w:rPr>
          <w:rFonts w:hint="cs"/>
          <w:b/>
          <w:bCs/>
          <w:rtl/>
        </w:rPr>
        <w:t>معدلات المواليد، والوفيات، وصافي نمو السكان في الفترة 1994-2004</w:t>
      </w:r>
    </w:p>
    <w:p w:rsidR="00FE4F97" w:rsidRDefault="00FE4F97">
      <w:pPr>
        <w:pStyle w:val="SingleTxt"/>
        <w:rPr>
          <w:rFonts w:hint="cs"/>
          <w:rtl/>
        </w:rPr>
      </w:pPr>
      <w:r>
        <w:rPr>
          <w:noProof/>
        </w:rPr>
        <w:pict>
          <v:shape id="_x0000_s1268" type="#_x0000_t75" style="position:absolute;left:0;text-align:left;margin-left:30.9pt;margin-top:14.4pt;width:383.1pt;height:233.65pt;z-index:-48">
            <v:imagedata r:id="rId27" o:title=""/>
            <w10:wrap type="square"/>
          </v:shape>
          <o:OLEObject Type="Embed" ProgID="MSGraph.Chart.8" ShapeID="_x0000_s1268" DrawAspect="Content" ObjectID="_1395245886" r:id="rId28">
            <o:FieldCodes>\s</o:FieldCodes>
          </o:OLEObject>
        </w:pict>
      </w: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r>
        <w:rPr>
          <w:noProof/>
          <w:w w:val="100"/>
        </w:rPr>
        <w:pict>
          <v:shape id="_x0000_s1279" type="#_x0000_t202" style="position:absolute;left:0;text-align:left;margin-left:39.05pt;margin-top:-.3pt;width:13.85pt;height:35.3pt;z-index:61" stroked="f">
            <v:textbox style="layout-flow:vertical;mso-layout-flow-alt:bottom-to-top" inset="0,0,0,0">
              <w:txbxContent>
                <w:p w:rsidR="007433E8" w:rsidRPr="00FA54C9" w:rsidRDefault="007433E8">
                  <w:pPr>
                    <w:spacing w:line="240" w:lineRule="exact"/>
                    <w:jc w:val="center"/>
                    <w:rPr>
                      <w:rFonts w:hint="cs"/>
                      <w:sz w:val="24"/>
                      <w:szCs w:val="24"/>
                    </w:rPr>
                  </w:pPr>
                  <w:r>
                    <w:rPr>
                      <w:rFonts w:hint="cs"/>
                      <w:sz w:val="24"/>
                      <w:szCs w:val="24"/>
                      <w:rtl/>
                    </w:rPr>
                    <w:t>المعدل</w:t>
                  </w:r>
                </w:p>
              </w:txbxContent>
            </v:textbox>
            <w10:wrap anchorx="page"/>
          </v:shape>
        </w:pict>
      </w: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r>
        <w:rPr>
          <w:rFonts w:hint="cs"/>
          <w:noProof/>
          <w:w w:val="100"/>
          <w:rtl/>
        </w:rPr>
        <w:pict>
          <v:shape id="_x0000_s1283" type="#_x0000_t202" style="position:absolute;left:0;text-align:left;margin-left:221.45pt;margin-top:22.8pt;width:36.05pt;height:18pt;z-index:65" stroked="f">
            <v:textbox inset="0,0,0,0">
              <w:txbxContent>
                <w:p w:rsidR="007433E8" w:rsidRPr="00FA54C9" w:rsidRDefault="007433E8">
                  <w:pPr>
                    <w:spacing w:line="240" w:lineRule="exact"/>
                    <w:jc w:val="center"/>
                    <w:rPr>
                      <w:rFonts w:hint="cs"/>
                      <w:sz w:val="24"/>
                      <w:szCs w:val="24"/>
                    </w:rPr>
                  </w:pPr>
                  <w:r>
                    <w:rPr>
                      <w:rFonts w:hint="cs"/>
                      <w:sz w:val="24"/>
                      <w:szCs w:val="24"/>
                      <w:rtl/>
                    </w:rPr>
                    <w:t>السنوات</w:t>
                  </w:r>
                </w:p>
              </w:txbxContent>
            </v:textbox>
            <w10:wrap anchorx="page"/>
          </v:shape>
        </w:pict>
      </w:r>
    </w:p>
    <w:p w:rsidR="00FE4F97" w:rsidRDefault="004A5549">
      <w:pPr>
        <w:pStyle w:val="SingleTxt"/>
        <w:rPr>
          <w:rFonts w:hint="cs"/>
          <w:rtl/>
        </w:rPr>
      </w:pPr>
      <w:r>
        <w:rPr>
          <w:rFonts w:hint="cs"/>
          <w:noProof/>
          <w:w w:val="100"/>
          <w:rtl/>
        </w:rPr>
        <w:pict>
          <v:shape id="_x0000_s1282" type="#_x0000_t202" style="position:absolute;left:0;text-align:left;margin-left:301.05pt;margin-top:17.6pt;width:29.25pt;height:14.4pt;z-index:64" stroked="f">
            <v:textbox inset="0,0,0,0">
              <w:txbxContent>
                <w:p w:rsidR="007433E8" w:rsidRPr="00FA54C9" w:rsidRDefault="007433E8">
                  <w:pPr>
                    <w:spacing w:line="240" w:lineRule="exact"/>
                    <w:jc w:val="center"/>
                    <w:rPr>
                      <w:rFonts w:hint="cs"/>
                      <w:sz w:val="24"/>
                      <w:szCs w:val="24"/>
                    </w:rPr>
                  </w:pPr>
                  <w:r>
                    <w:rPr>
                      <w:rFonts w:hint="cs"/>
                      <w:sz w:val="24"/>
                      <w:szCs w:val="24"/>
                      <w:rtl/>
                    </w:rPr>
                    <w:t>الوفيات</w:t>
                  </w:r>
                </w:p>
              </w:txbxContent>
            </v:textbox>
            <w10:wrap anchorx="page"/>
          </v:shape>
        </w:pict>
      </w:r>
      <w:r w:rsidR="00FE4F97">
        <w:rPr>
          <w:rFonts w:hint="cs"/>
          <w:noProof/>
          <w:w w:val="100"/>
          <w:rtl/>
        </w:rPr>
        <w:pict>
          <v:shape id="_x0000_s1280" type="#_x0000_t202" style="position:absolute;left:0;text-align:left;margin-left:173pt;margin-top:16.2pt;width:22.7pt;height:16.4pt;z-index:62" stroked="f">
            <v:textbox inset="0,0,0,0">
              <w:txbxContent>
                <w:p w:rsidR="007433E8" w:rsidRPr="00FA54C9" w:rsidRDefault="007433E8">
                  <w:pPr>
                    <w:spacing w:line="240" w:lineRule="exact"/>
                    <w:jc w:val="center"/>
                    <w:rPr>
                      <w:rFonts w:hint="cs"/>
                      <w:sz w:val="24"/>
                      <w:szCs w:val="24"/>
                    </w:rPr>
                  </w:pPr>
                  <w:r>
                    <w:rPr>
                      <w:rFonts w:hint="cs"/>
                      <w:sz w:val="24"/>
                      <w:szCs w:val="24"/>
                      <w:rtl/>
                    </w:rPr>
                    <w:t>المواليد</w:t>
                  </w:r>
                </w:p>
              </w:txbxContent>
            </v:textbox>
            <w10:wrap anchorx="page"/>
          </v:shape>
        </w:pict>
      </w:r>
      <w:r w:rsidR="00FE4F97">
        <w:rPr>
          <w:rFonts w:hint="cs"/>
          <w:noProof/>
          <w:w w:val="100"/>
          <w:rtl/>
        </w:rPr>
        <w:pict>
          <v:shape id="_x0000_s1281" type="#_x0000_t202" style="position:absolute;left:0;text-align:left;margin-left:221.45pt;margin-top:16.2pt;width:53.6pt;height:15.9pt;z-index:63" stroked="f">
            <v:textbox inset="0,0,0,0">
              <w:txbxContent>
                <w:p w:rsidR="007433E8" w:rsidRPr="00FA54C9" w:rsidRDefault="007433E8">
                  <w:pPr>
                    <w:spacing w:line="240" w:lineRule="exact"/>
                    <w:jc w:val="center"/>
                    <w:rPr>
                      <w:rFonts w:hint="cs"/>
                      <w:sz w:val="24"/>
                      <w:szCs w:val="24"/>
                    </w:rPr>
                  </w:pPr>
                  <w:r>
                    <w:rPr>
                      <w:rFonts w:hint="cs"/>
                      <w:sz w:val="24"/>
                      <w:szCs w:val="24"/>
                      <w:rtl/>
                    </w:rPr>
                    <w:t>صافي النمو</w:t>
                  </w:r>
                </w:p>
              </w:txbxContent>
            </v:textbox>
            <w10:wrap anchorx="page"/>
          </v:shape>
        </w:pict>
      </w:r>
    </w:p>
    <w:p w:rsidR="00FE4F97" w:rsidRDefault="00FE4F97">
      <w:pPr>
        <w:pStyle w:val="SingleTxt"/>
        <w:rPr>
          <w:rFonts w:hint="cs"/>
          <w:rtl/>
        </w:rPr>
      </w:pPr>
    </w:p>
    <w:p w:rsidR="00FE4F97" w:rsidRDefault="00FE4F97">
      <w:pPr>
        <w:pStyle w:val="SingleTxt"/>
        <w:rPr>
          <w:rFonts w:hint="cs"/>
          <w:rtl/>
        </w:rPr>
      </w:pPr>
      <w:r>
        <w:rPr>
          <w:rFonts w:hint="cs"/>
          <w:rtl/>
        </w:rPr>
        <w:tab/>
        <w:t>وسياسة الدولة فيما يتعلق بتنمية السكان التي جددها واعتمدها البرلمان في عام 2004 تهدف إلى دعم نمو السكان، ولا سيما المباعدة بين الولادت من 2-3 سنوات للنساء البالغات من العمر 20-39 عاما؛ وتنفيذ تدابير شاملة للحد من الحمل غير المرغوب فيه، والإجهاض ومضاعفاته؛ ووقاية النساء والرجال في سن الإنجاب من العدوى بالأمراض التي تنتقل بالاتصال الجنسي وفيروس نقص المناعة البشرية/الإيدز وتقديم خدمات العلاج، وإعادة التأهيل والتنمية القائمة على المجتمع المحلي</w:t>
      </w:r>
      <w:r w:rsidRPr="009E2266">
        <w:rPr>
          <w:vertAlign w:val="superscript"/>
          <w:rtl/>
        </w:rPr>
        <w:t>(</w:t>
      </w:r>
      <w:r>
        <w:rPr>
          <w:rStyle w:val="FootnoteReference"/>
          <w:rtl/>
        </w:rPr>
        <w:footnoteReference w:id="15"/>
      </w:r>
      <w:r w:rsidRPr="009E2266">
        <w:rPr>
          <w:vertAlign w:val="superscript"/>
          <w:rtl/>
        </w:rPr>
        <w:t>)</w:t>
      </w:r>
      <w:r>
        <w:rPr>
          <w:rFonts w:hint="cs"/>
          <w:rtl/>
        </w:rPr>
        <w:t>.</w:t>
      </w:r>
    </w:p>
    <w:p w:rsidR="00FE4F97" w:rsidRDefault="00FE4F97">
      <w:pPr>
        <w:pStyle w:val="SingleTxt"/>
        <w:rPr>
          <w:rFonts w:hint="cs"/>
          <w:rtl/>
        </w:rPr>
      </w:pPr>
      <w:r>
        <w:rPr>
          <w:rFonts w:hint="cs"/>
          <w:noProof/>
          <w:w w:val="100"/>
          <w:rtl/>
        </w:rPr>
        <w:pict>
          <v:shape id="_x0000_s1278" type="#_x0000_t202" style="position:absolute;left:0;text-align:left;margin-left:-25.75pt;margin-top:105.4pt;width:15.45pt;height:30.15pt;z-index:60" stroked="f">
            <v:textbox style="layout-flow:vertical;mso-layout-flow-alt:bottom-to-top" inset="0,0,0,0">
              <w:txbxContent>
                <w:p w:rsidR="007433E8" w:rsidRDefault="007433E8">
                  <w:pPr>
                    <w:rPr>
                      <w:rFonts w:hint="cs"/>
                      <w:szCs w:val="24"/>
                    </w:rPr>
                  </w:pPr>
                </w:p>
                <w:p w:rsidR="007433E8" w:rsidRDefault="007433E8"/>
              </w:txbxContent>
            </v:textbox>
            <w10:wrap anchorx="page"/>
          </v:shape>
        </w:pict>
      </w:r>
      <w:r>
        <w:rPr>
          <w:rFonts w:hint="cs"/>
          <w:rtl/>
        </w:rPr>
        <w:tab/>
        <w:t>وفي منغوليا، تحظى الحماية الصحية للأم والطفل باهتمام الدولة بصورة دائمة. وتحصل الأم والطفل مجانا على الخدمات المهنية ذات الصلة بالصحة. وتتضمن خطة عمل الحكومة أحكاما مفادها أنه في حين تحظى صحة الأم والطفل باهتمام خاص وسيتحقق خفض معدلات وفيات الأمهات والأطفال وفقا للأهداف الإنمائية للألفية، تتحدد الخدمات ذات الصلة بالصحة للأم والطفل بوصفها ذات أولوية في توفير مجموعة الخدمات الضرورية ذات الصلة بالصحة في الخطة الرئيسية لقطاع الصحة للفترة 2005-2015 في منغوليا. بيد أن الحكومة مسؤولة عن الخدمات ذات الصلة بالحمل والولادة فحسب. أما الخدمات المهنية الأخرى للحوامل فإنها تقدم رهنا بما إذا كان لديهن تأمين صحي مما يرتب آثارا سيئة على وفيات الأمهات الناتجة عن أمراض الحمل والأمراض الأخرى المرتبطة به.</w:t>
      </w:r>
    </w:p>
    <w:p w:rsidR="00FE4F97" w:rsidRDefault="00FE4F97">
      <w:pPr>
        <w:pStyle w:val="SingleTxt"/>
        <w:rPr>
          <w:rFonts w:hint="cs"/>
          <w:rtl/>
        </w:rPr>
      </w:pPr>
      <w:r>
        <w:rPr>
          <w:rFonts w:hint="cs"/>
          <w:rtl/>
        </w:rPr>
        <w:tab/>
        <w:t>وتبلغ نسبة الحوامل 98.9 في المائة، منهن نسبة 80 في المائة في مرحلة الحمل المبكر تخضع للإشراف</w:t>
      </w:r>
      <w:r w:rsidRPr="003E12FA">
        <w:rPr>
          <w:vertAlign w:val="superscript"/>
          <w:rtl/>
        </w:rPr>
        <w:t>(</w:t>
      </w:r>
      <w:r>
        <w:rPr>
          <w:rStyle w:val="FootnoteReference"/>
          <w:rtl/>
        </w:rPr>
        <w:footnoteReference w:id="16"/>
      </w:r>
      <w:r w:rsidRPr="003E12FA">
        <w:rPr>
          <w:vertAlign w:val="superscript"/>
          <w:rtl/>
        </w:rPr>
        <w:t>)</w:t>
      </w:r>
      <w:r>
        <w:rPr>
          <w:rFonts w:hint="cs"/>
          <w:rtl/>
        </w:rPr>
        <w:t>. ونسبة 13.8 في المائة من الحوامل اللائي خضعن للإشراف حديثا عانت من الأنيميا التي انخفضت بـ 26.2 نقطة بالمقارنة بعام 2000</w:t>
      </w:r>
      <w:r w:rsidRPr="003E12FA">
        <w:rPr>
          <w:vertAlign w:val="superscript"/>
          <w:rtl/>
        </w:rPr>
        <w:t>(</w:t>
      </w:r>
      <w:r>
        <w:rPr>
          <w:rStyle w:val="FootnoteReference"/>
          <w:rtl/>
        </w:rPr>
        <w:footnoteReference w:id="17"/>
      </w:r>
      <w:r w:rsidRPr="003E12FA">
        <w:rPr>
          <w:vertAlign w:val="superscript"/>
          <w:rtl/>
        </w:rPr>
        <w:t>)</w:t>
      </w:r>
      <w:r>
        <w:rPr>
          <w:rFonts w:hint="cs"/>
          <w:rtl/>
        </w:rPr>
        <w:t>. ونسبة 70.7 في المائة من الحوامل لاتتناول أقراص الحديد إلا في المرحلة المتأخرة من الحمل مما يرتب أثرا سلبيا على خفض الأنيميا</w:t>
      </w:r>
      <w:r w:rsidRPr="003E12FA">
        <w:rPr>
          <w:vertAlign w:val="superscript"/>
          <w:rtl/>
        </w:rPr>
        <w:t>(</w:t>
      </w:r>
      <w:r>
        <w:rPr>
          <w:rStyle w:val="FootnoteReference"/>
          <w:rtl/>
        </w:rPr>
        <w:footnoteReference w:id="18"/>
      </w:r>
      <w:r w:rsidRPr="003E12FA">
        <w:rPr>
          <w:vertAlign w:val="superscript"/>
          <w:rtl/>
        </w:rPr>
        <w:t>)</w:t>
      </w:r>
      <w:r>
        <w:rPr>
          <w:rFonts w:hint="cs"/>
          <w:rtl/>
        </w:rPr>
        <w:t>.</w:t>
      </w:r>
    </w:p>
    <w:p w:rsidR="00FE4F97" w:rsidRDefault="00FE4F97">
      <w:pPr>
        <w:pStyle w:val="SingleTxt"/>
        <w:rPr>
          <w:rFonts w:hint="cs"/>
          <w:rtl/>
        </w:rPr>
      </w:pPr>
      <w:r>
        <w:rPr>
          <w:rFonts w:hint="cs"/>
          <w:rtl/>
        </w:rPr>
        <w:tab/>
        <w:t>وبلغت نسبة النساء اللائي وضعن في المستشفيات 94 في المائة في عام 1998 ونسبة 98.9 في المائة في عام 2005. ويجري تحسين مؤشرات الصحة الإنجابية بسبب التنفيذ الفعال للبرنامج الوطني للصحة الإنجابية واستراتيجية خفض معدل وفيات الأمهات.</w:t>
      </w:r>
    </w:p>
    <w:p w:rsidR="00FE4F97" w:rsidRDefault="00FE4F97">
      <w:pPr>
        <w:pStyle w:val="SingleTxt"/>
        <w:rPr>
          <w:rFonts w:hint="cs"/>
          <w:rtl/>
        </w:rPr>
      </w:pPr>
      <w:r>
        <w:rPr>
          <w:rFonts w:hint="cs"/>
          <w:rtl/>
        </w:rPr>
        <w:tab/>
        <w:t xml:space="preserve">والأنشطة التالية التي تنفَّذ بدعم من المنظمات الحكومية وغير الحكومية والمنظمات الدولية رتبت آثارا إيجابية في تخفيض معدل وفيات الأمهات: تهيئة الأوضاع المؤاتية التي يدعمها صانعو القرارات؛ وتنفيذ مبادئ توجيهية متعلقة بالعلاج لتحسين نوعية خدمات الصحة الأنجابية؛ وتحويل الحوامل المعرضات لمخاطر شديدة للحصول على خدمات سريرية مهنية في المرحلة المبكرة؛ وتحسين معرفة وقدرات الأطباء، وأطباء أمراض النساء، وأطباء التوليد، والأطباء المهنيين الآخرين؛ والامداد بالعقاقير وأجهزة المستشفيات الأكثر فائدة؛ وتحسين معرفة السكان وبخاصة من هم في سن الشباب والرجال بالصحة الإنجابية. ومن الأمثلة والأنشطة التي ترد على سبيل المثال لا الحصر تسمية مستشفيات رعاية الأم والطفل، واختيار المدير صديق الأمهات، وصياغة وتنفيذ المبادئ التوجيهية للأمومة المنتظرة للخدمات المنزلية. </w:t>
      </w:r>
    </w:p>
    <w:p w:rsidR="00FE4F97" w:rsidRDefault="00FE4F97">
      <w:pPr>
        <w:pStyle w:val="SingleTxt"/>
        <w:spacing w:after="0"/>
        <w:rPr>
          <w:rFonts w:hint="cs"/>
          <w:rtl/>
        </w:rPr>
      </w:pPr>
      <w:r>
        <w:rPr>
          <w:rFonts w:hint="cs"/>
          <w:rtl/>
        </w:rPr>
        <w:t>الرسم البياني 9</w:t>
      </w:r>
    </w:p>
    <w:p w:rsidR="00FE4F97" w:rsidRPr="003D3CC8" w:rsidRDefault="00FE4F97">
      <w:pPr>
        <w:pStyle w:val="SingleTxt"/>
        <w:rPr>
          <w:rFonts w:hint="cs"/>
          <w:b/>
          <w:bCs/>
          <w:rtl/>
        </w:rPr>
      </w:pPr>
      <w:r w:rsidRPr="003D3CC8">
        <w:rPr>
          <w:rFonts w:hint="cs"/>
          <w:b/>
          <w:bCs/>
          <w:rtl/>
        </w:rPr>
        <w:t>انخفاض معدل وفيات الأمهات في الفترة 1992-2004 (لكل 000 100 من المواليد الأحياء)</w:t>
      </w:r>
    </w:p>
    <w:p w:rsidR="00FE4F97" w:rsidRDefault="00FE4F97">
      <w:pPr>
        <w:pStyle w:val="SingleTxt"/>
        <w:rPr>
          <w:rFonts w:hint="cs"/>
          <w:rtl/>
        </w:rPr>
      </w:pPr>
      <w:r>
        <w:rPr>
          <w:i/>
          <w:noProof/>
        </w:rPr>
        <w:pict>
          <v:shape id="_x0000_s1269" type="#_x0000_t75" style="position:absolute;left:0;text-align:left;margin-left:25.75pt;margin-top:21.4pt;width:370.85pt;height:222.1pt;z-index:-47">
            <v:imagedata r:id="rId29" o:title=""/>
          </v:shape>
          <o:OLEObject Type="Embed" ProgID="MSGraph.Chart.8" ShapeID="_x0000_s1269" DrawAspect="Content" ObjectID="_1395245887" r:id="rId30">
            <o:FieldCodes>\s</o:FieldCodes>
          </o:OLEObject>
        </w:pict>
      </w: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r>
        <w:rPr>
          <w:rFonts w:hint="cs"/>
          <w:noProof/>
          <w:w w:val="100"/>
          <w:rtl/>
        </w:rPr>
        <w:pict>
          <v:shape id="_x0000_s1285" type="#_x0000_t202" style="position:absolute;left:0;text-align:left;margin-left:214.2pt;margin-top:2.4pt;width:36.05pt;height:18pt;z-index:67" stroked="f">
            <v:textbox inset="0,0,0,0">
              <w:txbxContent>
                <w:p w:rsidR="007433E8" w:rsidRPr="008D10BB" w:rsidRDefault="007433E8">
                  <w:pPr>
                    <w:spacing w:line="240" w:lineRule="exact"/>
                    <w:jc w:val="center"/>
                    <w:rPr>
                      <w:rFonts w:hint="cs"/>
                      <w:sz w:val="24"/>
                      <w:szCs w:val="24"/>
                    </w:rPr>
                  </w:pPr>
                  <w:r>
                    <w:rPr>
                      <w:rFonts w:hint="cs"/>
                      <w:sz w:val="24"/>
                      <w:szCs w:val="24"/>
                      <w:rtl/>
                    </w:rPr>
                    <w:t>السنوات</w:t>
                  </w:r>
                </w:p>
              </w:txbxContent>
            </v:textbox>
            <w10:wrap anchorx="page"/>
          </v:shape>
        </w:pict>
      </w:r>
      <w:r>
        <w:rPr>
          <w:rFonts w:hint="cs"/>
          <w:noProof/>
          <w:w w:val="100"/>
          <w:rtl/>
        </w:rPr>
        <w:pict>
          <v:shape id="_x0000_s1284" type="#_x0000_t202" style="position:absolute;left:0;text-align:left;margin-left:-194.4pt;margin-top:5.9pt;width:46.3pt;height:18pt;z-index:66" stroked="f">
            <v:textbox inset="0,0,0,0">
              <w:txbxContent>
                <w:p w:rsidR="007433E8" w:rsidRPr="008D10BB" w:rsidRDefault="007433E8">
                  <w:pPr>
                    <w:spacing w:line="240" w:lineRule="exact"/>
                    <w:jc w:val="center"/>
                    <w:rPr>
                      <w:rFonts w:hint="cs"/>
                      <w:sz w:val="24"/>
                      <w:szCs w:val="24"/>
                    </w:rPr>
                  </w:pPr>
                  <w:r>
                    <w:rPr>
                      <w:rFonts w:hint="cs"/>
                      <w:sz w:val="24"/>
                      <w:szCs w:val="24"/>
                      <w:rtl/>
                    </w:rPr>
                    <w:t>السنوات</w:t>
                  </w:r>
                </w:p>
              </w:txbxContent>
            </v:textbox>
            <w10:wrap anchorx="page"/>
          </v:shape>
        </w:pict>
      </w:r>
      <w:r>
        <w:rPr>
          <w:rFonts w:hint="cs"/>
          <w:noProof/>
          <w:w w:val="100"/>
          <w:rtl/>
        </w:rPr>
      </w:r>
      <w:r>
        <w:pict>
          <v:group id="_x0000_s1197" editas="canvas" style="width:489.25pt;height:297pt;mso-position-horizontal-relative:char;mso-position-vertical-relative:line" coordorigin="-8,1474" coordsize="9785,5940">
            <o:lock v:ext="edit" aspectratio="t"/>
            <v:shape id="_x0000_s1198" type="#_x0000_t75" style="position:absolute;left:-8;top:1474;width:9785;height:5940" o:preferrelative="f">
              <v:fill o:detectmouseclick="t"/>
              <v:path o:extrusionok="t" o:connecttype="none"/>
              <o:lock v:ext="edit" text="t"/>
            </v:shape>
            <v:shape id="_x0000_s1199" type="#_x0000_t202" style="position:absolute;left:2052;top:4894;width:309;height:540" stroked="f">
              <v:textbox style="layout-flow:vertical;mso-layout-flow-alt:bottom-to-top" inset="0,0,0,0">
                <w:txbxContent>
                  <w:p w:rsidR="007433E8" w:rsidRPr="008D10BB" w:rsidRDefault="007433E8">
                    <w:pPr>
                      <w:spacing w:line="240" w:lineRule="exact"/>
                      <w:jc w:val="center"/>
                      <w:rPr>
                        <w:rFonts w:hint="cs"/>
                        <w:sz w:val="24"/>
                        <w:szCs w:val="24"/>
                      </w:rPr>
                    </w:pPr>
                    <w:r>
                      <w:rPr>
                        <w:rFonts w:hint="cs"/>
                        <w:sz w:val="24"/>
                        <w:szCs w:val="24"/>
                        <w:rtl/>
                      </w:rPr>
                      <w:t>المعدل</w:t>
                    </w:r>
                  </w:p>
                </w:txbxContent>
              </v:textbox>
            </v:shape>
            <w10:wrap anchorx="page"/>
            <w10:anchorlock/>
          </v:group>
        </w:pict>
      </w:r>
    </w:p>
    <w:p w:rsidR="00FE4F97" w:rsidRDefault="00FE4F97">
      <w:pPr>
        <w:pStyle w:val="SingleTxt"/>
        <w:rPr>
          <w:rFonts w:hint="cs"/>
          <w:rtl/>
        </w:rPr>
      </w:pPr>
      <w:r>
        <w:rPr>
          <w:rFonts w:hint="cs"/>
          <w:rtl/>
        </w:rPr>
        <w:tab/>
        <w:t>وفي عام 2001، جرى تجديد البرنامج الوطني للصحة الإنجابية وفي عام 2005، اعتُمدت استراتيجية تخفيض معدل وفيات الأمهات في الفترة بين 2005-2010 ويظهر تنفيذها دقة توقيتها وضرورتها لتلبية احتياجات السكان.</w:t>
      </w:r>
    </w:p>
    <w:p w:rsidR="00FE4F97" w:rsidRDefault="00FE4F97">
      <w:pPr>
        <w:pStyle w:val="SingleTxt"/>
        <w:rPr>
          <w:rFonts w:hint="cs"/>
          <w:rtl/>
        </w:rPr>
      </w:pPr>
      <w:r>
        <w:rPr>
          <w:rFonts w:hint="cs"/>
          <w:rtl/>
        </w:rPr>
        <w:tab/>
        <w:t>وفي خلال السنوات العشرين الأخيرة، تمثَّل السبب الرئيسي لوفيات الأمهات في النزيف، بيد أنه في السنوات الثلاث الماضية، أصبحت الاضطرابات المرتبطة بالحمل (98.9 في المائة)، ومقدمات التشنج النفاسي (20.7 في المائة)، والنزيف (19.6 في المائة) والتعفن (15.7 في المائة)، الأسباب الرئيسية لوفاة الأمهات. وتمثل اضطرابات القلب الأوعية الدموية (97.9 في المائة) والسل (19.7 في المائة) السببين الرئيسيين للاضطرابات المؤدية للوفاة أثناء الحمل</w:t>
      </w:r>
      <w:r w:rsidRPr="0004027B">
        <w:rPr>
          <w:vertAlign w:val="superscript"/>
          <w:rtl/>
        </w:rPr>
        <w:t>(</w:t>
      </w:r>
      <w:r>
        <w:rPr>
          <w:rStyle w:val="FootnoteReference"/>
          <w:rtl/>
        </w:rPr>
        <w:footnoteReference w:id="19"/>
      </w:r>
      <w:r w:rsidRPr="0004027B">
        <w:rPr>
          <w:vertAlign w:val="superscript"/>
          <w:rtl/>
        </w:rPr>
        <w:t>)</w:t>
      </w:r>
      <w:r>
        <w:rPr>
          <w:rFonts w:hint="cs"/>
          <w:rtl/>
        </w:rPr>
        <w:t>.</w:t>
      </w:r>
    </w:p>
    <w:p w:rsidR="00FE4F97" w:rsidRDefault="00FE4F97">
      <w:pPr>
        <w:pStyle w:val="SingleTxt"/>
        <w:rPr>
          <w:rFonts w:hint="cs"/>
          <w:rtl/>
        </w:rPr>
      </w:pPr>
      <w:r>
        <w:rPr>
          <w:rFonts w:hint="cs"/>
          <w:rtl/>
        </w:rPr>
        <w:tab/>
        <w:t>ونسبة 45.2 في المائة من وفيات الأمهات بين عامين 2000 و2004 كانت من الريفيات العاملات بالرعي ونسبة 30.8 في المائة كانت من ربات البيوت. وحدثت نسبة 69.6 في المائة من الوفيات في مناطق محلية وبلغ متوسط المسافة إلى أقرب مستشفى 61.8 كيلومترا. ويشير هذا إلى أن بُعد المسافة، ونوع العمل والأوضاع المعيشية المحفوفة بالمخاطر تمثل الأخطار الرئيسية التي تهدد حياة الأمهات الحوامل.</w:t>
      </w:r>
    </w:p>
    <w:p w:rsidR="00FE4F97" w:rsidRDefault="00FE4F97">
      <w:pPr>
        <w:pStyle w:val="SingleTxt"/>
        <w:rPr>
          <w:rFonts w:hint="cs"/>
          <w:rtl/>
        </w:rPr>
      </w:pPr>
      <w:r>
        <w:rPr>
          <w:rFonts w:hint="cs"/>
          <w:rtl/>
        </w:rPr>
        <w:tab/>
        <w:t>ومعدل الوفيات قبل الولادة البالغ 28 لكل 000 1 مولود حي يرتب أثرا سلبيا على معدل وفيات الأطفال الرضع</w:t>
      </w:r>
      <w:r w:rsidRPr="004D5822">
        <w:rPr>
          <w:vertAlign w:val="superscript"/>
          <w:rtl/>
        </w:rPr>
        <w:t>(</w:t>
      </w:r>
      <w:r>
        <w:rPr>
          <w:rStyle w:val="FootnoteReference"/>
          <w:rtl/>
        </w:rPr>
        <w:footnoteReference w:id="20"/>
      </w:r>
      <w:r w:rsidRPr="004D5822">
        <w:rPr>
          <w:vertAlign w:val="superscript"/>
          <w:rtl/>
        </w:rPr>
        <w:t>)</w:t>
      </w:r>
      <w:r>
        <w:rPr>
          <w:rFonts w:hint="cs"/>
          <w:rtl/>
        </w:rPr>
        <w:t>. بيد أن معدل وفيات الأطفال الرضع في المناطق الريفية (18.1 لكل 000 1 مولود حي) أعلى نسبيا منه في المناطق الحضرية (22.5 لكل 000 1 مولود حي) مما يعني أن خفض الرقم المستهدف لمعدل وفيات الأطفال الرضع سيحقق الأهداف الإنمائية للألفية. (الرسم البياني 10).</w:t>
      </w:r>
    </w:p>
    <w:p w:rsidR="00FE4F97" w:rsidRDefault="00FE4F97">
      <w:pPr>
        <w:pStyle w:val="SingleTxt"/>
        <w:rPr>
          <w:rFonts w:hint="cs"/>
          <w:rtl/>
        </w:rPr>
      </w:pPr>
      <w:r>
        <w:rPr>
          <w:rFonts w:hint="cs"/>
          <w:rtl/>
        </w:rPr>
        <w:tab/>
        <w:t>وبفضل تدابير الصحة العامة مثل التطعيم الشامل وتنفيذ الإدارة الشاملة لأمراض الأطفال الرضع ودعم الرضاعة الطبيعية، أخذ معدل وفيات الرضع والأطفال دون الخامسة في التناقص باستمرار في السنوات العشر الماضية</w:t>
      </w:r>
      <w:r w:rsidRPr="000F03D8">
        <w:rPr>
          <w:vertAlign w:val="superscript"/>
          <w:rtl/>
        </w:rPr>
        <w:t>(</w:t>
      </w:r>
      <w:r>
        <w:rPr>
          <w:rStyle w:val="FootnoteReference"/>
          <w:rtl/>
        </w:rPr>
        <w:footnoteReference w:id="21"/>
      </w:r>
      <w:r w:rsidRPr="000F03D8">
        <w:rPr>
          <w:vertAlign w:val="superscript"/>
          <w:rtl/>
        </w:rPr>
        <w:t>)</w:t>
      </w:r>
      <w:r>
        <w:rPr>
          <w:rFonts w:hint="cs"/>
          <w:rtl/>
        </w:rPr>
        <w:t xml:space="preserve">، واعتبارا من عام 2004 بلغ معدل وفيات الأطفال دون الخامسة 29.1 وبلغ معدل وفيات الرضع 22.8. </w:t>
      </w:r>
    </w:p>
    <w:p w:rsidR="00FE4F97" w:rsidRDefault="00FE4F97">
      <w:pPr>
        <w:pStyle w:val="SingleTxt"/>
        <w:spacing w:after="0"/>
        <w:rPr>
          <w:rFonts w:hint="cs"/>
          <w:rtl/>
        </w:rPr>
      </w:pPr>
      <w:r>
        <w:rPr>
          <w:rFonts w:hint="cs"/>
          <w:rtl/>
        </w:rPr>
        <w:t>الرسم البياني 10</w:t>
      </w:r>
    </w:p>
    <w:p w:rsidR="00FE4F97" w:rsidRPr="003D3CC8" w:rsidRDefault="00FE4F97">
      <w:pPr>
        <w:pStyle w:val="SingleTxt"/>
        <w:rPr>
          <w:rFonts w:hint="cs"/>
          <w:b/>
          <w:bCs/>
          <w:rtl/>
        </w:rPr>
      </w:pPr>
      <w:r w:rsidRPr="003D3CC8">
        <w:rPr>
          <w:rFonts w:hint="cs"/>
          <w:b/>
          <w:bCs/>
          <w:rtl/>
        </w:rPr>
        <w:t xml:space="preserve">معدلات وفيات الرضع والأطفال دون الخامسة </w:t>
      </w:r>
      <w:r>
        <w:rPr>
          <w:rFonts w:hint="cs"/>
          <w:b/>
          <w:bCs/>
          <w:rtl/>
        </w:rPr>
        <w:t>في ا</w:t>
      </w:r>
      <w:r w:rsidRPr="003D3CC8">
        <w:rPr>
          <w:rFonts w:hint="cs"/>
          <w:b/>
          <w:bCs/>
          <w:rtl/>
        </w:rPr>
        <w:t>لفترة 1990-2003</w:t>
      </w:r>
    </w:p>
    <w:p w:rsidR="00FE4F97" w:rsidRDefault="00FE4F97">
      <w:pPr>
        <w:pStyle w:val="SingleTxt"/>
        <w:rPr>
          <w:rFonts w:hint="cs"/>
          <w:rtl/>
        </w:rPr>
      </w:pPr>
      <w:r>
        <w:rPr>
          <w:noProof/>
        </w:rPr>
        <w:pict>
          <v:shape id="_x0000_s1270" type="#_x0000_t75" style="position:absolute;left:0;text-align:left;margin-left:0;margin-top:8.95pt;width:465.95pt;height:221.45pt;z-index:-46" wrapcoords="2017 1538 1948 1977 2087 2270 2991 2709 2191 2709 2191 3441 2991 3881 2191 3954 2191 4686 2991 5052 2191 5199 2191 6004 2991 6224 1287 6809 765 7029 661 9226 730 9372 2296 9738 2191 10397 2191 12228 2261 13253 2400 14424 2400 14571 3165 15596 3270 16108 7722 16767 10783 16767 10783 19111 7235 19111 7096 19184 7096 20868 16974 20868 17043 19184 16765 19111 10748 19111 10783 17939 12661 17793 12661 17280 10783 16767 14957 16767 20904 16108 20904 15596 21113 14424 21113 13253 21322 11422 21183 10104 21183 1831 2678 1538 2017 1538">
            <v:imagedata r:id="rId31" o:title=""/>
          </v:shape>
          <o:OLEObject Type="Embed" ProgID="MSGraph.Chart.8" ShapeID="_x0000_s1270" DrawAspect="Content" ObjectID="_1395245888" r:id="rId32">
            <o:FieldCodes>\s</o:FieldCodes>
          </o:OLEObject>
        </w:pict>
      </w:r>
    </w:p>
    <w:p w:rsidR="00FE4F97" w:rsidRDefault="00FE4F97">
      <w:pPr>
        <w:pStyle w:val="SingleTxt"/>
        <w:rPr>
          <w:rFonts w:hint="cs"/>
          <w:rtl/>
        </w:rPr>
      </w:pPr>
    </w:p>
    <w:p w:rsidR="00FE4F97" w:rsidRDefault="00FE4F97">
      <w:pPr>
        <w:pStyle w:val="SingleTxt"/>
        <w:rPr>
          <w:rFonts w:hint="cs"/>
          <w:rtl/>
        </w:rPr>
      </w:pPr>
    </w:p>
    <w:p w:rsidR="00FE4F97" w:rsidRDefault="00B35C66">
      <w:pPr>
        <w:pStyle w:val="SingleTxt"/>
        <w:rPr>
          <w:rFonts w:hint="cs"/>
          <w:rtl/>
        </w:rPr>
      </w:pPr>
      <w:r>
        <w:rPr>
          <w:rFonts w:hint="cs"/>
          <w:noProof/>
          <w:w w:val="100"/>
          <w:rtl/>
        </w:rPr>
        <w:pict>
          <v:shape id="_x0000_s1203" type="#_x0000_t202" style="position:absolute;left:0;text-align:left;margin-left:9.35pt;margin-top:1.1pt;width:15.45pt;height:39pt;z-index:91" o:regroupid="1" stroked="f">
            <v:textbox style="layout-flow:vertical;mso-layout-flow-alt:bottom-to-top;mso-next-textbox:#_x0000_s1203" inset="0,0,0,0">
              <w:txbxContent>
                <w:p w:rsidR="007433E8" w:rsidRPr="000579DC" w:rsidRDefault="007433E8">
                  <w:pPr>
                    <w:spacing w:line="240" w:lineRule="exact"/>
                    <w:jc w:val="center"/>
                    <w:rPr>
                      <w:rFonts w:hint="cs"/>
                      <w:sz w:val="24"/>
                      <w:szCs w:val="24"/>
                    </w:rPr>
                  </w:pPr>
                  <w:r>
                    <w:rPr>
                      <w:rFonts w:hint="cs"/>
                      <w:sz w:val="24"/>
                      <w:szCs w:val="24"/>
                      <w:rtl/>
                    </w:rPr>
                    <w:t>المعدلات</w:t>
                  </w:r>
                </w:p>
              </w:txbxContent>
            </v:textbox>
          </v:shape>
        </w:pict>
      </w:r>
    </w:p>
    <w:p w:rsidR="00FE4F97" w:rsidRDefault="00FE4F97">
      <w:pPr>
        <w:pStyle w:val="SingleTxt"/>
        <w:rPr>
          <w:rFonts w:hint="cs"/>
          <w:rtl/>
        </w:rPr>
      </w:pPr>
    </w:p>
    <w:p w:rsidR="00FE4F97" w:rsidRDefault="00FE4F97">
      <w:pPr>
        <w:pStyle w:val="SingleTxt"/>
        <w:rPr>
          <w:rFonts w:hint="cs"/>
          <w:rtl/>
        </w:rPr>
      </w:pPr>
    </w:p>
    <w:p w:rsidR="00FE4F97" w:rsidRDefault="00B35C66">
      <w:pPr>
        <w:pStyle w:val="SingleTxt"/>
        <w:rPr>
          <w:rFonts w:hint="cs"/>
          <w:rtl/>
        </w:rPr>
      </w:pPr>
      <w:r>
        <w:rPr>
          <w:rFonts w:hint="cs"/>
          <w:noProof/>
          <w:w w:val="100"/>
          <w:rtl/>
        </w:rPr>
        <w:pict>
          <v:shape id="_x0000_s1202" type="#_x0000_t202" style="position:absolute;left:0;text-align:left;margin-left:229.35pt;margin-top:24.2pt;width:66.95pt;height:18.05pt;z-index:90" o:regroupid="1" stroked="f">
            <v:textbox style="mso-next-textbox:#_x0000_s1202" inset="0,0,0,0">
              <w:txbxContent>
                <w:p w:rsidR="007433E8" w:rsidRPr="000579DC" w:rsidRDefault="007433E8">
                  <w:pPr>
                    <w:spacing w:line="240" w:lineRule="exact"/>
                    <w:jc w:val="center"/>
                    <w:rPr>
                      <w:rFonts w:hint="cs"/>
                      <w:sz w:val="24"/>
                      <w:szCs w:val="24"/>
                    </w:rPr>
                  </w:pPr>
                  <w:r>
                    <w:rPr>
                      <w:rFonts w:hint="cs"/>
                      <w:sz w:val="24"/>
                      <w:szCs w:val="24"/>
                      <w:rtl/>
                    </w:rPr>
                    <w:t>السنوات</w:t>
                  </w:r>
                </w:p>
              </w:txbxContent>
            </v:textbox>
          </v:shape>
        </w:pict>
      </w:r>
    </w:p>
    <w:p w:rsidR="00FE4F97" w:rsidRDefault="00B35C66">
      <w:pPr>
        <w:pStyle w:val="SingleTxt"/>
        <w:rPr>
          <w:rFonts w:hint="cs"/>
          <w:rtl/>
        </w:rPr>
      </w:pPr>
      <w:r>
        <w:rPr>
          <w:rFonts w:hint="cs"/>
          <w:noProof/>
          <w:w w:val="100"/>
          <w:rtl/>
        </w:rPr>
        <w:pict>
          <v:shape id="_x0000_s1205" type="#_x0000_t202" style="position:absolute;left:0;text-align:left;margin-left:283.1pt;margin-top:25.2pt;width:84pt;height:14.4pt;z-index:93" o:regroupid="1" stroked="f">
            <v:textbox style="mso-next-textbox:#_x0000_s1205" inset="0,0,0,0">
              <w:txbxContent>
                <w:p w:rsidR="007433E8" w:rsidRPr="000579DC" w:rsidRDefault="007433E8">
                  <w:pPr>
                    <w:spacing w:line="240" w:lineRule="exact"/>
                    <w:jc w:val="center"/>
                    <w:rPr>
                      <w:rFonts w:hint="cs"/>
                      <w:szCs w:val="20"/>
                    </w:rPr>
                  </w:pPr>
                  <w:r w:rsidRPr="000579DC">
                    <w:rPr>
                      <w:rFonts w:hint="cs"/>
                      <w:szCs w:val="20"/>
                      <w:rtl/>
                    </w:rPr>
                    <w:t>وفيات الرضع</w:t>
                  </w:r>
                </w:p>
              </w:txbxContent>
            </v:textbox>
          </v:shape>
        </w:pict>
      </w:r>
      <w:r>
        <w:rPr>
          <w:rFonts w:hint="cs"/>
          <w:noProof/>
          <w:w w:val="100"/>
          <w:rtl/>
        </w:rPr>
        <w:pict>
          <v:shape id="_x0000_s1204" type="#_x0000_t202" style="position:absolute;left:0;text-align:left;margin-left:169.85pt;margin-top:25.1pt;width:91.55pt;height:14.4pt;z-index:92" o:regroupid="1" stroked="f">
            <v:textbox style="mso-next-textbox:#_x0000_s1204" inset="0,0,0,0">
              <w:txbxContent>
                <w:p w:rsidR="007433E8" w:rsidRPr="000579DC" w:rsidRDefault="007433E8">
                  <w:pPr>
                    <w:spacing w:line="240" w:lineRule="exact"/>
                    <w:jc w:val="center"/>
                    <w:rPr>
                      <w:rFonts w:hint="cs"/>
                      <w:szCs w:val="20"/>
                    </w:rPr>
                  </w:pPr>
                  <w:r w:rsidRPr="000579DC">
                    <w:rPr>
                      <w:rFonts w:hint="cs"/>
                      <w:szCs w:val="20"/>
                      <w:rtl/>
                    </w:rPr>
                    <w:t>وفيات الأطفال دون الخامسة</w:t>
                  </w:r>
                </w:p>
              </w:txbxContent>
            </v:textbox>
          </v:shape>
        </w:pict>
      </w:r>
    </w:p>
    <w:p w:rsidR="00FE4F97" w:rsidRDefault="00FE4F97">
      <w:pPr>
        <w:pStyle w:val="SingleTxt"/>
        <w:rPr>
          <w:rFonts w:hint="cs"/>
          <w:rtl/>
        </w:rPr>
      </w:pPr>
    </w:p>
    <w:p w:rsidR="00FE4F97" w:rsidRDefault="00FE4F97">
      <w:pPr>
        <w:pStyle w:val="SingleTxt"/>
        <w:spacing w:line="380" w:lineRule="exact"/>
        <w:rPr>
          <w:rFonts w:hint="cs"/>
          <w:rtl/>
        </w:rPr>
      </w:pPr>
      <w:r>
        <w:rPr>
          <w:rFonts w:hint="cs"/>
          <w:rtl/>
        </w:rPr>
        <w:tab/>
        <w:t>وتتمتع منغوليا بنظام جيد لتقديم الخدمات للأم والطفل ومستوى تعليم الأمهات مرتفع نسبيا ولا توجد في هذا البلد تقاليد متعلقة بالتمييز الجنسي بين الأطفال حسب التعليم، والصحة والتغذية</w:t>
      </w:r>
      <w:r w:rsidRPr="003C074D">
        <w:rPr>
          <w:vertAlign w:val="superscript"/>
          <w:rtl/>
        </w:rPr>
        <w:t>(</w:t>
      </w:r>
      <w:r>
        <w:rPr>
          <w:rStyle w:val="FootnoteReference"/>
          <w:rtl/>
        </w:rPr>
        <w:footnoteReference w:id="22"/>
      </w:r>
      <w:r w:rsidRPr="003C074D">
        <w:rPr>
          <w:vertAlign w:val="superscript"/>
          <w:rtl/>
        </w:rPr>
        <w:t>)</w:t>
      </w:r>
      <w:r>
        <w:rPr>
          <w:rFonts w:hint="cs"/>
          <w:rtl/>
        </w:rPr>
        <w:t>.</w:t>
      </w:r>
    </w:p>
    <w:p w:rsidR="00FE4F97" w:rsidRDefault="00FE4F97">
      <w:pPr>
        <w:pStyle w:val="SingleTxt"/>
        <w:spacing w:line="380" w:lineRule="exact"/>
        <w:rPr>
          <w:rFonts w:hint="cs"/>
          <w:rtl/>
        </w:rPr>
      </w:pPr>
      <w:r>
        <w:rPr>
          <w:rFonts w:hint="cs"/>
          <w:rtl/>
        </w:rPr>
        <w:tab/>
        <w:t>وطبقا للدراسة الاستقصائية المتعلقة بالصحة الإنجابية لعام 1998 قامت نسبة 9 في المائة من الفتيات اللائي تراوحت أعمارهن بين 15 و19 عاما بالولادة غير أن تلك النسبة انخفضت إلى 7 في المائة في عام 2003. وكانت نسبة 5.7 في المائة من الفتيات في مدن الحضر ونسبة 12.9 في المائة في المناطق الريفية في عام 1998 وانخفضت تلك النسب إلى 4.6 و11.6 على التوالي</w:t>
      </w:r>
      <w:r w:rsidRPr="003C074D">
        <w:rPr>
          <w:vertAlign w:val="superscript"/>
          <w:rtl/>
        </w:rPr>
        <w:t>(</w:t>
      </w:r>
      <w:r>
        <w:rPr>
          <w:rStyle w:val="FootnoteReference"/>
          <w:rtl/>
        </w:rPr>
        <w:footnoteReference w:id="23"/>
      </w:r>
      <w:r w:rsidRPr="003C074D">
        <w:rPr>
          <w:vertAlign w:val="superscript"/>
          <w:rtl/>
        </w:rPr>
        <w:t>)</w:t>
      </w:r>
      <w:r>
        <w:rPr>
          <w:rFonts w:hint="cs"/>
          <w:rtl/>
        </w:rPr>
        <w:t xml:space="preserve"> في عام 2003.</w:t>
      </w:r>
    </w:p>
    <w:p w:rsidR="00FE4F97" w:rsidRDefault="00FE4F97">
      <w:pPr>
        <w:pStyle w:val="SingleTxt"/>
        <w:spacing w:line="380" w:lineRule="exact"/>
        <w:rPr>
          <w:rFonts w:hint="cs"/>
          <w:rtl/>
        </w:rPr>
      </w:pPr>
      <w:r>
        <w:rPr>
          <w:rFonts w:hint="cs"/>
          <w:rtl/>
        </w:rPr>
        <w:tab/>
        <w:t>وطبقا لإحصاءات الصحة لعام 2004، حدثت 200 عملية إجهاض لكل 000 1 مولود حي و12 عملية إجهاض لكل 000 1 امرأة في سن الإنجاب</w:t>
      </w:r>
      <w:r w:rsidRPr="003C074D">
        <w:rPr>
          <w:vertAlign w:val="superscript"/>
          <w:rtl/>
        </w:rPr>
        <w:t>(</w:t>
      </w:r>
      <w:r>
        <w:rPr>
          <w:rStyle w:val="FootnoteReference"/>
          <w:rtl/>
        </w:rPr>
        <w:footnoteReference w:id="24"/>
      </w:r>
      <w:r w:rsidRPr="003C074D">
        <w:rPr>
          <w:vertAlign w:val="superscript"/>
          <w:rtl/>
        </w:rPr>
        <w:t>)</w:t>
      </w:r>
      <w:r>
        <w:rPr>
          <w:rFonts w:hint="cs"/>
          <w:rtl/>
        </w:rPr>
        <w:t xml:space="preserve"> (الرسم البياني 11).</w:t>
      </w:r>
    </w:p>
    <w:p w:rsidR="00FE4F97" w:rsidRDefault="00FE4F97">
      <w:pPr>
        <w:pStyle w:val="SingleTxt"/>
        <w:spacing w:after="0"/>
        <w:rPr>
          <w:rFonts w:hint="cs"/>
          <w:rtl/>
        </w:rPr>
      </w:pPr>
      <w:r>
        <w:rPr>
          <w:rFonts w:hint="cs"/>
          <w:rtl/>
        </w:rPr>
        <w:t>الرسم البياني 11</w:t>
      </w:r>
    </w:p>
    <w:p w:rsidR="00FE4F97" w:rsidRPr="006732B4" w:rsidRDefault="00FE4F97">
      <w:pPr>
        <w:pStyle w:val="SingleTxt"/>
        <w:rPr>
          <w:rFonts w:hint="cs"/>
          <w:b/>
          <w:bCs/>
          <w:rtl/>
        </w:rPr>
      </w:pPr>
      <w:r w:rsidRPr="006732B4">
        <w:rPr>
          <w:rFonts w:hint="cs"/>
          <w:b/>
          <w:bCs/>
          <w:rtl/>
        </w:rPr>
        <w:t>معد</w:t>
      </w:r>
      <w:r>
        <w:rPr>
          <w:rFonts w:hint="cs"/>
          <w:b/>
          <w:bCs/>
          <w:rtl/>
        </w:rPr>
        <w:t>لات</w:t>
      </w:r>
      <w:r w:rsidRPr="006732B4">
        <w:rPr>
          <w:rFonts w:hint="cs"/>
          <w:b/>
          <w:bCs/>
          <w:rtl/>
        </w:rPr>
        <w:t xml:space="preserve"> الإجهاض (1999-2004)</w:t>
      </w:r>
    </w:p>
    <w:p w:rsidR="00FE4F97" w:rsidRDefault="00FE4F97">
      <w:pPr>
        <w:pStyle w:val="SingleTxt"/>
        <w:rPr>
          <w:rFonts w:hint="cs"/>
          <w:rtl/>
        </w:rPr>
      </w:pPr>
      <w:r>
        <w:rPr>
          <w:noProof/>
        </w:rPr>
        <w:pict>
          <v:shape id="_x0000_s1271" type="#_x0000_t75" style="position:absolute;left:0;text-align:left;margin-left:12.25pt;margin-top:5.4pt;width:468pt;height:229.6pt;z-index:53" wrapcoords="1385 1482 1350 2047 1869 2612 2423 2612 1454 3529 1350 3741 1523 3741 1385 4235 1627 4518 2423 4871 1558 5576 1385 5859 1523 6000 1385 6424 1627 6706 2423 7129 865 7482 692 7765 762 9035 1315 9388 2423 9388 1592 9882 1385 10094 1454 10659 2319 11647 1696 12071 1592 12212 1627 12776 2388 13906 1835 14259 1869 14965 10800 15035 3773 15529 3392 15529 3462 16306 9588 17294 10246 17294 10246 17576 10662 18424 4812 18565 4812 20259 17273 20259 17342 18635 17065 18565 10800 18424 11562 17859 11527 17365 11388 17294 18381 16306 18485 15529 18069 15529 10800 15035 19835 14965 19973 14329 19385 13906 19869 13694 19869 12918 19385 12776 19869 12353 19869 11647 19558 11647 19938 10871 19904 9388 20735 9106 20735 7553 20077 7129 20146 6282 20181 5576 20042 5294 19385 4871 20112 4659 20112 3953 19385 3741 20112 3459 20112 2682 19800 2612 20146 2047 20112 1482 1385 1482">
            <v:imagedata r:id="rId33" o:title=""/>
            <w10:wrap type="tight"/>
          </v:shape>
          <o:OLEObject Type="Embed" ProgID="MSGraph.Chart.8" ShapeID="_x0000_s1271" DrawAspect="Content" ObjectID="_1395245889" r:id="rId34">
            <o:FieldCodes>\s</o:FieldCodes>
          </o:OLEObject>
        </w:pict>
      </w:r>
    </w:p>
    <w:p w:rsidR="00FE4F97" w:rsidRDefault="00FE4F97">
      <w:pPr>
        <w:pStyle w:val="SingleTxt"/>
        <w:rPr>
          <w:rFonts w:hint="cs"/>
          <w:rtl/>
        </w:rPr>
      </w:pPr>
    </w:p>
    <w:p w:rsidR="00FE4F97" w:rsidRDefault="00FE4F97">
      <w:pPr>
        <w:pStyle w:val="SingleTxt"/>
        <w:rPr>
          <w:rFonts w:hint="cs"/>
          <w:rtl/>
        </w:rPr>
      </w:pPr>
      <w:r>
        <w:rPr>
          <w:rFonts w:hint="cs"/>
          <w:noProof/>
          <w:w w:val="100"/>
          <w:rtl/>
        </w:rPr>
        <w:pict>
          <v:shape id="_x0000_s1286" type="#_x0000_t202" style="position:absolute;left:0;text-align:left;margin-left:-436.5pt;margin-top:20.6pt;width:15.45pt;height:39pt;z-index:68" stroked="f">
            <v:textbox style="layout-flow:vertical;mso-layout-flow-alt:bottom-to-top;mso-next-textbox:#_x0000_s1286" inset="0,0,0,0">
              <w:txbxContent>
                <w:p w:rsidR="007433E8" w:rsidRPr="000579DC" w:rsidRDefault="007433E8">
                  <w:pPr>
                    <w:spacing w:line="240" w:lineRule="exact"/>
                    <w:jc w:val="center"/>
                    <w:rPr>
                      <w:rFonts w:hint="cs"/>
                      <w:sz w:val="24"/>
                      <w:szCs w:val="24"/>
                    </w:rPr>
                  </w:pPr>
                  <w:r>
                    <w:rPr>
                      <w:rFonts w:hint="cs"/>
                      <w:sz w:val="24"/>
                      <w:szCs w:val="24"/>
                      <w:rtl/>
                    </w:rPr>
                    <w:t>المعدلات</w:t>
                  </w:r>
                </w:p>
              </w:txbxContent>
            </v:textbox>
            <w10:wrap anchorx="page"/>
          </v:shape>
        </w:pict>
      </w: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AD2A7A">
      <w:pPr>
        <w:pStyle w:val="SingleTxt"/>
        <w:rPr>
          <w:rFonts w:hint="cs"/>
          <w:rtl/>
        </w:rPr>
      </w:pPr>
      <w:r>
        <w:rPr>
          <w:rFonts w:hint="cs"/>
          <w:noProof/>
          <w:w w:val="100"/>
          <w:rtl/>
        </w:rPr>
        <w:pict>
          <v:shape id="_x0000_s1288" type="#_x0000_t202" style="position:absolute;left:0;text-align:left;margin-left:-310.25pt;margin-top:49.1pt;width:77.25pt;height:14.4pt;z-index:70" stroked="f">
            <v:textbox style="mso-next-textbox:#_x0000_s1288" inset="0,0,0,0">
              <w:txbxContent>
                <w:p w:rsidR="007433E8" w:rsidRPr="000579DC" w:rsidRDefault="007433E8">
                  <w:pPr>
                    <w:spacing w:line="240" w:lineRule="exact"/>
                    <w:jc w:val="center"/>
                    <w:rPr>
                      <w:rFonts w:hint="cs"/>
                      <w:szCs w:val="20"/>
                    </w:rPr>
                  </w:pPr>
                  <w:r>
                    <w:rPr>
                      <w:rFonts w:hint="cs"/>
                      <w:szCs w:val="20"/>
                      <w:rtl/>
                    </w:rPr>
                    <w:t>لكل 000 1 مولود حي</w:t>
                  </w:r>
                </w:p>
              </w:txbxContent>
            </v:textbox>
            <w10:wrap anchorx="page"/>
          </v:shape>
        </w:pict>
      </w:r>
      <w:r>
        <w:rPr>
          <w:rFonts w:hint="cs"/>
          <w:noProof/>
          <w:w w:val="100"/>
          <w:rtl/>
        </w:rPr>
        <w:pict>
          <v:shape id="_x0000_s1289" type="#_x0000_t202" style="position:absolute;left:0;text-align:left;margin-left:-205.4pt;margin-top:49.1pt;width:133.15pt;height:14.4pt;z-index:71" stroked="f">
            <v:textbox style="mso-next-textbox:#_x0000_s1289" inset="0,0,0,0">
              <w:txbxContent>
                <w:p w:rsidR="007433E8" w:rsidRPr="000579DC" w:rsidRDefault="007433E8">
                  <w:pPr>
                    <w:spacing w:line="240" w:lineRule="exact"/>
                    <w:jc w:val="center"/>
                    <w:rPr>
                      <w:rFonts w:hint="cs"/>
                      <w:szCs w:val="20"/>
                    </w:rPr>
                  </w:pPr>
                  <w:r>
                    <w:rPr>
                      <w:rFonts w:hint="cs"/>
                      <w:szCs w:val="20"/>
                      <w:rtl/>
                    </w:rPr>
                    <w:t>لكل امرأة في سن الإنجاب</w:t>
                  </w:r>
                </w:p>
              </w:txbxContent>
            </v:textbox>
            <w10:wrap anchorx="page"/>
          </v:shape>
        </w:pict>
      </w:r>
      <w:r w:rsidR="00FE4F97">
        <w:rPr>
          <w:rFonts w:hint="cs"/>
          <w:noProof/>
          <w:w w:val="100"/>
          <w:rtl/>
        </w:rPr>
        <w:pict>
          <v:shape id="_x0000_s1287" type="#_x0000_t202" style="position:absolute;left:0;text-align:left;margin-left:-238.85pt;margin-top:24.9pt;width:66.95pt;height:18.05pt;z-index:69" stroked="f">
            <v:textbox style="mso-next-textbox:#_x0000_s1287" inset="0,0,0,0">
              <w:txbxContent>
                <w:p w:rsidR="007433E8" w:rsidRPr="000579DC" w:rsidRDefault="007433E8">
                  <w:pPr>
                    <w:spacing w:line="240" w:lineRule="exact"/>
                    <w:jc w:val="center"/>
                    <w:rPr>
                      <w:rFonts w:hint="cs"/>
                      <w:sz w:val="24"/>
                      <w:szCs w:val="24"/>
                    </w:rPr>
                  </w:pPr>
                  <w:r>
                    <w:rPr>
                      <w:rFonts w:hint="cs"/>
                      <w:sz w:val="24"/>
                      <w:szCs w:val="24"/>
                      <w:rtl/>
                    </w:rPr>
                    <w:t>السنوات</w:t>
                  </w:r>
                </w:p>
              </w:txbxContent>
            </v:textbox>
            <w10:wrap anchorx="page"/>
          </v:shape>
        </w:pict>
      </w: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r>
        <w:rPr>
          <w:rFonts w:hint="cs"/>
          <w:rtl/>
        </w:rPr>
        <w:tab/>
        <w:t>ونسبة 7 في المائة من وفيات الأمهات بين عامي 2000 و2004 تعزى إلى الإجهاض ونسبة 54.5 من الوفيات حدثت بسبب مضاعفات الإجهاض غير المأمون</w:t>
      </w:r>
      <w:r w:rsidRPr="001F61F6">
        <w:rPr>
          <w:vertAlign w:val="superscript"/>
          <w:rtl/>
        </w:rPr>
        <w:t>(</w:t>
      </w:r>
      <w:r>
        <w:rPr>
          <w:rStyle w:val="FootnoteReference"/>
          <w:rtl/>
        </w:rPr>
        <w:footnoteReference w:id="25"/>
      </w:r>
      <w:r w:rsidRPr="001F61F6">
        <w:rPr>
          <w:vertAlign w:val="superscript"/>
          <w:rtl/>
        </w:rPr>
        <w:t>)</w:t>
      </w:r>
      <w:r>
        <w:rPr>
          <w:rFonts w:hint="cs"/>
          <w:rtl/>
        </w:rPr>
        <w:t>. وطبقا للدراسة الاستقصائية التي أجرتها مؤسسة الصحة العامة في عام 2001، فإنه من بين 900 امرأة أُجهضت، أجريت عمليات إجهاض متكررة لنسبة 4, 52 في المائة. وثلث النساء اللائي أُجهضن بصورة متكررة لم يستخدمن قط أي وسائل لمنع الحمل. ونسبة 37.8 في المائة من النساء اللائي أُجهضن عللن سبب القيام بذلك إلى عدم الجدوى اقتصاديا، ونسبة 21.9 في المائة إلى مواصلة دراستهن ونسبة 17 في المائة إلى وجود أطفال صغار. وتزيد عمليات الإجهاض في المستشفيات الخاصة بيد أن المعلومات المتعلقة بعدد عمليات الإجهاض ناقصة كما أن نظام التسجيل والمعلومات غير كامل</w:t>
      </w:r>
      <w:r w:rsidRPr="00670C78">
        <w:rPr>
          <w:vertAlign w:val="superscript"/>
          <w:rtl/>
        </w:rPr>
        <w:t>(</w:t>
      </w:r>
      <w:r>
        <w:rPr>
          <w:rStyle w:val="FootnoteReference"/>
          <w:rtl/>
        </w:rPr>
        <w:footnoteReference w:id="26"/>
      </w:r>
      <w:r w:rsidRPr="00670C78">
        <w:rPr>
          <w:vertAlign w:val="superscript"/>
          <w:rtl/>
        </w:rPr>
        <w:t>)</w:t>
      </w:r>
      <w:r>
        <w:rPr>
          <w:rFonts w:hint="cs"/>
          <w:rtl/>
        </w:rPr>
        <w:t>. وينبغي إيلاء الاعتبار الواجب إلى أن الإجهاض أخذ يتزايد بين النساء غير المتزوجات ولا سيما بين الفتيات كما أن إمكانية حصولهن على خدمات تنظيم النسل محدودة</w:t>
      </w:r>
      <w:r w:rsidRPr="00670C78">
        <w:rPr>
          <w:vertAlign w:val="superscript"/>
          <w:rtl/>
        </w:rPr>
        <w:t>(</w:t>
      </w:r>
      <w:r>
        <w:rPr>
          <w:rStyle w:val="FootnoteReference"/>
          <w:rtl/>
        </w:rPr>
        <w:footnoteReference w:id="27"/>
      </w:r>
      <w:r w:rsidRPr="00670C78">
        <w:rPr>
          <w:vertAlign w:val="superscript"/>
          <w:rtl/>
        </w:rPr>
        <w:t>)</w:t>
      </w:r>
      <w:r>
        <w:rPr>
          <w:rFonts w:hint="cs"/>
          <w:rtl/>
        </w:rPr>
        <w:t>. ولذلك، تتخذ الحكومة تدابير بالتعاون مع المنظمات الدولية والمنظمات غير الحكومية لوضع مبادئ توجيهية لاتباع المعايير والإدارة في القيام بالإجهاض المأمون؛ وتحسين نوعية إسداء المشورة قبل الإجهاض وبعده؛ وإظهار المعلومات بصورة كاملة والإبلاغ عن عمليات الإجهاض التي تجرى في المستشفيات الخاصة وذلك في الإحصاءات ذات الصلة بالصحة؛ وتوزيع منهجيات تنظيم الأسرة مجانا والتسويق الاجتماعي لوسائل منع الحمل بواسطة أخصائيي الرعاية الصحية الأولية.</w:t>
      </w:r>
    </w:p>
    <w:p w:rsidR="00FE4F97" w:rsidRDefault="00FE4F97">
      <w:pPr>
        <w:pStyle w:val="SingleTxt"/>
        <w:rPr>
          <w:rFonts w:hint="cs"/>
          <w:rtl/>
        </w:rPr>
      </w:pPr>
      <w:r>
        <w:rPr>
          <w:rFonts w:hint="cs"/>
          <w:rtl/>
        </w:rPr>
        <w:tab/>
        <w:t>ومعرفة السكان واحتياجاتهن فيما يتعلق بتنظيم الأسرة آخذة في التحسن عاما بعد عام وبالمقارنة بالدراسة الاستقصائية المتعلقة بالصحة الإنجابية عام 1998 زاد استخدام وسائل منع الحمل الحديثة من نسبة 33 في المائة إلى 45 في المائة كما زاد اشتراك الرجل في تنظيم الأسرة. وتستخدم نسبة 62 في المائة من النساء المتزوجات وسائل منع الحمل. وتكشف الدراسة الاستقصائية عن أن استخدام وسائل منع الحمل مرتفع نسبيا بين الريفيات. ومن بين وسائل منع الحمل الحديثة المستخدمة يتسم جهاز منع الحمل الرحمي، والأقراص والصائن الذكري بأنها الأكثر شيوعا وتحصل عليها نسبة 72 في المائة من النساء مجانا. ومع ذلك، مازالت الحاجة تدعو إلى اتخاذ تدابير لاكتشاف الاحتياجات التي لم تُلبَّ في تنظيم الأسرة وتغطية الأسر المستهدفة في تنظيم الأسرة. ولا تستطيع المرأة الضعيفة والفقيرة استخدام الطريقة الفعالة لتنظيم الأسرة وتموت بسبب مضاعفات الحمل والولادة</w:t>
      </w:r>
      <w:r w:rsidRPr="00F91FA8">
        <w:rPr>
          <w:vertAlign w:val="superscript"/>
          <w:rtl/>
        </w:rPr>
        <w:t>(</w:t>
      </w:r>
      <w:r>
        <w:rPr>
          <w:rStyle w:val="FootnoteReference"/>
          <w:rtl/>
        </w:rPr>
        <w:footnoteReference w:id="28"/>
      </w:r>
      <w:r w:rsidRPr="00F91FA8">
        <w:rPr>
          <w:vertAlign w:val="superscript"/>
          <w:rtl/>
        </w:rPr>
        <w:t>)</w:t>
      </w:r>
      <w:r>
        <w:rPr>
          <w:rFonts w:hint="cs"/>
          <w:rtl/>
        </w:rPr>
        <w:t>.</w:t>
      </w:r>
    </w:p>
    <w:p w:rsidR="00FE4F97" w:rsidRDefault="00FE4F97">
      <w:pPr>
        <w:pStyle w:val="SingleTxt"/>
        <w:rPr>
          <w:rFonts w:hint="cs"/>
          <w:rtl/>
        </w:rPr>
      </w:pPr>
      <w:r>
        <w:rPr>
          <w:rFonts w:hint="cs"/>
          <w:rtl/>
        </w:rPr>
        <w:tab/>
        <w:t>ومن بين الأمراض المعدية، مثَّلت الأمراض التي انتقلت بالاتصال الجنسي في عام 2004 نسبة 43.6 في المائة منها نسبة 45.2 في المائة تمثلت في الإلتهاب المهبلي الحاد، ونسبة 41.8 في المائة تمثلت في السيلان ونسبة 12.9 في المائة تمثلت في الزهري</w:t>
      </w:r>
      <w:r w:rsidRPr="000D5F0D">
        <w:rPr>
          <w:vertAlign w:val="superscript"/>
          <w:rtl/>
        </w:rPr>
        <w:t>(</w:t>
      </w:r>
      <w:r>
        <w:rPr>
          <w:rStyle w:val="FootnoteReference"/>
          <w:rtl/>
        </w:rPr>
        <w:footnoteReference w:id="29"/>
      </w:r>
      <w:r w:rsidRPr="000D5F0D">
        <w:rPr>
          <w:vertAlign w:val="superscript"/>
          <w:rtl/>
        </w:rPr>
        <w:t>)</w:t>
      </w:r>
      <w:r>
        <w:rPr>
          <w:rFonts w:hint="cs"/>
          <w:rtl/>
        </w:rPr>
        <w:t xml:space="preserve"> (الرسم البياني 12).</w:t>
      </w:r>
    </w:p>
    <w:p w:rsidR="00FE4F97" w:rsidRDefault="00FE4F97">
      <w:pPr>
        <w:pStyle w:val="SingleTxt"/>
        <w:rPr>
          <w:rFonts w:hint="cs"/>
          <w:rtl/>
        </w:rPr>
      </w:pPr>
    </w:p>
    <w:p w:rsidR="00FE4F97" w:rsidRDefault="00FE4F97">
      <w:pPr>
        <w:pStyle w:val="SingleTxt"/>
        <w:spacing w:after="0"/>
        <w:rPr>
          <w:rFonts w:hint="cs"/>
          <w:rtl/>
        </w:rPr>
      </w:pPr>
      <w:r>
        <w:rPr>
          <w:rFonts w:hint="cs"/>
          <w:rtl/>
        </w:rPr>
        <w:t>الرسم البياني 12</w:t>
      </w:r>
    </w:p>
    <w:p w:rsidR="00FE4F97" w:rsidRPr="006732B4" w:rsidRDefault="00FE4F97">
      <w:pPr>
        <w:pStyle w:val="SingleTxt"/>
        <w:rPr>
          <w:rFonts w:hint="cs"/>
          <w:b/>
          <w:bCs/>
          <w:rtl/>
        </w:rPr>
      </w:pPr>
      <w:r>
        <w:rPr>
          <w:rFonts w:hint="cs"/>
          <w:noProof/>
          <w:w w:val="100"/>
          <w:rtl/>
        </w:rPr>
        <w:pict>
          <v:shape id="_x0000_s1272" type="#_x0000_t75" style="position:absolute;left:0;text-align:left;margin-left:46.35pt;margin-top:18pt;width:378.4pt;height:188.3pt;z-index:54">
            <v:imagedata r:id="rId35" o:title=""/>
          </v:shape>
          <o:OLEObject Type="Embed" ProgID="MSGraph.Chart.8" ShapeID="_x0000_s1272" DrawAspect="Content" ObjectID="_1395245890" r:id="rId36">
            <o:FieldCodes>\s</o:FieldCodes>
          </o:OLEObject>
        </w:pict>
      </w:r>
      <w:r w:rsidRPr="006732B4">
        <w:rPr>
          <w:rFonts w:hint="cs"/>
          <w:b/>
          <w:bCs/>
          <w:rtl/>
        </w:rPr>
        <w:t>انتشار الأمراض التي تنتقل بالاتصال الجنسي</w:t>
      </w: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r>
        <w:rPr>
          <w:rFonts w:hint="cs"/>
          <w:noProof/>
          <w:w w:val="100"/>
          <w:rtl/>
        </w:rPr>
        <w:pict>
          <v:shape id="_x0000_s1290" type="#_x0000_t202" style="position:absolute;left:0;text-align:left;margin-left:113.25pt;margin-top:20.8pt;width:27pt;height:18pt;z-index:72" stroked="f">
            <v:textbox style="mso-next-textbox:#_x0000_s1290" inset="0,0,0,0">
              <w:txbxContent>
                <w:p w:rsidR="007433E8" w:rsidRPr="000579DC" w:rsidRDefault="007433E8">
                  <w:pPr>
                    <w:spacing w:line="240" w:lineRule="exact"/>
                    <w:jc w:val="center"/>
                    <w:rPr>
                      <w:rFonts w:hint="cs"/>
                      <w:szCs w:val="20"/>
                    </w:rPr>
                  </w:pPr>
                  <w:r>
                    <w:rPr>
                      <w:rFonts w:hint="cs"/>
                      <w:szCs w:val="20"/>
                      <w:rtl/>
                    </w:rPr>
                    <w:t>السل</w:t>
                  </w:r>
                </w:p>
              </w:txbxContent>
            </v:textbox>
            <w10:wrap anchorx="page"/>
          </v:shape>
        </w:pict>
      </w:r>
      <w:r>
        <w:rPr>
          <w:rFonts w:hint="cs"/>
          <w:noProof/>
          <w:w w:val="100"/>
          <w:rtl/>
        </w:rPr>
        <w:pict>
          <v:shape id="_x0000_s1292" type="#_x0000_t202" style="position:absolute;left:0;text-align:left;margin-left:327.75pt;margin-top:22.8pt;width:50.35pt;height:18pt;z-index:74" stroked="f">
            <v:textbox style="mso-next-textbox:#_x0000_s1292" inset="0,0,0,0">
              <w:txbxContent>
                <w:p w:rsidR="007433E8" w:rsidRPr="000579DC" w:rsidRDefault="007433E8">
                  <w:pPr>
                    <w:spacing w:line="240" w:lineRule="exact"/>
                    <w:jc w:val="center"/>
                    <w:rPr>
                      <w:rFonts w:hint="cs"/>
                      <w:szCs w:val="20"/>
                    </w:rPr>
                  </w:pPr>
                  <w:r>
                    <w:rPr>
                      <w:rFonts w:hint="cs"/>
                      <w:szCs w:val="20"/>
                      <w:rtl/>
                    </w:rPr>
                    <w:t>السيلان</w:t>
                  </w:r>
                </w:p>
              </w:txbxContent>
            </v:textbox>
            <w10:wrap anchorx="page"/>
          </v:shape>
        </w:pict>
      </w:r>
      <w:r>
        <w:rPr>
          <w:rFonts w:hint="cs"/>
          <w:noProof/>
          <w:w w:val="100"/>
          <w:rtl/>
        </w:rPr>
        <w:pict>
          <v:shape id="_x0000_s1291" type="#_x0000_t202" style="position:absolute;left:0;text-align:left;margin-left:213.3pt;margin-top:20.8pt;width:50.35pt;height:18pt;z-index:73" stroked="f">
            <v:textbox style="mso-next-textbox:#_x0000_s1291" inset="0,0,0,0">
              <w:txbxContent>
                <w:p w:rsidR="007433E8" w:rsidRPr="000579DC" w:rsidRDefault="007433E8">
                  <w:pPr>
                    <w:spacing w:line="240" w:lineRule="exact"/>
                    <w:jc w:val="center"/>
                    <w:rPr>
                      <w:rFonts w:hint="cs"/>
                      <w:szCs w:val="20"/>
                    </w:rPr>
                  </w:pPr>
                  <w:r>
                    <w:rPr>
                      <w:rFonts w:hint="cs"/>
                      <w:szCs w:val="20"/>
                      <w:rtl/>
                    </w:rPr>
                    <w:t>الزهري</w:t>
                  </w:r>
                </w:p>
              </w:txbxContent>
            </v:textbox>
            <w10:wrap anchorx="page"/>
          </v:shape>
        </w:pict>
      </w:r>
    </w:p>
    <w:p w:rsidR="00FE4F97" w:rsidRDefault="00FE4F97">
      <w:pPr>
        <w:pStyle w:val="SingleTxt"/>
        <w:rPr>
          <w:rFonts w:hint="cs"/>
          <w:rtl/>
        </w:rPr>
      </w:pPr>
    </w:p>
    <w:p w:rsidR="00FE4F97" w:rsidRDefault="00FE4F97">
      <w:pPr>
        <w:pStyle w:val="SingleTxt"/>
        <w:rPr>
          <w:rFonts w:hint="cs"/>
          <w:rtl/>
        </w:rPr>
      </w:pPr>
      <w:r>
        <w:rPr>
          <w:rFonts w:hint="cs"/>
          <w:rtl/>
        </w:rPr>
        <w:tab/>
        <w:t>وجرى الإبلاغ عن 16 حالة إصابة بفيروس نقص المناعة البشرية منذ تسجيل أول  حالة في عام 1992. وهناك عدة عوامل تؤدي إلى ارتفاع مخاطر انتشار فيروس نقص المناعة البشرية/الإيدز. وهذه العوامل: صغر سن السكان نسبيا؛ وتزايد انتشار الأمراض التي تنتقل بالاتصال الجنسي في السنوات الأخيرة؛ والتزايد المستمر في عدد المهاجرين الداخليين من الريف إلى الحضر والأشخاص الذين ينتقلون عبر الحدود؛ والتزايد السريع في انتشار فيروس نقص المناعة البشرية/الإيدز في البلدان المجاورة</w:t>
      </w:r>
      <w:r w:rsidRPr="005104D1">
        <w:rPr>
          <w:vertAlign w:val="superscript"/>
          <w:rtl/>
        </w:rPr>
        <w:t>(</w:t>
      </w:r>
      <w:r>
        <w:rPr>
          <w:rStyle w:val="FootnoteReference"/>
          <w:rtl/>
        </w:rPr>
        <w:footnoteReference w:id="30"/>
      </w:r>
      <w:r w:rsidRPr="005104D1">
        <w:rPr>
          <w:vertAlign w:val="superscript"/>
          <w:rtl/>
        </w:rPr>
        <w:t>)</w:t>
      </w:r>
      <w:r>
        <w:rPr>
          <w:rFonts w:hint="cs"/>
          <w:rtl/>
        </w:rPr>
        <w:t>. ومن بين الأمراض المعدية مازالت نسبة الإصابة بالأمراض التي تنتقل بالاتصال الجنسي و السل مرتفعة.</w:t>
      </w:r>
    </w:p>
    <w:p w:rsidR="00FE4F97" w:rsidRDefault="00FE4F97" w:rsidP="000F5B52">
      <w:pPr>
        <w:pStyle w:val="SingleTxt"/>
        <w:spacing w:line="360" w:lineRule="exact"/>
        <w:rPr>
          <w:rFonts w:hint="cs"/>
          <w:rtl/>
        </w:rPr>
      </w:pPr>
      <w:r>
        <w:rPr>
          <w:rFonts w:hint="cs"/>
          <w:rtl/>
        </w:rPr>
        <w:tab/>
        <w:t>وقيام برلمان منغوليا باعتماد القانون المتعلق بالصحة العقلية في عام 2000 وتنفيذ الحكومة للبرنامج الوطني المتعلق بالصحة العقلية منذ عام 2002 من شأنه تهيئة الأوضاع القانونية المؤاتية لتحسين الصحة العقلية للسكان وتقديم خدمات الصحة العقلية القائمة على المجتمعات المحلية لهم.</w:t>
      </w:r>
    </w:p>
    <w:p w:rsidR="00FE4F97" w:rsidRDefault="00FE4F97">
      <w:pPr>
        <w:pStyle w:val="SingleTxt"/>
        <w:rPr>
          <w:rFonts w:hint="cs"/>
          <w:rtl/>
        </w:rPr>
      </w:pPr>
      <w:r>
        <w:rPr>
          <w:rFonts w:hint="cs"/>
          <w:rtl/>
        </w:rPr>
        <w:tab/>
        <w:t>ونتيجة لإتساع نطاق عملية الإصلاح، انهار النظام الاجتماعي والرعاية الإجتماعية اللذان كانا قائمين وموزعين بالتساوي سابقا ورتب فقدان العمل وضمان سبل العيش آثارا شديدة على الحالة النفسية للشعب الذي اعتاد الحصول على كل شيء بسهولة. وعلاوة على ذلك، تؤدي الصعوبات المقترنة بالضعف الاقتصادي، والفقر، والبطالة إلى زيادة الآثار الاجتماعية الضارة مثل الجرائم، وإدمان المسكرات، والعنف، والبغاء وإثارة الإضطراب، والخوف، وخطر الإصابة باضطراب عقلي بين السكان.</w:t>
      </w:r>
    </w:p>
    <w:p w:rsidR="00FE4F97" w:rsidRDefault="00FE4F97">
      <w:pPr>
        <w:pStyle w:val="SingleTxt"/>
        <w:rPr>
          <w:rFonts w:hint="cs"/>
          <w:rtl/>
        </w:rPr>
      </w:pPr>
      <w:r>
        <w:rPr>
          <w:rFonts w:hint="cs"/>
          <w:rtl/>
        </w:rPr>
        <w:tab/>
        <w:t>ونسبة 90 في المائة من المصروفات العامة على العلاج وإعادة التأهيل والرعاية الاجتماعية فيما يتعلق بالاضطراب العقلي وإدمان المسكرات لا تنفق إلا على المستشفيات ذات الأسِرَّة. وهناك افتقار في المهنيين والموارد البشرية لتقديم خدمات الصحة العقلية القائمة على المجتمع المحلي. ويشير هذا إلى أنه ينبغي إيلاء الاعتبار الواجب للقضايا التالية: جعل خدمات الصحة العقلية قائمة على المجتمع المحلي وجماعية؛ وإيلاء اهتمام خاص بتدابير الوقاية من الاضطراب العقلي والسلوكي؛ وخفض والقضاء على العوامل الاجتماعية غير المؤاتية الأخرى المؤثرة على الصحة العقلية للسكان؛ وتحسين مهارات المنظمات المهنية والمهنيين؛ وزيادة تشجيع مشاركة ودعم الجمهور، والأفراد والمانحين في دعم تدابير الصحة العقلية.</w:t>
      </w:r>
    </w:p>
    <w:p w:rsidR="00FE4F97" w:rsidRDefault="00FE4F97">
      <w:pPr>
        <w:pStyle w:val="SingleTxt"/>
        <w:rPr>
          <w:rFonts w:hint="cs"/>
          <w:rtl/>
        </w:rPr>
      </w:pPr>
      <w:r>
        <w:rPr>
          <w:rFonts w:hint="cs"/>
          <w:rtl/>
        </w:rPr>
        <w:tab/>
        <w:t>وتمثل أمراض القلب والأوعية الدموية، والسرطان، والحوادث وبخاصة حوادث الأطفال مشاكل رئيسية للصحة العامة</w:t>
      </w:r>
      <w:r w:rsidRPr="005104D1">
        <w:rPr>
          <w:vertAlign w:val="superscript"/>
          <w:rtl/>
        </w:rPr>
        <w:t>(</w:t>
      </w:r>
      <w:r>
        <w:rPr>
          <w:rStyle w:val="FootnoteReference"/>
          <w:rtl/>
        </w:rPr>
        <w:footnoteReference w:id="31"/>
      </w:r>
      <w:r w:rsidRPr="005104D1">
        <w:rPr>
          <w:vertAlign w:val="superscript"/>
          <w:rtl/>
        </w:rPr>
        <w:t>)</w:t>
      </w:r>
      <w:r>
        <w:rPr>
          <w:rFonts w:hint="cs"/>
          <w:rtl/>
        </w:rPr>
        <w:t>. وتظهر مؤشرات الصحة أنه من بين مجموع الوفيات كانت نسبة وفيات الأشخاص البالغين من العمر 55 عاما أو أكثر 47.2 في المائة في متوسط السنوات الخمس الأخيرة. ومن بين الأسباب الرئيسية لوفاتهم يمثل مرض الدورة الدموية نسبة 45.1 في المائة، ويمثل السرطان نسبة 27.8 في المائة، وتمثل أمراض الجهاز التنفسي نسبة 7.5 في المائة، وتمثل أمراض الجهاز الهضمي نسبة 6.5 في المائة وتمثل الحوادث والأسباب الخارجية الأخرى نسبة 1.5 في المائة</w:t>
      </w:r>
      <w:r w:rsidRPr="005104D1">
        <w:rPr>
          <w:vertAlign w:val="superscript"/>
          <w:rtl/>
        </w:rPr>
        <w:t>(</w:t>
      </w:r>
      <w:r>
        <w:rPr>
          <w:rStyle w:val="FootnoteReference"/>
          <w:rtl/>
        </w:rPr>
        <w:footnoteReference w:id="32"/>
      </w:r>
      <w:r w:rsidRPr="005104D1">
        <w:rPr>
          <w:vertAlign w:val="superscript"/>
          <w:rtl/>
        </w:rPr>
        <w:t>)</w:t>
      </w:r>
      <w:r>
        <w:rPr>
          <w:rFonts w:hint="cs"/>
          <w:rtl/>
        </w:rPr>
        <w:t xml:space="preserve">. والأنشطة التقليدية المقدمة للمسنين مثل تحسين صحتهم ورعايتهم الاجتماعية ودفع تأمينهم الصحي وتقديم خدمات المستشفيات مجانا تدعو الحاجة إلى إعادة النظر فيها بغية تحويل السياسة العامة إلى تهيئة بيئة يمكن أن يعيش فيها المسنون حياة نشطة وذات معنى. ولذلك، ينبغي على كل شخص وفرد في الأسرة أن يكيف نفسه لحماية صحة ذويه وأفراد أسرته حسب سنهم وجنسهم. </w:t>
      </w:r>
    </w:p>
    <w:p w:rsidR="00FE4F97" w:rsidRDefault="00FE4F97">
      <w:pPr>
        <w:pStyle w:val="SingleTxt"/>
        <w:rPr>
          <w:rFonts w:hint="cs"/>
          <w:rtl/>
        </w:rPr>
      </w:pPr>
      <w:r>
        <w:rPr>
          <w:rFonts w:hint="cs"/>
          <w:rtl/>
        </w:rPr>
        <w:tab/>
        <w:t>والتنمية الحالية غير المتساوية للهياكل الأساسية، والافتقار إلى شبكة طرق يجعلان من الصعب تحسين الوصول إلى الخدمات الصحية وبخاصة اعطاء رعاية التوليد الطارئ في حينها. وبعض العوامل مثل السلوك التقليدي، والافتقار إلى الأموال والتنسيق القطاعي الشامل، وعدم المساواة في الدعم المقدم من الحكومة والمنظمات غير الحكومية واشتراكهما يضر بالأمومة المأمونة. ولتحقيق الأهداف الإنمائية للألفية لخفض معدل وفيات الأمهات والأطفال، فإن الاستراتيجية التالية مطلوبة:</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1 -</w:t>
      </w:r>
      <w:r>
        <w:rPr>
          <w:rFonts w:hint="cs"/>
          <w:rtl/>
        </w:rPr>
        <w:tab/>
        <w:t>زيادة اشتراك ودعم الحكومة، والمنظمات غير الحكومية والمانحين في أنشطة الصحة الإنجابية والأمومة المأمونة وتحسين الاتساق والتعاون في العمل بين القطاعات،</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2 -</w:t>
      </w:r>
      <w:r>
        <w:rPr>
          <w:rFonts w:hint="cs"/>
          <w:rtl/>
        </w:rPr>
        <w:tab/>
        <w:t>تحسين الإدارة والتنظيم، وتوفير الخدمات للأم والطفل، وتعزيز قدرة الموارد البشرية،</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 xml:space="preserve"> 3 -</w:t>
      </w:r>
      <w:r>
        <w:rPr>
          <w:rFonts w:hint="cs"/>
          <w:rtl/>
        </w:rPr>
        <w:tab/>
        <w:t>تحسين نوعية الخدمات وإمكانية حصول الأم والطفل عليها من خلال تمركز ممارسات المعايير الدولية المختبرة ومراعاة المواصفات الوطنية،</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4 -</w:t>
      </w:r>
      <w:r>
        <w:rPr>
          <w:rFonts w:hint="cs"/>
          <w:rtl/>
        </w:rPr>
        <w:tab/>
        <w:t>زيادة إمكانية وصول الفئات الضعيفة اجتماعيا القاطنة في مناطق نائية، والمهاجرين والذين يعيشون أدنى من مستوى المعيشة، على خدمات الصحة الإنجابية، والأمومة المأمونة،</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 xml:space="preserve"> 5 -</w:t>
      </w:r>
      <w:r>
        <w:rPr>
          <w:rFonts w:hint="cs"/>
          <w:rtl/>
        </w:rPr>
        <w:tab/>
        <w:t>زيادة وتشجيع دعم الزملاء، وأفراد الأسرة، والأزواج والأفراد للحصول على الخدمات في الوقت المناسب لمنع مضاعفات الحمل، والولادة وما بعد الولادة.</w:t>
      </w:r>
    </w:p>
    <w:p w:rsidR="00FE4F97" w:rsidRPr="00BC5B50"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FE4F97" w:rsidRDefault="00FE4F97" w:rsidP="000F5B5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3-3</w:t>
      </w:r>
      <w:r>
        <w:rPr>
          <w:rFonts w:hint="cs"/>
          <w:i/>
          <w:iCs/>
          <w:rtl/>
        </w:rPr>
        <w:tab/>
        <w:t xml:space="preserve">كفالة حقوق المرأة للمشاركة </w:t>
      </w:r>
      <w:r w:rsidR="000F5B52">
        <w:rPr>
          <w:rFonts w:hint="cs"/>
          <w:i/>
          <w:iCs/>
          <w:rtl/>
        </w:rPr>
        <w:t xml:space="preserve">في الحياة السياسية والاقتصادية </w:t>
      </w:r>
      <w:r>
        <w:rPr>
          <w:rFonts w:hint="cs"/>
          <w:i/>
          <w:iCs/>
          <w:rtl/>
        </w:rPr>
        <w:t>والاجتماعية</w:t>
      </w:r>
    </w:p>
    <w:p w:rsidR="00FE4F97" w:rsidRDefault="00FE4F97">
      <w:pPr>
        <w:pStyle w:val="SingleTxt"/>
        <w:rPr>
          <w:rFonts w:hint="cs"/>
          <w:rtl/>
        </w:rPr>
      </w:pPr>
      <w:r>
        <w:rPr>
          <w:rFonts w:hint="cs"/>
          <w:rtl/>
        </w:rPr>
        <w:tab/>
      </w:r>
      <w:r>
        <w:rPr>
          <w:rFonts w:hint="cs"/>
          <w:b/>
          <w:bCs/>
          <w:i/>
          <w:iCs/>
          <w:rtl/>
        </w:rPr>
        <w:t>مكافحة فقر المرأة:</w:t>
      </w:r>
      <w:r>
        <w:rPr>
          <w:rFonts w:hint="cs"/>
          <w:rtl/>
        </w:rPr>
        <w:t xml:space="preserve"> تمثل مؤشرات التنمية البشرية معايير أساسية للتنمية البشرية للبلد وتقدمه. وقد بلغت مؤشرات التنمية البشرية لمنغوليا 0.668 و0.679 في عامي 2004 و2005 على التوالي وفقا لتقارير التنمية البشرية في العالم. وهكذا فإن منغوليا بلد يحتل مرتبة متوسطة من ناحية التنمية البشرية.</w:t>
      </w:r>
    </w:p>
    <w:p w:rsidR="00FE4F97" w:rsidRDefault="00FE4F97">
      <w:pPr>
        <w:pStyle w:val="SingleTxt"/>
        <w:rPr>
          <w:rFonts w:hint="cs"/>
          <w:rtl/>
        </w:rPr>
      </w:pPr>
      <w:r>
        <w:rPr>
          <w:rFonts w:hint="cs"/>
          <w:rtl/>
        </w:rPr>
        <w:tab/>
        <w:t>وعلى سبيل المثال، وفقا للتقارير السابقة احتلت منغوليا المرتبة 117 في عام 2004 والمرتبة 114 في عام 2005 من بين 177 بلدا. وبلغ الناتج المحلي الإجمالي للفرد في منغوليا حسب مؤشر تعادل القوة الشرائية 710 1 من دولارات الولايات المتحدة في عام 2004 و850 1 من دولارات الولايات المتحدة في عام 2005 وهو أقل بكثير من المتوسط العالمي البالغ 804 7 من دولارات الولايات المتحدة حسب مؤشر تعادل القوة الشرائية</w:t>
      </w:r>
      <w:r w:rsidRPr="0038179E">
        <w:rPr>
          <w:vertAlign w:val="superscript"/>
          <w:rtl/>
        </w:rPr>
        <w:t>(</w:t>
      </w:r>
      <w:r>
        <w:rPr>
          <w:rStyle w:val="FootnoteReference"/>
          <w:rtl/>
        </w:rPr>
        <w:footnoteReference w:id="33"/>
      </w:r>
      <w:r w:rsidRPr="0038179E">
        <w:rPr>
          <w:vertAlign w:val="superscript"/>
          <w:rtl/>
        </w:rPr>
        <w:t>)</w:t>
      </w:r>
      <w:r>
        <w:rPr>
          <w:rFonts w:hint="cs"/>
          <w:rtl/>
        </w:rPr>
        <w:t>.</w:t>
      </w:r>
    </w:p>
    <w:p w:rsidR="00FE4F97" w:rsidRDefault="00FE4F97">
      <w:pPr>
        <w:pStyle w:val="SingleTxt"/>
        <w:rPr>
          <w:rFonts w:hint="cs"/>
          <w:rtl/>
        </w:rPr>
      </w:pPr>
      <w:r>
        <w:rPr>
          <w:rFonts w:hint="cs"/>
          <w:rtl/>
        </w:rPr>
        <w:tab/>
        <w:t>وتشير تقديرات البنك الدولي إلى أن الناتج المحلي الإجمالي للفرد في منغوليا بلغ 480 من دولارات الولايات المتحدة في عام 2004 و514 من دولارات الولايات المتحدة في عام 2005 وطبقا لذلك تكون منغوليا في قائمة البلدان المنخفضة الدخل</w:t>
      </w:r>
      <w:r w:rsidRPr="0038179E">
        <w:rPr>
          <w:vertAlign w:val="superscript"/>
          <w:rtl/>
        </w:rPr>
        <w:t>(</w:t>
      </w:r>
      <w:r>
        <w:rPr>
          <w:rStyle w:val="FootnoteReference"/>
          <w:rtl/>
        </w:rPr>
        <w:footnoteReference w:id="34"/>
      </w:r>
      <w:r w:rsidRPr="0038179E">
        <w:rPr>
          <w:vertAlign w:val="superscript"/>
          <w:rtl/>
        </w:rPr>
        <w:t>)</w:t>
      </w:r>
      <w:r>
        <w:rPr>
          <w:rFonts w:hint="cs"/>
          <w:rtl/>
        </w:rPr>
        <w:t>. ومع أن هذه المؤشرات لا تعكس بالكامل الاستهلاك الحقيقي للأفراد والأسر المعيشية، فعند مقارنتها بمتوسط معيشة المنغوليين تكون منخفضة نسبيا عن مؤشرات المتوسط العالمي.</w:t>
      </w:r>
    </w:p>
    <w:p w:rsidR="00FE4F97" w:rsidRDefault="00FE4F97">
      <w:pPr>
        <w:pStyle w:val="SingleTxt"/>
        <w:rPr>
          <w:rFonts w:hint="cs"/>
          <w:rtl/>
        </w:rPr>
      </w:pPr>
      <w:r>
        <w:rPr>
          <w:rFonts w:hint="cs"/>
          <w:rtl/>
        </w:rPr>
        <w:tab/>
        <w:t>واستنادا إلى خط الفقر، تكون نسبة 36.1 في المائة من السكان أي حوالي 900 ألف نسمة</w:t>
      </w:r>
      <w:r w:rsidRPr="0038179E">
        <w:rPr>
          <w:vertAlign w:val="superscript"/>
          <w:rtl/>
        </w:rPr>
        <w:t>(</w:t>
      </w:r>
      <w:r>
        <w:rPr>
          <w:rStyle w:val="FootnoteReference"/>
          <w:rtl/>
        </w:rPr>
        <w:footnoteReference w:id="35"/>
      </w:r>
      <w:r w:rsidRPr="0038179E">
        <w:rPr>
          <w:vertAlign w:val="superscript"/>
          <w:rtl/>
        </w:rPr>
        <w:t>)</w:t>
      </w:r>
      <w:r>
        <w:rPr>
          <w:rFonts w:hint="cs"/>
          <w:rtl/>
        </w:rPr>
        <w:t xml:space="preserve"> من الفقراء. وبعبارة أخرى، يتسم 36 من كل 100 شخص بضعف القوة الشرائية لشراء الأغذية الأساسية والأصناف غير الغذائية ويكون الفقر واسع الانتشار. ونتائج الدراسة غير قابلة للمقارنة بنتائج الدراسات التي أجريت في عامي 1995 و1998 بسبب طرق البحث، بيد أنها تكشف، بوجه عام، عن أن حدة الفقر لم تخف من ذلك الحين. والمؤشرات الأخرى لقياس الفقر مثل الرقم القياسي لعمق الفقر (11 في المائة) والرقم القياسي لشدة الفقر (4.7 في المائة) تكشف أيضا عن وجود تفاوت بين الفقراء.</w:t>
      </w:r>
    </w:p>
    <w:p w:rsidR="00FE4F97" w:rsidRPr="00626946" w:rsidRDefault="00FE4F97">
      <w:pPr>
        <w:pStyle w:val="SingleTxt"/>
        <w:spacing w:after="0" w:line="120" w:lineRule="exact"/>
        <w:rPr>
          <w:rFonts w:hint="cs"/>
          <w:sz w:val="12"/>
          <w:rtl/>
        </w:rPr>
      </w:pPr>
    </w:p>
    <w:p w:rsidR="00FE4F97" w:rsidRDefault="00FE4F97">
      <w:pPr>
        <w:pStyle w:val="SingleTxt"/>
        <w:rPr>
          <w:rFonts w:hint="cs"/>
          <w:rtl/>
        </w:rPr>
      </w:pPr>
      <w:r>
        <w:rPr>
          <w:rFonts w:hint="cs"/>
          <w:rtl/>
        </w:rPr>
        <w:t>الجدول 11</w:t>
      </w:r>
    </w:p>
    <w:p w:rsidR="00FE4F97" w:rsidRDefault="00FE4F97">
      <w:pPr>
        <w:pStyle w:val="SingleTxt"/>
        <w:rPr>
          <w:rFonts w:hint="cs"/>
          <w:b/>
          <w:bCs/>
          <w:rtl/>
        </w:rPr>
      </w:pPr>
      <w:r>
        <w:rPr>
          <w:rFonts w:hint="cs"/>
          <w:b/>
          <w:bCs/>
          <w:rtl/>
        </w:rPr>
        <w:t>مؤشرات الفقر (الحضر، والريف والمتوسط) بالنسبة المئوية</w:t>
      </w:r>
    </w:p>
    <w:tbl>
      <w:tblPr>
        <w:bidiVisual/>
        <w:tblW w:w="7313" w:type="dxa"/>
        <w:tblInd w:w="1306" w:type="dxa"/>
        <w:tblLook w:val="01E0" w:firstRow="1" w:lastRow="1" w:firstColumn="1" w:lastColumn="1" w:noHBand="0" w:noVBand="0"/>
      </w:tblPr>
      <w:tblGrid>
        <w:gridCol w:w="1957"/>
        <w:gridCol w:w="1648"/>
        <w:gridCol w:w="1854"/>
        <w:gridCol w:w="1854"/>
      </w:tblGrid>
      <w:tr w:rsidR="00FE4F97" w:rsidRPr="00626946">
        <w:trPr>
          <w:cantSplit/>
          <w:tblHeader/>
        </w:trPr>
        <w:tc>
          <w:tcPr>
            <w:tcW w:w="1957" w:type="dxa"/>
            <w:vMerge w:val="restart"/>
            <w:tcBorders>
              <w:top w:val="single" w:sz="4" w:space="0" w:color="auto"/>
            </w:tcBorders>
            <w:shd w:val="clear" w:color="auto" w:fill="auto"/>
            <w:vAlign w:val="bottom"/>
          </w:tcPr>
          <w:p w:rsidR="00FE4F97" w:rsidRPr="00626946" w:rsidRDefault="00FE4F97">
            <w:pPr>
              <w:pStyle w:val="DualTxt"/>
              <w:spacing w:before="80" w:after="80" w:line="240" w:lineRule="exact"/>
              <w:jc w:val="center"/>
              <w:rPr>
                <w:rFonts w:hint="cs"/>
                <w:i/>
                <w:iCs/>
                <w:sz w:val="16"/>
                <w:szCs w:val="24"/>
                <w:rtl/>
              </w:rPr>
            </w:pPr>
          </w:p>
        </w:tc>
        <w:tc>
          <w:tcPr>
            <w:tcW w:w="1648" w:type="dxa"/>
            <w:tcBorders>
              <w:top w:val="single" w:sz="4" w:space="0" w:color="auto"/>
            </w:tcBorders>
            <w:shd w:val="clear" w:color="auto" w:fill="auto"/>
            <w:vAlign w:val="bottom"/>
          </w:tcPr>
          <w:p w:rsidR="00FE4F97" w:rsidRPr="00626946" w:rsidRDefault="00FE4F97">
            <w:pPr>
              <w:pStyle w:val="DualTxt"/>
              <w:spacing w:before="80" w:after="80" w:line="240" w:lineRule="exact"/>
              <w:ind w:right="144"/>
              <w:jc w:val="center"/>
              <w:rPr>
                <w:rFonts w:hint="cs"/>
                <w:i/>
                <w:iCs/>
                <w:sz w:val="16"/>
                <w:szCs w:val="24"/>
                <w:rtl/>
              </w:rPr>
            </w:pPr>
            <w:r>
              <w:rPr>
                <w:rFonts w:hint="cs"/>
                <w:i/>
                <w:iCs/>
                <w:sz w:val="16"/>
                <w:szCs w:val="24"/>
                <w:rtl/>
              </w:rPr>
              <w:t xml:space="preserve"> انتشار الفقر</w:t>
            </w:r>
          </w:p>
        </w:tc>
        <w:tc>
          <w:tcPr>
            <w:tcW w:w="1854" w:type="dxa"/>
            <w:tcBorders>
              <w:top w:val="single" w:sz="4" w:space="0" w:color="auto"/>
            </w:tcBorders>
            <w:shd w:val="clear" w:color="auto" w:fill="auto"/>
            <w:vAlign w:val="bottom"/>
          </w:tcPr>
          <w:p w:rsidR="00FE4F97" w:rsidRPr="00626946" w:rsidRDefault="00FE4F97">
            <w:pPr>
              <w:pStyle w:val="DualTxt"/>
              <w:spacing w:before="80" w:after="80" w:line="240" w:lineRule="exact"/>
              <w:ind w:right="144"/>
              <w:jc w:val="center"/>
              <w:rPr>
                <w:rFonts w:hint="cs"/>
                <w:i/>
                <w:iCs/>
                <w:sz w:val="16"/>
                <w:szCs w:val="24"/>
                <w:rtl/>
              </w:rPr>
            </w:pPr>
            <w:r>
              <w:rPr>
                <w:rFonts w:hint="cs"/>
                <w:i/>
                <w:iCs/>
                <w:sz w:val="16"/>
                <w:szCs w:val="24"/>
                <w:rtl/>
              </w:rPr>
              <w:t>عمق الفقر</w:t>
            </w:r>
          </w:p>
        </w:tc>
        <w:tc>
          <w:tcPr>
            <w:tcW w:w="1854" w:type="dxa"/>
            <w:tcBorders>
              <w:top w:val="single" w:sz="4" w:space="0" w:color="auto"/>
            </w:tcBorders>
            <w:shd w:val="clear" w:color="auto" w:fill="auto"/>
            <w:vAlign w:val="bottom"/>
          </w:tcPr>
          <w:p w:rsidR="00FE4F97" w:rsidRPr="00626946" w:rsidRDefault="00FE4F97">
            <w:pPr>
              <w:pStyle w:val="DualTxt"/>
              <w:spacing w:before="80" w:after="80" w:line="240" w:lineRule="exact"/>
              <w:ind w:right="144"/>
              <w:jc w:val="center"/>
              <w:rPr>
                <w:rFonts w:hint="cs"/>
                <w:i/>
                <w:iCs/>
                <w:sz w:val="16"/>
                <w:szCs w:val="24"/>
                <w:rtl/>
              </w:rPr>
            </w:pPr>
            <w:r>
              <w:rPr>
                <w:rFonts w:hint="cs"/>
                <w:i/>
                <w:iCs/>
                <w:sz w:val="16"/>
                <w:szCs w:val="24"/>
                <w:rtl/>
              </w:rPr>
              <w:t>شدة الفقر</w:t>
            </w:r>
          </w:p>
        </w:tc>
      </w:tr>
      <w:tr w:rsidR="00FE4F97" w:rsidRPr="00626946">
        <w:trPr>
          <w:cantSplit/>
          <w:tblHeader/>
        </w:trPr>
        <w:tc>
          <w:tcPr>
            <w:tcW w:w="1957" w:type="dxa"/>
            <w:vMerge/>
            <w:tcBorders>
              <w:bottom w:val="single" w:sz="12" w:space="0" w:color="auto"/>
            </w:tcBorders>
            <w:shd w:val="clear" w:color="auto" w:fill="auto"/>
            <w:vAlign w:val="bottom"/>
          </w:tcPr>
          <w:p w:rsidR="00FE4F97" w:rsidRPr="00626946" w:rsidRDefault="00FE4F97">
            <w:pPr>
              <w:pStyle w:val="DualTxt"/>
              <w:spacing w:after="80" w:line="240" w:lineRule="exact"/>
              <w:jc w:val="center"/>
              <w:rPr>
                <w:rFonts w:hint="cs"/>
                <w:i/>
                <w:iCs/>
                <w:sz w:val="16"/>
                <w:szCs w:val="24"/>
                <w:rtl/>
              </w:rPr>
            </w:pPr>
          </w:p>
        </w:tc>
        <w:tc>
          <w:tcPr>
            <w:tcW w:w="1648" w:type="dxa"/>
            <w:tcBorders>
              <w:bottom w:val="single" w:sz="12" w:space="0" w:color="auto"/>
            </w:tcBorders>
            <w:shd w:val="clear" w:color="auto" w:fill="auto"/>
            <w:vAlign w:val="bottom"/>
          </w:tcPr>
          <w:p w:rsidR="00FE4F97" w:rsidRPr="00626946" w:rsidRDefault="00FE4F97">
            <w:pPr>
              <w:pStyle w:val="DualTxt"/>
              <w:spacing w:after="80" w:line="240" w:lineRule="exact"/>
              <w:ind w:right="144"/>
              <w:jc w:val="center"/>
              <w:rPr>
                <w:i/>
                <w:iCs/>
                <w:sz w:val="16"/>
                <w:szCs w:val="24"/>
                <w:rtl/>
              </w:rPr>
            </w:pPr>
          </w:p>
        </w:tc>
        <w:tc>
          <w:tcPr>
            <w:tcW w:w="1854" w:type="dxa"/>
            <w:tcBorders>
              <w:bottom w:val="single" w:sz="12" w:space="0" w:color="auto"/>
            </w:tcBorders>
            <w:shd w:val="clear" w:color="auto" w:fill="auto"/>
            <w:vAlign w:val="bottom"/>
          </w:tcPr>
          <w:p w:rsidR="00FE4F97" w:rsidRPr="00626946" w:rsidRDefault="00FE4F97">
            <w:pPr>
              <w:pStyle w:val="DualTxt"/>
              <w:spacing w:after="80" w:line="240" w:lineRule="exact"/>
              <w:ind w:right="144"/>
              <w:jc w:val="center"/>
              <w:rPr>
                <w:rFonts w:hint="cs"/>
                <w:i/>
                <w:iCs/>
                <w:sz w:val="16"/>
                <w:szCs w:val="24"/>
                <w:rtl/>
              </w:rPr>
            </w:pPr>
          </w:p>
        </w:tc>
        <w:tc>
          <w:tcPr>
            <w:tcW w:w="1854" w:type="dxa"/>
            <w:tcBorders>
              <w:bottom w:val="single" w:sz="12" w:space="0" w:color="auto"/>
            </w:tcBorders>
            <w:shd w:val="clear" w:color="auto" w:fill="auto"/>
            <w:vAlign w:val="bottom"/>
          </w:tcPr>
          <w:p w:rsidR="00FE4F97" w:rsidRPr="00626946" w:rsidRDefault="00FE4F97">
            <w:pPr>
              <w:pStyle w:val="DualTxt"/>
              <w:spacing w:after="80" w:line="240" w:lineRule="exact"/>
              <w:ind w:right="144"/>
              <w:jc w:val="center"/>
              <w:rPr>
                <w:i/>
                <w:iCs/>
                <w:sz w:val="16"/>
                <w:szCs w:val="24"/>
              </w:rPr>
            </w:pPr>
          </w:p>
        </w:tc>
      </w:tr>
      <w:tr w:rsidR="00FE4F97" w:rsidRPr="00626946">
        <w:trPr>
          <w:cantSplit/>
        </w:trPr>
        <w:tc>
          <w:tcPr>
            <w:tcW w:w="1957" w:type="dxa"/>
            <w:shd w:val="clear" w:color="auto" w:fill="auto"/>
            <w:vAlign w:val="bottom"/>
          </w:tcPr>
          <w:p w:rsidR="00FE4F97" w:rsidRPr="00626946" w:rsidRDefault="00FE4F97">
            <w:pPr>
              <w:pStyle w:val="DualTxt"/>
              <w:spacing w:before="40" w:after="80" w:line="240" w:lineRule="exact"/>
              <w:rPr>
                <w:rFonts w:hint="cs"/>
                <w:sz w:val="16"/>
                <w:szCs w:val="24"/>
                <w:rtl/>
              </w:rPr>
            </w:pPr>
            <w:r>
              <w:rPr>
                <w:rFonts w:hint="cs"/>
                <w:sz w:val="16"/>
                <w:szCs w:val="24"/>
                <w:rtl/>
              </w:rPr>
              <w:t>في الحضر</w:t>
            </w:r>
          </w:p>
        </w:tc>
        <w:tc>
          <w:tcPr>
            <w:tcW w:w="1648" w:type="dxa"/>
            <w:shd w:val="clear" w:color="auto" w:fill="auto"/>
            <w:vAlign w:val="bottom"/>
          </w:tcPr>
          <w:p w:rsidR="00FE4F97" w:rsidRPr="00626946" w:rsidRDefault="00FE4F97">
            <w:pPr>
              <w:pStyle w:val="DualTxt"/>
              <w:spacing w:before="40" w:after="80" w:line="240" w:lineRule="exact"/>
              <w:ind w:right="144"/>
              <w:jc w:val="center"/>
              <w:rPr>
                <w:rFonts w:hint="cs"/>
                <w:sz w:val="16"/>
                <w:szCs w:val="24"/>
                <w:rtl/>
              </w:rPr>
            </w:pPr>
            <w:r>
              <w:rPr>
                <w:rFonts w:hint="cs"/>
                <w:sz w:val="16"/>
                <w:szCs w:val="24"/>
                <w:rtl/>
              </w:rPr>
              <w:t>30.3</w:t>
            </w:r>
          </w:p>
        </w:tc>
        <w:tc>
          <w:tcPr>
            <w:tcW w:w="1854" w:type="dxa"/>
            <w:shd w:val="clear" w:color="auto" w:fill="auto"/>
            <w:vAlign w:val="bottom"/>
          </w:tcPr>
          <w:p w:rsidR="00FE4F97" w:rsidRPr="00626946" w:rsidRDefault="00FE4F97">
            <w:pPr>
              <w:pStyle w:val="DualTxt"/>
              <w:spacing w:before="40" w:after="80" w:line="240" w:lineRule="exact"/>
              <w:ind w:right="144"/>
              <w:jc w:val="center"/>
              <w:rPr>
                <w:rFonts w:hint="cs"/>
                <w:sz w:val="16"/>
                <w:szCs w:val="24"/>
                <w:rtl/>
              </w:rPr>
            </w:pPr>
            <w:r>
              <w:rPr>
                <w:rFonts w:hint="cs"/>
                <w:sz w:val="16"/>
                <w:szCs w:val="24"/>
                <w:rtl/>
              </w:rPr>
              <w:t>9.2</w:t>
            </w:r>
          </w:p>
        </w:tc>
        <w:tc>
          <w:tcPr>
            <w:tcW w:w="1854" w:type="dxa"/>
            <w:shd w:val="clear" w:color="auto" w:fill="auto"/>
            <w:vAlign w:val="bottom"/>
          </w:tcPr>
          <w:p w:rsidR="00FE4F97" w:rsidRPr="00626946" w:rsidRDefault="00FE4F97">
            <w:pPr>
              <w:pStyle w:val="DualTxt"/>
              <w:spacing w:before="40" w:after="80" w:line="240" w:lineRule="exact"/>
              <w:ind w:right="144"/>
              <w:jc w:val="center"/>
              <w:rPr>
                <w:rFonts w:hint="cs"/>
                <w:sz w:val="16"/>
                <w:szCs w:val="24"/>
                <w:rtl/>
              </w:rPr>
            </w:pPr>
            <w:r>
              <w:rPr>
                <w:rFonts w:hint="cs"/>
                <w:sz w:val="16"/>
                <w:szCs w:val="24"/>
                <w:rtl/>
              </w:rPr>
              <w:t>4.0</w:t>
            </w:r>
          </w:p>
        </w:tc>
      </w:tr>
      <w:tr w:rsidR="00FE4F97" w:rsidRPr="00626946">
        <w:trPr>
          <w:cantSplit/>
        </w:trPr>
        <w:tc>
          <w:tcPr>
            <w:tcW w:w="1957" w:type="dxa"/>
            <w:shd w:val="clear" w:color="auto" w:fill="auto"/>
            <w:vAlign w:val="bottom"/>
          </w:tcPr>
          <w:p w:rsidR="00FE4F97" w:rsidRPr="00626946" w:rsidRDefault="00FE4F97">
            <w:pPr>
              <w:pStyle w:val="DualTxt"/>
              <w:spacing w:before="40" w:after="80" w:line="240" w:lineRule="exact"/>
              <w:rPr>
                <w:rFonts w:hint="cs"/>
                <w:sz w:val="16"/>
                <w:szCs w:val="24"/>
                <w:rtl/>
              </w:rPr>
            </w:pPr>
            <w:r>
              <w:rPr>
                <w:rFonts w:hint="cs"/>
                <w:sz w:val="16"/>
                <w:szCs w:val="24"/>
                <w:rtl/>
              </w:rPr>
              <w:t>في الريف</w:t>
            </w:r>
          </w:p>
        </w:tc>
        <w:tc>
          <w:tcPr>
            <w:tcW w:w="1648" w:type="dxa"/>
            <w:shd w:val="clear" w:color="auto" w:fill="auto"/>
            <w:vAlign w:val="bottom"/>
          </w:tcPr>
          <w:p w:rsidR="00FE4F97" w:rsidRPr="00626946" w:rsidRDefault="00FE4F97">
            <w:pPr>
              <w:pStyle w:val="DualTxt"/>
              <w:spacing w:before="40" w:after="80" w:line="240" w:lineRule="exact"/>
              <w:ind w:right="144"/>
              <w:jc w:val="center"/>
              <w:rPr>
                <w:rFonts w:hint="cs"/>
                <w:sz w:val="16"/>
                <w:szCs w:val="24"/>
                <w:rtl/>
              </w:rPr>
            </w:pPr>
            <w:r>
              <w:rPr>
                <w:rFonts w:hint="cs"/>
                <w:sz w:val="16"/>
                <w:szCs w:val="24"/>
                <w:rtl/>
              </w:rPr>
              <w:t>43.4</w:t>
            </w:r>
          </w:p>
        </w:tc>
        <w:tc>
          <w:tcPr>
            <w:tcW w:w="1854" w:type="dxa"/>
            <w:shd w:val="clear" w:color="auto" w:fill="auto"/>
            <w:vAlign w:val="bottom"/>
          </w:tcPr>
          <w:p w:rsidR="00FE4F97" w:rsidRPr="00626946" w:rsidRDefault="00FE4F97">
            <w:pPr>
              <w:pStyle w:val="DualTxt"/>
              <w:spacing w:before="40" w:after="80" w:line="240" w:lineRule="exact"/>
              <w:ind w:right="144"/>
              <w:jc w:val="center"/>
              <w:rPr>
                <w:rFonts w:hint="cs"/>
                <w:sz w:val="16"/>
                <w:szCs w:val="24"/>
                <w:rtl/>
              </w:rPr>
            </w:pPr>
            <w:r>
              <w:rPr>
                <w:rFonts w:hint="cs"/>
                <w:sz w:val="16"/>
                <w:szCs w:val="24"/>
                <w:rtl/>
              </w:rPr>
              <w:t>13.2</w:t>
            </w:r>
          </w:p>
        </w:tc>
        <w:tc>
          <w:tcPr>
            <w:tcW w:w="1854" w:type="dxa"/>
            <w:shd w:val="clear" w:color="auto" w:fill="auto"/>
            <w:vAlign w:val="bottom"/>
          </w:tcPr>
          <w:p w:rsidR="00FE4F97" w:rsidRPr="00626946" w:rsidRDefault="00FE4F97">
            <w:pPr>
              <w:pStyle w:val="DualTxt"/>
              <w:spacing w:before="40" w:after="80" w:line="240" w:lineRule="exact"/>
              <w:ind w:right="144"/>
              <w:jc w:val="center"/>
              <w:rPr>
                <w:rFonts w:hint="cs"/>
                <w:sz w:val="16"/>
                <w:szCs w:val="24"/>
                <w:rtl/>
              </w:rPr>
            </w:pPr>
            <w:r>
              <w:rPr>
                <w:rFonts w:hint="cs"/>
                <w:sz w:val="16"/>
                <w:szCs w:val="24"/>
                <w:rtl/>
              </w:rPr>
              <w:t>5.6</w:t>
            </w:r>
          </w:p>
        </w:tc>
      </w:tr>
      <w:tr w:rsidR="00FE4F97" w:rsidRPr="00626946">
        <w:trPr>
          <w:cantSplit/>
        </w:trPr>
        <w:tc>
          <w:tcPr>
            <w:tcW w:w="1957" w:type="dxa"/>
            <w:tcBorders>
              <w:bottom w:val="single" w:sz="12" w:space="0" w:color="auto"/>
            </w:tcBorders>
            <w:shd w:val="clear" w:color="auto" w:fill="auto"/>
            <w:vAlign w:val="bottom"/>
          </w:tcPr>
          <w:p w:rsidR="00FE4F97" w:rsidRPr="00626946" w:rsidRDefault="00FE4F97">
            <w:pPr>
              <w:pStyle w:val="DualTxt"/>
              <w:spacing w:before="40" w:after="80" w:line="240" w:lineRule="exact"/>
              <w:rPr>
                <w:rFonts w:hint="cs"/>
                <w:sz w:val="16"/>
                <w:szCs w:val="24"/>
                <w:rtl/>
              </w:rPr>
            </w:pPr>
            <w:r>
              <w:rPr>
                <w:rFonts w:hint="cs"/>
                <w:sz w:val="16"/>
                <w:szCs w:val="24"/>
                <w:rtl/>
              </w:rPr>
              <w:t>المتوسط</w:t>
            </w:r>
          </w:p>
        </w:tc>
        <w:tc>
          <w:tcPr>
            <w:tcW w:w="1648" w:type="dxa"/>
            <w:tcBorders>
              <w:bottom w:val="single" w:sz="12" w:space="0" w:color="auto"/>
            </w:tcBorders>
            <w:shd w:val="clear" w:color="auto" w:fill="auto"/>
            <w:vAlign w:val="bottom"/>
          </w:tcPr>
          <w:p w:rsidR="00FE4F97" w:rsidRPr="00626946" w:rsidRDefault="00FE4F97">
            <w:pPr>
              <w:pStyle w:val="DualTxt"/>
              <w:spacing w:before="40" w:after="80" w:line="240" w:lineRule="exact"/>
              <w:ind w:right="144"/>
              <w:jc w:val="center"/>
              <w:rPr>
                <w:rFonts w:hint="cs"/>
                <w:sz w:val="16"/>
                <w:szCs w:val="24"/>
                <w:rtl/>
              </w:rPr>
            </w:pPr>
            <w:r>
              <w:rPr>
                <w:rFonts w:hint="cs"/>
                <w:sz w:val="16"/>
                <w:szCs w:val="24"/>
                <w:rtl/>
              </w:rPr>
              <w:t>36.1</w:t>
            </w:r>
          </w:p>
        </w:tc>
        <w:tc>
          <w:tcPr>
            <w:tcW w:w="1854" w:type="dxa"/>
            <w:tcBorders>
              <w:bottom w:val="single" w:sz="12" w:space="0" w:color="auto"/>
            </w:tcBorders>
            <w:shd w:val="clear" w:color="auto" w:fill="auto"/>
            <w:vAlign w:val="bottom"/>
          </w:tcPr>
          <w:p w:rsidR="00FE4F97" w:rsidRPr="00626946" w:rsidRDefault="00FE4F97">
            <w:pPr>
              <w:pStyle w:val="DualTxt"/>
              <w:spacing w:before="40" w:after="80" w:line="240" w:lineRule="exact"/>
              <w:ind w:right="144"/>
              <w:jc w:val="center"/>
              <w:rPr>
                <w:rFonts w:hint="cs"/>
                <w:sz w:val="16"/>
                <w:szCs w:val="24"/>
                <w:rtl/>
              </w:rPr>
            </w:pPr>
            <w:r>
              <w:rPr>
                <w:rFonts w:hint="cs"/>
                <w:sz w:val="16"/>
                <w:szCs w:val="24"/>
                <w:rtl/>
              </w:rPr>
              <w:t>11.0</w:t>
            </w:r>
          </w:p>
        </w:tc>
        <w:tc>
          <w:tcPr>
            <w:tcW w:w="1854" w:type="dxa"/>
            <w:tcBorders>
              <w:bottom w:val="single" w:sz="12" w:space="0" w:color="auto"/>
            </w:tcBorders>
            <w:shd w:val="clear" w:color="auto" w:fill="auto"/>
            <w:vAlign w:val="bottom"/>
          </w:tcPr>
          <w:p w:rsidR="00FE4F97" w:rsidRPr="00626946" w:rsidRDefault="00FE4F97">
            <w:pPr>
              <w:pStyle w:val="DualTxt"/>
              <w:spacing w:before="40" w:after="80" w:line="240" w:lineRule="exact"/>
              <w:ind w:right="144"/>
              <w:jc w:val="center"/>
              <w:rPr>
                <w:rFonts w:hint="cs"/>
                <w:sz w:val="16"/>
                <w:szCs w:val="24"/>
                <w:rtl/>
              </w:rPr>
            </w:pPr>
            <w:r>
              <w:rPr>
                <w:rFonts w:hint="cs"/>
                <w:sz w:val="16"/>
                <w:szCs w:val="24"/>
                <w:rtl/>
              </w:rPr>
              <w:t>4.7</w:t>
            </w:r>
          </w:p>
        </w:tc>
      </w:tr>
    </w:tbl>
    <w:p w:rsidR="00FE4F97" w:rsidRPr="00626946" w:rsidRDefault="00FE4F97">
      <w:pPr>
        <w:pStyle w:val="SingleTxt"/>
        <w:spacing w:after="0" w:line="120" w:lineRule="exact"/>
        <w:rPr>
          <w:rFonts w:hint="cs"/>
          <w:sz w:val="12"/>
          <w:rtl/>
        </w:rPr>
      </w:pPr>
    </w:p>
    <w:p w:rsidR="00FE4F97" w:rsidRDefault="00FE4F9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المصدر:</w:t>
      </w:r>
      <w:r>
        <w:rPr>
          <w:rFonts w:hint="cs"/>
          <w:rtl/>
        </w:rPr>
        <w:t xml:space="preserve">  الدراسة الاستقصائية لقياس مستوى المعيشة، 2002/2003.</w:t>
      </w:r>
    </w:p>
    <w:p w:rsidR="00FE4F97" w:rsidRPr="00626946" w:rsidRDefault="00FE4F9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2"/>
          <w:rtl/>
        </w:rPr>
      </w:pPr>
    </w:p>
    <w:p w:rsidR="00FE4F97" w:rsidRPr="00860C0F" w:rsidRDefault="00FE4F97">
      <w:pPr>
        <w:pStyle w:val="SingleTxt"/>
        <w:spacing w:after="0" w:line="120" w:lineRule="exact"/>
        <w:rPr>
          <w:rFonts w:hint="cs"/>
          <w:sz w:val="10"/>
          <w:rtl/>
        </w:rPr>
      </w:pPr>
    </w:p>
    <w:p w:rsidR="00FE4F97" w:rsidRDefault="00FE4F97">
      <w:pPr>
        <w:pStyle w:val="SingleTxt"/>
        <w:rPr>
          <w:rFonts w:hint="cs"/>
          <w:rtl/>
        </w:rPr>
      </w:pPr>
      <w:r>
        <w:rPr>
          <w:rFonts w:hint="cs"/>
          <w:rtl/>
        </w:rPr>
        <w:tab/>
        <w:t>وطبقا لمعامل جيني، فإن الرقم القياسي لفجوة الاستهلاك للفترة 2002-2003 بلغ 0.0329. وكان استهلاك أغنى 20 في المائة من السكان أكثر بـ 5.5 أضعاف منه لأفقر 20 في المائة.</w:t>
      </w:r>
    </w:p>
    <w:p w:rsidR="00FE4F97" w:rsidRDefault="00FE4F97">
      <w:pPr>
        <w:pStyle w:val="SingleTxt"/>
        <w:rPr>
          <w:rFonts w:hint="cs"/>
          <w:rtl/>
        </w:rPr>
      </w:pPr>
    </w:p>
    <w:p w:rsidR="00FE4F97" w:rsidRDefault="00FE4F97">
      <w:pPr>
        <w:pStyle w:val="SingleTxt"/>
        <w:spacing w:after="0"/>
        <w:rPr>
          <w:rFonts w:hint="cs"/>
          <w:rtl/>
        </w:rPr>
      </w:pPr>
      <w:r>
        <w:rPr>
          <w:rtl/>
        </w:rPr>
        <w:br w:type="page"/>
      </w:r>
      <w:r>
        <w:rPr>
          <w:rFonts w:hint="cs"/>
          <w:rtl/>
        </w:rPr>
        <w:t>الرسم البياني 13</w:t>
      </w:r>
    </w:p>
    <w:p w:rsidR="00FE4F97" w:rsidRDefault="00FE4F97">
      <w:pPr>
        <w:pStyle w:val="SingleTxt"/>
        <w:rPr>
          <w:rFonts w:hint="cs"/>
          <w:b/>
          <w:bCs/>
          <w:rtl/>
        </w:rPr>
      </w:pPr>
      <w:r w:rsidRPr="006732B4">
        <w:pict>
          <v:shape id="_x0000_s1273" type="#_x0000_t75" style="position:absolute;left:0;text-align:left;margin-left:72.1pt;margin-top:22.4pt;width:296.2pt;height:160.4pt;z-index:55">
            <v:imagedata r:id="rId37" o:title=""/>
          </v:shape>
        </w:pict>
      </w:r>
      <w:r>
        <w:rPr>
          <w:rFonts w:hint="cs"/>
          <w:b/>
          <w:bCs/>
          <w:rtl/>
        </w:rPr>
        <w:t>معامل جيني للسنوات 1995، و1998 و 2002/2003</w:t>
      </w:r>
    </w:p>
    <w:p w:rsidR="00FE4F97" w:rsidRPr="006732B4" w:rsidRDefault="00FE4F97">
      <w:pPr>
        <w:pStyle w:val="SingleTxt"/>
        <w:rPr>
          <w:rFonts w:hint="cs"/>
          <w:rtl/>
        </w:rPr>
      </w:pPr>
    </w:p>
    <w:p w:rsidR="00FE4F97" w:rsidRPr="006732B4" w:rsidRDefault="00FE4F97">
      <w:pPr>
        <w:pStyle w:val="SingleTxt"/>
        <w:rPr>
          <w:rFonts w:hint="cs"/>
          <w:rtl/>
        </w:rPr>
      </w:pPr>
    </w:p>
    <w:p w:rsidR="00FE4F97" w:rsidRPr="006732B4" w:rsidRDefault="00FE4F97">
      <w:pPr>
        <w:pStyle w:val="SingleTxt"/>
        <w:rPr>
          <w:rFonts w:hint="cs"/>
          <w:rtl/>
        </w:rPr>
      </w:pPr>
    </w:p>
    <w:p w:rsidR="00FE4F97" w:rsidRPr="006732B4" w:rsidRDefault="00FE4F97">
      <w:pPr>
        <w:pStyle w:val="SingleTxt"/>
        <w:rPr>
          <w:rFonts w:hint="cs"/>
          <w:rtl/>
        </w:rPr>
      </w:pPr>
    </w:p>
    <w:p w:rsidR="00FE4F97" w:rsidRPr="006732B4" w:rsidRDefault="00FE4F97">
      <w:pPr>
        <w:pStyle w:val="SingleTxt"/>
        <w:rPr>
          <w:rFonts w:hint="cs"/>
          <w:rtl/>
        </w:rPr>
      </w:pPr>
    </w:p>
    <w:p w:rsidR="00FE4F97" w:rsidRPr="006732B4" w:rsidRDefault="00FE4F97">
      <w:pPr>
        <w:pStyle w:val="SingleTxt"/>
        <w:rPr>
          <w:rFonts w:hint="cs"/>
          <w:rtl/>
        </w:rPr>
      </w:pPr>
    </w:p>
    <w:p w:rsidR="00FE4F97" w:rsidRDefault="00FE4F9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 xml:space="preserve">المصدر:  </w:t>
      </w:r>
      <w:r>
        <w:rPr>
          <w:rFonts w:hint="cs"/>
          <w:rtl/>
        </w:rPr>
        <w:t>الدراسات الاستقصائية لمستويات المعيشة، المكتب الوطني للإحصاءات، 1995، و1998، والدراسة الإستقصائية لقياس مستوى المعيشة 2002/2003.</w:t>
      </w:r>
    </w:p>
    <w:p w:rsidR="00FE4F97" w:rsidRDefault="00FE4F97">
      <w:pPr>
        <w:pStyle w:val="SingleTxt"/>
        <w:rPr>
          <w:rFonts w:hint="cs"/>
          <w:rtl/>
        </w:rPr>
      </w:pPr>
      <w:r>
        <w:rPr>
          <w:rFonts w:hint="cs"/>
          <w:rtl/>
        </w:rPr>
        <w:tab/>
        <w:t>ومؤشرات الأهداف الإنمائية للألفية والأرقام القياسية للتنمية البشرية لن تظهر أن الرجال والنساء في منغوليا يستفيدون من التنمية بصورة غير متساوية. وقد بلغ الرقم القياسي للتنمية الجنسانية في منغوليا 0.677 في عام 2005. ومقياس تمكين المرأة يستخدم متغيرات وضعت بصورة صريحة لقياس الاشتراك المتساوي للرجل والمرأة في مجالات النشاط السياسية والاقتصادية.</w:t>
      </w:r>
    </w:p>
    <w:p w:rsidR="00FE4F97" w:rsidRDefault="00FE4F97">
      <w:pPr>
        <w:pStyle w:val="SingleTxt"/>
        <w:rPr>
          <w:rFonts w:hint="cs"/>
          <w:rtl/>
        </w:rPr>
      </w:pPr>
      <w:r>
        <w:rPr>
          <w:rFonts w:hint="cs"/>
          <w:rtl/>
        </w:rPr>
        <w:tab/>
        <w:t xml:space="preserve">ويظهر مقياس تمكين المرأة في منغوليا الذي بلغ0.388 في عام 2005 ضعف مشاركة المرأة وسلطتها في الحياة السياسية والاجتماعية. </w:t>
      </w:r>
    </w:p>
    <w:p w:rsidR="00FE4F97" w:rsidRDefault="00FE4F97">
      <w:pPr>
        <w:pStyle w:val="SingleTxt"/>
        <w:rPr>
          <w:rFonts w:hint="cs"/>
          <w:rtl/>
        </w:rPr>
      </w:pPr>
      <w:r>
        <w:rPr>
          <w:rFonts w:hint="cs"/>
          <w:rtl/>
        </w:rPr>
        <w:tab/>
        <w:t>ومع تزايد نتائج التحول، زادت المشاكل التي لم تُحل بشأن المرأة في المجتمع. وأصبح المؤشر الأكثر شيوعا لفقر دخل المرأة يتمثل في عدد الأسر المعيشية الفقيرة التي تعولها أنثى. والمرأة أكثر عرضة للبطالة والفقر سيما وأن حياة الأسرة المعيشية التي تعولها أنثى ولديها الكثير من الأطفال تتسم بالصعوبة. وبلغ عدد النساء اللائي يعُلن الأسر ويتولين الحياة اليومية وتغذية الأطفال 65.7 ألفا</w:t>
      </w:r>
      <w:r w:rsidRPr="00D568E8">
        <w:rPr>
          <w:vertAlign w:val="superscript"/>
          <w:rtl/>
        </w:rPr>
        <w:t>(</w:t>
      </w:r>
      <w:r>
        <w:rPr>
          <w:rStyle w:val="FootnoteReference"/>
          <w:rtl/>
        </w:rPr>
        <w:footnoteReference w:id="36"/>
      </w:r>
      <w:r w:rsidRPr="00D568E8">
        <w:rPr>
          <w:vertAlign w:val="superscript"/>
          <w:rtl/>
        </w:rPr>
        <w:t>)</w:t>
      </w:r>
      <w:r>
        <w:rPr>
          <w:rFonts w:hint="cs"/>
          <w:rtl/>
        </w:rPr>
        <w:t xml:space="preserve"> في نهاية عام 2004 وهو أعلى بـ 16.3 مرة منه في عام 2000. وللنصف من بينهن 3-5 أطفال وللثُّمُن 5 أطفال وأكثر. ومن بين الفقراء، تتسم نسبة من يحصلون على معاشات تقاعدية ويعيشون على استحقاقات الرعاية بالارتفاع. ومع أنه يمكن زيادة مخصصات الرعاية الاجتماعية والمعاشات التقاعدية فيما يتعلق بالتضخم، فإنها  لايمكن أن  تعوض الزيادة في ثمن السلع الاستهلاكية الأساسية. ولذلك، فإنها تؤدي إلى زيادة الفقر. أما الذين لديهم أسر ممتدة وأشخاص معوقون معالون، ومنخفضو التعليم فإنهم أكثر عرضة للفقر.</w:t>
      </w:r>
    </w:p>
    <w:p w:rsidR="00FE4F97" w:rsidRDefault="00FE4F97">
      <w:pPr>
        <w:pStyle w:val="SingleTxt"/>
        <w:rPr>
          <w:rFonts w:hint="cs"/>
          <w:rtl/>
        </w:rPr>
      </w:pPr>
      <w:r>
        <w:rPr>
          <w:rFonts w:hint="cs"/>
          <w:rtl/>
        </w:rPr>
        <w:tab/>
        <w:t>وفي حين أن النمو الاقتصادي أساسي لتخفيف حدة الفقر، فإن سياسات وبرامج الحماية الاجتماعية يمكن أيضا أن تساعد الضعفاء. وتشمل هذه السياسات والبرامج تعزيز أسواق العمل المتسمة بالكفاءة، والإقلال من التعرض للمخاطر، وتعزيز قدرات المواطنين على حماية أنفسهم من المخاطر وانقطاع أو فقدان الدخل</w:t>
      </w:r>
      <w:r w:rsidRPr="001A434A">
        <w:rPr>
          <w:vertAlign w:val="superscript"/>
          <w:rtl/>
        </w:rPr>
        <w:t>(</w:t>
      </w:r>
      <w:r>
        <w:rPr>
          <w:rStyle w:val="FootnoteReference"/>
          <w:rtl/>
        </w:rPr>
        <w:footnoteReference w:id="37"/>
      </w:r>
      <w:r w:rsidRPr="001A434A">
        <w:rPr>
          <w:vertAlign w:val="superscript"/>
          <w:rtl/>
        </w:rPr>
        <w:t>)</w:t>
      </w:r>
      <w:r>
        <w:rPr>
          <w:rFonts w:hint="cs"/>
          <w:rtl/>
        </w:rPr>
        <w:t>.</w:t>
      </w:r>
    </w:p>
    <w:p w:rsidR="00FE4F97" w:rsidRDefault="00FE4F97">
      <w:pPr>
        <w:pStyle w:val="SingleTxt"/>
        <w:rPr>
          <w:rFonts w:hint="cs"/>
          <w:rtl/>
        </w:rPr>
      </w:pPr>
      <w:r>
        <w:rPr>
          <w:rFonts w:hint="cs"/>
          <w:rtl/>
        </w:rPr>
        <w:tab/>
        <w:t xml:space="preserve">ومع أن الحكومة مابرحت تنفذ عددا من البرامج والمشاريع في قطاع الرعاية الاجتماعية، ما زال الفقر والبطالة يمثلان أكثر القضايا إثارة للجدال. وأثناء تنفيذ البرنامج الوطني للنهوض بوضع المرأة في الفترة بين عامي 1996 و2002 حدثت تطورات إيجابية كثيرة مثل كفالة حقوق المرأة، وتحسين مستواها التعليمي وصحتها الإنجابية، وإنشاء نظام لكفالة تنمية قدرات المرأة. وأثناء تنفيذ البرنامج الوطني لتخفيف حدة الفقر في الفترة بين عامي 1996 و2000 قدمت مشاريع صغيرة إضافية من أجل المرأة ولا سيما المرأة التي تعول أسرة معيشية دعما إيجابيا لتحسين سبل معيشتها. بيد أنه في المناطق الحضرية والريفية على حد سواء يرجع فقر المرأة ولا سيما التي تعول أسرة معيشية إلى الافتقار إلى الموارد. </w:t>
      </w:r>
    </w:p>
    <w:p w:rsidR="00FE4F97" w:rsidRDefault="00FE4F97">
      <w:pPr>
        <w:pStyle w:val="SingleTxt"/>
        <w:rPr>
          <w:rFonts w:hint="cs"/>
          <w:rtl/>
        </w:rPr>
      </w:pPr>
      <w:r>
        <w:rPr>
          <w:rFonts w:hint="cs"/>
          <w:rtl/>
        </w:rPr>
        <w:tab/>
        <w:t>وقد أُحرز بعض التقدم أثناء تنفيذ المرحلة الأولى للبرنامج الوطني للمساواة بين الجنسين بين عامي 2003 و2005. ومع ذلك، استُخلصت الملاحظات والاستنتاجات التالية من تقييم هذه المرحلة: تصحيح الاختلالات في كفالة اشتراك الرجل والمرأة على قدم المساواة في الحياة السياسية، والاقتصادية والاجتماعية والعائلية؛ وتنمية تعاونهما النشط؛ وتغيير المواقف التقليدية تجاه الجنسين في الأنشطة الاقتصادية وبخاصة في التوظيف وعلاقات العمل؛ والحد من التأثير السلبي المرتبط بنوع الجنس فيما يتعلق بالأنشطة العقارية؛ والقضاء على الفجوة ذات الإتجاه العكسي بين الجنسين في التعليم؛ وخفض معدل وفيات الأمهات؛ ووقف الجرائم القائمة على نوع الجنس التي ترتكب بصورة متعمدة مثل العنف المنزلي، والمضايقات الجنسية، والاتجار بالنساء عبر الحدود؛ وتحسين الاستجابة لاحتياجات الجنسين عند وضع السياسات، والخطط والبرامج والمشاريع؛ وممارسة تخطيط للميزانية مراع لإحتياجات الجنسين؛ وتغيير الأنماط الجامدة وتحقيق التوازن في الإعلان القائم على نوع الجنس في وسائط الإعلام الجماهيري؛ وزيادة مشاركة المرأة على مستوى صنع القرار.</w:t>
      </w:r>
    </w:p>
    <w:p w:rsidR="00FE4F97" w:rsidRDefault="00FE4F97">
      <w:pPr>
        <w:pStyle w:val="SingleTxt"/>
        <w:spacing w:line="360" w:lineRule="exact"/>
        <w:rPr>
          <w:rFonts w:hint="cs"/>
          <w:rtl/>
        </w:rPr>
      </w:pPr>
      <w:r>
        <w:rPr>
          <w:rFonts w:hint="cs"/>
          <w:rtl/>
        </w:rPr>
        <w:tab/>
      </w:r>
      <w:r>
        <w:rPr>
          <w:rFonts w:hint="cs"/>
          <w:b/>
          <w:bCs/>
          <w:i/>
          <w:iCs/>
          <w:rtl/>
        </w:rPr>
        <w:t>حقوق المرأة في العمل</w:t>
      </w:r>
      <w:r>
        <w:rPr>
          <w:rFonts w:hint="cs"/>
          <w:rtl/>
        </w:rPr>
        <w:t xml:space="preserve"> - تشكل فترة التحول تحديات كثيرة في تحديد وضع الرجل والمرأة بوضوح في سوق العمل. فقد حصلت المرأة على ممتلكات أقل بكثير من الرجل أثناء الخصخصة وبدأت نشاطها التجاري الخاص، بيد أنها تتعرض للمخاطر بقدر أكبر عند الإستفادة بتكافؤ الفرص في سوق العمل. وبسبب عدم خضوع سوق العمل لقواعد تنظيمية، اتسم عائد الاستثمار في تعليم المرأة بالبطء وبالتالي قد يؤدي إلى خفض مساهمتها في النمو الاقتصادي.</w:t>
      </w:r>
    </w:p>
    <w:p w:rsidR="00FE4F97" w:rsidRDefault="00FE4F97">
      <w:pPr>
        <w:pStyle w:val="SingleTxt"/>
        <w:spacing w:line="360" w:lineRule="exact"/>
        <w:rPr>
          <w:rFonts w:hint="cs"/>
          <w:rtl/>
        </w:rPr>
      </w:pPr>
      <w:r>
        <w:rPr>
          <w:rFonts w:hint="cs"/>
          <w:rtl/>
        </w:rPr>
        <w:tab/>
        <w:t>ويمثل ضعف مؤسسات الرعاية النهارية للأطفال في المرحلة السابقة للتعليم الإلزامي أثناء فترة التحول أحد العوامل المؤثرة سلبيا على قدرة المرأة على التنافس بحرية في سوق العمل. وانخفاض الإنتاج والميزانية الحقيقية، وانخفاض الدخل، وزيادة تكاليف المعيشة يصيب المرأة بشدة أكثر من الرجل.</w:t>
      </w:r>
    </w:p>
    <w:p w:rsidR="00FE4F97" w:rsidRDefault="00FE4F97">
      <w:pPr>
        <w:pStyle w:val="SingleTxt"/>
        <w:spacing w:line="360" w:lineRule="exact"/>
        <w:rPr>
          <w:rFonts w:hint="cs"/>
          <w:rtl/>
        </w:rPr>
      </w:pPr>
      <w:r>
        <w:rPr>
          <w:rFonts w:hint="cs"/>
          <w:rtl/>
        </w:rPr>
        <w:tab/>
        <w:t>وفيما يتعلق بمنغوليا، تمثل البطالة والفقر ظاهرتين جديدتين والمرأة أكثر عرضة لهما. وقد أظهرت الإحصاءات في مرحلة التحول أن معدل البطالة للمرأة أعلى منه دائما للرجل وفي نهاية عام 2004 بلغ 3.9 في المائة أي أعلى منه للرجل بـ 0.6 نقطة</w:t>
      </w:r>
      <w:r w:rsidRPr="00E513A1">
        <w:rPr>
          <w:vertAlign w:val="superscript"/>
          <w:rtl/>
        </w:rPr>
        <w:t>(</w:t>
      </w:r>
      <w:r>
        <w:rPr>
          <w:rStyle w:val="FootnoteReference"/>
          <w:rtl/>
        </w:rPr>
        <w:footnoteReference w:id="38"/>
      </w:r>
      <w:r w:rsidRPr="00E513A1">
        <w:rPr>
          <w:vertAlign w:val="superscript"/>
          <w:rtl/>
        </w:rPr>
        <w:t>)</w:t>
      </w:r>
      <w:r>
        <w:rPr>
          <w:rFonts w:hint="cs"/>
          <w:rtl/>
        </w:rPr>
        <w:t>.</w:t>
      </w:r>
    </w:p>
    <w:p w:rsidR="00FE4F97" w:rsidRPr="009F7C14" w:rsidRDefault="00FE4F97">
      <w:pPr>
        <w:pStyle w:val="SingleTxt"/>
        <w:spacing w:after="0" w:line="120" w:lineRule="exact"/>
        <w:rPr>
          <w:rFonts w:hint="cs"/>
          <w:sz w:val="10"/>
          <w:rtl/>
        </w:rPr>
      </w:pPr>
    </w:p>
    <w:p w:rsidR="00FE4F97" w:rsidRDefault="00FE4F97">
      <w:pPr>
        <w:pStyle w:val="SingleTxt"/>
        <w:spacing w:after="0"/>
        <w:rPr>
          <w:rFonts w:hint="cs"/>
          <w:rtl/>
        </w:rPr>
      </w:pPr>
      <w:r>
        <w:rPr>
          <w:rFonts w:hint="cs"/>
          <w:rtl/>
        </w:rPr>
        <w:t>الرسم البياني 14</w:t>
      </w:r>
    </w:p>
    <w:p w:rsidR="00FE4F97" w:rsidRDefault="00FE4F97">
      <w:pPr>
        <w:pStyle w:val="SingleTxt"/>
        <w:rPr>
          <w:rFonts w:hint="cs"/>
          <w:b/>
          <w:bCs/>
          <w:rtl/>
        </w:rPr>
      </w:pPr>
      <w:r>
        <w:rPr>
          <w:rFonts w:hint="cs"/>
          <w:b/>
          <w:bCs/>
          <w:rtl/>
        </w:rPr>
        <w:t>معدل البطالة حسب الجنس، 1992-2004</w:t>
      </w:r>
    </w:p>
    <w:p w:rsidR="00FE4F97" w:rsidRPr="006732B4" w:rsidRDefault="00FE4F97">
      <w:pPr>
        <w:pStyle w:val="SingleTxt"/>
        <w:rPr>
          <w:rFonts w:hint="cs"/>
          <w:rtl/>
        </w:rPr>
      </w:pPr>
      <w:r>
        <w:rPr>
          <w:i/>
          <w:noProof/>
        </w:rPr>
        <w:pict>
          <v:shape id="_x0000_s1274" type="#_x0000_t75" style="position:absolute;left:0;text-align:left;margin-left:23.3pt;margin-top:5.4pt;width:404.15pt;height:237.75pt;z-index:56" wrapcoords="2445 1499 2364 1908 2525 2180 3326 2589 2364 3611 2445 4088 3006 4770 3326 4770 1202 5042 882 5179 801 10289 2565 11311 2645 11788 3046 12401 3326 12401 2805 12946 2645 13219 2645 13764 8977 14582 3767 14718 2965 14786 2965 15672 2805 15944 2925 16421 10780 16762 11461 17852 10820 18943 9017 19215 8856 19283 8856 20919 15429 20919 15509 19283 15188 19215 10860 18943 12984 17921 13064 17512 12824 17375 10780 16762 17953 16762 19917 16558 19837 15672 20157 14991 19717 14718 13064 14582 21039 13764 21079 11311 21239 10357 21239 9403 21039 9131 21119 1772 2965 1499 2445 1499">
            <v:imagedata r:id="rId38" o:title=""/>
            <w10:wrap type="tight"/>
          </v:shape>
          <o:OLEObject Type="Embed" ProgID="MSGraph.Chart.8" ShapeID="_x0000_s1274" DrawAspect="Content" ObjectID="_1395245891" r:id="rId39">
            <o:FieldCodes>\s</o:FieldCodes>
          </o:OLEObject>
        </w:pict>
      </w:r>
    </w:p>
    <w:p w:rsidR="00FE4F97" w:rsidRPr="006732B4" w:rsidRDefault="00FE4F97">
      <w:pPr>
        <w:pStyle w:val="SingleTxt"/>
        <w:rPr>
          <w:rFonts w:hint="cs"/>
          <w:rtl/>
        </w:rPr>
      </w:pPr>
    </w:p>
    <w:p w:rsidR="00FE4F97" w:rsidRPr="006732B4" w:rsidRDefault="00FE4F97">
      <w:pPr>
        <w:pStyle w:val="SingleTxt"/>
        <w:rPr>
          <w:rFonts w:hint="cs"/>
          <w:rtl/>
        </w:rPr>
      </w:pPr>
      <w:r>
        <w:rPr>
          <w:rFonts w:hint="cs"/>
          <w:noProof/>
          <w:w w:val="100"/>
          <w:rtl/>
        </w:rPr>
        <w:pict>
          <v:shape id="_x0000_s1293" type="#_x0000_t202" style="position:absolute;left:0;text-align:left;margin-left:-390.9pt;margin-top:4.4pt;width:16.7pt;height:63pt;z-index:75" stroked="f">
            <v:textbox style="layout-flow:vertical;mso-layout-flow-alt:bottom-to-top;mso-next-textbox:#_x0000_s1293" inset="0,0,0,0">
              <w:txbxContent>
                <w:p w:rsidR="007433E8" w:rsidRPr="000579DC" w:rsidRDefault="007433E8">
                  <w:pPr>
                    <w:spacing w:line="240" w:lineRule="exact"/>
                    <w:jc w:val="center"/>
                    <w:rPr>
                      <w:rFonts w:hint="cs"/>
                      <w:szCs w:val="20"/>
                    </w:rPr>
                  </w:pPr>
                  <w:r>
                    <w:rPr>
                      <w:rFonts w:hint="cs"/>
                      <w:szCs w:val="20"/>
                      <w:rtl/>
                    </w:rPr>
                    <w:t>النسبة المئوية</w:t>
                  </w:r>
                </w:p>
              </w:txbxContent>
            </v:textbox>
            <w10:wrap anchorx="page"/>
          </v:shape>
        </w:pict>
      </w:r>
    </w:p>
    <w:p w:rsidR="00FE4F97" w:rsidRPr="006732B4" w:rsidRDefault="00FE4F97">
      <w:pPr>
        <w:pStyle w:val="SingleTxt"/>
        <w:rPr>
          <w:rFonts w:hint="cs"/>
          <w:rtl/>
        </w:rPr>
      </w:pPr>
    </w:p>
    <w:p w:rsidR="00FE4F97" w:rsidRPr="006732B4" w:rsidRDefault="00FE4F97">
      <w:pPr>
        <w:pStyle w:val="SingleTxt"/>
        <w:rPr>
          <w:rFonts w:hint="cs"/>
          <w:rtl/>
        </w:rPr>
      </w:pPr>
    </w:p>
    <w:p w:rsidR="00FE4F97" w:rsidRPr="006732B4" w:rsidRDefault="00FE4F97">
      <w:pPr>
        <w:pStyle w:val="SingleTxt"/>
        <w:rPr>
          <w:rFonts w:hint="cs"/>
          <w:rtl/>
        </w:rPr>
      </w:pPr>
    </w:p>
    <w:p w:rsidR="00FE4F97" w:rsidRPr="006732B4" w:rsidRDefault="00FE4F97">
      <w:pPr>
        <w:pStyle w:val="SingleTxt"/>
        <w:rPr>
          <w:rFonts w:hint="cs"/>
          <w:rtl/>
        </w:rPr>
      </w:pPr>
    </w:p>
    <w:p w:rsidR="00FE4F97" w:rsidRPr="006732B4" w:rsidRDefault="00FE4F97">
      <w:pPr>
        <w:pStyle w:val="SingleTxt"/>
        <w:rPr>
          <w:rFonts w:hint="cs"/>
          <w:rtl/>
        </w:rPr>
      </w:pPr>
      <w:r>
        <w:rPr>
          <w:rFonts w:hint="cs"/>
          <w:noProof/>
          <w:w w:val="100"/>
          <w:rtl/>
        </w:rPr>
        <w:pict>
          <v:shape id="_x0000_s1296" type="#_x0000_t202" style="position:absolute;left:0;text-align:left;margin-left:-195.1pt;margin-top:9.4pt;width:91.55pt;height:18pt;z-index:78" stroked="f">
            <v:textbox style="mso-next-textbox:#_x0000_s1296" inset="0,0,0,0">
              <w:txbxContent>
                <w:p w:rsidR="007433E8" w:rsidRPr="000579DC" w:rsidRDefault="007433E8">
                  <w:pPr>
                    <w:spacing w:line="240" w:lineRule="exact"/>
                    <w:jc w:val="center"/>
                    <w:rPr>
                      <w:rFonts w:hint="cs"/>
                      <w:szCs w:val="20"/>
                    </w:rPr>
                  </w:pPr>
                  <w:r>
                    <w:rPr>
                      <w:rFonts w:hint="cs"/>
                      <w:szCs w:val="20"/>
                      <w:rtl/>
                    </w:rPr>
                    <w:t>السنوات</w:t>
                  </w:r>
                </w:p>
              </w:txbxContent>
            </v:textbox>
            <w10:wrap anchorx="page"/>
          </v:shape>
        </w:pict>
      </w:r>
    </w:p>
    <w:p w:rsidR="00FE4F97" w:rsidRPr="006732B4" w:rsidRDefault="00AD2A7A">
      <w:pPr>
        <w:pStyle w:val="SingleTxt"/>
        <w:rPr>
          <w:rFonts w:hint="cs"/>
          <w:rtl/>
        </w:rPr>
      </w:pPr>
      <w:r>
        <w:rPr>
          <w:rFonts w:hint="cs"/>
          <w:noProof/>
          <w:w w:val="100"/>
          <w:rtl/>
        </w:rPr>
        <w:pict>
          <v:shape id="_x0000_s1294" type="#_x0000_t202" style="position:absolute;left:0;text-align:left;margin-left:-107.6pt;margin-top:12.5pt;width:27.15pt;height:14.4pt;z-index:76" stroked="f">
            <v:textbox style="mso-next-textbox:#_x0000_s1294" inset="0,0,0,0">
              <w:txbxContent>
                <w:p w:rsidR="007433E8" w:rsidRPr="000579DC" w:rsidRDefault="007433E8">
                  <w:pPr>
                    <w:spacing w:line="240" w:lineRule="exact"/>
                    <w:jc w:val="center"/>
                    <w:rPr>
                      <w:rFonts w:hint="cs"/>
                      <w:szCs w:val="20"/>
                    </w:rPr>
                  </w:pPr>
                  <w:r>
                    <w:rPr>
                      <w:rFonts w:hint="cs"/>
                      <w:szCs w:val="20"/>
                      <w:rtl/>
                    </w:rPr>
                    <w:t>رجال</w:t>
                  </w:r>
                </w:p>
              </w:txbxContent>
            </v:textbox>
            <w10:wrap anchorx="page"/>
          </v:shape>
        </w:pict>
      </w:r>
      <w:r>
        <w:rPr>
          <w:rFonts w:hint="cs"/>
          <w:noProof/>
          <w:w w:val="100"/>
          <w:rtl/>
        </w:rPr>
        <w:pict>
          <v:shape id="_x0000_s1295" type="#_x0000_t202" style="position:absolute;left:0;text-align:left;margin-left:-54.65pt;margin-top:12.5pt;width:41.15pt;height:14.4pt;z-index:77" stroked="f">
            <v:textbox style="mso-next-textbox:#_x0000_s1295" inset="0,0,0,0">
              <w:txbxContent>
                <w:p w:rsidR="007433E8" w:rsidRPr="000579DC" w:rsidRDefault="007433E8">
                  <w:pPr>
                    <w:spacing w:line="240" w:lineRule="exact"/>
                    <w:jc w:val="center"/>
                    <w:rPr>
                      <w:rFonts w:hint="cs"/>
                      <w:szCs w:val="20"/>
                    </w:rPr>
                  </w:pPr>
                  <w:r>
                    <w:rPr>
                      <w:rFonts w:hint="cs"/>
                      <w:szCs w:val="20"/>
                      <w:rtl/>
                    </w:rPr>
                    <w:t>نساء</w:t>
                  </w:r>
                </w:p>
              </w:txbxContent>
            </v:textbox>
            <w10:wrap anchorx="page"/>
          </v:shape>
        </w:pict>
      </w:r>
    </w:p>
    <w:p w:rsidR="00FE4F97" w:rsidRDefault="00FE4F9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rPr>
      </w:pPr>
    </w:p>
    <w:p w:rsidR="00FE4F97" w:rsidRDefault="00FE4F9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المصدر:</w:t>
      </w:r>
      <w:r>
        <w:rPr>
          <w:rFonts w:hint="cs"/>
          <w:rtl/>
        </w:rPr>
        <w:t xml:space="preserve">  التقرير السنوي عن العمالة، المكتب الوطني للإحصاءات، 2005.</w:t>
      </w:r>
    </w:p>
    <w:p w:rsidR="00FE4F97" w:rsidRDefault="00FE4F97">
      <w:pPr>
        <w:pStyle w:val="SingleTxt"/>
        <w:rPr>
          <w:rFonts w:hint="cs"/>
          <w:rtl/>
        </w:rPr>
      </w:pPr>
      <w:r>
        <w:rPr>
          <w:rFonts w:hint="cs"/>
          <w:rtl/>
        </w:rPr>
        <w:tab/>
        <w:t>وكلما زادت الأسر المعيشية والأسر فقرا زاد ارتفاع معدل الفقر بين الأسر المعيشية التي تعولها امرأة وأصبحت أكثر عرضة للبطالة والفقر. وتتمثل أسباب الفقر في البطالة، وانخفاض الدخل، وفقدان العائل، وتدهور الصحة والتعليم، والحرمان من الموارد الطبيعية. وتتمثل طرق التخلص من الفقر ومنعه في زيادة فرص العمل، وتوفير الوظائف للعاطلين، وتحسين نوعية مهاراتهم المهنية وتعليمهم، والقضاء على البطالة بين السكان في سن العمل.</w:t>
      </w:r>
    </w:p>
    <w:p w:rsidR="00FE4F97" w:rsidRDefault="00FE4F97">
      <w:pPr>
        <w:pStyle w:val="SingleTxt"/>
        <w:rPr>
          <w:rFonts w:hint="cs"/>
          <w:rtl/>
        </w:rPr>
      </w:pPr>
      <w:r>
        <w:rPr>
          <w:rFonts w:hint="cs"/>
          <w:rtl/>
        </w:rPr>
        <w:tab/>
        <w:t>ومنغوليا طرف في 16 اتفاقا واتفاقية لمنظمة العمل الدولية بشأن العمل ويكفل قانون العمل في منغوليا حق الرجل والمرأة في علاقات العمل على قدم المساواة. وقد مثَّل اعتماد قوانين من قبيل القانون المتعلق بدعم التوظيف، والقانون المتعلق بإيفاد اليد العاملة للخارج واستقبال اليد العاملة والمتخصصين من الخارج، والبرنامج الوطني المتعلق بدعم التوظيف في عام 2001 وورقة استراتيجية الضمان الاجتماعي في عام 2003 خطوة هامة في تهيئة بيئة قانونية مؤاتية لدعم توظيف المرأة ومنع التمييز ضدها في العمل.</w:t>
      </w:r>
    </w:p>
    <w:p w:rsidR="00FE4F97" w:rsidRDefault="00FE4F97">
      <w:pPr>
        <w:pStyle w:val="SingleTxt"/>
        <w:rPr>
          <w:rFonts w:hint="cs"/>
          <w:rtl/>
        </w:rPr>
      </w:pPr>
      <w:r>
        <w:rPr>
          <w:rFonts w:hint="cs"/>
          <w:rtl/>
        </w:rPr>
        <w:tab/>
        <w:t>وطبقا للقانون المتعلق بدعم التوظيف، أنشئ صندوق لدعم التوظيف قُصد به التمويل وفقا لنوع الكيانات والأنشطة: لإعطاء حوافز لأرباب الأعمال الذين يوفرون العمل لغير القادرين على الحصول على عمل عن طريق الوساطة؛ وضمان تقديم قروض بسعر فائدة منخفض لمن يعملون بصورة جماعية أو فرادى، والعاملين لحسابهم الخاص، وتهيئة مكان عمل جديد للعاطلين؛ وتمويل التدابير والخدمات التي تستهدف الوساطة في العمل، وتوفير المهارات المهنية والمعلومات.</w:t>
      </w:r>
    </w:p>
    <w:p w:rsidR="00FE4F97" w:rsidRDefault="00FE4F97">
      <w:pPr>
        <w:pStyle w:val="SingleTxt"/>
        <w:rPr>
          <w:rFonts w:hint="cs"/>
          <w:rtl/>
        </w:rPr>
      </w:pPr>
      <w:r>
        <w:rPr>
          <w:rFonts w:hint="cs"/>
          <w:rtl/>
        </w:rPr>
        <w:tab/>
        <w:t>والقانون المتعلق بموظفي الخدمة المدنية (2002)، والقانون المتعلق بإدارة وتمويل المنظمات العامة يمكنان من تكافؤ الفرص، ويهيئان الأوضاع التنافسية للدخول في الخدمة المدنية، ولايمكن تعيين موظف مدني، ونقله وفصله وترقيته إلا على أساس المعرفة، والتعليم، والمهنة، والدراية الفنية والمهارات.</w:t>
      </w:r>
    </w:p>
    <w:p w:rsidR="00FE4F97" w:rsidRDefault="00FE4F97">
      <w:pPr>
        <w:pStyle w:val="SingleTxt"/>
        <w:rPr>
          <w:rFonts w:hint="cs"/>
          <w:rtl/>
        </w:rPr>
      </w:pPr>
      <w:r>
        <w:rPr>
          <w:rFonts w:hint="cs"/>
          <w:rtl/>
        </w:rPr>
        <w:tab/>
        <w:t>ومع ذلك، هناك افتقار لتعليل قانوني رسمي وتوصية يتناولان التمييز والمحسوبية بالتفصيل فضلا عن مبدأ المنافسة المفتوحة الأمر الذي قد يؤدي بدوره إلى الحرمان من المساواة في علاقات العمل أو العمل والمهنة وقطاع العمل، أو انتهاكها.</w:t>
      </w:r>
    </w:p>
    <w:p w:rsidR="00FE4F97" w:rsidRDefault="00FE4F97">
      <w:pPr>
        <w:pStyle w:val="SingleTxt"/>
        <w:rPr>
          <w:rFonts w:hint="cs"/>
          <w:rtl/>
        </w:rPr>
      </w:pPr>
      <w:r>
        <w:rPr>
          <w:rFonts w:hint="cs"/>
          <w:rtl/>
        </w:rPr>
        <w:tab/>
        <w:t>وطبقا للدراسة الاستقصائية المتعلقة بالإشتراك في اليد العاملة التي أجريت في نهاية عام 2004، مثَّلت المرأة نسبة 51.6 في المائة</w:t>
      </w:r>
      <w:r w:rsidRPr="00B527C7">
        <w:rPr>
          <w:vertAlign w:val="superscript"/>
          <w:rtl/>
        </w:rPr>
        <w:t>(</w:t>
      </w:r>
      <w:r>
        <w:rPr>
          <w:rStyle w:val="FootnoteReference"/>
          <w:rtl/>
        </w:rPr>
        <w:footnoteReference w:id="39"/>
      </w:r>
      <w:r w:rsidRPr="00B527C7">
        <w:rPr>
          <w:vertAlign w:val="superscript"/>
          <w:rtl/>
        </w:rPr>
        <w:t>)</w:t>
      </w:r>
      <w:r>
        <w:rPr>
          <w:rFonts w:hint="cs"/>
          <w:rtl/>
        </w:rPr>
        <w:t xml:space="preserve"> من السكان في سن العمل ونسبة 51 في المائة من السكان الناشطين اقتصاديا أو من القوة العاملة.</w:t>
      </w:r>
    </w:p>
    <w:p w:rsidR="00FE4F97" w:rsidRDefault="00FE4F97">
      <w:pPr>
        <w:pStyle w:val="SingleTxt"/>
        <w:rPr>
          <w:rFonts w:hint="cs"/>
          <w:rtl/>
        </w:rPr>
      </w:pPr>
      <w:r>
        <w:rPr>
          <w:rFonts w:hint="cs"/>
          <w:rtl/>
        </w:rPr>
        <w:tab/>
        <w:t>ومع أن نسبة اشتراك المرأة في اليد العاملة شهدت زيادة متواضعة في السنوات الأخيرة، يتسم اشتراك الرجل في اليد العاملة بوجه عام بأنه أعلى منه للمرأة. (65.2 للرجال، و63.6 للنساء).</w:t>
      </w:r>
    </w:p>
    <w:p w:rsidR="00FE4F97" w:rsidRDefault="00FE4F97">
      <w:pPr>
        <w:pStyle w:val="SingleTxt"/>
        <w:rPr>
          <w:rFonts w:hint="cs"/>
          <w:rtl/>
        </w:rPr>
      </w:pPr>
      <w:r>
        <w:rPr>
          <w:rFonts w:hint="cs"/>
          <w:rtl/>
        </w:rPr>
        <w:tab/>
        <w:t>ووفقا للتصنيف حسب الجنس والفئة العمرية، يتسم اشتراك المرأة في اليد العاملة بين سن 30 و49 عاما بأنه أعلى نسبيا منه للرجل وفي الفئات العمرية الأخرى يتسم اشتراك المرأة بأنه أدنى نسبيا منه للرجل (الرسم البياني 15).</w:t>
      </w:r>
    </w:p>
    <w:p w:rsidR="00FE4F97" w:rsidRDefault="00FE4F97">
      <w:pPr>
        <w:pStyle w:val="SingleTxt"/>
        <w:rPr>
          <w:rFonts w:hint="cs"/>
          <w:rtl/>
        </w:rPr>
      </w:pPr>
      <w:r>
        <w:rPr>
          <w:rFonts w:hint="cs"/>
          <w:rtl/>
        </w:rPr>
        <w:tab/>
        <w:t>ويشير انخفاض نسبة اشتراك المرأة في اليد العاملة بين سن 16 و29 عاما بوجه خاص إلى اتجاه المزيد من النساء في هذه السن للدراسة أكثر من الرجال. ويتصل هذا أيضا بتقاعد المرأة التي يزيد عمرها عن 50 عاما للحصول على معاش تقاعدي.</w:t>
      </w:r>
    </w:p>
    <w:p w:rsidR="00FE4F97" w:rsidRDefault="00FE4F97">
      <w:pPr>
        <w:pStyle w:val="SingleTxt"/>
        <w:rPr>
          <w:rFonts w:hint="cs"/>
          <w:rtl/>
        </w:rPr>
      </w:pPr>
    </w:p>
    <w:p w:rsidR="00FE4F97" w:rsidRDefault="00FE4F97">
      <w:pPr>
        <w:pStyle w:val="SingleTxt"/>
        <w:spacing w:after="0"/>
        <w:rPr>
          <w:rFonts w:hint="cs"/>
          <w:rtl/>
        </w:rPr>
      </w:pPr>
      <w:r>
        <w:rPr>
          <w:rFonts w:hint="cs"/>
          <w:rtl/>
        </w:rPr>
        <w:t>الرسم البياني 15</w:t>
      </w:r>
    </w:p>
    <w:p w:rsidR="00FE4F97" w:rsidRDefault="00FE4F97">
      <w:pPr>
        <w:pStyle w:val="SingleTxt"/>
        <w:rPr>
          <w:rFonts w:hint="cs"/>
          <w:b/>
          <w:bCs/>
          <w:rtl/>
        </w:rPr>
      </w:pPr>
      <w:r>
        <w:rPr>
          <w:rFonts w:hint="cs"/>
          <w:b/>
          <w:bCs/>
          <w:rtl/>
        </w:rPr>
        <w:t>نسبة الإشتراك في اليد العاملة في عام 2004</w:t>
      </w:r>
    </w:p>
    <w:p w:rsidR="00FE4F97" w:rsidRPr="006732B4" w:rsidRDefault="00FE4F97">
      <w:pPr>
        <w:pStyle w:val="SingleTxt"/>
        <w:rPr>
          <w:rFonts w:hint="cs"/>
          <w:i/>
          <w:iCs/>
          <w:rtl/>
        </w:rPr>
      </w:pPr>
      <w:r w:rsidRPr="006732B4">
        <w:rPr>
          <w:rFonts w:hint="cs"/>
          <w:i/>
          <w:iCs/>
          <w:rtl/>
        </w:rPr>
        <w:t>(حسب الجنس و</w:t>
      </w:r>
      <w:r>
        <w:rPr>
          <w:rFonts w:hint="cs"/>
          <w:i/>
          <w:iCs/>
          <w:rtl/>
        </w:rPr>
        <w:t xml:space="preserve">الفئة </w:t>
      </w:r>
      <w:r w:rsidRPr="006732B4">
        <w:rPr>
          <w:rFonts w:hint="cs"/>
          <w:i/>
          <w:iCs/>
          <w:rtl/>
        </w:rPr>
        <w:t>ال</w:t>
      </w:r>
      <w:r>
        <w:rPr>
          <w:rFonts w:hint="cs"/>
          <w:i/>
          <w:iCs/>
          <w:rtl/>
        </w:rPr>
        <w:t>عمرية</w:t>
      </w:r>
      <w:r w:rsidRPr="006732B4">
        <w:rPr>
          <w:rFonts w:hint="cs"/>
          <w:i/>
          <w:iCs/>
          <w:rtl/>
        </w:rPr>
        <w:t>)</w:t>
      </w:r>
    </w:p>
    <w:p w:rsidR="00FE4F97" w:rsidRPr="006732B4" w:rsidRDefault="00FE4F97">
      <w:pPr>
        <w:pStyle w:val="SingleTxt"/>
        <w:rPr>
          <w:rFonts w:hint="cs"/>
          <w:rtl/>
        </w:rPr>
      </w:pPr>
      <w:r>
        <w:rPr>
          <w:noProof/>
        </w:rPr>
        <w:pict>
          <v:shape id="_x0000_s1275" type="#_x0000_t75" style="position:absolute;left:0;text-align:left;margin-left:.65pt;margin-top:1.9pt;width:468pt;height:170.5pt;z-index:-41" wrapcoords="104 381 104 21124 21427 21124 21427 381 104 381" fillcolor="window">
            <v:imagedata r:id="rId40" o:title=""/>
            <w10:wrap type="tight"/>
          </v:shape>
        </w:pict>
      </w:r>
    </w:p>
    <w:p w:rsidR="00FE4F97" w:rsidRPr="006732B4"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057B5">
      <w:pPr>
        <w:pStyle w:val="SingleTxt"/>
        <w:rPr>
          <w:rFonts w:hint="cs"/>
          <w:rtl/>
        </w:rPr>
      </w:pPr>
      <w:r>
        <w:rPr>
          <w:rFonts w:hint="cs"/>
          <w:noProof/>
          <w:w w:val="100"/>
          <w:rtl/>
        </w:rPr>
        <w:pict>
          <v:shape id="_x0000_s1319" type="#_x0000_t202" style="position:absolute;left:0;text-align:left;margin-left:-262.75pt;margin-top:23.5pt;width:91.55pt;height:14.4pt;z-index:96" stroked="f">
            <v:textbox style="mso-next-textbox:#_x0000_s1319" inset="0,0,0,0">
              <w:txbxContent>
                <w:p w:rsidR="007433E8" w:rsidRPr="00F057B5" w:rsidRDefault="007433E8" w:rsidP="00F057B5">
                  <w:pPr>
                    <w:rPr>
                      <w:rFonts w:hint="cs"/>
                      <w:szCs w:val="20"/>
                    </w:rPr>
                  </w:pPr>
                </w:p>
              </w:txbxContent>
            </v:textbox>
            <w10:wrap anchorx="page"/>
          </v:shape>
        </w:pict>
      </w:r>
    </w:p>
    <w:p w:rsidR="00FE4F97" w:rsidRDefault="00FE4F97">
      <w:pPr>
        <w:pStyle w:val="SingleTxt"/>
        <w:rPr>
          <w:rFonts w:hint="cs"/>
          <w:rtl/>
        </w:rPr>
      </w:pPr>
    </w:p>
    <w:p w:rsidR="00FE4F97" w:rsidRPr="00471C18" w:rsidRDefault="00FE4F97">
      <w:pPr>
        <w:pStyle w:val="SingleTxt"/>
        <w:rPr>
          <w:rFonts w:hint="cs"/>
          <w:rtl/>
        </w:rPr>
      </w:pPr>
      <w:r w:rsidRPr="00471C18">
        <w:rPr>
          <w:rFonts w:hint="cs"/>
          <w:rtl/>
        </w:rPr>
        <w:t xml:space="preserve">المصدر:  التقرير السنوي للعمالة، </w:t>
      </w:r>
      <w:r>
        <w:rPr>
          <w:rFonts w:hint="cs"/>
          <w:rtl/>
        </w:rPr>
        <w:t>ال</w:t>
      </w:r>
      <w:r w:rsidRPr="00471C18">
        <w:rPr>
          <w:rFonts w:hint="cs"/>
          <w:rtl/>
        </w:rPr>
        <w:t xml:space="preserve">مكتب </w:t>
      </w:r>
      <w:r>
        <w:rPr>
          <w:rFonts w:hint="cs"/>
          <w:rtl/>
        </w:rPr>
        <w:t>الوطني ل</w:t>
      </w:r>
      <w:r w:rsidRPr="00471C18">
        <w:rPr>
          <w:rFonts w:hint="cs"/>
          <w:rtl/>
        </w:rPr>
        <w:t>لأحصاءات، 2005.</w:t>
      </w:r>
    </w:p>
    <w:p w:rsidR="00FE4F97" w:rsidRPr="00A41C66" w:rsidRDefault="00FE4F97">
      <w:pPr>
        <w:pStyle w:val="SingleTxt"/>
        <w:spacing w:after="0" w:line="120" w:lineRule="exact"/>
        <w:rPr>
          <w:rFonts w:hint="cs"/>
          <w:sz w:val="10"/>
          <w:rtl/>
        </w:rPr>
      </w:pPr>
    </w:p>
    <w:p w:rsidR="00FE4F97" w:rsidRPr="00A41C66" w:rsidRDefault="00FE4F97">
      <w:pPr>
        <w:pStyle w:val="SingleTxt"/>
        <w:spacing w:after="0" w:line="120" w:lineRule="exact"/>
        <w:rPr>
          <w:rFonts w:hint="cs"/>
          <w:sz w:val="10"/>
          <w:rtl/>
        </w:rPr>
      </w:pPr>
    </w:p>
    <w:p w:rsidR="00FE4F97" w:rsidRDefault="00FE4F97">
      <w:pPr>
        <w:pStyle w:val="SingleTxt"/>
        <w:rPr>
          <w:rFonts w:hint="cs"/>
          <w:rtl/>
        </w:rPr>
      </w:pPr>
      <w:r w:rsidRPr="00471C18">
        <w:rPr>
          <w:rFonts w:hint="cs"/>
          <w:rtl/>
        </w:rPr>
        <w:tab/>
        <w:t>وفي عام 2004، بلغ</w:t>
      </w:r>
      <w:r>
        <w:rPr>
          <w:rFonts w:hint="cs"/>
          <w:rtl/>
        </w:rPr>
        <w:t>ت</w:t>
      </w:r>
      <w:r w:rsidRPr="00471C18">
        <w:rPr>
          <w:rFonts w:hint="cs"/>
          <w:rtl/>
        </w:rPr>
        <w:t xml:space="preserve"> نسبة عمالة المرأة 61.2 في المائة</w:t>
      </w:r>
      <w:r>
        <w:rPr>
          <w:rFonts w:hint="cs"/>
          <w:rtl/>
        </w:rPr>
        <w:t>. وحسب هيكل الجنسين، تتسم عمالة المرأة وعمالة الرجل بأنهما متشابهان تقريبا كما هو موضح في الرسم البياني 16. بيد أنه حسب الفئة العمرية، تتسم عمالة الرجل بأنها أعلى قليلا منها للمرأة.</w:t>
      </w:r>
    </w:p>
    <w:p w:rsidR="00FE4F97" w:rsidRDefault="00FE4F97">
      <w:pPr>
        <w:pStyle w:val="SingleTxt"/>
        <w:rPr>
          <w:rFonts w:hint="cs"/>
          <w:rtl/>
        </w:rPr>
      </w:pPr>
      <w:r>
        <w:rPr>
          <w:rFonts w:hint="cs"/>
          <w:rtl/>
        </w:rPr>
        <w:tab/>
        <w:t>ونسبة عمالة المرأة أعلى منها للرجل في ميادين مثل الصحة، والرعاية الاجتماعية، والفنادق، والمطاعم، والتعليم، والمالية، وتجارة الجملة والتجزئة، وخدمات إصلاح الأجهزة المنزلية وصناعة التجهيز.</w:t>
      </w:r>
    </w:p>
    <w:p w:rsidR="00FE4F97" w:rsidRDefault="00FE4F97">
      <w:pPr>
        <w:pStyle w:val="SingleTxt"/>
        <w:rPr>
          <w:rFonts w:hint="cs"/>
          <w:rtl/>
        </w:rPr>
      </w:pPr>
      <w:r>
        <w:rPr>
          <w:rFonts w:hint="cs"/>
          <w:rtl/>
        </w:rPr>
        <w:tab/>
        <w:t xml:space="preserve">غير أن نسبة عمالة الرجل أعلى منها للمرأة في ميادين مثل التعدين، وصناعة التنقيب، وإنتاج الكهرباء، وخدمات الإمداد بالمياه، والنقل، والاتصالات، والتشييد، والتنظيم الإداري، والدفاع، وقطاع التأمين النظامي (انظر الرسم البياني 17). </w:t>
      </w:r>
    </w:p>
    <w:p w:rsidR="00FE4F97" w:rsidRPr="00471C18" w:rsidRDefault="00FE4F97">
      <w:pPr>
        <w:pStyle w:val="SingleTxt"/>
        <w:spacing w:after="0" w:line="120" w:lineRule="exact"/>
        <w:rPr>
          <w:rFonts w:hint="cs"/>
          <w:sz w:val="12"/>
          <w:rtl/>
        </w:rPr>
      </w:pPr>
    </w:p>
    <w:p w:rsidR="00FE4F97" w:rsidRDefault="00FE4F97">
      <w:pPr>
        <w:pStyle w:val="SingleTxt"/>
        <w:spacing w:after="0"/>
        <w:rPr>
          <w:rFonts w:hint="cs"/>
          <w:rtl/>
        </w:rPr>
      </w:pPr>
      <w:r>
        <w:rPr>
          <w:rFonts w:hint="cs"/>
          <w:rtl/>
        </w:rPr>
        <w:t>الرسم البياني 16</w:t>
      </w:r>
    </w:p>
    <w:p w:rsidR="00FE4F97" w:rsidRDefault="00FE4F97">
      <w:pPr>
        <w:pStyle w:val="SingleTxt"/>
        <w:rPr>
          <w:rFonts w:hint="cs"/>
          <w:b/>
          <w:bCs/>
          <w:rtl/>
        </w:rPr>
      </w:pPr>
      <w:r>
        <w:rPr>
          <w:rFonts w:hint="cs"/>
          <w:b/>
          <w:bCs/>
          <w:rtl/>
        </w:rPr>
        <w:t>عدد القوة العاملة في عام 2004، حسب الجنس والفئة العمرية</w:t>
      </w:r>
    </w:p>
    <w:p w:rsidR="00FE4F97" w:rsidRPr="006732B4" w:rsidRDefault="00FE4F97">
      <w:pPr>
        <w:pStyle w:val="SingleTxt"/>
        <w:rPr>
          <w:rFonts w:hint="cs"/>
          <w:rtl/>
        </w:rPr>
      </w:pPr>
      <w:r>
        <w:rPr>
          <w:bCs/>
          <w:i/>
          <w:iCs/>
          <w:noProof/>
        </w:rPr>
        <w:pict>
          <v:shape id="_x0000_s1276" type="#_x0000_t75" style="position:absolute;left:0;text-align:left;margin-left:15.45pt;margin-top:6.95pt;width:410.95pt;height:223.45pt;z-index:58" wrapcoords="3508 1595 3429 2030 3587 2319 4493 2754 3587 3189 3429 3334 3469 5074 2523 5944 2483 6451 2483 11017 3429 11960 4493 12032 3745 12902 3705 13047 3902 13192 3745 13554 3902 13844 4493 14352 4020 14497 4060 15221 10800 15511 5164 15511 5164 16526 10800 16671 10839 17831 10366 18411 10130 18846 9184 19426 9105 19570 9105 21165 13520 21165 13480 19498 13401 18773 10800 17831 18092 17613 18092 16816 10800 16671 18289 16309 18289 15511 15372 15511 19314 15004 19274 1595 3508 1595">
            <v:imagedata r:id="rId41" o:title=""/>
            <w10:wrap type="tight"/>
          </v:shape>
          <o:OLEObject Type="Embed" ProgID="MSGraph.Chart.8" ShapeID="_x0000_s1276" DrawAspect="Content" ObjectID="_1395245892" r:id="rId42">
            <o:FieldCodes>\s</o:FieldCodes>
          </o:OLEObject>
        </w:pict>
      </w:r>
    </w:p>
    <w:p w:rsidR="00FE4F97" w:rsidRPr="006732B4" w:rsidRDefault="00FE4F97">
      <w:pPr>
        <w:pStyle w:val="SingleTxt"/>
        <w:rPr>
          <w:rFonts w:hint="cs"/>
          <w:rtl/>
        </w:rPr>
      </w:pPr>
    </w:p>
    <w:p w:rsidR="00FE4F97" w:rsidRDefault="00FE4F97">
      <w:pPr>
        <w:pStyle w:val="SingleTxt"/>
        <w:rPr>
          <w:rFonts w:hint="cs"/>
          <w:rtl/>
        </w:rPr>
      </w:pPr>
      <w:r>
        <w:rPr>
          <w:rFonts w:hint="cs"/>
          <w:noProof/>
          <w:w w:val="100"/>
          <w:rtl/>
        </w:rPr>
        <w:pict>
          <v:shape id="_x0000_s1300" type="#_x0000_t202" style="position:absolute;left:0;text-align:left;margin-left:-331.7pt;margin-top:16.4pt;width:16.75pt;height:63pt;z-index:82" stroked="f">
            <v:textbox style="layout-flow:vertical;mso-layout-flow-alt:bottom-to-top;mso-next-textbox:#_x0000_s1300" inset="0,0,0,0">
              <w:txbxContent>
                <w:p w:rsidR="007433E8" w:rsidRPr="000579DC" w:rsidRDefault="007433E8">
                  <w:pPr>
                    <w:spacing w:line="240" w:lineRule="exact"/>
                    <w:jc w:val="center"/>
                    <w:rPr>
                      <w:rFonts w:hint="cs"/>
                      <w:szCs w:val="20"/>
                    </w:rPr>
                  </w:pPr>
                  <w:r>
                    <w:rPr>
                      <w:rFonts w:hint="cs"/>
                      <w:szCs w:val="20"/>
                      <w:rtl/>
                    </w:rPr>
                    <w:t>بالآلاف</w:t>
                  </w:r>
                </w:p>
              </w:txbxContent>
            </v:textbox>
            <w10:wrap anchorx="page"/>
          </v:shape>
        </w:pict>
      </w: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r>
        <w:rPr>
          <w:rFonts w:hint="cs"/>
          <w:noProof/>
          <w:w w:val="100"/>
          <w:rtl/>
        </w:rPr>
        <w:pict>
          <v:shape id="_x0000_s1299" type="#_x0000_t202" style="position:absolute;left:0;text-align:left;margin-left:-178.1pt;margin-top:8.9pt;width:91.55pt;height:18pt;z-index:81" stroked="f">
            <v:textbox style="mso-next-textbox:#_x0000_s1299" inset="0,0,0,0">
              <w:txbxContent>
                <w:p w:rsidR="007433E8" w:rsidRPr="000579DC" w:rsidRDefault="007433E8">
                  <w:pPr>
                    <w:spacing w:line="240" w:lineRule="exact"/>
                    <w:jc w:val="center"/>
                    <w:rPr>
                      <w:rFonts w:hint="cs"/>
                      <w:szCs w:val="20"/>
                    </w:rPr>
                  </w:pPr>
                  <w:r>
                    <w:rPr>
                      <w:rFonts w:hint="cs"/>
                      <w:szCs w:val="20"/>
                      <w:rtl/>
                    </w:rPr>
                    <w:t>الفئات العمرية</w:t>
                  </w:r>
                </w:p>
              </w:txbxContent>
            </v:textbox>
            <w10:wrap anchorx="page"/>
          </v:shape>
        </w:pict>
      </w:r>
    </w:p>
    <w:p w:rsidR="00FE4F97" w:rsidRDefault="00F057B5">
      <w:pPr>
        <w:pStyle w:val="SingleTxt"/>
        <w:rPr>
          <w:rFonts w:hint="cs"/>
          <w:rtl/>
        </w:rPr>
      </w:pPr>
      <w:r>
        <w:rPr>
          <w:rFonts w:hint="cs"/>
          <w:noProof/>
          <w:w w:val="100"/>
          <w:rtl/>
        </w:rPr>
        <w:pict>
          <v:shape id="_x0000_s1297" type="#_x0000_t202" style="position:absolute;left:0;text-align:left;margin-left:-32.65pt;margin-top:3.7pt;width:21.85pt;height:14.4pt;z-index:79" stroked="f">
            <v:textbox style="mso-next-textbox:#_x0000_s1297" inset="0,0,0,0">
              <w:txbxContent>
                <w:p w:rsidR="007433E8" w:rsidRPr="000579DC" w:rsidRDefault="007433E8">
                  <w:pPr>
                    <w:spacing w:line="240" w:lineRule="exact"/>
                    <w:jc w:val="center"/>
                    <w:rPr>
                      <w:rFonts w:hint="cs"/>
                      <w:szCs w:val="20"/>
                    </w:rPr>
                  </w:pPr>
                  <w:r>
                    <w:rPr>
                      <w:rFonts w:hint="cs"/>
                      <w:szCs w:val="20"/>
                      <w:rtl/>
                    </w:rPr>
                    <w:t>ذكور</w:t>
                  </w:r>
                </w:p>
              </w:txbxContent>
            </v:textbox>
            <w10:wrap anchorx="page"/>
          </v:shape>
        </w:pict>
      </w:r>
      <w:r>
        <w:rPr>
          <w:rFonts w:hint="cs"/>
          <w:noProof/>
          <w:w w:val="100"/>
          <w:rtl/>
        </w:rPr>
        <w:pict>
          <v:shape id="_x0000_s1298" type="#_x0000_t202" style="position:absolute;left:0;text-align:left;margin-left:-79.4pt;margin-top:3.7pt;width:34.65pt;height:14.4pt;z-index:80" stroked="f">
            <v:textbox style="mso-next-textbox:#_x0000_s1298" inset="0,0,0,0">
              <w:txbxContent>
                <w:p w:rsidR="007433E8" w:rsidRPr="000579DC" w:rsidRDefault="007433E8">
                  <w:pPr>
                    <w:spacing w:line="240" w:lineRule="exact"/>
                    <w:jc w:val="center"/>
                    <w:rPr>
                      <w:rFonts w:hint="cs"/>
                      <w:szCs w:val="20"/>
                    </w:rPr>
                  </w:pPr>
                  <w:r>
                    <w:rPr>
                      <w:rFonts w:hint="cs"/>
                      <w:szCs w:val="20"/>
                      <w:rtl/>
                    </w:rPr>
                    <w:t>إناث</w:t>
                  </w:r>
                </w:p>
              </w:txbxContent>
            </v:textbox>
            <w10:wrap anchorx="page"/>
          </v:shape>
        </w:pict>
      </w:r>
    </w:p>
    <w:p w:rsidR="00FE4F97" w:rsidRDefault="00FE4F97">
      <w:pPr>
        <w:pStyle w:val="SingleTxt"/>
        <w:rPr>
          <w:rFonts w:hint="cs"/>
          <w:rtl/>
        </w:rPr>
      </w:pPr>
      <w:r>
        <w:rPr>
          <w:rFonts w:hint="cs"/>
          <w:rtl/>
        </w:rPr>
        <w:tab/>
      </w:r>
      <w:r w:rsidRPr="00A41C66">
        <w:rPr>
          <w:rFonts w:hint="cs"/>
          <w:i/>
          <w:iCs/>
          <w:rtl/>
        </w:rPr>
        <w:t>المصدر</w:t>
      </w:r>
      <w:r>
        <w:rPr>
          <w:rFonts w:hint="cs"/>
          <w:rtl/>
        </w:rPr>
        <w:t>: التقرير السنوي للعمالة، المكتب الوطني للإحصاءات، 2005.</w:t>
      </w:r>
    </w:p>
    <w:p w:rsidR="00FE4F97" w:rsidRDefault="00FE4F97">
      <w:pPr>
        <w:pStyle w:val="SingleTxt"/>
        <w:rPr>
          <w:rFonts w:hint="cs"/>
          <w:rtl/>
        </w:rPr>
      </w:pPr>
      <w:r>
        <w:rPr>
          <w:rFonts w:hint="cs"/>
          <w:rtl/>
        </w:rPr>
        <w:tab/>
        <w:t>والفجوة بين الجنسين تُلاحظ في مقدار متوسط الراتب بالنظر إلى أن الرجال يمثلون الأغلبية في الأنشطة الاقتصادية المرتفعة الأجر وتمثل النساء الأغلبية في قطاع الخدمات الأقل أجرا.</w:t>
      </w:r>
    </w:p>
    <w:p w:rsidR="00FE4F97" w:rsidRDefault="00FE4F97">
      <w:pPr>
        <w:pStyle w:val="SingleTxt"/>
        <w:rPr>
          <w:rFonts w:hint="cs"/>
          <w:rtl/>
        </w:rPr>
      </w:pPr>
      <w:r>
        <w:rPr>
          <w:rFonts w:hint="cs"/>
          <w:rtl/>
        </w:rPr>
        <w:tab/>
        <w:t>والبطالة والفقر يرغمان المرأة على العمل في القطاعات غير النظامية وأنشطة الأسرة المعيشية غير المدفوعة الأجر. وبسبب عدم وجود نظام لإعادة تدريب النساء العاطلات، وانخفاض التشغيل في القطاع الخاص وانخفاض الدخل، يتزايد اهتمام الرجل والمرأة بالعمل في القطاع غير النظامي. وكثير من النساء يعملن في القطاع غير النظامي. بيد أن الدراسات الاستقصائية المختلفة أظهرت أرقاما مختلفة مثل 69، و54، و45، فيما يتعلق بنسبة النساء العاملات في القطاعات غير النظامية. ومعظم تجار التجزئة لا يدفعون للرعاية الاجتماعية والتأمين الصحي ولذلك تكون المرأة عُرضة للمخاطر.</w:t>
      </w:r>
    </w:p>
    <w:p w:rsidR="00FE4F97" w:rsidRDefault="00FE4F97">
      <w:pPr>
        <w:pStyle w:val="SingleTxt"/>
        <w:rPr>
          <w:rFonts w:hint="cs"/>
          <w:rtl/>
        </w:rPr>
      </w:pPr>
      <w:r>
        <w:rPr>
          <w:rFonts w:hint="cs"/>
          <w:rtl/>
        </w:rPr>
        <w:tab/>
        <w:t>وفي السنوات الأخيرة، آثر السكان الاشتغال بأنشطة الأسرة المعيشية لأن العبء الضريبي أقل والفرصة متاحة لتجنب التسجيل. وفي هذا الصدد، من المناسب دراسة نموذج كيان الأسرة المعيشية المناسب لمنغوليا. وبوجه عام، حان الوقت لتغيير طرق وأساليب أنشطة ممارسة الأعمال التجارية إلى ميدان قائم على العدل والمساواة. وهناك ميل إلى تزايد الكيانات القائمة على الموارد الطبيعية وأنشطة المرأة وهي غير مستدامة وغير مأمونة. وبتزايد الأنشطة ذات الصلة بالماشية، يتزايد عبء المرأة القائمة بالرعي. وزيادة تعرض الرعاة إلى التغيرات المناخية، وما ينتج عنها من جفاف وأحوال جوية قاسية، وفقدان للمراعي والماشية تخلق صعوبات في علاقات العمل في المناطق الريفية وإرهاق بالأعباء.</w:t>
      </w:r>
    </w:p>
    <w:p w:rsidR="00FE4F97" w:rsidRDefault="00FE4F97">
      <w:pPr>
        <w:pStyle w:val="SingleTxt"/>
        <w:rPr>
          <w:rFonts w:hint="cs"/>
          <w:rtl/>
        </w:rPr>
      </w:pPr>
    </w:p>
    <w:p w:rsidR="00FE4F97" w:rsidRDefault="00FE4F97">
      <w:pPr>
        <w:pStyle w:val="SingleTxt"/>
        <w:spacing w:after="0"/>
        <w:rPr>
          <w:rFonts w:hint="cs"/>
          <w:rtl/>
        </w:rPr>
      </w:pPr>
      <w:r>
        <w:rPr>
          <w:rtl/>
        </w:rPr>
        <w:br w:type="page"/>
      </w:r>
      <w:r>
        <w:rPr>
          <w:rFonts w:hint="cs"/>
          <w:rtl/>
        </w:rPr>
        <w:t>الرسم البياني 17</w:t>
      </w:r>
    </w:p>
    <w:p w:rsidR="00FE4F97" w:rsidRPr="00661BE8" w:rsidRDefault="00FE4F97">
      <w:pPr>
        <w:pStyle w:val="SingleTxt"/>
        <w:rPr>
          <w:rFonts w:hint="cs"/>
          <w:b/>
          <w:bCs/>
          <w:rtl/>
        </w:rPr>
      </w:pPr>
      <w:r>
        <w:rPr>
          <w:rFonts w:hint="cs"/>
          <w:b/>
          <w:bCs/>
          <w:rtl/>
        </w:rPr>
        <w:t>قطاع العمالة في عام 2004 حسب الجنس</w:t>
      </w:r>
      <w:r w:rsidRPr="00661BE8">
        <w:rPr>
          <w:vertAlign w:val="superscript"/>
          <w:rtl/>
        </w:rPr>
        <w:t>(</w:t>
      </w:r>
      <w:r w:rsidRPr="00661BE8">
        <w:rPr>
          <w:rStyle w:val="FootnoteReference"/>
          <w:rtl/>
        </w:rPr>
        <w:footnoteReference w:id="40"/>
      </w:r>
      <w:r w:rsidRPr="00661BE8">
        <w:rPr>
          <w:vertAlign w:val="superscript"/>
          <w:rtl/>
        </w:rPr>
        <w:t>)</w:t>
      </w: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r>
        <w:rPr>
          <w:rFonts w:hint="cs"/>
          <w:noProof/>
          <w:w w:val="100"/>
          <w:rtl/>
        </w:rPr>
      </w:r>
      <w:r>
        <w:pict>
          <v:group id="_x0000_s1027" editas="canvas" style="width:440.15pt;height:437.65pt;mso-position-horizontal-relative:char;mso-position-vertical-relative:line" coordsize="8803,8753">
            <o:lock v:ext="edit" aspectratio="t"/>
            <v:shape id="_x0000_s1028" type="#_x0000_t75" style="position:absolute;width:8803;height:8753" o:preferrelative="f">
              <v:fill o:detectmouseclick="t"/>
              <v:path o:extrusionok="t" o:connecttype="none"/>
              <o:lock v:ext="edit" text="t"/>
            </v:shape>
            <v:rect id="_x0000_s1029" style="position:absolute;left:69;top:62;width:8651;height:8163" strokeweight="0"/>
            <v:rect id="_x0000_s1030" style="position:absolute;left:4001;top:434;width:4429;height:7407" filled="f" stroked="f"/>
            <v:line id="_x0000_s1031" style="position:absolute" from="4443,434" to="4444,7841" strokeweight="0"/>
            <v:line id="_x0000_s1032" style="position:absolute" from="4884,434" to="4885,7841" strokeweight="0"/>
            <v:line id="_x0000_s1033" style="position:absolute" from="5326,434" to="5327,7841" strokeweight="0"/>
            <v:line id="_x0000_s1034" style="position:absolute" from="5767,434" to="5768,7841" strokeweight="0"/>
            <v:line id="_x0000_s1035" style="position:absolute" from="6223,434" to="6224,7841" strokeweight="0"/>
            <v:line id="_x0000_s1036" style="position:absolute" from="6664,434" to="6665,7841" strokeweight="0"/>
            <v:line id="_x0000_s1037" style="position:absolute" from="7106,434" to="7107,7841" strokeweight="0"/>
            <v:line id="_x0000_s1038" style="position:absolute" from="7547,434" to="7548,7841" strokeweight="0"/>
            <v:line id="_x0000_s1039" style="position:absolute" from="7989,434" to="7990,7841" strokeweight="0"/>
            <v:line id="_x0000_s1040" style="position:absolute" from="8430,434" to="8431,7841" strokeweight="0"/>
            <v:rect id="_x0000_s1041" style="position:absolute;left:4001;top:434;width:4429;height:7407" filled="f" strokecolor="gray" strokeweight=".7pt"/>
            <v:rect id="_x0000_s1042" style="position:absolute;left:4001;top:7494;width:2139;height:211" fillcolor="#99f" strokeweight=".7pt"/>
            <v:rect id="_x0000_s1043" style="position:absolute;left:4001;top:6999;width:2263;height:210" fillcolor="#99f" strokeweight=".7pt"/>
            <v:rect id="_x0000_s1044" style="position:absolute;left:4001;top:6503;width:2898;height:211" fillcolor="#99f" strokeweight=".7pt"/>
            <v:rect id="_x0000_s1045" style="position:absolute;left:4001;top:6020;width:2870;height:198" fillcolor="#99f" strokeweight=".7pt"/>
            <v:rect id="_x0000_s1046" style="position:absolute;left:4001;top:5525;width:1932;height:210" fillcolor="#99f" strokeweight=".7pt"/>
            <v:rect id="_x0000_s1047" style="position:absolute;left:4001;top:5029;width:2291;height:211" fillcolor="#99f" strokeweight=".7pt"/>
            <v:rect id="_x0000_s1048" style="position:absolute;left:4001;top:4534;width:2705;height:210" fillcolor="#99f" strokeweight=".7pt"/>
            <v:rect id="_x0000_s1049" style="position:absolute;left:4001;top:4038;width:1822;height:211" fillcolor="#99f" strokeweight=".7pt"/>
            <v:rect id="_x0000_s1050" style="position:absolute;left:4001;top:3543;width:2870;height:210" fillcolor="#99f" strokeweight=".7pt"/>
            <v:rect id="_x0000_s1051" style="position:absolute;left:4001;top:3047;width:2649;height:211" fillcolor="#99f" strokeweight=".7pt"/>
            <v:rect id="_x0000_s1052" style="position:absolute;left:4001;top:2552;width:1904;height:210" fillcolor="#99f" strokeweight=".7pt"/>
            <v:rect id="_x0000_s1053" style="position:absolute;left:4001;top:2069;width:1670;height:198" fillcolor="#99f" strokeweight=".7pt"/>
            <v:rect id="_x0000_s1054" style="position:absolute;left:4001;top:1573;width:2373;height:211" fillcolor="#99f" strokeweight=".7pt"/>
            <v:rect id="_x0000_s1055" style="position:absolute;left:4001;top:1078;width:1352;height:210" fillcolor="#99f" strokeweight=".7pt"/>
            <v:rect id="_x0000_s1056" style="position:absolute;left:4001;top:582;width:2111;height:211" fillcolor="#99f" strokeweight=".7pt"/>
            <v:rect id="_x0000_s1057" style="position:absolute;left:6140;top:7494;width:2290;height:211" fillcolor="#936" strokeweight=".7pt"/>
            <v:rect id="_x0000_s1058" style="position:absolute;left:6264;top:6999;width:2166;height:210" fillcolor="#936" strokeweight=".7pt"/>
            <v:rect id="_x0000_s1059" style="position:absolute;left:6899;top:6503;width:1531;height:211" fillcolor="#936" strokeweight=".7pt"/>
            <v:rect id="_x0000_s1060" style="position:absolute;left:6871;top:6020;width:1559;height:198" fillcolor="#936" strokeweight=".7pt"/>
            <v:rect id="_x0000_s1061" style="position:absolute;left:5933;top:5525;width:2497;height:210" fillcolor="#936" strokeweight=".7pt"/>
            <v:rect id="_x0000_s1062" style="position:absolute;left:6292;top:5029;width:2138;height:211" fillcolor="#936" strokeweight=".7pt"/>
            <v:rect id="_x0000_s1063" style="position:absolute;left:6706;top:4534;width:1724;height:210" fillcolor="#936" strokeweight=".7pt"/>
            <v:rect id="_x0000_s1064" style="position:absolute;left:5823;top:4038;width:2607;height:211" fillcolor="#936" strokeweight=".7pt"/>
            <v:rect id="_x0000_s1065" style="position:absolute;left:6871;top:3543;width:1559;height:210" fillcolor="#936" strokeweight=".7pt"/>
            <v:rect id="_x0000_s1066" style="position:absolute;left:6650;top:3047;width:1780;height:211" fillcolor="#936" strokeweight=".7pt"/>
            <v:rect id="_x0000_s1067" style="position:absolute;left:5905;top:2552;width:2525;height:210" fillcolor="#936" strokeweight=".7pt"/>
            <v:rect id="_x0000_s1068" style="position:absolute;left:5671;top:2069;width:2759;height:198" fillcolor="#936" strokeweight=".7pt"/>
            <v:rect id="_x0000_s1069" style="position:absolute;left:6374;top:1573;width:2056;height:211" fillcolor="#936" strokeweight=".7pt"/>
            <v:rect id="_x0000_s1070" style="position:absolute;left:5353;top:1078;width:3077;height:210" fillcolor="#936" strokeweight=".7pt"/>
            <v:rect id="_x0000_s1071" style="position:absolute;left:6112;top:582;width:2318;height:211" fillcolor="#936" strokeweight=".7pt"/>
            <v:line id="_x0000_s1072" style="position:absolute" from="4001,7841" to="8430,7842" strokeweight="0"/>
            <v:line id="_x0000_s1073" style="position:absolute;flip:y" from="4001,7841" to="4002,7878" strokeweight="0"/>
            <v:line id="_x0000_s1074" style="position:absolute;flip:y" from="4443,7841" to="4444,7878" strokeweight="0"/>
            <v:line id="_x0000_s1075" style="position:absolute;flip:y" from="4884,7841" to="4885,7878" strokeweight="0"/>
            <v:line id="_x0000_s1076" style="position:absolute;flip:y" from="5326,7841" to="5327,7878" strokeweight="0"/>
            <v:line id="_x0000_s1077" style="position:absolute;flip:y" from="5767,7841" to="5768,7878" strokeweight="0"/>
            <v:line id="_x0000_s1078" style="position:absolute;flip:y" from="6223,7841" to="6224,7878" strokeweight="0"/>
            <v:line id="_x0000_s1079" style="position:absolute;flip:y" from="6664,7841" to="6665,7878" strokeweight="0"/>
            <v:line id="_x0000_s1080" style="position:absolute;flip:y" from="7106,7841" to="7107,7878" strokeweight="0"/>
            <v:line id="_x0000_s1081" style="position:absolute;flip:y" from="7547,7841" to="7548,7878" strokeweight="0"/>
            <v:line id="_x0000_s1082" style="position:absolute;flip:y" from="7989,7841" to="7990,7878" strokeweight="0"/>
            <v:line id="_x0000_s1083" style="position:absolute;flip:y" from="8430,7841" to="8431,7878" strokeweight="0"/>
            <v:line id="_x0000_s1084" style="position:absolute" from="4001,434" to="4002,7841" strokeweight="0"/>
            <v:line id="_x0000_s1085" style="position:absolute" from="3946,7841" to="4001,7842" strokeweight="0"/>
            <v:line id="_x0000_s1086" style="position:absolute" from="3946,7346" to="4001,7347" strokeweight="0"/>
            <v:line id="_x0000_s1087" style="position:absolute" from="3946,6850" to="4001,6851" strokeweight="0"/>
            <v:line id="_x0000_s1088" style="position:absolute" from="3946,6355" to="4001,6356" strokeweight="0"/>
            <v:line id="_x0000_s1089" style="position:absolute" from="3946,5872" to="4001,5873" strokeweight="0"/>
            <v:line id="_x0000_s1090" style="position:absolute" from="3946,5376" to="4001,5377" strokeweight="0"/>
            <v:line id="_x0000_s1091" style="position:absolute" from="3946,4881" to="4001,4882" strokeweight="0"/>
            <v:line id="_x0000_s1092" style="position:absolute" from="3946,4385" to="4001,4386" strokeweight="0"/>
            <v:line id="_x0000_s1093" style="position:absolute" from="3946,3890" to="4001,3891" strokeweight="0"/>
            <v:line id="_x0000_s1094" style="position:absolute" from="3946,3394" to="4001,3395" strokeweight="0"/>
            <v:line id="_x0000_s1095" style="position:absolute" from="3946,2899" to="4001,2900" strokeweight="0"/>
            <v:line id="_x0000_s1096" style="position:absolute" from="3946,2403" to="4001,2404" strokeweight="0"/>
            <v:line id="_x0000_s1097" style="position:absolute" from="3946,1920" to="4001,1921" strokeweight="0"/>
            <v:line id="_x0000_s1098" style="position:absolute" from="3946,1425" to="4001,1426" strokeweight="0"/>
            <v:line id="_x0000_s1099" style="position:absolute" from="3946,929" to="4001,930" strokeweight="0"/>
            <v:line id="_x0000_s1100" style="position:absolute" from="3946,434" to="4001,435" strokeweight="0"/>
            <v:rect id="_x0000_s1101" style="position:absolute;left:4871;top:7457;width:400;height:297" stroked="f"/>
            <v:rect id="_x0000_s1102" style="position:absolute;left:4898;top:7507;width:289;height:800;mso-wrap-style:none" filled="f" stroked="f">
              <v:textbox style="mso-next-textbox:#_x0000_s1102;mso-fit-shape-to-text:t" inset="0,0,0,0">
                <w:txbxContent>
                  <w:p w:rsidR="007433E8" w:rsidRDefault="007433E8">
                    <w:r>
                      <w:rPr>
                        <w:rFonts w:cs="Arial Mon"/>
                        <w:b/>
                        <w:bCs/>
                        <w:color w:val="000000"/>
                        <w:sz w:val="16"/>
                        <w:szCs w:val="16"/>
                      </w:rPr>
                      <w:t>48.3</w:t>
                    </w:r>
                  </w:p>
                </w:txbxContent>
              </v:textbox>
            </v:rect>
            <v:rect id="_x0000_s1103" style="position:absolute;left:4939;top:6962;width:401;height:297" stroked="f"/>
            <v:rect id="_x0000_s1104" style="position:absolute;left:4967;top:7011;width:289;height:800;mso-wrap-style:none" filled="f" stroked="f">
              <v:textbox style="mso-next-textbox:#_x0000_s1104;mso-fit-shape-to-text:t" inset="0,0,0,0">
                <w:txbxContent>
                  <w:p w:rsidR="007433E8" w:rsidRDefault="007433E8">
                    <w:r>
                      <w:rPr>
                        <w:rFonts w:cs="Arial Mon"/>
                        <w:b/>
                        <w:bCs/>
                        <w:color w:val="000000"/>
                        <w:sz w:val="16"/>
                        <w:szCs w:val="16"/>
                      </w:rPr>
                      <w:t>51.0</w:t>
                    </w:r>
                  </w:p>
                </w:txbxContent>
              </v:textbox>
            </v:rect>
            <v:rect id="_x0000_s1105" style="position:absolute;left:5257;top:6466;width:400;height:297" stroked="f"/>
            <v:rect id="_x0000_s1106" style="position:absolute;left:5284;top:6516;width:289;height:800;mso-wrap-style:none" filled="f" stroked="f">
              <v:textbox style="mso-next-textbox:#_x0000_s1106;mso-fit-shape-to-text:t" inset="0,0,0,0">
                <w:txbxContent>
                  <w:p w:rsidR="007433E8" w:rsidRDefault="007433E8">
                    <w:r>
                      <w:rPr>
                        <w:rFonts w:cs="Arial Mon"/>
                        <w:b/>
                        <w:bCs/>
                        <w:color w:val="000000"/>
                        <w:sz w:val="16"/>
                        <w:szCs w:val="16"/>
                      </w:rPr>
                      <w:t>65.5</w:t>
                    </w:r>
                  </w:p>
                </w:txbxContent>
              </v:textbox>
            </v:rect>
            <v:rect id="_x0000_s1107" style="position:absolute;left:5243;top:5983;width:400;height:297" stroked="f"/>
            <v:rect id="_x0000_s1108" style="position:absolute;left:5271;top:6033;width:289;height:800;mso-wrap-style:none" filled="f" stroked="f">
              <v:textbox style="mso-next-textbox:#_x0000_s1108;mso-fit-shape-to-text:t" inset="0,0,0,0">
                <w:txbxContent>
                  <w:p w:rsidR="007433E8" w:rsidRDefault="007433E8">
                    <w:r>
                      <w:rPr>
                        <w:rFonts w:cs="Arial Mon"/>
                        <w:b/>
                        <w:bCs/>
                        <w:color w:val="000000"/>
                        <w:sz w:val="16"/>
                        <w:szCs w:val="16"/>
                      </w:rPr>
                      <w:t>64.9</w:t>
                    </w:r>
                  </w:p>
                </w:txbxContent>
              </v:textbox>
            </v:rect>
            <v:rect id="_x0000_s1109" style="position:absolute;left:4774;top:5488;width:400;height:297" stroked="f"/>
            <v:rect id="_x0000_s1110" style="position:absolute;left:4802;top:5537;width:289;height:800;mso-wrap-style:none" filled="f" stroked="f">
              <v:textbox style="mso-next-textbox:#_x0000_s1110;mso-fit-shape-to-text:t" inset="0,0,0,0">
                <w:txbxContent>
                  <w:p w:rsidR="007433E8" w:rsidRDefault="007433E8">
                    <w:r>
                      <w:rPr>
                        <w:rFonts w:cs="Arial Mon"/>
                        <w:b/>
                        <w:bCs/>
                        <w:color w:val="000000"/>
                        <w:sz w:val="16"/>
                        <w:szCs w:val="16"/>
                      </w:rPr>
                      <w:t>43.5</w:t>
                    </w:r>
                  </w:p>
                </w:txbxContent>
              </v:textbox>
            </v:rect>
            <v:rect id="_x0000_s1111" style="position:absolute;left:4953;top:4992;width:400;height:297" stroked="f"/>
            <v:rect id="_x0000_s1112" style="position:absolute;left:4981;top:5042;width:289;height:800;mso-wrap-style:none" filled="f" stroked="f">
              <v:textbox style="mso-next-textbox:#_x0000_s1112;mso-fit-shape-to-text:t" inset="0,0,0,0">
                <w:txbxContent>
                  <w:p w:rsidR="007433E8" w:rsidRDefault="007433E8">
                    <w:r>
                      <w:rPr>
                        <w:rFonts w:cs="Arial Mon"/>
                        <w:b/>
                        <w:bCs/>
                        <w:color w:val="000000"/>
                        <w:sz w:val="16"/>
                        <w:szCs w:val="16"/>
                      </w:rPr>
                      <w:t>51.8</w:t>
                    </w:r>
                  </w:p>
                </w:txbxContent>
              </v:textbox>
            </v:rect>
            <v:rect id="_x0000_s1113" style="position:absolute;left:5160;top:4497;width:400;height:297" stroked="f"/>
            <v:rect id="_x0000_s1114" style="position:absolute;left:5188;top:4546;width:289;height:800;mso-wrap-style:none" filled="f" stroked="f">
              <v:textbox style="mso-next-textbox:#_x0000_s1114;mso-fit-shape-to-text:t" inset="0,0,0,0">
                <w:txbxContent>
                  <w:p w:rsidR="007433E8" w:rsidRDefault="007433E8">
                    <w:r>
                      <w:rPr>
                        <w:rFonts w:cs="Arial Mon"/>
                        <w:b/>
                        <w:bCs/>
                        <w:color w:val="000000"/>
                        <w:sz w:val="16"/>
                        <w:szCs w:val="16"/>
                      </w:rPr>
                      <w:t>61.0</w:t>
                    </w:r>
                  </w:p>
                </w:txbxContent>
              </v:textbox>
            </v:rect>
            <v:rect id="_x0000_s1115" style="position:absolute;left:4719;top:4001;width:400;height:297" stroked="f"/>
            <v:rect id="_x0000_s1116" style="position:absolute;left:4746;top:4051;width:289;height:800;mso-wrap-style:none" filled="f" stroked="f">
              <v:textbox style="mso-next-textbox:#_x0000_s1116;mso-fit-shape-to-text:t" inset="0,0,0,0">
                <w:txbxContent>
                  <w:p w:rsidR="007433E8" w:rsidRDefault="007433E8">
                    <w:r>
                      <w:rPr>
                        <w:rFonts w:cs="Arial Mon"/>
                        <w:b/>
                        <w:bCs/>
                        <w:color w:val="000000"/>
                        <w:sz w:val="16"/>
                        <w:szCs w:val="16"/>
                      </w:rPr>
                      <w:t>41.2</w:t>
                    </w:r>
                  </w:p>
                </w:txbxContent>
              </v:textbox>
            </v:rect>
            <v:rect id="_x0000_s1117" style="position:absolute;left:5243;top:3506;width:400;height:297" stroked="f"/>
            <v:rect id="_x0000_s1118" style="position:absolute;left:5271;top:3555;width:289;height:800;mso-wrap-style:none" filled="f" stroked="f">
              <v:textbox style="mso-next-textbox:#_x0000_s1118;mso-fit-shape-to-text:t" inset="0,0,0,0">
                <w:txbxContent>
                  <w:p w:rsidR="007433E8" w:rsidRDefault="007433E8">
                    <w:r>
                      <w:rPr>
                        <w:rFonts w:cs="Arial Mon"/>
                        <w:b/>
                        <w:bCs/>
                        <w:color w:val="000000"/>
                        <w:sz w:val="16"/>
                        <w:szCs w:val="16"/>
                      </w:rPr>
                      <w:t>64.8</w:t>
                    </w:r>
                  </w:p>
                </w:txbxContent>
              </v:textbox>
            </v:rect>
            <v:rect id="_x0000_s1119" style="position:absolute;left:5133;top:3010;width:400;height:297" stroked="f"/>
            <v:rect id="_x0000_s1120" style="position:absolute;left:5160;top:3060;width:289;height:800;mso-wrap-style:none" filled="f" stroked="f">
              <v:textbox style="mso-next-textbox:#_x0000_s1120;mso-fit-shape-to-text:t" inset="0,0,0,0">
                <w:txbxContent>
                  <w:p w:rsidR="007433E8" w:rsidRDefault="007433E8">
                    <w:r>
                      <w:rPr>
                        <w:rFonts w:cs="Arial Mon"/>
                        <w:b/>
                        <w:bCs/>
                        <w:color w:val="000000"/>
                        <w:sz w:val="16"/>
                        <w:szCs w:val="16"/>
                      </w:rPr>
                      <w:t>59.8</w:t>
                    </w:r>
                  </w:p>
                </w:txbxContent>
              </v:textbox>
            </v:rect>
            <v:rect id="_x0000_s1121" style="position:absolute;left:4760;top:2515;width:400;height:297" stroked="f"/>
            <v:rect id="_x0000_s1122" style="position:absolute;left:4788;top:2564;width:289;height:800;mso-wrap-style:none" filled="f" stroked="f">
              <v:textbox style="mso-next-textbox:#_x0000_s1122;mso-fit-shape-to-text:t" inset="0,0,0,0">
                <w:txbxContent>
                  <w:p w:rsidR="007433E8" w:rsidRDefault="007433E8">
                    <w:r>
                      <w:rPr>
                        <w:rFonts w:cs="Arial Mon"/>
                        <w:b/>
                        <w:bCs/>
                        <w:color w:val="000000"/>
                        <w:sz w:val="16"/>
                        <w:szCs w:val="16"/>
                      </w:rPr>
                      <w:t>43.1</w:t>
                    </w:r>
                  </w:p>
                </w:txbxContent>
              </v:textbox>
            </v:rect>
            <v:rect id="_x0000_s1123" style="position:absolute;left:4636;top:2032;width:400;height:297" stroked="f"/>
            <v:rect id="_x0000_s1124" style="position:absolute;left:4664;top:2081;width:289;height:800;mso-wrap-style:none" filled="f" stroked="f">
              <v:textbox style="mso-next-textbox:#_x0000_s1124;mso-fit-shape-to-text:t" inset="0,0,0,0">
                <w:txbxContent>
                  <w:p w:rsidR="007433E8" w:rsidRDefault="007433E8">
                    <w:r>
                      <w:rPr>
                        <w:rFonts w:cs="Arial Mon"/>
                        <w:b/>
                        <w:bCs/>
                        <w:color w:val="000000"/>
                        <w:sz w:val="16"/>
                        <w:szCs w:val="16"/>
                      </w:rPr>
                      <w:t>37.6</w:t>
                    </w:r>
                  </w:p>
                </w:txbxContent>
              </v:textbox>
            </v:rect>
            <v:rect id="_x0000_s1125" style="position:absolute;left:4995;top:1536;width:400;height:297" stroked="f"/>
            <v:rect id="_x0000_s1126" style="position:absolute;left:5022;top:1586;width:289;height:800;mso-wrap-style:none" filled="f" stroked="f">
              <v:textbox style="mso-next-textbox:#_x0000_s1126;mso-fit-shape-to-text:t" inset="0,0,0,0">
                <w:txbxContent>
                  <w:p w:rsidR="007433E8" w:rsidRDefault="007433E8">
                    <w:r>
                      <w:rPr>
                        <w:rFonts w:cs="Arial Mon"/>
                        <w:b/>
                        <w:bCs/>
                        <w:color w:val="000000"/>
                        <w:sz w:val="16"/>
                        <w:szCs w:val="16"/>
                      </w:rPr>
                      <w:t>53.6</w:t>
                    </w:r>
                  </w:p>
                </w:txbxContent>
              </v:textbox>
            </v:rect>
            <v:rect id="_x0000_s1127" style="position:absolute;left:4484;top:1041;width:400;height:297" stroked="f"/>
            <v:rect id="_x0000_s1128" style="position:absolute;left:4512;top:1090;width:289;height:800;mso-wrap-style:none" filled="f" stroked="f">
              <v:textbox style="mso-next-textbox:#_x0000_s1128;mso-fit-shape-to-text:t" inset="0,0,0,0">
                <w:txbxContent>
                  <w:p w:rsidR="007433E8" w:rsidRDefault="007433E8">
                    <w:r>
                      <w:rPr>
                        <w:rFonts w:cs="Arial Mon"/>
                        <w:b/>
                        <w:bCs/>
                        <w:color w:val="000000"/>
                        <w:sz w:val="16"/>
                        <w:szCs w:val="16"/>
                      </w:rPr>
                      <w:t>30.4</w:t>
                    </w:r>
                  </w:p>
                </w:txbxContent>
              </v:textbox>
            </v:rect>
            <v:rect id="_x0000_s1129" style="position:absolute;left:4857;top:545;width:400;height:297" stroked="f"/>
            <v:rect id="_x0000_s1130" style="position:absolute;left:4884;top:595;width:289;height:800;mso-wrap-style:none" filled="f" stroked="f">
              <v:textbox style="mso-next-textbox:#_x0000_s1130;mso-fit-shape-to-text:t" inset="0,0,0,0">
                <w:txbxContent>
                  <w:p w:rsidR="007433E8" w:rsidRDefault="007433E8">
                    <w:r>
                      <w:rPr>
                        <w:rFonts w:cs="Arial Mon"/>
                        <w:b/>
                        <w:bCs/>
                        <w:color w:val="000000"/>
                        <w:sz w:val="16"/>
                        <w:szCs w:val="16"/>
                      </w:rPr>
                      <w:t>47.6</w:t>
                    </w:r>
                  </w:p>
                </w:txbxContent>
              </v:textbox>
            </v:rect>
            <v:rect id="_x0000_s1131" style="position:absolute;left:7078;top:7445;width:414;height:309" strokecolor="white" strokeweight="0"/>
            <v:rect id="_x0000_s1132" style="position:absolute;left:7119;top:7507;width:289;height:800;mso-wrap-style:none" filled="f" stroked="f">
              <v:textbox style="mso-next-textbox:#_x0000_s1132;mso-fit-shape-to-text:t" inset="0,0,0,0">
                <w:txbxContent>
                  <w:p w:rsidR="007433E8" w:rsidRDefault="007433E8">
                    <w:r>
                      <w:rPr>
                        <w:rFonts w:cs="Arial Mon"/>
                        <w:b/>
                        <w:bCs/>
                        <w:color w:val="000000"/>
                        <w:sz w:val="16"/>
                        <w:szCs w:val="16"/>
                      </w:rPr>
                      <w:t>51.7</w:t>
                    </w:r>
                  </w:p>
                </w:txbxContent>
              </v:textbox>
            </v:rect>
            <v:rect id="_x0000_s1133" style="position:absolute;left:7133;top:6949;width:414;height:310" strokecolor="white" strokeweight="0"/>
            <v:rect id="_x0000_s1134" style="position:absolute;left:7175;top:7011;width:289;height:800;mso-wrap-style:none" filled="f" stroked="f">
              <v:textbox style="mso-next-textbox:#_x0000_s1134;mso-fit-shape-to-text:t" inset="0,0,0,0">
                <w:txbxContent>
                  <w:p w:rsidR="007433E8" w:rsidRDefault="007433E8">
                    <w:r>
                      <w:rPr>
                        <w:rFonts w:cs="Arial Mon"/>
                        <w:b/>
                        <w:bCs/>
                        <w:color w:val="000000"/>
                        <w:sz w:val="16"/>
                        <w:szCs w:val="16"/>
                      </w:rPr>
                      <w:t>49.0</w:t>
                    </w:r>
                  </w:p>
                </w:txbxContent>
              </v:textbox>
            </v:rect>
            <v:rect id="_x0000_s1135" style="position:absolute;left:7451;top:6454;width:414;height:309" strokecolor="white" strokeweight="0"/>
            <v:rect id="_x0000_s1136" style="position:absolute;left:7492;top:6516;width:289;height:800;mso-wrap-style:none" filled="f" stroked="f">
              <v:textbox style="mso-next-textbox:#_x0000_s1136;mso-fit-shape-to-text:t" inset="0,0,0,0">
                <w:txbxContent>
                  <w:p w:rsidR="007433E8" w:rsidRDefault="007433E8">
                    <w:r>
                      <w:rPr>
                        <w:rFonts w:cs="Arial Mon"/>
                        <w:b/>
                        <w:bCs/>
                        <w:color w:val="000000"/>
                        <w:sz w:val="16"/>
                        <w:szCs w:val="16"/>
                      </w:rPr>
                      <w:t>34.5</w:t>
                    </w:r>
                  </w:p>
                </w:txbxContent>
              </v:textbox>
            </v:rect>
            <v:rect id="_x0000_s1137" style="position:absolute;left:7437;top:5971;width:414;height:309" strokecolor="white" strokeweight="0"/>
            <v:rect id="_x0000_s1138" style="position:absolute;left:7478;top:6033;width:289;height:800;mso-wrap-style:none" filled="f" stroked="f">
              <v:textbox style="mso-next-textbox:#_x0000_s1138;mso-fit-shape-to-text:t" inset="0,0,0,0">
                <w:txbxContent>
                  <w:p w:rsidR="007433E8" w:rsidRDefault="007433E8">
                    <w:r>
                      <w:rPr>
                        <w:rFonts w:cs="Arial Mon"/>
                        <w:b/>
                        <w:bCs/>
                        <w:color w:val="000000"/>
                        <w:sz w:val="16"/>
                        <w:szCs w:val="16"/>
                      </w:rPr>
                      <w:t>35.1</w:t>
                    </w:r>
                  </w:p>
                </w:txbxContent>
              </v:textbox>
            </v:rect>
            <v:rect id="_x0000_s1139" style="position:absolute;left:6968;top:5475;width:414;height:310" strokecolor="white" strokeweight="0"/>
            <v:rect id="_x0000_s1140" style="position:absolute;left:7009;top:5537;width:289;height:800;mso-wrap-style:none" filled="f" stroked="f">
              <v:textbox style="mso-next-textbox:#_x0000_s1140;mso-fit-shape-to-text:t" inset="0,0,0,0">
                <w:txbxContent>
                  <w:p w:rsidR="007433E8" w:rsidRDefault="007433E8">
                    <w:r>
                      <w:rPr>
                        <w:rFonts w:cs="Arial Mon"/>
                        <w:b/>
                        <w:bCs/>
                        <w:color w:val="000000"/>
                        <w:sz w:val="16"/>
                        <w:szCs w:val="16"/>
                      </w:rPr>
                      <w:t>56.5</w:t>
                    </w:r>
                  </w:p>
                </w:txbxContent>
              </v:textbox>
            </v:rect>
            <v:rect id="_x0000_s1141" style="position:absolute;left:7147;top:4980;width:414;height:309" strokecolor="white" strokeweight="0"/>
            <v:rect id="_x0000_s1142" style="position:absolute;left:7188;top:5042;width:289;height:800;mso-wrap-style:none" filled="f" stroked="f">
              <v:textbox style="mso-next-textbox:#_x0000_s1142;mso-fit-shape-to-text:t" inset="0,0,0,0">
                <w:txbxContent>
                  <w:p w:rsidR="007433E8" w:rsidRDefault="007433E8">
                    <w:r>
                      <w:rPr>
                        <w:rFonts w:cs="Arial Mon"/>
                        <w:b/>
                        <w:bCs/>
                        <w:color w:val="000000"/>
                        <w:sz w:val="16"/>
                        <w:szCs w:val="16"/>
                      </w:rPr>
                      <w:t>48.2</w:t>
                    </w:r>
                  </w:p>
                </w:txbxContent>
              </v:textbox>
            </v:rect>
            <v:rect id="_x0000_s1143" style="position:absolute;left:7354;top:4484;width:414;height:310" strokecolor="white" strokeweight="0"/>
            <v:rect id="_x0000_s1144" style="position:absolute;left:7395;top:4546;width:289;height:800;mso-wrap-style:none" filled="f" stroked="f">
              <v:textbox style="mso-next-textbox:#_x0000_s1144;mso-fit-shape-to-text:t" inset="0,0,0,0">
                <w:txbxContent>
                  <w:p w:rsidR="007433E8" w:rsidRDefault="007433E8">
                    <w:r>
                      <w:rPr>
                        <w:rFonts w:cs="Arial Mon"/>
                        <w:b/>
                        <w:bCs/>
                        <w:color w:val="000000"/>
                        <w:sz w:val="16"/>
                        <w:szCs w:val="16"/>
                      </w:rPr>
                      <w:t>39.0</w:t>
                    </w:r>
                  </w:p>
                </w:txbxContent>
              </v:textbox>
            </v:rect>
            <v:rect id="_x0000_s1145" style="position:absolute;left:6913;top:3989;width:413;height:309" strokecolor="white" strokeweight="0"/>
            <v:rect id="_x0000_s1146" style="position:absolute;left:6954;top:4051;width:289;height:800;mso-wrap-style:none" filled="f" stroked="f">
              <v:textbox style="mso-next-textbox:#_x0000_s1146;mso-fit-shape-to-text:t" inset="0,0,0,0">
                <w:txbxContent>
                  <w:p w:rsidR="007433E8" w:rsidRDefault="007433E8">
                    <w:r>
                      <w:rPr>
                        <w:rFonts w:cs="Arial Mon"/>
                        <w:b/>
                        <w:bCs/>
                        <w:color w:val="000000"/>
                        <w:sz w:val="16"/>
                        <w:szCs w:val="16"/>
                      </w:rPr>
                      <w:t>58.8</w:t>
                    </w:r>
                  </w:p>
                </w:txbxContent>
              </v:textbox>
            </v:rect>
            <v:rect id="_x0000_s1147" style="position:absolute;left:7437;top:3493;width:414;height:310" strokecolor="white" strokeweight="0"/>
            <v:rect id="_x0000_s1148" style="position:absolute;left:7478;top:3555;width:289;height:800;mso-wrap-style:none" filled="f" stroked="f">
              <v:textbox style="mso-next-textbox:#_x0000_s1148;mso-fit-shape-to-text:t" inset="0,0,0,0">
                <w:txbxContent>
                  <w:p w:rsidR="007433E8" w:rsidRDefault="007433E8">
                    <w:r>
                      <w:rPr>
                        <w:rFonts w:cs="Arial Mon"/>
                        <w:b/>
                        <w:bCs/>
                        <w:color w:val="000000"/>
                        <w:sz w:val="16"/>
                        <w:szCs w:val="16"/>
                      </w:rPr>
                      <w:t>35.2</w:t>
                    </w:r>
                  </w:p>
                </w:txbxContent>
              </v:textbox>
            </v:rect>
            <v:rect id="_x0000_s1149" style="position:absolute;left:7326;top:2998;width:414;height:309" strokecolor="white" strokeweight="0"/>
            <v:rect id="_x0000_s1150" style="position:absolute;left:7368;top:3060;width:289;height:800;mso-wrap-style:none" filled="f" stroked="f">
              <v:textbox style="mso-next-textbox:#_x0000_s1150;mso-fit-shape-to-text:t" inset="0,0,0,0">
                <w:txbxContent>
                  <w:p w:rsidR="007433E8" w:rsidRDefault="007433E8">
                    <w:r>
                      <w:rPr>
                        <w:rFonts w:cs="Arial Mon"/>
                        <w:b/>
                        <w:bCs/>
                        <w:color w:val="000000"/>
                        <w:sz w:val="16"/>
                        <w:szCs w:val="16"/>
                      </w:rPr>
                      <w:t>40.2</w:t>
                    </w:r>
                  </w:p>
                </w:txbxContent>
              </v:textbox>
            </v:rect>
            <v:rect id="_x0000_s1151" style="position:absolute;left:6954;top:2502;width:414;height:310" strokecolor="white" strokeweight="0"/>
            <v:rect id="_x0000_s1152" style="position:absolute;left:6995;top:2564;width:289;height:800;mso-wrap-style:none" filled="f" stroked="f">
              <v:textbox style="mso-next-textbox:#_x0000_s1152;mso-fit-shape-to-text:t" inset="0,0,0,0">
                <w:txbxContent>
                  <w:p w:rsidR="007433E8" w:rsidRDefault="007433E8">
                    <w:r>
                      <w:rPr>
                        <w:rFonts w:cs="Arial Mon"/>
                        <w:b/>
                        <w:bCs/>
                        <w:color w:val="000000"/>
                        <w:sz w:val="16"/>
                        <w:szCs w:val="16"/>
                      </w:rPr>
                      <w:t>56.9</w:t>
                    </w:r>
                  </w:p>
                </w:txbxContent>
              </v:textbox>
            </v:rect>
            <v:rect id="_x0000_s1153" style="position:absolute;left:6844;top:2019;width:413;height:310" strokecolor="white" strokeweight="0"/>
            <v:rect id="_x0000_s1154" style="position:absolute;left:6885;top:2081;width:289;height:800;mso-wrap-style:none" filled="f" stroked="f">
              <v:textbox style="mso-next-textbox:#_x0000_s1154;mso-fit-shape-to-text:t" inset="0,0,0,0">
                <w:txbxContent>
                  <w:p w:rsidR="007433E8" w:rsidRDefault="007433E8">
                    <w:r>
                      <w:rPr>
                        <w:rFonts w:cs="Arial Mon"/>
                        <w:b/>
                        <w:bCs/>
                        <w:color w:val="000000"/>
                        <w:sz w:val="16"/>
                        <w:szCs w:val="16"/>
                      </w:rPr>
                      <w:t>62.4</w:t>
                    </w:r>
                  </w:p>
                </w:txbxContent>
              </v:textbox>
            </v:rect>
            <v:rect id="_x0000_s1155" style="position:absolute;left:7188;top:1524;width:414;height:309" strokecolor="white" strokeweight="0"/>
            <v:rect id="_x0000_s1156" style="position:absolute;left:7230;top:1586;width:289;height:800;mso-wrap-style:none" filled="f" stroked="f">
              <v:textbox style="mso-next-textbox:#_x0000_s1156;mso-fit-shape-to-text:t" inset="0,0,0,0">
                <w:txbxContent>
                  <w:p w:rsidR="007433E8" w:rsidRDefault="007433E8">
                    <w:r>
                      <w:rPr>
                        <w:rFonts w:cs="Arial Mon"/>
                        <w:b/>
                        <w:bCs/>
                        <w:color w:val="000000"/>
                        <w:sz w:val="16"/>
                        <w:szCs w:val="16"/>
                      </w:rPr>
                      <w:t>46.4</w:t>
                    </w:r>
                  </w:p>
                </w:txbxContent>
              </v:textbox>
            </v:rect>
            <v:rect id="_x0000_s1157" style="position:absolute;left:6678;top:1028;width:414;height:310" strokecolor="white" strokeweight="0"/>
            <v:rect id="_x0000_s1158" style="position:absolute;left:6719;top:1090;width:289;height:800;mso-wrap-style:none" filled="f" stroked="f">
              <v:textbox style="mso-next-textbox:#_x0000_s1158;mso-fit-shape-to-text:t" inset="0,0,0,0">
                <w:txbxContent>
                  <w:p w:rsidR="007433E8" w:rsidRDefault="007433E8">
                    <w:r>
                      <w:rPr>
                        <w:rFonts w:cs="Arial Mon"/>
                        <w:b/>
                        <w:bCs/>
                        <w:color w:val="000000"/>
                        <w:sz w:val="16"/>
                        <w:szCs w:val="16"/>
                      </w:rPr>
                      <w:t>69.6</w:t>
                    </w:r>
                  </w:p>
                </w:txbxContent>
              </v:textbox>
            </v:rect>
            <v:rect id="_x0000_s1159" style="position:absolute;left:7064;top:533;width:414;height:309" strokecolor="white" strokeweight="0"/>
            <v:rect id="_x0000_s1160" style="position:absolute;left:7106;top:595;width:289;height:800;mso-wrap-style:none" filled="f" stroked="f">
              <v:textbox style="mso-next-textbox:#_x0000_s1160;mso-fit-shape-to-text:t" inset="0,0,0,0">
                <w:txbxContent>
                  <w:p w:rsidR="007433E8" w:rsidRDefault="007433E8">
                    <w:r>
                      <w:rPr>
                        <w:rFonts w:cs="Arial Mon"/>
                        <w:b/>
                        <w:bCs/>
                        <w:color w:val="000000"/>
                        <w:sz w:val="16"/>
                        <w:szCs w:val="16"/>
                      </w:rPr>
                      <w:t>52.4</w:t>
                    </w:r>
                  </w:p>
                </w:txbxContent>
              </v:textbox>
            </v:rect>
            <v:rect id="_x0000_s1161" style="position:absolute;left:3891;top:7953;width:193;height:800;mso-wrap-style:none" filled="f" stroked="f">
              <v:textbox style="mso-next-textbox:#_x0000_s1161;mso-fit-shape-to-text:t" inset="0,0,0,0">
                <w:txbxContent>
                  <w:p w:rsidR="007433E8" w:rsidRDefault="007433E8">
                    <w:r>
                      <w:rPr>
                        <w:rFonts w:cs="Arial Mon"/>
                        <w:color w:val="000000"/>
                        <w:sz w:val="14"/>
                        <w:szCs w:val="14"/>
                      </w:rPr>
                      <w:t>0%</w:t>
                    </w:r>
                  </w:p>
                </w:txbxContent>
              </v:textbox>
            </v:rect>
            <v:rect id="_x0000_s1162" style="position:absolute;left:4291;top:7953;width:265;height:800;mso-wrap-style:none" filled="f" stroked="f">
              <v:textbox style="mso-next-textbox:#_x0000_s1162;mso-fit-shape-to-text:t" inset="0,0,0,0">
                <w:txbxContent>
                  <w:p w:rsidR="007433E8" w:rsidRDefault="007433E8">
                    <w:r>
                      <w:rPr>
                        <w:rFonts w:cs="Arial Mon"/>
                        <w:color w:val="000000"/>
                        <w:sz w:val="14"/>
                        <w:szCs w:val="14"/>
                      </w:rPr>
                      <w:t>10%</w:t>
                    </w:r>
                  </w:p>
                </w:txbxContent>
              </v:textbox>
            </v:rect>
            <v:rect id="_x0000_s1163" style="position:absolute;left:4733;top:7953;width:265;height:800;mso-wrap-style:none" filled="f" stroked="f">
              <v:textbox style="mso-next-textbox:#_x0000_s1163;mso-fit-shape-to-text:t" inset="0,0,0,0">
                <w:txbxContent>
                  <w:p w:rsidR="007433E8" w:rsidRDefault="007433E8">
                    <w:r>
                      <w:rPr>
                        <w:rFonts w:cs="Arial Mon"/>
                        <w:color w:val="000000"/>
                        <w:sz w:val="14"/>
                        <w:szCs w:val="14"/>
                      </w:rPr>
                      <w:t>20%</w:t>
                    </w:r>
                  </w:p>
                </w:txbxContent>
              </v:textbox>
            </v:rect>
            <v:rect id="_x0000_s1164" style="position:absolute;left:5174;top:7953;width:265;height:800;mso-wrap-style:none" filled="f" stroked="f">
              <v:textbox style="mso-next-textbox:#_x0000_s1164;mso-fit-shape-to-text:t" inset="0,0,0,0">
                <w:txbxContent>
                  <w:p w:rsidR="007433E8" w:rsidRDefault="007433E8">
                    <w:r>
                      <w:rPr>
                        <w:rFonts w:cs="Arial Mon"/>
                        <w:color w:val="000000"/>
                        <w:sz w:val="14"/>
                        <w:szCs w:val="14"/>
                      </w:rPr>
                      <w:t>30%</w:t>
                    </w:r>
                  </w:p>
                </w:txbxContent>
              </v:textbox>
            </v:rect>
            <v:rect id="_x0000_s1165" style="position:absolute;left:5616;top:7953;width:265;height:800;mso-wrap-style:none" filled="f" stroked="f">
              <v:textbox style="mso-next-textbox:#_x0000_s1165;mso-fit-shape-to-text:t" inset="0,0,0,0">
                <w:txbxContent>
                  <w:p w:rsidR="007433E8" w:rsidRDefault="007433E8">
                    <w:r>
                      <w:rPr>
                        <w:rFonts w:cs="Arial Mon"/>
                        <w:color w:val="000000"/>
                        <w:sz w:val="14"/>
                        <w:szCs w:val="14"/>
                      </w:rPr>
                      <w:t>40%</w:t>
                    </w:r>
                  </w:p>
                </w:txbxContent>
              </v:textbox>
            </v:rect>
            <v:rect id="_x0000_s1166" style="position:absolute;left:6071;top:7953;width:265;height:800;mso-wrap-style:none" filled="f" stroked="f">
              <v:textbox style="mso-next-textbox:#_x0000_s1166;mso-fit-shape-to-text:t" inset="0,0,0,0">
                <w:txbxContent>
                  <w:p w:rsidR="007433E8" w:rsidRDefault="007433E8">
                    <w:r>
                      <w:rPr>
                        <w:rFonts w:cs="Arial Mon"/>
                        <w:color w:val="000000"/>
                        <w:sz w:val="14"/>
                        <w:szCs w:val="14"/>
                      </w:rPr>
                      <w:t>50%</w:t>
                    </w:r>
                  </w:p>
                </w:txbxContent>
              </v:textbox>
            </v:rect>
            <v:rect id="_x0000_s1167" style="position:absolute;left:6512;top:7953;width:265;height:800;mso-wrap-style:none" filled="f" stroked="f">
              <v:textbox style="mso-next-textbox:#_x0000_s1167;mso-fit-shape-to-text:t" inset="0,0,0,0">
                <w:txbxContent>
                  <w:p w:rsidR="007433E8" w:rsidRDefault="007433E8">
                    <w:r>
                      <w:rPr>
                        <w:rFonts w:cs="Arial Mon"/>
                        <w:color w:val="000000"/>
                        <w:sz w:val="14"/>
                        <w:szCs w:val="14"/>
                      </w:rPr>
                      <w:t>60%</w:t>
                    </w:r>
                  </w:p>
                </w:txbxContent>
              </v:textbox>
            </v:rect>
            <v:rect id="_x0000_s1168" style="position:absolute;left:6954;top:7953;width:265;height:800;mso-wrap-style:none" filled="f" stroked="f">
              <v:textbox style="mso-next-textbox:#_x0000_s1168;mso-fit-shape-to-text:t" inset="0,0,0,0">
                <w:txbxContent>
                  <w:p w:rsidR="007433E8" w:rsidRDefault="007433E8">
                    <w:r>
                      <w:rPr>
                        <w:rFonts w:cs="Arial Mon"/>
                        <w:color w:val="000000"/>
                        <w:sz w:val="14"/>
                        <w:szCs w:val="14"/>
                      </w:rPr>
                      <w:t>70%</w:t>
                    </w:r>
                  </w:p>
                </w:txbxContent>
              </v:textbox>
            </v:rect>
            <v:rect id="_x0000_s1169" style="position:absolute;left:7395;top:7953;width:265;height:800;mso-wrap-style:none" filled="f" stroked="f">
              <v:textbox style="mso-next-textbox:#_x0000_s1169;mso-fit-shape-to-text:t" inset="0,0,0,0">
                <w:txbxContent>
                  <w:p w:rsidR="007433E8" w:rsidRDefault="007433E8">
                    <w:r>
                      <w:rPr>
                        <w:rFonts w:cs="Arial Mon"/>
                        <w:color w:val="000000"/>
                        <w:sz w:val="14"/>
                        <w:szCs w:val="14"/>
                      </w:rPr>
                      <w:t>80%</w:t>
                    </w:r>
                  </w:p>
                </w:txbxContent>
              </v:textbox>
            </v:rect>
            <v:rect id="_x0000_s1170" style="position:absolute;left:7837;top:7953;width:265;height:800;mso-wrap-style:none" filled="f" stroked="f">
              <v:textbox style="mso-next-textbox:#_x0000_s1170;mso-fit-shape-to-text:t" inset="0,0,0,0">
                <w:txbxContent>
                  <w:p w:rsidR="007433E8" w:rsidRDefault="007433E8">
                    <w:r>
                      <w:rPr>
                        <w:rFonts w:cs="Arial Mon"/>
                        <w:color w:val="000000"/>
                        <w:sz w:val="14"/>
                        <w:szCs w:val="14"/>
                      </w:rPr>
                      <w:t>90%</w:t>
                    </w:r>
                  </w:p>
                </w:txbxContent>
              </v:textbox>
            </v:rect>
            <v:rect id="_x0000_s1171" style="position:absolute;left:8237;top:7953;width:337;height:800;mso-wrap-style:none" filled="f" stroked="f">
              <v:textbox style="mso-next-textbox:#_x0000_s1171;mso-fit-shape-to-text:t" inset="0,0,0,0">
                <w:txbxContent>
                  <w:p w:rsidR="007433E8" w:rsidRDefault="007433E8">
                    <w:r>
                      <w:rPr>
                        <w:rFonts w:cs="Arial Mon"/>
                        <w:color w:val="000000"/>
                        <w:sz w:val="14"/>
                        <w:szCs w:val="14"/>
                      </w:rPr>
                      <w:t>100%</w:t>
                    </w:r>
                  </w:p>
                </w:txbxContent>
              </v:textbox>
            </v:rect>
            <v:rect id="_x0000_s1172" style="position:absolute;left:3394;top:7507;width:384;height:800;mso-wrap-style:none" filled="f" stroked="f">
              <v:textbox style="mso-next-textbox:#_x0000_s1172;mso-fit-shape-to-text:t" inset="0,0,0,0">
                <w:txbxContent>
                  <w:p w:rsidR="007433E8" w:rsidRPr="00F36AC3" w:rsidRDefault="007433E8">
                    <w:pPr>
                      <w:rPr>
                        <w:rFonts w:hint="cs"/>
                        <w:sz w:val="24"/>
                        <w:szCs w:val="24"/>
                      </w:rPr>
                    </w:pPr>
                    <w:r>
                      <w:rPr>
                        <w:rFonts w:hint="cs"/>
                        <w:color w:val="000000"/>
                        <w:sz w:val="24"/>
                        <w:szCs w:val="24"/>
                        <w:rtl/>
                      </w:rPr>
                      <w:t>أخرى</w:t>
                    </w:r>
                  </w:p>
                </w:txbxContent>
              </v:textbox>
            </v:rect>
            <v:rect id="_x0000_s1173" style="position:absolute;left:579;top:7011;width:3119;height:800;mso-wrap-style:none" filled="f" stroked="f">
              <v:textbox style="mso-next-textbox:#_x0000_s1173;mso-fit-shape-to-text:t" inset="0,0,0,0">
                <w:txbxContent>
                  <w:p w:rsidR="007433E8" w:rsidRPr="00F36AC3" w:rsidRDefault="007433E8">
                    <w:pPr>
                      <w:rPr>
                        <w:rFonts w:hint="cs"/>
                        <w:sz w:val="24"/>
                        <w:szCs w:val="24"/>
                      </w:rPr>
                    </w:pPr>
                    <w:r>
                      <w:rPr>
                        <w:rFonts w:hint="cs"/>
                        <w:color w:val="000000"/>
                        <w:sz w:val="24"/>
                        <w:szCs w:val="24"/>
                        <w:rtl/>
                      </w:rPr>
                      <w:t>الخدمات الأخرى المقدمة للمجتمع المحلي والأفراد</w:t>
                    </w:r>
                  </w:p>
                </w:txbxContent>
              </v:textbox>
            </v:rect>
            <v:rect id="_x0000_s1174" style="position:absolute;left:1339;top:6516;width:1866;height:400" filled="f" stroked="f">
              <v:textbox style="mso-next-textbox:#_x0000_s1174;mso-fit-shape-to-text:t" inset="0,0,0,0">
                <w:txbxContent>
                  <w:p w:rsidR="007433E8" w:rsidRPr="00F36AC3" w:rsidRDefault="007433E8">
                    <w:pPr>
                      <w:rPr>
                        <w:rFonts w:hint="cs"/>
                        <w:sz w:val="24"/>
                        <w:szCs w:val="24"/>
                      </w:rPr>
                    </w:pPr>
                    <w:r>
                      <w:rPr>
                        <w:rFonts w:hint="cs"/>
                        <w:color w:val="000000"/>
                        <w:sz w:val="24"/>
                        <w:szCs w:val="24"/>
                        <w:rtl/>
                      </w:rPr>
                      <w:t>الصحة والرعاية الاجتماعية</w:t>
                    </w:r>
                  </w:p>
                </w:txbxContent>
              </v:textbox>
            </v:rect>
            <v:rect id="_x0000_s1175" style="position:absolute;left:3008;top:6020;width:388;height:800;mso-wrap-style:none" filled="f" stroked="f">
              <v:textbox style="mso-next-textbox:#_x0000_s1175;mso-fit-shape-to-text:t" inset="0,0,0,0">
                <w:txbxContent>
                  <w:p w:rsidR="007433E8" w:rsidRDefault="007433E8">
                    <w:r>
                      <w:rPr>
                        <w:rFonts w:hint="cs"/>
                        <w:color w:val="000000"/>
                        <w:sz w:val="24"/>
                        <w:szCs w:val="24"/>
                        <w:rtl/>
                      </w:rPr>
                      <w:t>التعليم</w:t>
                    </w:r>
                  </w:p>
                </w:txbxContent>
              </v:textbox>
            </v:rect>
            <v:rect id="_x0000_s1176" style="position:absolute;left:938;top:5537;width:1290;height:800;mso-wrap-style:none" filled="f" stroked="f">
              <v:textbox style="mso-next-textbox:#_x0000_s1176;mso-fit-shape-to-text:t" inset="0,0,0,0">
                <w:txbxContent>
                  <w:p w:rsidR="007433E8" w:rsidRPr="00F36AC3" w:rsidRDefault="007433E8">
                    <w:pPr>
                      <w:rPr>
                        <w:rFonts w:hint="cs"/>
                        <w:sz w:val="24"/>
                        <w:szCs w:val="24"/>
                      </w:rPr>
                    </w:pPr>
                    <w:r>
                      <w:rPr>
                        <w:rFonts w:hint="cs"/>
                        <w:color w:val="000000"/>
                        <w:sz w:val="24"/>
                        <w:szCs w:val="24"/>
                        <w:rtl/>
                      </w:rPr>
                      <w:t>إدارة الدولة ودفاعها</w:t>
                    </w:r>
                  </w:p>
                </w:txbxContent>
              </v:textbox>
            </v:rect>
            <v:rect id="_x0000_s1177" style="position:absolute;left:276;top:5042;width:2093;height:400" filled="f" stroked="f">
              <v:textbox style="mso-next-textbox:#_x0000_s1177;mso-fit-shape-to-text:t" inset="0,0,0,0">
                <w:txbxContent>
                  <w:p w:rsidR="007433E8" w:rsidRDefault="007433E8">
                    <w:r>
                      <w:rPr>
                        <w:rFonts w:hint="cs"/>
                        <w:color w:val="000000"/>
                        <w:sz w:val="24"/>
                        <w:szCs w:val="24"/>
                        <w:rtl/>
                      </w:rPr>
                      <w:t>العقارات والأنشطة التجارية</w:t>
                    </w:r>
                  </w:p>
                </w:txbxContent>
              </v:textbox>
            </v:rect>
            <v:rect id="_x0000_s1178" style="position:absolute;left:759;top:4546;width:919;height:800;mso-wrap-style:none" filled="f" stroked="f">
              <v:textbox style="mso-next-textbox:#_x0000_s1178;mso-fit-shape-to-text:t" inset="0,0,0,0">
                <w:txbxContent>
                  <w:p w:rsidR="007433E8" w:rsidRPr="00F36AC3" w:rsidRDefault="007433E8">
                    <w:pPr>
                      <w:rPr>
                        <w:rFonts w:hint="cs"/>
                        <w:sz w:val="24"/>
                        <w:szCs w:val="24"/>
                      </w:rPr>
                    </w:pPr>
                    <w:r>
                      <w:rPr>
                        <w:rFonts w:hint="cs"/>
                        <w:color w:val="000000"/>
                        <w:sz w:val="24"/>
                        <w:szCs w:val="24"/>
                        <w:rtl/>
                      </w:rPr>
                      <w:t>الخدمات المالية</w:t>
                    </w:r>
                  </w:p>
                </w:txbxContent>
              </v:textbox>
            </v:rect>
            <v:rect id="_x0000_s1179" style="position:absolute;left:1104;top:4051;width:1833;height:800;mso-wrap-style:none" filled="f" stroked="f">
              <v:textbox style="mso-next-textbox:#_x0000_s1179;mso-fit-shape-to-text:t" inset="0,0,0,0">
                <w:txbxContent>
                  <w:p w:rsidR="007433E8" w:rsidRPr="00F36AC3" w:rsidRDefault="007433E8">
                    <w:pPr>
                      <w:rPr>
                        <w:rFonts w:hint="cs"/>
                        <w:sz w:val="24"/>
                        <w:szCs w:val="24"/>
                      </w:rPr>
                    </w:pPr>
                    <w:r>
                      <w:rPr>
                        <w:rFonts w:hint="cs"/>
                        <w:color w:val="000000"/>
                        <w:sz w:val="24"/>
                        <w:szCs w:val="24"/>
                        <w:rtl/>
                      </w:rPr>
                      <w:t>النقل، والتخزين والاتصالات</w:t>
                    </w:r>
                  </w:p>
                </w:txbxContent>
              </v:textbox>
            </v:rect>
            <v:rect id="_x0000_s1180" style="position:absolute;left:1628;top:3555;width:1115;height:800;mso-wrap-style:none" filled="f" stroked="f">
              <v:textbox style="mso-next-textbox:#_x0000_s1180;mso-fit-shape-to-text:t" inset="0,0,0,0">
                <w:txbxContent>
                  <w:p w:rsidR="007433E8" w:rsidRPr="00F36AC3" w:rsidRDefault="007433E8">
                    <w:pPr>
                      <w:rPr>
                        <w:rFonts w:hint="cs"/>
                        <w:sz w:val="24"/>
                        <w:szCs w:val="24"/>
                      </w:rPr>
                    </w:pPr>
                    <w:r>
                      <w:rPr>
                        <w:rFonts w:hint="cs"/>
                        <w:color w:val="000000"/>
                        <w:sz w:val="24"/>
                        <w:szCs w:val="24"/>
                        <w:rtl/>
                      </w:rPr>
                      <w:t>المطاعم، والفنادق</w:t>
                    </w:r>
                  </w:p>
                </w:txbxContent>
              </v:textbox>
            </v:rect>
            <v:rect id="_x0000_s1181" style="position:absolute;left:97;top:2961;width:3009;height:800;mso-wrap-style:none" filled="f" stroked="f">
              <v:textbox style="mso-next-textbox:#_x0000_s1181;mso-fit-shape-to-text:t" inset="0,0,0,0">
                <w:txbxContent>
                  <w:p w:rsidR="007433E8" w:rsidRPr="00F36AC3" w:rsidRDefault="007433E8">
                    <w:pPr>
                      <w:rPr>
                        <w:rFonts w:hint="cs"/>
                        <w:sz w:val="24"/>
                        <w:szCs w:val="24"/>
                      </w:rPr>
                    </w:pPr>
                    <w:r>
                      <w:rPr>
                        <w:rFonts w:hint="cs"/>
                        <w:color w:val="000000"/>
                        <w:sz w:val="24"/>
                        <w:szCs w:val="24"/>
                        <w:rtl/>
                      </w:rPr>
                      <w:t>البيع بالجملة والتجزئة، وإصلاح الأجهزة المنزلية</w:t>
                    </w:r>
                  </w:p>
                </w:txbxContent>
              </v:textbox>
            </v:rect>
            <v:rect id="_x0000_s1182" style="position:absolute;left:1173;top:3159;width:140;height:400;mso-wrap-style:none" filled="f" stroked="f">
              <v:textbox style="mso-next-textbox:#_x0000_s1182;mso-fit-shape-to-text:t" inset="0,0,0,0">
                <w:txbxContent>
                  <w:p w:rsidR="007433E8" w:rsidRPr="00943F0D" w:rsidRDefault="007433E8"/>
                </w:txbxContent>
              </v:textbox>
            </v:rect>
            <v:rect id="_x0000_s1183" style="position:absolute;left:2472;top:2564;width:1494;height:800" filled="f" stroked="f">
              <v:textbox style="mso-next-textbox:#_x0000_s1183;mso-fit-shape-to-text:t" inset="0,0,0,0">
                <w:txbxContent>
                  <w:p w:rsidR="007433E8" w:rsidRPr="00F36AC3" w:rsidRDefault="007433E8">
                    <w:pPr>
                      <w:jc w:val="center"/>
                      <w:rPr>
                        <w:rFonts w:hint="cs"/>
                        <w:color w:val="000000"/>
                        <w:sz w:val="24"/>
                        <w:szCs w:val="24"/>
                      </w:rPr>
                    </w:pPr>
                    <w:r>
                      <w:rPr>
                        <w:rFonts w:hint="cs"/>
                        <w:color w:val="000000"/>
                        <w:sz w:val="24"/>
                        <w:szCs w:val="24"/>
                        <w:rtl/>
                      </w:rPr>
                      <w:t>التشييد</w:t>
                    </w:r>
                  </w:p>
                  <w:p w:rsidR="007433E8" w:rsidRDefault="007433E8"/>
                </w:txbxContent>
              </v:textbox>
            </v:rect>
            <v:rect id="_x0000_s1184" style="position:absolute;left:290;top:2081;width:3094;height:800;mso-wrap-style:none" filled="f" stroked="f">
              <v:textbox style="mso-next-textbox:#_x0000_s1184;mso-fit-shape-to-text:t" inset="0,0,0,0">
                <w:txbxContent>
                  <w:p w:rsidR="007433E8" w:rsidRPr="00F36AC3" w:rsidRDefault="007433E8">
                    <w:pPr>
                      <w:jc w:val="center"/>
                      <w:rPr>
                        <w:rFonts w:hint="cs"/>
                        <w:sz w:val="24"/>
                        <w:szCs w:val="24"/>
                      </w:rPr>
                    </w:pPr>
                    <w:r>
                      <w:rPr>
                        <w:rFonts w:hint="cs"/>
                        <w:color w:val="000000"/>
                        <w:sz w:val="24"/>
                        <w:szCs w:val="24"/>
                        <w:rtl/>
                      </w:rPr>
                      <w:t>إنتاج الكهرباء، والحرارة والقوى، والإمداد بالمياه</w:t>
                    </w:r>
                  </w:p>
                </w:txbxContent>
              </v:textbox>
            </v:rect>
            <v:rect id="_x0000_s1185" style="position:absolute;left:1751;top:1586;width:1155;height:400" filled="f" stroked="f">
              <v:textbox style="mso-next-textbox:#_x0000_s1185;mso-fit-shape-to-text:t" inset="0,0,0,0">
                <w:txbxContent>
                  <w:p w:rsidR="007433E8" w:rsidRPr="00F36AC3" w:rsidRDefault="007433E8">
                    <w:pPr>
                      <w:rPr>
                        <w:rFonts w:hint="cs"/>
                        <w:sz w:val="24"/>
                        <w:szCs w:val="24"/>
                      </w:rPr>
                    </w:pPr>
                    <w:r>
                      <w:rPr>
                        <w:rFonts w:hint="cs"/>
                        <w:color w:val="000000"/>
                        <w:sz w:val="24"/>
                        <w:szCs w:val="24"/>
                        <w:rtl/>
                      </w:rPr>
                      <w:t>صناعات التجهيز</w:t>
                    </w:r>
                  </w:p>
                </w:txbxContent>
              </v:textbox>
            </v:rect>
            <v:rect id="_x0000_s1186" style="position:absolute;left:1228;top:1090;width:1356;height:800;mso-wrap-style:none" filled="f" stroked="f">
              <v:textbox style="mso-next-textbox:#_x0000_s1186;mso-fit-shape-to-text:t" inset="0,0,0,0">
                <w:txbxContent>
                  <w:p w:rsidR="007433E8" w:rsidRPr="00F36AC3" w:rsidRDefault="007433E8">
                    <w:pPr>
                      <w:rPr>
                        <w:rFonts w:hint="cs"/>
                        <w:sz w:val="24"/>
                        <w:szCs w:val="24"/>
                        <w:rtl/>
                      </w:rPr>
                    </w:pPr>
                    <w:r>
                      <w:rPr>
                        <w:rFonts w:hint="cs"/>
                        <w:sz w:val="24"/>
                        <w:szCs w:val="24"/>
                        <w:rtl/>
                      </w:rPr>
                      <w:t>التعدين</w:t>
                    </w:r>
                    <w:r w:rsidRPr="00F36AC3">
                      <w:rPr>
                        <w:rFonts w:hint="cs"/>
                        <w:sz w:val="24"/>
                        <w:szCs w:val="24"/>
                        <w:rtl/>
                      </w:rPr>
                      <w:t>، والاستخراج</w:t>
                    </w:r>
                  </w:p>
                </w:txbxContent>
              </v:textbox>
            </v:rect>
            <v:rect id="_x0000_s1187" style="position:absolute;left:1683;top:595;width:1563;height:800;mso-wrap-style:none" filled="f" stroked="f">
              <v:textbox style="mso-next-textbox:#_x0000_s1187;mso-fit-shape-to-text:t" inset="0,0,0,0">
                <w:txbxContent>
                  <w:p w:rsidR="007433E8" w:rsidRPr="00F36AC3" w:rsidRDefault="007433E8">
                    <w:pPr>
                      <w:jc w:val="both"/>
                      <w:rPr>
                        <w:rFonts w:ascii="Arial" w:hAnsi="Arial" w:hint="cs"/>
                        <w:sz w:val="24"/>
                        <w:szCs w:val="24"/>
                        <w:lang w:bidi="fa-IR"/>
                      </w:rPr>
                    </w:pPr>
                    <w:r>
                      <w:rPr>
                        <w:rFonts w:ascii="Arial" w:hAnsi="Arial" w:hint="cs"/>
                        <w:color w:val="000000"/>
                        <w:sz w:val="24"/>
                        <w:szCs w:val="24"/>
                        <w:rtl/>
                        <w:lang w:bidi="fa-IR"/>
                      </w:rPr>
                      <w:t>الزراعة والصيد والحراجة</w:t>
                    </w:r>
                  </w:p>
                </w:txbxContent>
              </v:textbox>
            </v:rect>
            <v:rect id="_x0000_s1188" style="position:absolute;left:4153;top:124;width:4401;height:223" stroked="f"/>
            <v:rect id="_x0000_s1189" style="position:absolute;left:4857;top:198;width:96;height:87" fillcolor="#99f" strokeweight=".7pt"/>
            <v:rect id="_x0000_s1190" style="position:absolute;left:5008;top:136;width:324;height:800;mso-wrap-style:none" filled="f" stroked="f">
              <v:textbox style="mso-next-textbox:#_x0000_s1190;mso-fit-shape-to-text:t" inset="0,0,0,0">
                <w:txbxContent>
                  <w:p w:rsidR="007433E8" w:rsidRDefault="007433E8">
                    <w:pPr>
                      <w:rPr>
                        <w:rFonts w:hint="cs"/>
                      </w:rPr>
                    </w:pPr>
                    <w:r>
                      <w:rPr>
                        <w:rFonts w:ascii="Arial" w:hAnsi="Arial" w:cs="Arial" w:hint="cs"/>
                        <w:b/>
                        <w:bCs/>
                        <w:color w:val="000000"/>
                        <w:sz w:val="16"/>
                        <w:szCs w:val="16"/>
                        <w:rtl/>
                      </w:rPr>
                      <w:t>إنـــاث</w:t>
                    </w:r>
                  </w:p>
                </w:txbxContent>
              </v:textbox>
            </v:rect>
            <v:rect id="_x0000_s1191" style="position:absolute;left:7064;top:198;width:97;height:87" fillcolor="#936" strokeweight=".7pt"/>
            <v:rect id="_x0000_s1192" style="position:absolute;left:7216;top:136;width:406;height:400" filled="f" stroked="f">
              <v:textbox style="mso-next-textbox:#_x0000_s1192;mso-fit-shape-to-text:t" inset="0,0,0,0">
                <w:txbxContent>
                  <w:p w:rsidR="007433E8" w:rsidRPr="000D4CB6" w:rsidRDefault="007433E8">
                    <w:pPr>
                      <w:rPr>
                        <w:rFonts w:hint="cs"/>
                        <w:bCs/>
                        <w:sz w:val="18"/>
                        <w:szCs w:val="18"/>
                      </w:rPr>
                    </w:pPr>
                    <w:r w:rsidRPr="000D4CB6">
                      <w:rPr>
                        <w:rFonts w:hint="cs"/>
                        <w:bCs/>
                        <w:sz w:val="18"/>
                        <w:szCs w:val="18"/>
                        <w:rtl/>
                      </w:rPr>
                      <w:t>ذكــــور</w:t>
                    </w:r>
                  </w:p>
                </w:txbxContent>
              </v:textbox>
            </v:rect>
            <v:rect id="_x0000_s1193" style="position:absolute;left:69;top:62;width:8651;height:8163" filled="f" strokeweight="0"/>
            <w10:anchorlock/>
          </v:group>
        </w:pict>
      </w:r>
    </w:p>
    <w:p w:rsidR="00FE4F97" w:rsidRDefault="00FE4F97">
      <w:pPr>
        <w:pStyle w:val="SingleTxt"/>
        <w:rPr>
          <w:rFonts w:hint="cs"/>
          <w:rtl/>
        </w:rPr>
      </w:pPr>
      <w:r>
        <w:rPr>
          <w:rFonts w:hint="cs"/>
          <w:rtl/>
        </w:rPr>
        <w:tab/>
      </w:r>
      <w:r w:rsidRPr="00F36AC3">
        <w:rPr>
          <w:rFonts w:hint="cs"/>
          <w:sz w:val="16"/>
          <w:szCs w:val="26"/>
          <w:rtl/>
        </w:rPr>
        <w:t>المصدر: التقرير السنوي للعمالة، المكتب الوطني للإحصاءات، 2005.</w:t>
      </w:r>
    </w:p>
    <w:p w:rsidR="00FE4F97" w:rsidRDefault="00FE4F97">
      <w:pPr>
        <w:pStyle w:val="SingleTxt"/>
        <w:rPr>
          <w:rFonts w:hint="cs"/>
          <w:rtl/>
        </w:rPr>
      </w:pPr>
    </w:p>
    <w:p w:rsidR="00FE4F97" w:rsidRDefault="00FE4F97">
      <w:pPr>
        <w:pStyle w:val="SingleTxt"/>
        <w:rPr>
          <w:rFonts w:hint="cs"/>
          <w:rtl/>
        </w:rPr>
      </w:pPr>
      <w:r>
        <w:rPr>
          <w:rFonts w:hint="cs"/>
          <w:rtl/>
        </w:rPr>
        <w:tab/>
        <w:t>ومن بين قضايا عمالة المرأة، ينبغي النظر في عمالة المعوقين برغم الإفتقار إلى المعلومات. وطبقا للتسجيل والدراسة الاستقصائية بالعينة للمعوقين اللذين أجراهما المكتب الوطني للإحصاءات بدعم من مصرف التنمية الآسيوي، فإنه في أيار/مايو 2004، بلغ عدد المعوقين المسجلين 263 69 معوقا بنسبة 2.8 في المائة من مجموع السكان. وحسب الجنس، بلغت نسبة الرجال المعوقين 3.1 في المائة ونسبة النساء المعوقات 2.5 في المائة.</w:t>
      </w:r>
    </w:p>
    <w:p w:rsidR="00FE4F97" w:rsidRDefault="00FE4F97">
      <w:pPr>
        <w:pStyle w:val="SingleTxt"/>
        <w:rPr>
          <w:rFonts w:hint="cs"/>
          <w:rtl/>
        </w:rPr>
      </w:pPr>
      <w:r>
        <w:rPr>
          <w:rFonts w:hint="cs"/>
          <w:rtl/>
        </w:rPr>
        <w:tab/>
        <w:t>وتظهر دراسة استقصائية عامة بين المعوقين أن نسبة الرجال المعوقين المستخدمين أعلى بصورة طفيفة منها للنساء (28.3 في المائة للرجال، و24 في المائة للنساء). ومن بين المعوقين المستخدمين، تعمل نسبة 56.9 في المائة في القطاعات الخاصة، وتشتغل نسبة 16.4 في المائة بعمل تجاري عائلي بدون أجر ونسبة 12.8 في المائة تعمل بعقود.</w:t>
      </w:r>
    </w:p>
    <w:p w:rsidR="00FE4F97" w:rsidRDefault="00FE4F97">
      <w:pPr>
        <w:pStyle w:val="SingleTxt"/>
        <w:rPr>
          <w:rFonts w:hint="cs"/>
          <w:rtl/>
        </w:rPr>
      </w:pPr>
      <w:r>
        <w:rPr>
          <w:rFonts w:hint="cs"/>
          <w:rtl/>
        </w:rPr>
        <w:tab/>
        <w:t>وهناك حالات تمييز ليست بالقليلة تقوم فيها كيانات تجارية وممثلوها الرسميون باختيار موظفيها على أساس عوامل لا علاقة لها بأدائهم للعمل بل على أساس المظهر الشخصي أو بإعطاء أفضليات بصورة غير قانونية. ومن شأن هذا أن يحد من تكافؤ الفرص طبقا للقانون ويؤدي إلى التمييز. وهذا النوع من التمييز يظهر أيضا في إعلانات وسائط الإعلام الجماهيري.</w:t>
      </w:r>
    </w:p>
    <w:p w:rsidR="00FE4F97" w:rsidRDefault="00FE4F97">
      <w:pPr>
        <w:pStyle w:val="SingleTxt"/>
        <w:rPr>
          <w:rFonts w:hint="cs"/>
          <w:rtl/>
        </w:rPr>
      </w:pPr>
      <w:r>
        <w:rPr>
          <w:rFonts w:hint="cs"/>
          <w:rtl/>
        </w:rPr>
        <w:tab/>
        <w:t>وفي السنوات الأخيرة، تزايد التمييز حسب الانتماء السياسي والحزبي لا لأعضاء الحزب ومؤيديه فحسب بل أيضا لغير أعضاء الحزب.</w:t>
      </w:r>
    </w:p>
    <w:p w:rsidR="00FE4F97" w:rsidRDefault="00FE4F97">
      <w:pPr>
        <w:pStyle w:val="SingleTxt"/>
        <w:rPr>
          <w:rFonts w:hint="cs"/>
          <w:rtl/>
        </w:rPr>
      </w:pPr>
      <w:r>
        <w:rPr>
          <w:rFonts w:hint="cs"/>
          <w:rtl/>
        </w:rPr>
        <w:tab/>
        <w:t>وهناك كثير من الحالات غير المناسبة من ناحية التعيين والفصل من العمل، ودفع المرتبات، وأوضاع العمل، فضلا عن ضمان الأمان. وهذه الحالات شائعة في الكيانات الخاصة وبخاصة تعمل المرأة ساعات طويلة في مصانع الملابس المنشأة باستثمار أجنبي حيث تحصل على مرتب شديد الانخفاض ويجري استغلالها، وتصبح ضحية الأضرار الصحية وتفقد القدرة على العمل.</w:t>
      </w:r>
    </w:p>
    <w:p w:rsidR="00FE4F97" w:rsidRDefault="00FE4F97">
      <w:pPr>
        <w:pStyle w:val="SingleTxt"/>
        <w:rPr>
          <w:rFonts w:hint="cs"/>
          <w:rtl/>
        </w:rPr>
      </w:pPr>
      <w:r>
        <w:rPr>
          <w:rFonts w:hint="cs"/>
          <w:rtl/>
        </w:rPr>
        <w:tab/>
        <w:t>وهناك أيضا تمييز ضد المرأة في تشغيلها بسبب طبيعتها المتعلقة بإنجاب الأطفال والسن. ولذلك، وفقا للقانون المعدل بشأن دعم العمالة يحصل أرباب العمل على حوافز تبلغ نسبتها 60 في المائة من المرتب الذي يُدفع للموظفين من الفئات التالية في الستة أشهر الأولى: الأنثى أو الذكر الذي يعول أسرة معيشية تضم 4 أطفال أو أكثر دون سن 16 عاما؛ والشخص المعوق الذي فقد أكثر من 50 في المائة من القدرة على العمل أو القزم؛ والذين تزيد أعمارهم عن 45 عاما العاطلون أو الذين قد يفقدون عملهم؛ ويتامى الأبوين الذين تخرجوا من المدرسة الثانوية ومن مدارس التدريب المهني في نفس السنة؛ والمسجلون في سوق العمل ويبحثون عن عمل لمدة تزيد على سنة واحدة.</w:t>
      </w:r>
    </w:p>
    <w:p w:rsidR="00FE4F97" w:rsidRDefault="00FE4F97">
      <w:pPr>
        <w:pStyle w:val="SingleTxt"/>
        <w:rPr>
          <w:rFonts w:hint="cs"/>
          <w:rtl/>
        </w:rPr>
      </w:pPr>
      <w:r>
        <w:rPr>
          <w:rFonts w:hint="cs"/>
          <w:rtl/>
        </w:rPr>
        <w:tab/>
        <w:t>ونظرا لاتجاه البلد نحو الاقتصاد السوقي، فإن مزاولة الأنشطة التجارية الصغيرة بتسجيل وإذن رسميين، وكذلك بدون إذن أصبحت شائعة. وكان هذا الاتجاه أداة هامة لزيادة العمالة والدخل، وخفض العجز في السلع والخدمات في بداية فترة التحول.</w:t>
      </w:r>
    </w:p>
    <w:p w:rsidR="00FE4F97" w:rsidRDefault="00FE4F97">
      <w:pPr>
        <w:pStyle w:val="SingleTxt"/>
        <w:rPr>
          <w:rFonts w:hint="cs"/>
          <w:rtl/>
        </w:rPr>
      </w:pPr>
      <w:r>
        <w:rPr>
          <w:rFonts w:hint="cs"/>
          <w:rtl/>
        </w:rPr>
        <w:tab/>
        <w:t>ونقلا عن المكتب الوطني للإحصاءات، أنتج القطاع غير النظامي نسبة 13.7 في المائة من الناتج المحلي الإجمالي أو ما قيمته 200.6 بليون تجريك من العمل والخدمات في عام 2003. والدراسة الاستقصائية بالعينة للقوة العاملة التي أجراها المكتب الوطني للإحصاءات بدعم من مصرف التنمية الآسيوي في 2002/2003 تشير إلى أن ما مجموعه 126 ألف موظف يعملون في القطاع غير النظامي، منهم 56.4 ألفا أي 44.8 في المائة من النساء.</w:t>
      </w:r>
    </w:p>
    <w:p w:rsidR="00FE4F97" w:rsidRDefault="00FE4F97">
      <w:pPr>
        <w:pStyle w:val="SingleTxt"/>
        <w:rPr>
          <w:rFonts w:hint="cs"/>
          <w:rtl/>
        </w:rPr>
      </w:pPr>
      <w:r>
        <w:rPr>
          <w:rFonts w:hint="cs"/>
          <w:rtl/>
        </w:rPr>
        <w:tab/>
        <w:t>وممارسة العمل غير النظامي على نحو غير خاضع للأنظمة يجعل من الصعب الكشف عن المؤشرات الاجتماعية - الاقتصادية على نحو صحيح وتحديد سياسات التنمية. وفيما يتعلق بعام 2003، حظيت بالضمان الاجتماعي نسبة 87.4 في المائة من الموظفين العاملين في القطاع النظامي ولكن لم تحظ بذلك إلا نسبة 4 في المائة من العاملين في القطاعات غير النظامية. ومخالفة اشتراطات سلامة العمال، والتصحاح، والحق في العمل واسعة الانتشار في القطاعات غير النظامية.</w:t>
      </w:r>
    </w:p>
    <w:p w:rsidR="00FE4F97" w:rsidRDefault="00FE4F97">
      <w:pPr>
        <w:pStyle w:val="SingleTxt"/>
        <w:rPr>
          <w:rFonts w:hint="cs"/>
          <w:rtl/>
        </w:rPr>
      </w:pPr>
      <w:r>
        <w:rPr>
          <w:rFonts w:hint="cs"/>
          <w:rtl/>
        </w:rPr>
        <w:tab/>
        <w:t>ولا تنطبق أحكام قانون العمل على العاملين في القطاع غير النظامي، بمن فيهم النساء، ولذلك اعتمد البرلمان وثيقة سياسة عامة بشأن العمل غير النظامي. وتنفيذ هذه السياسة يمكن أن يهيئ بيئة مؤاتية للموظفين في القطاع غير النظامي، وبخاصة النساء، لتسجيلهم وتوفير المعلومات، والإدارة والمنهجية لهم ومن خلال تلك الأنشطة، يمكن جعلهم موظفين نظاميين ووضع ضمانات قانونية، واقتصادية، وعمالية، وللرعاية الاجتماعية لحمايتهم من المخاطر، مما يؤدي إلى زيادة النمو الاقتصادي وتحسين نوعية العمل وكميته، ورفع مستويات المعيشة.</w:t>
      </w:r>
    </w:p>
    <w:p w:rsidR="00FE4F97" w:rsidRDefault="00FE4F97">
      <w:pPr>
        <w:pStyle w:val="SingleTxt"/>
        <w:rPr>
          <w:rFonts w:hint="cs"/>
          <w:rtl/>
        </w:rPr>
      </w:pPr>
      <w:r>
        <w:rPr>
          <w:rFonts w:hint="cs"/>
          <w:rtl/>
        </w:rPr>
        <w:tab/>
        <w:t>والذين يعملون في الأسرة المعيشية بدون أجر يكونون أكثر شعورا بضغط السوق. ومع انكماش العمالة النظامية والدخل وزيادة أنشطة القطاعات غير النظامية والأسر المعيشية واتساع نطاقها، ازداد عبء عمل المرأة وازدادت ساعات عملها. وقد كشفت الدراسة الاستقصائية بالعينة التي أجراها المكتب الوطني للإحصاءات في الفترة 2002-2003 بشأن القوة العاملة أن المرأة أكثر اشتراكا في الأنشطة غير الاقتصادية من الرجل. وعلى سبيل المثال، قضت المرأة 31.8 ساعة في الأسبوع في الأنشطة غير الاقتصادية في حين قضى الرجل 17.5 ساعة وبلغ متوسط البلد 25 ساعة. ويشير هذا بوضوح إلى أن المرأة قضت وقتا أطول في أنشطة الأسرة المعيشية غير المدفوعة الأجر وأن هناك فجوة جنسانية بالفعل. ويشير هذا إلى ضرورة إجراء دراسات استقصائية عن استخدام الوقت واستخلاص النتائج.</w:t>
      </w:r>
    </w:p>
    <w:p w:rsidR="00FE4F97" w:rsidRDefault="00FE4F97">
      <w:pPr>
        <w:pStyle w:val="SingleTxt"/>
        <w:rPr>
          <w:rFonts w:hint="cs"/>
          <w:rtl/>
        </w:rPr>
      </w:pPr>
      <w:r>
        <w:rPr>
          <w:rFonts w:hint="cs"/>
          <w:rtl/>
        </w:rPr>
        <w:tab/>
        <w:t>وبعض الكيانات التجارية وشركات الاستثمار الأجنبي يتجنب إبرام عقود العمل والعقود الجماعية التي تنص عليها القوانين والأنظمة ولا تسمح بأنشطة نقابات العمال التي تحمي الحقوق القانونية للموظفين ومصالحهم. ويتهرب بعضها عمدا من دفع الرسوم المتعلقة بالرعاية الاجتماعية والتأمين الصحي، وينتهك حقوق الموظفين في حماية صحتهم، والحصول على الخدمات الطبية، والحصول على مخصصات في حالة فقدان القدرة على العمل والتقدم في السن والحصول على إجازة وضع وأمومة بسبب عدم تعيين الموظفين بعقود عمل بل بعقود فردية.</w:t>
      </w:r>
    </w:p>
    <w:p w:rsidR="00FE4F97" w:rsidRDefault="00FE4F97">
      <w:pPr>
        <w:pStyle w:val="SingleTxt"/>
        <w:rPr>
          <w:rFonts w:hint="cs"/>
          <w:rtl/>
        </w:rPr>
      </w:pPr>
      <w:r>
        <w:rPr>
          <w:rFonts w:hint="cs"/>
          <w:rtl/>
        </w:rPr>
        <w:tab/>
        <w:t>وما زالت الكيانات التجارية الصغيرة تتجنب اتباع الأحكام المتعلقة بحقوق العمل والصحة الإنجابية في القوانين والأنظمة. ولا يوجد فهم تقريبا للمسؤولية المتبادلة في القطاع غير النظامي.</w:t>
      </w:r>
    </w:p>
    <w:p w:rsidR="00FE4F97" w:rsidRDefault="00FE4F97">
      <w:pPr>
        <w:pStyle w:val="SingleTxt"/>
        <w:rPr>
          <w:rFonts w:hint="cs"/>
          <w:rtl/>
        </w:rPr>
      </w:pPr>
      <w:r>
        <w:rPr>
          <w:rFonts w:hint="cs"/>
          <w:rtl/>
        </w:rPr>
        <w:tab/>
        <w:t>وليست هناك أنظمة قانونية رسمية تعكس المنظورات الجنسانية في جمع، وتحليل، ونشر وتصنيف المؤشرات حسب الجنس مثل المتوسط الشهري للمرتبات، وإنتاجية عمل الموظفين العاملين في الأنشطة الاقتصادية ذات الصلة بنوع الجنس، والمتوسط الشهري للمرتبات وإنتاجية عمل الموظفين المهنيين الرئيسيين، والمتوسط الشهري لمخصصات المعاشات التقاعدية والرفاه؛ واستخدام الوقت؛ وعدد الأشخاص في القطاعين النظامي وغير النظامي؛ والسن ومحل الإقامة والدخل. كما أن الإحصاءات الكمية والنوعية لسوق العمل ومداها، ومصداقيتها، غير كافية، وتختلف بعض الحقائق والمعلومات بسبب اختلاف المصادر.</w:t>
      </w:r>
    </w:p>
    <w:p w:rsidR="00FE4F97" w:rsidRDefault="00FE4F97">
      <w:pPr>
        <w:pStyle w:val="SingleTxt"/>
        <w:rPr>
          <w:rFonts w:hint="cs"/>
          <w:rtl/>
        </w:rPr>
      </w:pPr>
      <w:r>
        <w:rPr>
          <w:rFonts w:hint="cs"/>
          <w:rtl/>
        </w:rPr>
        <w:tab/>
        <w:t>وهناك افتقار في الأنشطة فيما يتعلق بإجراء البحوث وتجميع المعلومات الضرورية لتنفيذ سياسات المساواة بين الجنسين في علاقات العمل؛ وإجراء تحليل جنساني للتمييز في العمل؛ وتحسين فهم القضايا الجنسانية؛ وإدماج مفهوم المساواة بين الجنسين في سياسات وأنشطة العمل.</w:t>
      </w:r>
    </w:p>
    <w:p w:rsidR="00FE4F97" w:rsidRDefault="00FE4F97">
      <w:pPr>
        <w:pStyle w:val="SingleTxt"/>
        <w:rPr>
          <w:rFonts w:hint="cs"/>
          <w:rtl/>
        </w:rPr>
      </w:pPr>
      <w:r>
        <w:rPr>
          <w:rFonts w:hint="cs"/>
          <w:rtl/>
        </w:rPr>
        <w:tab/>
        <w:t>ومن المقترح اتخاذ التدابير التالية لتحقيق علاقات عمل متساوية على أساس سوق العمل القائمة على الجنسين.</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1 -</w:t>
      </w:r>
      <w:r>
        <w:rPr>
          <w:rFonts w:hint="cs"/>
          <w:rtl/>
        </w:rPr>
        <w:tab/>
        <w:t>تعديل القانون المدني، وقانون العمل والقانون الجنائي لتحسين الفهم القانوني والأنظمة فيما يتعلق بأنشطة من قبيل التمييز أو المحاباة التي قد تحرم بدورها أو تنتهك المساواة أو تكافؤ الفرص في علاقات العمل أو العمل والمهنة وقطاع العمل وفرض عقوبة إدارية على الأنشطة المذكورة أعلاه وتشديد العقوبة؛</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2 -</w:t>
      </w:r>
      <w:r>
        <w:rPr>
          <w:rFonts w:hint="cs"/>
          <w:rtl/>
        </w:rPr>
        <w:tab/>
        <w:t>وقف أي أنشطة تميزية ضد الموظفين حسب السن، والجنس، والمظهر، والانتماء للحزب وعضويته التي تنكر أو تنتهك عملهم ومهنتهم، أو فرص العمل أو الحق في العمل، والقيام، بالتعاون مع منظمات المجتمع المدني، بتنظيم أنشطة رصد وتفتيش  للكشف عن أي عقود واتفاقات تقتضي رفض المرأة للحمل أو حقها في رعاية أطفالها.</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3 -</w:t>
      </w:r>
      <w:r>
        <w:rPr>
          <w:rFonts w:hint="cs"/>
          <w:rtl/>
        </w:rPr>
        <w:tab/>
        <w:t>إجراء دراسة استقصائية فيما يتعلق بالاتجاه المتغير لتوزيع العمل على أساس نوع الجنس، واستخدام الوقت وتقييم العمل غير المدفوع الأجر؛ وتركيز العقلية الاجتماعية المستجيبة لاحتياجات الجنسين في علاقات العمل على جميع المستويات؛ والدفاع عن وضع المرأة ومساهماتها في التنمية الاقتصادية والاجتماعية، والدعاية لذلك؛</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4 -</w:t>
      </w:r>
      <w:r>
        <w:rPr>
          <w:rFonts w:hint="cs"/>
          <w:rtl/>
        </w:rPr>
        <w:tab/>
        <w:t>زيادة تقييم ومنهجية المحاسبة المتعلقة بالعمل في الأسرة المعيشية بين الرجال والنساء وفقا للمعايير والقواعد الدولية واتخاذ إجراءات دورية لإظهار العمل في الأسرة المعيشية بدون أجر في نظام المحاسبة القومية بوصفه حسابا تابعا.</w:t>
      </w:r>
    </w:p>
    <w:p w:rsidR="00FE4F97" w:rsidRDefault="00FE4F97">
      <w:pPr>
        <w:pStyle w:val="SingleTxt"/>
        <w:rPr>
          <w:rFonts w:hint="cs"/>
          <w:rtl/>
        </w:rPr>
      </w:pPr>
      <w:r>
        <w:rPr>
          <w:rFonts w:hint="cs"/>
          <w:rtl/>
        </w:rPr>
        <w:tab/>
      </w:r>
      <w:r>
        <w:rPr>
          <w:rFonts w:hint="cs"/>
          <w:b/>
          <w:bCs/>
          <w:i/>
          <w:iCs/>
          <w:rtl/>
        </w:rPr>
        <w:t>الخ</w:t>
      </w:r>
      <w:r w:rsidRPr="00CC7100">
        <w:rPr>
          <w:rFonts w:hint="cs"/>
          <w:b/>
          <w:bCs/>
          <w:i/>
          <w:iCs/>
          <w:rtl/>
        </w:rPr>
        <w:t>صخصة وحق المرأة ف</w:t>
      </w:r>
      <w:r>
        <w:rPr>
          <w:rFonts w:hint="cs"/>
          <w:b/>
          <w:bCs/>
          <w:i/>
          <w:iCs/>
          <w:rtl/>
        </w:rPr>
        <w:t>ي الملكية</w:t>
      </w:r>
      <w:r>
        <w:rPr>
          <w:rFonts w:hint="cs"/>
          <w:rtl/>
        </w:rPr>
        <w:t>: تنطوي عملية الخصخصة في حد ذاتها على كثير من الأهداف الاقتصادية والسياسية ولذلك كان النقل الشامل لممتلكات الدولة إلى مُلاك القطاع الخاص في البلدان المارة بمرحلة انتقالية يعتبر شرطا أساسيا هاما للتحول من الإقتصاد المخطط مركزيا إلى الإقتصاد الموجه نحو السوق.</w:t>
      </w:r>
    </w:p>
    <w:p w:rsidR="00FE4F97" w:rsidRDefault="00FE4F97">
      <w:pPr>
        <w:pStyle w:val="SingleTxt"/>
        <w:rPr>
          <w:rFonts w:hint="cs"/>
          <w:rtl/>
        </w:rPr>
      </w:pPr>
      <w:r>
        <w:rPr>
          <w:rFonts w:hint="cs"/>
          <w:rtl/>
        </w:rPr>
        <w:tab/>
        <w:t>ومثلت الخصخصة أحد المكونات الرئيسية لعملية الإصلاح في منغوليا، وتعتبر الدراسات والباحثون أن هذا البلد قد حقق برنامج الخصخصة بنجاح بالمقارنة بالجمهوريات السوفياتية السابقة. غير أن ك. غريفين</w:t>
      </w:r>
      <w:r w:rsidRPr="00CC7100">
        <w:rPr>
          <w:vertAlign w:val="superscript"/>
          <w:rtl/>
        </w:rPr>
        <w:t>(</w:t>
      </w:r>
      <w:r>
        <w:rPr>
          <w:rStyle w:val="FootnoteReference"/>
          <w:rtl/>
        </w:rPr>
        <w:footnoteReference w:id="41"/>
      </w:r>
      <w:r w:rsidRPr="00CC7100">
        <w:rPr>
          <w:vertAlign w:val="superscript"/>
          <w:rtl/>
        </w:rPr>
        <w:t>)</w:t>
      </w:r>
      <w:r>
        <w:rPr>
          <w:rFonts w:hint="cs"/>
          <w:rtl/>
        </w:rPr>
        <w:t xml:space="preserve"> وآخرين قاموا بدراسة بعض قضايا الخصخصة المنغولية ومن قبيل ذلك المغالاة في أهميتها، أو أنها جرت على عجل. وقد نُفذت الخصخصة في منغوليا بنجاح في جانب منها، ولكنها حصلت على القليل جدا من الدعم للتغلب على صعوبات التحول.</w:t>
      </w:r>
    </w:p>
    <w:p w:rsidR="00FE4F97" w:rsidRDefault="00FE4F97">
      <w:pPr>
        <w:pStyle w:val="SingleTxt"/>
        <w:rPr>
          <w:rFonts w:hint="cs"/>
          <w:rtl/>
        </w:rPr>
      </w:pPr>
      <w:r>
        <w:rPr>
          <w:rFonts w:hint="cs"/>
          <w:rtl/>
        </w:rPr>
        <w:tab/>
        <w:t>وبدأت الخصخصة في منغوليا عندما شرعت الحكومة، التي كانت تمتلك 75 في المائة من مجموع الممتلكات في عام 1991 في توزيع مستندات على الأشخاص لأول مرة. وجرت خصخصة الماشية في عام 1992 وخصخصة المساكن بين عامي 1996 و1997.</w:t>
      </w:r>
    </w:p>
    <w:p w:rsidR="00FE4F97" w:rsidRDefault="00FE4F97">
      <w:pPr>
        <w:pStyle w:val="SingleTxt"/>
        <w:rPr>
          <w:rFonts w:hint="cs"/>
          <w:rtl/>
        </w:rPr>
      </w:pPr>
      <w:r>
        <w:rPr>
          <w:rFonts w:hint="cs"/>
          <w:rtl/>
        </w:rPr>
        <w:tab/>
        <w:t>ونتيجة للخصخصة أصبح رعاة الماشية يتمتعون بالحق في امتلاك الممتلكات وإدارة أعمالهم التجارية الخاصة وكانت هذه واحدة من أكبر النتائج ولكن التمتع بالمساواة في المزايا لم يكن مكفولا. وطبقا لبيانات إحصاءات عام 2000، كانت نسبة 96.7 في المائة من مجموع الماشية مملوكة ملكية خاصة وكانت الأسرة تمتلك 135 رأسا من الماشية في المتوسط.</w:t>
      </w:r>
    </w:p>
    <w:p w:rsidR="00FE4F97" w:rsidRDefault="00FE4F97">
      <w:pPr>
        <w:pStyle w:val="SingleTxt"/>
        <w:rPr>
          <w:rFonts w:hint="cs"/>
          <w:rtl/>
        </w:rPr>
      </w:pPr>
      <w:r>
        <w:rPr>
          <w:rFonts w:hint="cs"/>
          <w:rtl/>
        </w:rPr>
        <w:tab/>
        <w:t>ويقول بعض المحللون أنه بوجه عام كانت عملية خصخصة الماشية عادلة وجيدة التنظيم ولكن عند النظر في الحالة الراهنة قد تكون سياسة الخصخصة مشوبة بأخطاء أيضا. وعلى سبيل المثال، أعطيت الماشية للأفراد ولذلك حصلت الأسر التي اختلف عدد أفرادها على عدد غير متساو من الماشية. وعندما بدأت خصخصة الماشية لأول مرة كانت أعدادها قليلة وتمت العملية على عجل، وجرت تصفية التعاونيات الزراعية المملوكة للدولة، ولم تكن النتائج الاجتماعية متوقعة، بما في ذلك التكيف مع الأحوال المناخية القاسية غير المتوقعة. وترك هذا للرعاة قليلا من رؤوس الماشية ورتب آثارا سلبية على زيادة دخلهم وخروجهم من الفقر.</w:t>
      </w:r>
    </w:p>
    <w:p w:rsidR="00FE4F97" w:rsidRDefault="00FE4F97">
      <w:pPr>
        <w:pStyle w:val="SingleTxt"/>
        <w:rPr>
          <w:rFonts w:hint="cs"/>
          <w:rtl/>
        </w:rPr>
      </w:pPr>
      <w:r>
        <w:rPr>
          <w:rFonts w:hint="cs"/>
          <w:rtl/>
        </w:rPr>
        <w:tab/>
        <w:t>وتشترط المصارف والمؤسسات المالية الأخرى وجود ما لا يقل عن 500 رأس من الماشية لضمان القرض ولذلك يُستبعد معظم الرعاة الذين يمتلكون قليلا من الرؤوس من الحصول على الخدمات المالية ولا تتاح لهم الفرصة لمباشرة أنشطتهم المتعلقة بالأسرة المعيشية، والاستثمار فيها</w:t>
      </w:r>
      <w:r w:rsidRPr="001712A5">
        <w:rPr>
          <w:vertAlign w:val="superscript"/>
          <w:rtl/>
        </w:rPr>
        <w:t>(</w:t>
      </w:r>
      <w:r>
        <w:rPr>
          <w:rStyle w:val="FootnoteReference"/>
          <w:rtl/>
        </w:rPr>
        <w:footnoteReference w:id="42"/>
      </w:r>
      <w:r w:rsidRPr="001712A5">
        <w:rPr>
          <w:vertAlign w:val="superscript"/>
          <w:rtl/>
        </w:rPr>
        <w:t>)</w:t>
      </w:r>
      <w:r>
        <w:rPr>
          <w:rFonts w:hint="cs"/>
          <w:rtl/>
        </w:rPr>
        <w:t>.</w:t>
      </w:r>
    </w:p>
    <w:p w:rsidR="00FE4F97" w:rsidRDefault="00FE4F97">
      <w:pPr>
        <w:pStyle w:val="SingleTxt"/>
        <w:rPr>
          <w:rFonts w:hint="cs"/>
          <w:rtl/>
        </w:rPr>
      </w:pPr>
      <w:r>
        <w:rPr>
          <w:rFonts w:hint="cs"/>
          <w:rtl/>
        </w:rPr>
        <w:tab/>
        <w:t>وفي الفترة بين أيار/مايو 1997 ونهاية عام 1998، جرت خصخصة 584 84 منزلا بلغت قيمتها 370 بليون تجريك واستفاد من هذا حوالي 22 في المائة  من السكان</w:t>
      </w:r>
      <w:r w:rsidRPr="00FD24A0">
        <w:rPr>
          <w:vertAlign w:val="superscript"/>
          <w:rtl/>
        </w:rPr>
        <w:t>(</w:t>
      </w:r>
      <w:r>
        <w:rPr>
          <w:rStyle w:val="FootnoteReference"/>
          <w:rtl/>
        </w:rPr>
        <w:footnoteReference w:id="43"/>
      </w:r>
      <w:r w:rsidRPr="00FD24A0">
        <w:rPr>
          <w:vertAlign w:val="superscript"/>
          <w:rtl/>
        </w:rPr>
        <w:t>)</w:t>
      </w:r>
      <w:r>
        <w:rPr>
          <w:rFonts w:hint="cs"/>
          <w:rtl/>
        </w:rPr>
        <w:t>. ولم يستفد معظم فقراء المدن وسكان الريف من خصخصة المساكن. غير أن من كانوا يمتلكون شققا، اشتروا مساكن جديدة واقترضوا بضمانها وقاموا بتأجيرها، وباشروا أنشطة تجارية أيضا مما جعلها مصدرا للملكية. وعلى هذا أدت خصخصة المساكن والماشية على نحو ما إلى زيادة عدم المساواة في توزيع الممتلكات .</w:t>
      </w:r>
    </w:p>
    <w:p w:rsidR="00FE4F97" w:rsidRDefault="00FE4F97">
      <w:pPr>
        <w:pStyle w:val="SingleTxt"/>
        <w:rPr>
          <w:rFonts w:hint="cs"/>
          <w:rtl/>
        </w:rPr>
      </w:pPr>
      <w:r>
        <w:rPr>
          <w:rFonts w:hint="cs"/>
          <w:rtl/>
        </w:rPr>
        <w:tab/>
        <w:t>وطبقا لنتائج الدراسة الاستقصائية المتعلقة بالصناعات والكيانات المخصخصة الصغيرة والمتوسطة الحجم، عمدت جميعها تقريبا إلى تسريح العمال بعد الخصخصة</w:t>
      </w:r>
      <w:r w:rsidRPr="00FD24A0">
        <w:rPr>
          <w:vertAlign w:val="superscript"/>
          <w:rtl/>
        </w:rPr>
        <w:t>(</w:t>
      </w:r>
      <w:r>
        <w:rPr>
          <w:rStyle w:val="FootnoteReference"/>
          <w:rtl/>
        </w:rPr>
        <w:footnoteReference w:id="44"/>
      </w:r>
      <w:r w:rsidRPr="00FD24A0">
        <w:rPr>
          <w:vertAlign w:val="superscript"/>
          <w:rtl/>
        </w:rPr>
        <w:t>)</w:t>
      </w:r>
      <w:r>
        <w:rPr>
          <w:rFonts w:hint="cs"/>
          <w:rtl/>
        </w:rPr>
        <w:t>. وفي الفترة بين عامي 1992 و2000 نقص معدل متوسط العمالة حسب الشركات والكيانات.</w:t>
      </w:r>
    </w:p>
    <w:p w:rsidR="00FE4F97" w:rsidRPr="00FD24A0" w:rsidRDefault="00FE4F97">
      <w:pPr>
        <w:pStyle w:val="SingleTxt"/>
        <w:spacing w:after="0" w:line="120" w:lineRule="exact"/>
        <w:rPr>
          <w:rFonts w:hint="cs"/>
          <w:sz w:val="12"/>
          <w:rtl/>
        </w:rPr>
      </w:pPr>
    </w:p>
    <w:p w:rsidR="00FE4F97" w:rsidRDefault="00FE4F97">
      <w:pPr>
        <w:pStyle w:val="SingleTxt"/>
        <w:rPr>
          <w:rFonts w:hint="cs"/>
          <w:rtl/>
        </w:rPr>
      </w:pPr>
      <w:r>
        <w:rPr>
          <w:rFonts w:hint="cs"/>
          <w:rtl/>
        </w:rPr>
        <w:t>الجدول 6</w:t>
      </w:r>
    </w:p>
    <w:p w:rsidR="00FE4F97" w:rsidRDefault="00FE4F97">
      <w:pPr>
        <w:pStyle w:val="SingleTxt"/>
        <w:rPr>
          <w:rFonts w:hint="cs"/>
          <w:b/>
          <w:bCs/>
          <w:rtl/>
        </w:rPr>
      </w:pPr>
      <w:r>
        <w:rPr>
          <w:rFonts w:hint="cs"/>
          <w:b/>
          <w:bCs/>
          <w:rtl/>
        </w:rPr>
        <w:t>معدل متوسط العمالة بين الكيانات المخصخصة</w:t>
      </w:r>
    </w:p>
    <w:tbl>
      <w:tblPr>
        <w:bidiVisual/>
        <w:tblW w:w="8961" w:type="dxa"/>
        <w:jc w:val="center"/>
        <w:tblInd w:w="379" w:type="dxa"/>
        <w:tblLayout w:type="fixed"/>
        <w:tblLook w:val="01E0" w:firstRow="1" w:lastRow="1" w:firstColumn="1" w:lastColumn="1" w:noHBand="0" w:noVBand="0"/>
      </w:tblPr>
      <w:tblGrid>
        <w:gridCol w:w="1030"/>
        <w:gridCol w:w="721"/>
        <w:gridCol w:w="721"/>
        <w:gridCol w:w="721"/>
        <w:gridCol w:w="721"/>
        <w:gridCol w:w="721"/>
        <w:gridCol w:w="721"/>
        <w:gridCol w:w="721"/>
        <w:gridCol w:w="721"/>
        <w:gridCol w:w="721"/>
        <w:gridCol w:w="721"/>
        <w:gridCol w:w="721"/>
      </w:tblGrid>
      <w:tr w:rsidR="00FE4F97" w:rsidRPr="007D1AE8">
        <w:trPr>
          <w:cantSplit/>
          <w:tblHeader/>
          <w:jc w:val="center"/>
        </w:trPr>
        <w:tc>
          <w:tcPr>
            <w:tcW w:w="1030" w:type="dxa"/>
            <w:tcBorders>
              <w:top w:val="single" w:sz="4" w:space="0" w:color="auto"/>
              <w:bottom w:val="single" w:sz="12" w:space="0" w:color="auto"/>
            </w:tcBorders>
            <w:shd w:val="clear" w:color="auto" w:fill="auto"/>
            <w:vAlign w:val="bottom"/>
          </w:tcPr>
          <w:p w:rsidR="00FE4F97" w:rsidRPr="007D1AE8" w:rsidRDefault="00FE4F97">
            <w:pPr>
              <w:pStyle w:val="DualTxt"/>
              <w:spacing w:before="80" w:after="80" w:line="240" w:lineRule="exact"/>
              <w:rPr>
                <w:rFonts w:hint="cs"/>
                <w:i/>
                <w:iCs/>
                <w:sz w:val="16"/>
                <w:szCs w:val="16"/>
                <w:rtl/>
              </w:rPr>
            </w:pPr>
          </w:p>
        </w:tc>
        <w:tc>
          <w:tcPr>
            <w:tcW w:w="721" w:type="dxa"/>
            <w:tcBorders>
              <w:top w:val="single" w:sz="4" w:space="0" w:color="auto"/>
              <w:bottom w:val="single" w:sz="12" w:space="0" w:color="auto"/>
            </w:tcBorders>
            <w:shd w:val="clear" w:color="auto" w:fill="auto"/>
            <w:vAlign w:val="bottom"/>
          </w:tcPr>
          <w:p w:rsidR="00FE4F97" w:rsidRPr="007D1AE8" w:rsidRDefault="00FE4F97">
            <w:pPr>
              <w:pStyle w:val="DualTxt"/>
              <w:spacing w:before="80" w:after="80" w:line="240" w:lineRule="exact"/>
              <w:ind w:right="144"/>
              <w:rPr>
                <w:rFonts w:hint="cs"/>
                <w:i/>
                <w:iCs/>
                <w:sz w:val="16"/>
                <w:szCs w:val="16"/>
                <w:rtl/>
              </w:rPr>
            </w:pPr>
            <w:r w:rsidRPr="007D1AE8">
              <w:rPr>
                <w:rFonts w:hint="cs"/>
                <w:i/>
                <w:iCs/>
                <w:sz w:val="16"/>
                <w:szCs w:val="16"/>
                <w:rtl/>
              </w:rPr>
              <w:t>1992</w:t>
            </w:r>
          </w:p>
        </w:tc>
        <w:tc>
          <w:tcPr>
            <w:tcW w:w="721" w:type="dxa"/>
            <w:tcBorders>
              <w:top w:val="single" w:sz="4" w:space="0" w:color="auto"/>
              <w:bottom w:val="single" w:sz="12" w:space="0" w:color="auto"/>
            </w:tcBorders>
            <w:shd w:val="clear" w:color="auto" w:fill="auto"/>
            <w:vAlign w:val="bottom"/>
          </w:tcPr>
          <w:p w:rsidR="00FE4F97" w:rsidRPr="007D1AE8" w:rsidRDefault="00FE4F97">
            <w:pPr>
              <w:pStyle w:val="DualTxt"/>
              <w:spacing w:before="80" w:after="80" w:line="240" w:lineRule="exact"/>
              <w:ind w:right="144"/>
              <w:rPr>
                <w:rFonts w:hint="cs"/>
                <w:i/>
                <w:iCs/>
                <w:sz w:val="16"/>
                <w:szCs w:val="16"/>
                <w:rtl/>
              </w:rPr>
            </w:pPr>
            <w:r w:rsidRPr="007D1AE8">
              <w:rPr>
                <w:rFonts w:hint="cs"/>
                <w:i/>
                <w:iCs/>
                <w:sz w:val="16"/>
                <w:szCs w:val="16"/>
                <w:rtl/>
              </w:rPr>
              <w:t>1993</w:t>
            </w:r>
          </w:p>
        </w:tc>
        <w:tc>
          <w:tcPr>
            <w:tcW w:w="721" w:type="dxa"/>
            <w:tcBorders>
              <w:top w:val="single" w:sz="4" w:space="0" w:color="auto"/>
              <w:bottom w:val="single" w:sz="12" w:space="0" w:color="auto"/>
            </w:tcBorders>
            <w:shd w:val="clear" w:color="auto" w:fill="auto"/>
            <w:vAlign w:val="bottom"/>
          </w:tcPr>
          <w:p w:rsidR="00FE4F97" w:rsidRPr="007D1AE8" w:rsidRDefault="00FE4F97">
            <w:pPr>
              <w:pStyle w:val="DualTxt"/>
              <w:spacing w:before="80" w:after="80" w:line="240" w:lineRule="exact"/>
              <w:ind w:right="144"/>
              <w:rPr>
                <w:rFonts w:hint="cs"/>
                <w:i/>
                <w:iCs/>
                <w:sz w:val="16"/>
                <w:szCs w:val="16"/>
                <w:rtl/>
              </w:rPr>
            </w:pPr>
            <w:r w:rsidRPr="007D1AE8">
              <w:rPr>
                <w:rFonts w:hint="cs"/>
                <w:i/>
                <w:iCs/>
                <w:sz w:val="16"/>
                <w:szCs w:val="16"/>
                <w:rtl/>
              </w:rPr>
              <w:t>1994</w:t>
            </w:r>
          </w:p>
        </w:tc>
        <w:tc>
          <w:tcPr>
            <w:tcW w:w="721" w:type="dxa"/>
            <w:tcBorders>
              <w:top w:val="single" w:sz="4" w:space="0" w:color="auto"/>
              <w:bottom w:val="single" w:sz="12" w:space="0" w:color="auto"/>
            </w:tcBorders>
            <w:shd w:val="clear" w:color="auto" w:fill="auto"/>
            <w:vAlign w:val="bottom"/>
          </w:tcPr>
          <w:p w:rsidR="00FE4F97" w:rsidRPr="007D1AE8" w:rsidRDefault="00FE4F97">
            <w:pPr>
              <w:pStyle w:val="DualTxt"/>
              <w:spacing w:before="80" w:after="80" w:line="240" w:lineRule="exact"/>
              <w:ind w:right="144"/>
              <w:rPr>
                <w:rFonts w:hint="cs"/>
                <w:i/>
                <w:iCs/>
                <w:sz w:val="16"/>
                <w:szCs w:val="16"/>
                <w:rtl/>
              </w:rPr>
            </w:pPr>
            <w:r w:rsidRPr="007D1AE8">
              <w:rPr>
                <w:rFonts w:hint="cs"/>
                <w:i/>
                <w:iCs/>
                <w:sz w:val="16"/>
                <w:szCs w:val="16"/>
                <w:rtl/>
              </w:rPr>
              <w:t>1995</w:t>
            </w:r>
          </w:p>
        </w:tc>
        <w:tc>
          <w:tcPr>
            <w:tcW w:w="721" w:type="dxa"/>
            <w:tcBorders>
              <w:top w:val="single" w:sz="4" w:space="0" w:color="auto"/>
              <w:bottom w:val="single" w:sz="12" w:space="0" w:color="auto"/>
            </w:tcBorders>
            <w:shd w:val="clear" w:color="auto" w:fill="auto"/>
            <w:vAlign w:val="bottom"/>
          </w:tcPr>
          <w:p w:rsidR="00FE4F97" w:rsidRPr="007D1AE8" w:rsidRDefault="00FE4F97">
            <w:pPr>
              <w:pStyle w:val="DualTxt"/>
              <w:spacing w:before="80" w:after="80" w:line="240" w:lineRule="exact"/>
              <w:ind w:right="144"/>
              <w:rPr>
                <w:rFonts w:hint="cs"/>
                <w:i/>
                <w:iCs/>
                <w:sz w:val="16"/>
                <w:szCs w:val="16"/>
                <w:rtl/>
              </w:rPr>
            </w:pPr>
            <w:r w:rsidRPr="007D1AE8">
              <w:rPr>
                <w:rFonts w:hint="cs"/>
                <w:i/>
                <w:iCs/>
                <w:sz w:val="16"/>
                <w:szCs w:val="16"/>
                <w:rtl/>
              </w:rPr>
              <w:t>1996</w:t>
            </w:r>
          </w:p>
        </w:tc>
        <w:tc>
          <w:tcPr>
            <w:tcW w:w="721" w:type="dxa"/>
            <w:tcBorders>
              <w:top w:val="single" w:sz="4" w:space="0" w:color="auto"/>
              <w:bottom w:val="single" w:sz="12" w:space="0" w:color="auto"/>
            </w:tcBorders>
            <w:shd w:val="clear" w:color="auto" w:fill="auto"/>
            <w:vAlign w:val="bottom"/>
          </w:tcPr>
          <w:p w:rsidR="00FE4F97" w:rsidRPr="007D1AE8" w:rsidRDefault="00FE4F97">
            <w:pPr>
              <w:pStyle w:val="DualTxt"/>
              <w:spacing w:before="80" w:after="80" w:line="240" w:lineRule="exact"/>
              <w:ind w:right="144"/>
              <w:rPr>
                <w:rFonts w:hint="cs"/>
                <w:i/>
                <w:iCs/>
                <w:sz w:val="16"/>
                <w:szCs w:val="16"/>
                <w:rtl/>
              </w:rPr>
            </w:pPr>
            <w:r w:rsidRPr="007D1AE8">
              <w:rPr>
                <w:rFonts w:hint="cs"/>
                <w:i/>
                <w:iCs/>
                <w:sz w:val="16"/>
                <w:szCs w:val="16"/>
                <w:rtl/>
              </w:rPr>
              <w:t>1997</w:t>
            </w:r>
          </w:p>
        </w:tc>
        <w:tc>
          <w:tcPr>
            <w:tcW w:w="721" w:type="dxa"/>
            <w:tcBorders>
              <w:top w:val="single" w:sz="4" w:space="0" w:color="auto"/>
              <w:bottom w:val="single" w:sz="12" w:space="0" w:color="auto"/>
            </w:tcBorders>
            <w:shd w:val="clear" w:color="auto" w:fill="auto"/>
            <w:vAlign w:val="bottom"/>
          </w:tcPr>
          <w:p w:rsidR="00FE4F97" w:rsidRPr="007D1AE8" w:rsidRDefault="00FE4F97">
            <w:pPr>
              <w:pStyle w:val="DualTxt"/>
              <w:spacing w:before="80" w:after="80" w:line="240" w:lineRule="exact"/>
              <w:ind w:right="144"/>
              <w:rPr>
                <w:rFonts w:hint="cs"/>
                <w:i/>
                <w:iCs/>
                <w:sz w:val="16"/>
                <w:szCs w:val="16"/>
                <w:rtl/>
              </w:rPr>
            </w:pPr>
            <w:r w:rsidRPr="007D1AE8">
              <w:rPr>
                <w:rFonts w:hint="cs"/>
                <w:i/>
                <w:iCs/>
                <w:sz w:val="16"/>
                <w:szCs w:val="16"/>
                <w:rtl/>
              </w:rPr>
              <w:t>1998</w:t>
            </w:r>
          </w:p>
        </w:tc>
        <w:tc>
          <w:tcPr>
            <w:tcW w:w="721" w:type="dxa"/>
            <w:tcBorders>
              <w:top w:val="single" w:sz="4" w:space="0" w:color="auto"/>
              <w:bottom w:val="single" w:sz="12" w:space="0" w:color="auto"/>
            </w:tcBorders>
            <w:shd w:val="clear" w:color="auto" w:fill="auto"/>
            <w:vAlign w:val="bottom"/>
          </w:tcPr>
          <w:p w:rsidR="00FE4F97" w:rsidRPr="007D1AE8" w:rsidRDefault="00FE4F97">
            <w:pPr>
              <w:pStyle w:val="DualTxt"/>
              <w:spacing w:before="80" w:after="80" w:line="240" w:lineRule="exact"/>
              <w:ind w:right="144"/>
              <w:rPr>
                <w:rFonts w:hint="cs"/>
                <w:i/>
                <w:iCs/>
                <w:sz w:val="16"/>
                <w:szCs w:val="16"/>
                <w:rtl/>
              </w:rPr>
            </w:pPr>
            <w:r w:rsidRPr="007D1AE8">
              <w:rPr>
                <w:rFonts w:hint="cs"/>
                <w:i/>
                <w:iCs/>
                <w:sz w:val="16"/>
                <w:szCs w:val="16"/>
                <w:rtl/>
              </w:rPr>
              <w:t>1999</w:t>
            </w:r>
          </w:p>
        </w:tc>
        <w:tc>
          <w:tcPr>
            <w:tcW w:w="721" w:type="dxa"/>
            <w:tcBorders>
              <w:top w:val="single" w:sz="4" w:space="0" w:color="auto"/>
              <w:bottom w:val="single" w:sz="12" w:space="0" w:color="auto"/>
            </w:tcBorders>
            <w:shd w:val="clear" w:color="auto" w:fill="auto"/>
            <w:vAlign w:val="bottom"/>
          </w:tcPr>
          <w:p w:rsidR="00FE4F97" w:rsidRPr="007D1AE8" w:rsidRDefault="00FE4F97">
            <w:pPr>
              <w:pStyle w:val="DualTxt"/>
              <w:spacing w:before="80" w:after="80" w:line="240" w:lineRule="exact"/>
              <w:ind w:right="144"/>
              <w:rPr>
                <w:rFonts w:hint="cs"/>
                <w:i/>
                <w:iCs/>
                <w:sz w:val="16"/>
                <w:szCs w:val="16"/>
                <w:rtl/>
              </w:rPr>
            </w:pPr>
            <w:r w:rsidRPr="007D1AE8">
              <w:rPr>
                <w:rFonts w:hint="cs"/>
                <w:i/>
                <w:iCs/>
                <w:sz w:val="16"/>
                <w:szCs w:val="16"/>
                <w:rtl/>
              </w:rPr>
              <w:t>2000</w:t>
            </w:r>
          </w:p>
        </w:tc>
        <w:tc>
          <w:tcPr>
            <w:tcW w:w="721" w:type="dxa"/>
            <w:tcBorders>
              <w:top w:val="single" w:sz="4" w:space="0" w:color="auto"/>
              <w:bottom w:val="single" w:sz="12" w:space="0" w:color="auto"/>
            </w:tcBorders>
            <w:shd w:val="clear" w:color="auto" w:fill="auto"/>
            <w:vAlign w:val="bottom"/>
          </w:tcPr>
          <w:p w:rsidR="00FE4F97" w:rsidRPr="007D1AE8" w:rsidRDefault="00FE4F97">
            <w:pPr>
              <w:pStyle w:val="DualTxt"/>
              <w:spacing w:before="80" w:after="80" w:line="240" w:lineRule="exact"/>
              <w:ind w:right="144"/>
              <w:rPr>
                <w:rFonts w:hint="cs"/>
                <w:i/>
                <w:iCs/>
                <w:sz w:val="16"/>
                <w:szCs w:val="16"/>
                <w:rtl/>
              </w:rPr>
            </w:pPr>
            <w:r w:rsidRPr="007D1AE8">
              <w:rPr>
                <w:rFonts w:hint="cs"/>
                <w:i/>
                <w:iCs/>
                <w:sz w:val="16"/>
                <w:szCs w:val="16"/>
                <w:rtl/>
              </w:rPr>
              <w:t>2001</w:t>
            </w:r>
          </w:p>
        </w:tc>
        <w:tc>
          <w:tcPr>
            <w:tcW w:w="721" w:type="dxa"/>
            <w:tcBorders>
              <w:top w:val="single" w:sz="4" w:space="0" w:color="auto"/>
              <w:bottom w:val="single" w:sz="12" w:space="0" w:color="auto"/>
            </w:tcBorders>
            <w:shd w:val="clear" w:color="auto" w:fill="auto"/>
            <w:vAlign w:val="bottom"/>
          </w:tcPr>
          <w:p w:rsidR="00FE4F97" w:rsidRPr="007D1AE8" w:rsidRDefault="00FE4F97">
            <w:pPr>
              <w:pStyle w:val="DualTxt"/>
              <w:spacing w:before="80" w:after="80" w:line="240" w:lineRule="exact"/>
              <w:ind w:right="144"/>
              <w:rPr>
                <w:rFonts w:hint="cs"/>
                <w:i/>
                <w:iCs/>
                <w:sz w:val="16"/>
                <w:szCs w:val="16"/>
                <w:rtl/>
              </w:rPr>
            </w:pPr>
            <w:r w:rsidRPr="007D1AE8">
              <w:rPr>
                <w:rFonts w:hint="cs"/>
                <w:i/>
                <w:iCs/>
                <w:sz w:val="16"/>
                <w:szCs w:val="16"/>
                <w:rtl/>
              </w:rPr>
              <w:t>2002</w:t>
            </w:r>
          </w:p>
        </w:tc>
      </w:tr>
      <w:tr w:rsidR="00FE4F97" w:rsidRPr="007D1AE8">
        <w:trPr>
          <w:cantSplit/>
          <w:jc w:val="center"/>
        </w:trPr>
        <w:tc>
          <w:tcPr>
            <w:tcW w:w="1030" w:type="dxa"/>
            <w:tcBorders>
              <w:bottom w:val="single" w:sz="12" w:space="0" w:color="auto"/>
            </w:tcBorders>
            <w:shd w:val="clear" w:color="auto" w:fill="auto"/>
            <w:vAlign w:val="bottom"/>
          </w:tcPr>
          <w:p w:rsidR="00FE4F97" w:rsidRPr="007D1AE8" w:rsidRDefault="00FE4F97">
            <w:pPr>
              <w:pStyle w:val="DualTxt"/>
              <w:spacing w:before="40" w:after="80" w:line="240" w:lineRule="exact"/>
              <w:rPr>
                <w:rFonts w:hint="cs"/>
                <w:sz w:val="16"/>
                <w:szCs w:val="16"/>
                <w:rtl/>
              </w:rPr>
            </w:pPr>
            <w:r w:rsidRPr="007D1AE8">
              <w:rPr>
                <w:rFonts w:hint="cs"/>
                <w:sz w:val="16"/>
                <w:szCs w:val="16"/>
                <w:rtl/>
              </w:rPr>
              <w:t>متوسط العمالة</w:t>
            </w:r>
          </w:p>
        </w:tc>
        <w:tc>
          <w:tcPr>
            <w:tcW w:w="721" w:type="dxa"/>
            <w:tcBorders>
              <w:bottom w:val="single" w:sz="12" w:space="0" w:color="auto"/>
            </w:tcBorders>
            <w:shd w:val="clear" w:color="auto" w:fill="auto"/>
            <w:vAlign w:val="bottom"/>
          </w:tcPr>
          <w:p w:rsidR="00FE4F97" w:rsidRPr="007D1AE8" w:rsidRDefault="00FE4F97">
            <w:pPr>
              <w:pStyle w:val="DualTxt"/>
              <w:spacing w:before="40" w:after="80" w:line="240" w:lineRule="exact"/>
              <w:ind w:right="144"/>
              <w:rPr>
                <w:rFonts w:hint="cs"/>
                <w:sz w:val="16"/>
                <w:szCs w:val="16"/>
                <w:rtl/>
              </w:rPr>
            </w:pPr>
            <w:r w:rsidRPr="007D1AE8">
              <w:rPr>
                <w:rFonts w:hint="cs"/>
                <w:sz w:val="16"/>
                <w:szCs w:val="16"/>
                <w:rtl/>
              </w:rPr>
              <w:t>270</w:t>
            </w:r>
          </w:p>
        </w:tc>
        <w:tc>
          <w:tcPr>
            <w:tcW w:w="721" w:type="dxa"/>
            <w:tcBorders>
              <w:bottom w:val="single" w:sz="12" w:space="0" w:color="auto"/>
            </w:tcBorders>
            <w:shd w:val="clear" w:color="auto" w:fill="auto"/>
            <w:vAlign w:val="bottom"/>
          </w:tcPr>
          <w:p w:rsidR="00FE4F97" w:rsidRPr="007D1AE8" w:rsidRDefault="00FE4F97">
            <w:pPr>
              <w:pStyle w:val="DualTxt"/>
              <w:spacing w:before="40" w:after="80" w:line="240" w:lineRule="exact"/>
              <w:ind w:right="144"/>
              <w:rPr>
                <w:rFonts w:hint="cs"/>
                <w:sz w:val="16"/>
                <w:szCs w:val="16"/>
                <w:rtl/>
              </w:rPr>
            </w:pPr>
            <w:r w:rsidRPr="007D1AE8">
              <w:rPr>
                <w:rFonts w:hint="cs"/>
                <w:sz w:val="16"/>
                <w:szCs w:val="16"/>
                <w:rtl/>
              </w:rPr>
              <w:t>198</w:t>
            </w:r>
          </w:p>
        </w:tc>
        <w:tc>
          <w:tcPr>
            <w:tcW w:w="721" w:type="dxa"/>
            <w:tcBorders>
              <w:bottom w:val="single" w:sz="12" w:space="0" w:color="auto"/>
            </w:tcBorders>
            <w:shd w:val="clear" w:color="auto" w:fill="auto"/>
            <w:vAlign w:val="bottom"/>
          </w:tcPr>
          <w:p w:rsidR="00FE4F97" w:rsidRPr="007D1AE8" w:rsidRDefault="00FE4F97">
            <w:pPr>
              <w:pStyle w:val="DualTxt"/>
              <w:spacing w:before="40" w:after="80" w:line="240" w:lineRule="exact"/>
              <w:ind w:right="144"/>
              <w:rPr>
                <w:rFonts w:hint="cs"/>
                <w:sz w:val="16"/>
                <w:szCs w:val="16"/>
                <w:rtl/>
              </w:rPr>
            </w:pPr>
            <w:r w:rsidRPr="007D1AE8">
              <w:rPr>
                <w:rFonts w:hint="cs"/>
                <w:sz w:val="16"/>
                <w:szCs w:val="16"/>
                <w:rtl/>
              </w:rPr>
              <w:t>162</w:t>
            </w:r>
          </w:p>
        </w:tc>
        <w:tc>
          <w:tcPr>
            <w:tcW w:w="721" w:type="dxa"/>
            <w:tcBorders>
              <w:bottom w:val="single" w:sz="12" w:space="0" w:color="auto"/>
            </w:tcBorders>
            <w:shd w:val="clear" w:color="auto" w:fill="auto"/>
            <w:vAlign w:val="bottom"/>
          </w:tcPr>
          <w:p w:rsidR="00FE4F97" w:rsidRPr="007D1AE8" w:rsidRDefault="00FE4F97">
            <w:pPr>
              <w:pStyle w:val="DualTxt"/>
              <w:spacing w:before="40" w:after="80" w:line="240" w:lineRule="exact"/>
              <w:ind w:right="144"/>
              <w:rPr>
                <w:rFonts w:hint="cs"/>
                <w:sz w:val="16"/>
                <w:szCs w:val="16"/>
                <w:rtl/>
              </w:rPr>
            </w:pPr>
            <w:r w:rsidRPr="007D1AE8">
              <w:rPr>
                <w:rFonts w:hint="cs"/>
                <w:sz w:val="16"/>
                <w:szCs w:val="16"/>
                <w:rtl/>
              </w:rPr>
              <w:t>136</w:t>
            </w:r>
          </w:p>
        </w:tc>
        <w:tc>
          <w:tcPr>
            <w:tcW w:w="721" w:type="dxa"/>
            <w:tcBorders>
              <w:bottom w:val="single" w:sz="12" w:space="0" w:color="auto"/>
            </w:tcBorders>
            <w:shd w:val="clear" w:color="auto" w:fill="auto"/>
            <w:vAlign w:val="bottom"/>
          </w:tcPr>
          <w:p w:rsidR="00FE4F97" w:rsidRPr="007D1AE8" w:rsidRDefault="00FE4F97">
            <w:pPr>
              <w:pStyle w:val="DualTxt"/>
              <w:spacing w:before="40" w:after="80" w:line="240" w:lineRule="exact"/>
              <w:ind w:right="144"/>
              <w:rPr>
                <w:rFonts w:hint="cs"/>
                <w:sz w:val="16"/>
                <w:szCs w:val="16"/>
                <w:rtl/>
              </w:rPr>
            </w:pPr>
            <w:r w:rsidRPr="007D1AE8">
              <w:rPr>
                <w:rFonts w:hint="cs"/>
                <w:sz w:val="16"/>
                <w:szCs w:val="16"/>
                <w:rtl/>
              </w:rPr>
              <w:t>105</w:t>
            </w:r>
          </w:p>
        </w:tc>
        <w:tc>
          <w:tcPr>
            <w:tcW w:w="721" w:type="dxa"/>
            <w:tcBorders>
              <w:bottom w:val="single" w:sz="12" w:space="0" w:color="auto"/>
            </w:tcBorders>
            <w:shd w:val="clear" w:color="auto" w:fill="auto"/>
            <w:vAlign w:val="bottom"/>
          </w:tcPr>
          <w:p w:rsidR="00FE4F97" w:rsidRPr="007D1AE8" w:rsidRDefault="00FE4F97">
            <w:pPr>
              <w:pStyle w:val="DualTxt"/>
              <w:spacing w:before="40" w:after="80" w:line="240" w:lineRule="exact"/>
              <w:ind w:right="144"/>
              <w:rPr>
                <w:rFonts w:hint="cs"/>
                <w:sz w:val="16"/>
                <w:szCs w:val="16"/>
                <w:rtl/>
              </w:rPr>
            </w:pPr>
            <w:r w:rsidRPr="007D1AE8">
              <w:rPr>
                <w:rFonts w:hint="cs"/>
                <w:sz w:val="16"/>
                <w:szCs w:val="16"/>
                <w:rtl/>
              </w:rPr>
              <w:t>79</w:t>
            </w:r>
          </w:p>
        </w:tc>
        <w:tc>
          <w:tcPr>
            <w:tcW w:w="721" w:type="dxa"/>
            <w:tcBorders>
              <w:bottom w:val="single" w:sz="12" w:space="0" w:color="auto"/>
            </w:tcBorders>
            <w:shd w:val="clear" w:color="auto" w:fill="auto"/>
            <w:vAlign w:val="bottom"/>
          </w:tcPr>
          <w:p w:rsidR="00FE4F97" w:rsidRPr="007D1AE8" w:rsidRDefault="00FE4F97">
            <w:pPr>
              <w:pStyle w:val="DualTxt"/>
              <w:spacing w:before="40" w:after="80" w:line="240" w:lineRule="exact"/>
              <w:ind w:right="144"/>
              <w:rPr>
                <w:rFonts w:hint="cs"/>
                <w:sz w:val="16"/>
                <w:szCs w:val="16"/>
                <w:rtl/>
              </w:rPr>
            </w:pPr>
            <w:r w:rsidRPr="007D1AE8">
              <w:rPr>
                <w:rFonts w:hint="cs"/>
                <w:sz w:val="16"/>
                <w:szCs w:val="16"/>
                <w:rtl/>
              </w:rPr>
              <w:t>67</w:t>
            </w:r>
          </w:p>
        </w:tc>
        <w:tc>
          <w:tcPr>
            <w:tcW w:w="721" w:type="dxa"/>
            <w:tcBorders>
              <w:bottom w:val="single" w:sz="12" w:space="0" w:color="auto"/>
            </w:tcBorders>
            <w:shd w:val="clear" w:color="auto" w:fill="auto"/>
            <w:vAlign w:val="bottom"/>
          </w:tcPr>
          <w:p w:rsidR="00FE4F97" w:rsidRPr="007D1AE8" w:rsidRDefault="00FE4F97">
            <w:pPr>
              <w:pStyle w:val="DualTxt"/>
              <w:spacing w:before="40" w:after="80" w:line="240" w:lineRule="exact"/>
              <w:ind w:right="144"/>
              <w:rPr>
                <w:rFonts w:hint="cs"/>
                <w:sz w:val="16"/>
                <w:szCs w:val="16"/>
                <w:rtl/>
              </w:rPr>
            </w:pPr>
            <w:r w:rsidRPr="007D1AE8">
              <w:rPr>
                <w:rFonts w:hint="cs"/>
                <w:sz w:val="16"/>
                <w:szCs w:val="16"/>
                <w:rtl/>
              </w:rPr>
              <w:t>63</w:t>
            </w:r>
          </w:p>
        </w:tc>
        <w:tc>
          <w:tcPr>
            <w:tcW w:w="721" w:type="dxa"/>
            <w:tcBorders>
              <w:bottom w:val="single" w:sz="12" w:space="0" w:color="auto"/>
            </w:tcBorders>
            <w:shd w:val="clear" w:color="auto" w:fill="auto"/>
            <w:vAlign w:val="bottom"/>
          </w:tcPr>
          <w:p w:rsidR="00FE4F97" w:rsidRPr="007D1AE8" w:rsidRDefault="00FE4F97">
            <w:pPr>
              <w:pStyle w:val="DualTxt"/>
              <w:spacing w:before="40" w:after="80" w:line="240" w:lineRule="exact"/>
              <w:ind w:right="144"/>
              <w:rPr>
                <w:rFonts w:hint="cs"/>
                <w:sz w:val="16"/>
                <w:szCs w:val="16"/>
                <w:rtl/>
              </w:rPr>
            </w:pPr>
            <w:r w:rsidRPr="007D1AE8">
              <w:rPr>
                <w:rFonts w:hint="cs"/>
                <w:sz w:val="16"/>
                <w:szCs w:val="16"/>
                <w:rtl/>
              </w:rPr>
              <w:t>42</w:t>
            </w:r>
          </w:p>
        </w:tc>
        <w:tc>
          <w:tcPr>
            <w:tcW w:w="721" w:type="dxa"/>
            <w:tcBorders>
              <w:bottom w:val="single" w:sz="12" w:space="0" w:color="auto"/>
            </w:tcBorders>
            <w:shd w:val="clear" w:color="auto" w:fill="auto"/>
            <w:vAlign w:val="bottom"/>
          </w:tcPr>
          <w:p w:rsidR="00FE4F97" w:rsidRPr="007D1AE8" w:rsidRDefault="00FE4F97">
            <w:pPr>
              <w:pStyle w:val="DualTxt"/>
              <w:spacing w:before="40" w:after="80" w:line="240" w:lineRule="exact"/>
              <w:ind w:right="144"/>
              <w:rPr>
                <w:rFonts w:hint="cs"/>
                <w:sz w:val="16"/>
                <w:szCs w:val="16"/>
                <w:rtl/>
              </w:rPr>
            </w:pPr>
            <w:r w:rsidRPr="007D1AE8">
              <w:rPr>
                <w:rFonts w:hint="cs"/>
                <w:sz w:val="16"/>
                <w:szCs w:val="16"/>
                <w:rtl/>
              </w:rPr>
              <w:t>56</w:t>
            </w:r>
          </w:p>
        </w:tc>
        <w:tc>
          <w:tcPr>
            <w:tcW w:w="721" w:type="dxa"/>
            <w:tcBorders>
              <w:bottom w:val="single" w:sz="12" w:space="0" w:color="auto"/>
            </w:tcBorders>
            <w:shd w:val="clear" w:color="auto" w:fill="auto"/>
            <w:vAlign w:val="bottom"/>
          </w:tcPr>
          <w:p w:rsidR="00FE4F97" w:rsidRPr="007D1AE8" w:rsidRDefault="00FE4F97">
            <w:pPr>
              <w:pStyle w:val="DualTxt"/>
              <w:spacing w:before="40" w:after="80" w:line="240" w:lineRule="exact"/>
              <w:ind w:right="144"/>
              <w:rPr>
                <w:rFonts w:hint="cs"/>
                <w:sz w:val="16"/>
                <w:szCs w:val="16"/>
                <w:rtl/>
              </w:rPr>
            </w:pPr>
            <w:r w:rsidRPr="007D1AE8">
              <w:rPr>
                <w:rFonts w:hint="cs"/>
                <w:sz w:val="16"/>
                <w:szCs w:val="16"/>
                <w:rtl/>
              </w:rPr>
              <w:t>74</w:t>
            </w:r>
          </w:p>
        </w:tc>
      </w:tr>
    </w:tbl>
    <w:p w:rsidR="00FE4F97" w:rsidRPr="007D1AE8" w:rsidRDefault="00FE4F97">
      <w:pPr>
        <w:pStyle w:val="SingleTxt"/>
        <w:spacing w:after="0" w:line="120" w:lineRule="exact"/>
        <w:rPr>
          <w:rFonts w:hint="cs"/>
          <w:b/>
          <w:bCs/>
          <w:sz w:val="12"/>
          <w:rtl/>
        </w:rPr>
      </w:pPr>
    </w:p>
    <w:p w:rsidR="00FE4F97" w:rsidRDefault="00FE4F9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7D1AE8">
        <w:rPr>
          <w:rFonts w:hint="cs"/>
          <w:i/>
          <w:iCs/>
          <w:rtl/>
        </w:rPr>
        <w:t>المصدر</w:t>
      </w:r>
      <w:r>
        <w:rPr>
          <w:rFonts w:hint="cs"/>
          <w:rtl/>
        </w:rPr>
        <w:t>:</w:t>
      </w:r>
      <w:r>
        <w:rPr>
          <w:rFonts w:hint="cs"/>
          <w:rtl/>
        </w:rPr>
        <w:tab/>
      </w:r>
      <w:r>
        <w:rPr>
          <w:rFonts w:hint="cs"/>
          <w:rtl/>
        </w:rPr>
        <w:tab/>
        <w:t>الخصخصة، وتوزيع الدخل، والفقر، دراسة استقصائية أجرتها وزارة المالية، وفريق بحوث الفقر، وبرنامج الأمم المتحدة الإنمائي، أولانباتار، 2004.</w:t>
      </w:r>
    </w:p>
    <w:p w:rsidR="00FE4F97" w:rsidRPr="007D1AE8" w:rsidRDefault="00FE4F97">
      <w:pPr>
        <w:pStyle w:val="SingleTxt"/>
        <w:spacing w:after="0" w:line="120" w:lineRule="exact"/>
        <w:rPr>
          <w:rFonts w:hint="cs"/>
          <w:sz w:val="12"/>
          <w:rtl/>
        </w:rPr>
      </w:pPr>
    </w:p>
    <w:p w:rsidR="00FE4F97" w:rsidRDefault="00FE4F97">
      <w:pPr>
        <w:pStyle w:val="SingleTxt"/>
        <w:rPr>
          <w:rFonts w:hint="cs"/>
          <w:rtl/>
        </w:rPr>
      </w:pPr>
      <w:r>
        <w:rPr>
          <w:rFonts w:hint="cs"/>
          <w:rtl/>
        </w:rPr>
        <w:tab/>
        <w:t>ونسبة 46 في المائة من الممتلكات المخصخصة، مثل الشقق والماشية، مسجلة باسم الزوج فحسب، ونسبة 30.5 في المائة مسجلة باسم الزوج والزوجة معا، ونسبة 16 في المائة مسجلة باسم الزوجة</w:t>
      </w:r>
      <w:r w:rsidRPr="00F561DC">
        <w:rPr>
          <w:vertAlign w:val="superscript"/>
          <w:rtl/>
        </w:rPr>
        <w:t>(</w:t>
      </w:r>
      <w:r>
        <w:rPr>
          <w:rStyle w:val="FootnoteReference"/>
          <w:rtl/>
        </w:rPr>
        <w:footnoteReference w:id="45"/>
      </w:r>
      <w:r w:rsidRPr="00F561DC">
        <w:rPr>
          <w:vertAlign w:val="superscript"/>
          <w:rtl/>
        </w:rPr>
        <w:t>)</w:t>
      </w:r>
      <w:r>
        <w:rPr>
          <w:rFonts w:hint="cs"/>
          <w:rtl/>
        </w:rPr>
        <w:t>.</w:t>
      </w:r>
    </w:p>
    <w:p w:rsidR="00FE4F97" w:rsidRDefault="00FE4F97">
      <w:pPr>
        <w:pStyle w:val="SingleTxt"/>
        <w:rPr>
          <w:rFonts w:hint="cs"/>
          <w:rtl/>
        </w:rPr>
      </w:pPr>
      <w:r>
        <w:rPr>
          <w:rFonts w:hint="cs"/>
          <w:rtl/>
        </w:rPr>
        <w:tab/>
        <w:t>واعتمد برلمان منغوليا قرارا تاريخيا بخصخصة الأرض في عام 2002. وطبقا لهذا القرار، جرى مد نطاق نظام شبه الملكية السائد في المدن وضواحيها ليشمل الحق في التغيير، والوراثة، والبيع والامتلاك لفترة أطول والاستئجار والرهن. وينبغي أن تدرج الأسرة جميع أفرادها الكبار في شهادة ملكية الأرض.</w:t>
      </w:r>
    </w:p>
    <w:p w:rsidR="00FE4F97" w:rsidRDefault="00FE4F97">
      <w:pPr>
        <w:pStyle w:val="SingleTxt"/>
        <w:rPr>
          <w:rFonts w:hint="cs"/>
          <w:rtl/>
        </w:rPr>
      </w:pPr>
      <w:r>
        <w:rPr>
          <w:rFonts w:hint="cs"/>
          <w:rtl/>
        </w:rPr>
        <w:tab/>
        <w:t>وهناك افتقار في المعلومات في حالة تسجيل الأرض باسم الزوج أو بصورة مشتركة. ولذلك ليس بالإمكان في الوقت الراهن تحديد الاتجاه</w:t>
      </w:r>
      <w:r w:rsidRPr="00F561DC">
        <w:rPr>
          <w:vertAlign w:val="superscript"/>
          <w:rtl/>
        </w:rPr>
        <w:t>(</w:t>
      </w:r>
      <w:r>
        <w:rPr>
          <w:rStyle w:val="FootnoteReference"/>
          <w:rtl/>
        </w:rPr>
        <w:footnoteReference w:id="46"/>
      </w:r>
      <w:r w:rsidRPr="00F561DC">
        <w:rPr>
          <w:vertAlign w:val="superscript"/>
          <w:rtl/>
        </w:rPr>
        <w:t>)</w:t>
      </w:r>
      <w:r>
        <w:rPr>
          <w:rFonts w:hint="cs"/>
          <w:rtl/>
        </w:rPr>
        <w:t>. والنهج الجنساني فيما يتعلق بملكية الأرض واستخدامها غير وارد بما فيه الكفاية في القوانين والأنظمة ذات الصلة كما أن فهم المساواة في ملكية الأرض بين أفراد الأسرة والأزواج مختلف.</w:t>
      </w:r>
    </w:p>
    <w:p w:rsidR="00FE4F97" w:rsidRDefault="00FE4F97">
      <w:pPr>
        <w:pStyle w:val="SingleTxt"/>
        <w:rPr>
          <w:rFonts w:hint="cs"/>
          <w:rtl/>
        </w:rPr>
      </w:pPr>
      <w:r>
        <w:rPr>
          <w:rFonts w:hint="cs"/>
          <w:rtl/>
        </w:rPr>
        <w:tab/>
        <w:t xml:space="preserve">وينبغي إيلاء الاعتبار الواجب لمشاركة المرأة بصورة نشطة في برنامج خصخصة الأرض. ومن الضروري وضع نظام لمراقبة المنظورات الجنسانية أثناء تنفيذ القانون المتعلق بخصخصة الأرض ولنشر الفهم بين الجمهور عن أهمية امتلاك الممتلكات بصورة مشتركة ومخاطر إدراج الممتلكات العقارية باسم الفرد، وإبراز القضايا الجنسانية ذات الصلة بممتلكات الأسرة كما ينبغي في حالة الطلاق والميراث في القوانين والأنظمة على نحو متوازن. </w:t>
      </w:r>
    </w:p>
    <w:p w:rsidR="00FE4F97" w:rsidRDefault="00FE4F97">
      <w:pPr>
        <w:pStyle w:val="SingleTxt"/>
        <w:rPr>
          <w:rFonts w:hint="cs"/>
          <w:rtl/>
        </w:rPr>
      </w:pPr>
      <w:r>
        <w:rPr>
          <w:rFonts w:hint="cs"/>
          <w:rtl/>
        </w:rPr>
        <w:tab/>
      </w:r>
      <w:r>
        <w:rPr>
          <w:rFonts w:hint="cs"/>
          <w:b/>
          <w:bCs/>
          <w:i/>
          <w:iCs/>
          <w:rtl/>
        </w:rPr>
        <w:t>الحقوق السياسية للمرأة</w:t>
      </w:r>
      <w:r>
        <w:rPr>
          <w:rFonts w:hint="cs"/>
          <w:rtl/>
        </w:rPr>
        <w:t>: اسمحوا لنا أن ننظر في إعمال الحق في أن تَنتَخِب وأن تُنتخَب وهو المؤشر الرئيسي للحقوق السياسية للشعب. واليوم في منغوليا تتم إجراءات الانتخابات وفقا للقوانين المتعلقة بالانتخابات البرلمانية (1992)، والمتعلقة بالانتخابات الرئاسية، والمتعلقة بانتخابات ممثلي المواطنين في الأقاليم، والمدن والمناطق. وتجرى الانتخابات كل 4 سنوات وفقا للدستور والقوانين والأنظمة الأخرى ذات الصلة. بيد أ</w:t>
      </w:r>
      <w:r w:rsidR="00F057B5">
        <w:rPr>
          <w:rFonts w:hint="cs"/>
          <w:rtl/>
        </w:rPr>
        <w:t>ن القوانين لا</w:t>
      </w:r>
      <w:r w:rsidR="00F057B5">
        <w:rPr>
          <w:rFonts w:hint="eastAsia"/>
          <w:rtl/>
        </w:rPr>
        <w:t> </w:t>
      </w:r>
      <w:r>
        <w:rPr>
          <w:rFonts w:hint="cs"/>
          <w:rtl/>
        </w:rPr>
        <w:t>تحدد بدقة مبدأ المساواة في الانتخابات</w:t>
      </w:r>
      <w:r w:rsidRPr="00F429F5">
        <w:rPr>
          <w:vertAlign w:val="superscript"/>
          <w:rtl/>
        </w:rPr>
        <w:t>(</w:t>
      </w:r>
      <w:r>
        <w:rPr>
          <w:rStyle w:val="FootnoteReference"/>
          <w:rtl/>
        </w:rPr>
        <w:footnoteReference w:id="47"/>
      </w:r>
      <w:r w:rsidRPr="00F429F5">
        <w:rPr>
          <w:vertAlign w:val="superscript"/>
          <w:rtl/>
        </w:rPr>
        <w:t>)</w:t>
      </w:r>
      <w:r>
        <w:rPr>
          <w:rFonts w:hint="cs"/>
          <w:rtl/>
        </w:rPr>
        <w:t>.</w:t>
      </w:r>
    </w:p>
    <w:p w:rsidR="00FE4F97" w:rsidRDefault="00FE4F97">
      <w:pPr>
        <w:pStyle w:val="SingleTxt"/>
        <w:rPr>
          <w:rFonts w:hint="cs"/>
          <w:rtl/>
        </w:rPr>
      </w:pPr>
      <w:r>
        <w:rPr>
          <w:rFonts w:hint="cs"/>
          <w:rtl/>
        </w:rPr>
        <w:tab/>
        <w:t>وخلال فترة التحول، ازدادت مشاركة النساء في المجالين الاقتصادي والسياسي، بيد أن نسبتهن في صنع القرار وعلى المستوى الإداري لم تزد بصورة كبيرة. ولتصحيح انخفاض مشاركة المرأة في مستوى صنع القرار السياسي عن مستواها في الماضي، حدد البرنامج الوطني للمساواة بين الجنسين هدفا يرمي إلى زيادة تمثيل المرأة في مستوى صنع القرار السياسي وفي المناصب الإدارية للخدمات الإدارية المدنية من 15 في المائة إلى 30 في المائة بحلول عام 2004.</w:t>
      </w:r>
    </w:p>
    <w:p w:rsidR="00FE4F97" w:rsidRDefault="00FE4F97">
      <w:pPr>
        <w:pStyle w:val="SingleTxt"/>
        <w:rPr>
          <w:rFonts w:hint="cs"/>
          <w:rtl/>
        </w:rPr>
      </w:pPr>
      <w:r>
        <w:rPr>
          <w:rFonts w:hint="cs"/>
          <w:rtl/>
        </w:rPr>
        <w:tab/>
        <w:t>وفي عام 1992، جرى انتخاب 13 في المائة من المرشحات للبرلمان، وانتخاب 28 في المائة في عام 1996 و12 في المائة في عام 2000 مما أدى إلى انخفاض مؤشرات المساواة بين الجنسين. ووفقا لإحصاءات انتخابات عام 2004، لم تُنتخَب إلا نسبة 2.2 في المائة من المرشحات البالغ عددهن 68 مرشحة من عدة أحزاب. وهذا مرتبط أيضا بقيام الأحزاب السياسية الرئيسية بتسمية عدد من المرشحات أقل عن ذي قبل</w:t>
      </w:r>
      <w:r w:rsidRPr="00E45CBB">
        <w:rPr>
          <w:vertAlign w:val="superscript"/>
          <w:rtl/>
        </w:rPr>
        <w:t>(</w:t>
      </w:r>
      <w:r>
        <w:rPr>
          <w:rStyle w:val="FootnoteReference"/>
          <w:rtl/>
        </w:rPr>
        <w:footnoteReference w:id="48"/>
      </w:r>
      <w:r w:rsidRPr="00E45CBB">
        <w:rPr>
          <w:vertAlign w:val="superscript"/>
          <w:rtl/>
        </w:rPr>
        <w:t>)</w:t>
      </w:r>
      <w:r>
        <w:rPr>
          <w:rFonts w:hint="cs"/>
          <w:rtl/>
        </w:rPr>
        <w:t>.</w:t>
      </w:r>
    </w:p>
    <w:p w:rsidR="00FE4F97" w:rsidRDefault="00FE4F97">
      <w:pPr>
        <w:pStyle w:val="SingleTxt"/>
        <w:rPr>
          <w:rFonts w:hint="cs"/>
          <w:rtl/>
        </w:rPr>
      </w:pPr>
      <w:r>
        <w:rPr>
          <w:rFonts w:hint="cs"/>
          <w:rtl/>
        </w:rPr>
        <w:tab/>
        <w:t>وقد انخفض تمثيل المرأة في البرلمان الوطني بصورة شديدة وهو أدنى كثيرا عن الرقم الدولي المستهدف البالغ 30 في المائة المنصوص عليه في مؤتمر الأمم المتحدة العالمي الرابع المعني بالمرأة لعام 1995. وقد مثلت المرأة نسبة 23 في المائة من المجموع في عام 1990، ونسبة 3 في المائة في عام 1992، وحوالي 11 في المائة عقب انتخابات عامي 1996 و2000. وبعد انتخابات عام 2004، زاد انخفاض التمثيل وبلغت نسبته 6.5 في المائة.</w:t>
      </w:r>
    </w:p>
    <w:p w:rsidR="00FE4F97" w:rsidRDefault="00FE4F97">
      <w:pPr>
        <w:pStyle w:val="SingleTxt"/>
        <w:rPr>
          <w:rFonts w:hint="cs"/>
          <w:rtl/>
        </w:rPr>
      </w:pPr>
      <w:r>
        <w:rPr>
          <w:rFonts w:hint="cs"/>
          <w:rtl/>
        </w:rPr>
        <w:tab/>
        <w:t>ويتضح من الجدول 13 أن هذه المعدلات المنخفضة تمتد إلى جميع مستويات صنع القرار السياسي. وهذا مثير للدهشة بالنظر إلى ارتفاع معدل اشتراك المرأة في القوة العاملة، ولكنه يعكس الحقيقة القائلة بأن المرأة نادرا ما تشغل مناصب عالية سواء في القطاع العام أو القطاع الخاص</w:t>
      </w:r>
      <w:r w:rsidRPr="00E45CBB">
        <w:rPr>
          <w:vertAlign w:val="superscript"/>
          <w:rtl/>
        </w:rPr>
        <w:t>(</w:t>
      </w:r>
      <w:r>
        <w:rPr>
          <w:rStyle w:val="FootnoteReference"/>
          <w:rtl/>
        </w:rPr>
        <w:footnoteReference w:id="49"/>
      </w:r>
      <w:r w:rsidRPr="00E45CBB">
        <w:rPr>
          <w:vertAlign w:val="superscript"/>
          <w:rtl/>
        </w:rPr>
        <w:t>)</w:t>
      </w:r>
      <w:r>
        <w:rPr>
          <w:rFonts w:hint="cs"/>
          <w:rtl/>
        </w:rPr>
        <w:t>.</w:t>
      </w:r>
    </w:p>
    <w:p w:rsidR="00FE4F97" w:rsidRPr="00952FA8" w:rsidRDefault="00FE4F97">
      <w:pPr>
        <w:pStyle w:val="SingleTxt"/>
        <w:spacing w:after="0" w:line="120" w:lineRule="exact"/>
        <w:rPr>
          <w:rFonts w:hint="cs"/>
          <w:sz w:val="12"/>
          <w:rtl/>
        </w:rPr>
      </w:pPr>
    </w:p>
    <w:p w:rsidR="00FE4F97" w:rsidRDefault="00FE4F97">
      <w:pPr>
        <w:pStyle w:val="SingleTxt"/>
        <w:keepNext/>
        <w:spacing w:after="0"/>
        <w:rPr>
          <w:rFonts w:hint="cs"/>
          <w:rtl/>
        </w:rPr>
      </w:pPr>
      <w:r>
        <w:rPr>
          <w:rFonts w:hint="cs"/>
          <w:rtl/>
        </w:rPr>
        <w:t>الجدول 7</w:t>
      </w:r>
    </w:p>
    <w:p w:rsidR="00FE4F97" w:rsidRPr="00641BF6" w:rsidRDefault="00FE4F97">
      <w:pPr>
        <w:pStyle w:val="SingleTxt"/>
        <w:rPr>
          <w:rFonts w:hint="cs"/>
          <w:b/>
          <w:bCs/>
          <w:rtl/>
        </w:rPr>
      </w:pPr>
      <w:r>
        <w:rPr>
          <w:rFonts w:hint="cs"/>
          <w:b/>
          <w:bCs/>
          <w:rtl/>
        </w:rPr>
        <w:t>نسبة النساء في مناصب صنع القرار السياسي</w:t>
      </w:r>
    </w:p>
    <w:tbl>
      <w:tblPr>
        <w:bidiVisual/>
        <w:tblW w:w="8640" w:type="dxa"/>
        <w:jc w:val="center"/>
        <w:tblLook w:val="01E0" w:firstRow="1" w:lastRow="1" w:firstColumn="1" w:lastColumn="1" w:noHBand="0" w:noVBand="0"/>
      </w:tblPr>
      <w:tblGrid>
        <w:gridCol w:w="2127"/>
        <w:gridCol w:w="1127"/>
        <w:gridCol w:w="1002"/>
        <w:gridCol w:w="1003"/>
        <w:gridCol w:w="1127"/>
        <w:gridCol w:w="1127"/>
        <w:gridCol w:w="1127"/>
      </w:tblGrid>
      <w:tr w:rsidR="00FE4F97" w:rsidRPr="00952FA8">
        <w:trPr>
          <w:cantSplit/>
          <w:tblHeader/>
          <w:jc w:val="center"/>
        </w:trPr>
        <w:tc>
          <w:tcPr>
            <w:tcW w:w="1750" w:type="dxa"/>
            <w:vMerge w:val="restart"/>
            <w:tcBorders>
              <w:top w:val="single" w:sz="4" w:space="0" w:color="auto"/>
            </w:tcBorders>
            <w:shd w:val="clear" w:color="auto" w:fill="auto"/>
            <w:vAlign w:val="bottom"/>
          </w:tcPr>
          <w:p w:rsidR="00FE4F97" w:rsidRPr="00952FA8" w:rsidRDefault="00FE4F97">
            <w:pPr>
              <w:pStyle w:val="DualTxt"/>
              <w:spacing w:before="80" w:after="80" w:line="240" w:lineRule="exact"/>
              <w:rPr>
                <w:rFonts w:hint="cs"/>
                <w:i/>
                <w:iCs/>
                <w:sz w:val="16"/>
                <w:szCs w:val="24"/>
                <w:rtl/>
              </w:rPr>
            </w:pPr>
            <w:r>
              <w:rPr>
                <w:rFonts w:hint="cs"/>
                <w:i/>
                <w:iCs/>
                <w:sz w:val="16"/>
                <w:szCs w:val="24"/>
                <w:rtl/>
              </w:rPr>
              <w:t>المناصب</w:t>
            </w:r>
          </w:p>
        </w:tc>
        <w:tc>
          <w:tcPr>
            <w:tcW w:w="1751" w:type="dxa"/>
            <w:gridSpan w:val="2"/>
            <w:tcBorders>
              <w:top w:val="single" w:sz="4" w:space="0" w:color="auto"/>
            </w:tcBorders>
            <w:shd w:val="clear" w:color="auto" w:fill="auto"/>
            <w:vAlign w:val="bottom"/>
          </w:tcPr>
          <w:p w:rsidR="00FE4F97" w:rsidRPr="00952FA8" w:rsidRDefault="00FE4F97">
            <w:pPr>
              <w:pStyle w:val="DualTxt"/>
              <w:spacing w:before="80" w:after="80" w:line="240" w:lineRule="exact"/>
              <w:ind w:right="144"/>
              <w:rPr>
                <w:rFonts w:hint="cs"/>
                <w:i/>
                <w:iCs/>
                <w:sz w:val="16"/>
                <w:szCs w:val="24"/>
                <w:rtl/>
              </w:rPr>
            </w:pPr>
            <w:r>
              <w:rPr>
                <w:rFonts w:hint="cs"/>
                <w:i/>
                <w:iCs/>
                <w:sz w:val="16"/>
                <w:szCs w:val="24"/>
                <w:rtl/>
              </w:rPr>
              <w:t>1997</w:t>
            </w:r>
          </w:p>
        </w:tc>
        <w:tc>
          <w:tcPr>
            <w:tcW w:w="1752" w:type="dxa"/>
            <w:gridSpan w:val="2"/>
            <w:tcBorders>
              <w:top w:val="single" w:sz="4" w:space="0" w:color="auto"/>
            </w:tcBorders>
            <w:shd w:val="clear" w:color="auto" w:fill="auto"/>
            <w:vAlign w:val="bottom"/>
          </w:tcPr>
          <w:p w:rsidR="00FE4F97" w:rsidRPr="00952FA8" w:rsidRDefault="00FE4F97">
            <w:pPr>
              <w:pStyle w:val="DualTxt"/>
              <w:spacing w:before="80" w:after="80" w:line="240" w:lineRule="exact"/>
              <w:ind w:right="144"/>
              <w:rPr>
                <w:rFonts w:hint="cs"/>
                <w:i/>
                <w:iCs/>
                <w:sz w:val="16"/>
                <w:szCs w:val="24"/>
                <w:rtl/>
              </w:rPr>
            </w:pPr>
            <w:r>
              <w:rPr>
                <w:rFonts w:hint="cs"/>
                <w:i/>
                <w:iCs/>
                <w:sz w:val="16"/>
                <w:szCs w:val="24"/>
                <w:rtl/>
              </w:rPr>
              <w:t>2001</w:t>
            </w:r>
          </w:p>
        </w:tc>
        <w:tc>
          <w:tcPr>
            <w:tcW w:w="1854" w:type="dxa"/>
            <w:gridSpan w:val="2"/>
            <w:tcBorders>
              <w:top w:val="single" w:sz="4" w:space="0" w:color="auto"/>
            </w:tcBorders>
            <w:shd w:val="clear" w:color="auto" w:fill="auto"/>
            <w:vAlign w:val="bottom"/>
          </w:tcPr>
          <w:p w:rsidR="00FE4F97" w:rsidRPr="00952FA8" w:rsidRDefault="00FE4F97">
            <w:pPr>
              <w:pStyle w:val="DualTxt"/>
              <w:spacing w:before="80" w:after="80" w:line="240" w:lineRule="exact"/>
              <w:ind w:right="144"/>
              <w:rPr>
                <w:rFonts w:hint="cs"/>
                <w:i/>
                <w:iCs/>
                <w:sz w:val="16"/>
                <w:szCs w:val="24"/>
                <w:rtl/>
              </w:rPr>
            </w:pPr>
            <w:r>
              <w:rPr>
                <w:rFonts w:hint="cs"/>
                <w:i/>
                <w:iCs/>
                <w:sz w:val="16"/>
                <w:szCs w:val="24"/>
                <w:rtl/>
              </w:rPr>
              <w:t>2004*</w:t>
            </w:r>
          </w:p>
        </w:tc>
      </w:tr>
      <w:tr w:rsidR="00FE4F97" w:rsidRPr="00952FA8">
        <w:trPr>
          <w:cantSplit/>
          <w:tblHeader/>
          <w:jc w:val="center"/>
        </w:trPr>
        <w:tc>
          <w:tcPr>
            <w:tcW w:w="1750" w:type="dxa"/>
            <w:vMerge/>
            <w:tcBorders>
              <w:bottom w:val="single" w:sz="12" w:space="0" w:color="auto"/>
            </w:tcBorders>
            <w:shd w:val="clear" w:color="auto" w:fill="auto"/>
            <w:vAlign w:val="bottom"/>
          </w:tcPr>
          <w:p w:rsidR="00FE4F97" w:rsidRPr="00952FA8" w:rsidRDefault="00FE4F97">
            <w:pPr>
              <w:pStyle w:val="DualTxt"/>
              <w:spacing w:after="80" w:line="240" w:lineRule="exact"/>
              <w:rPr>
                <w:rFonts w:hint="cs"/>
                <w:i/>
                <w:iCs/>
                <w:sz w:val="16"/>
                <w:szCs w:val="24"/>
                <w:rtl/>
              </w:rPr>
            </w:pPr>
          </w:p>
        </w:tc>
        <w:tc>
          <w:tcPr>
            <w:tcW w:w="927" w:type="dxa"/>
            <w:tcBorders>
              <w:bottom w:val="single" w:sz="12" w:space="0" w:color="auto"/>
            </w:tcBorders>
            <w:shd w:val="clear" w:color="auto" w:fill="auto"/>
            <w:vAlign w:val="bottom"/>
          </w:tcPr>
          <w:p w:rsidR="00FE4F97" w:rsidRPr="00952FA8" w:rsidRDefault="00FE4F97">
            <w:pPr>
              <w:pStyle w:val="DualTxt"/>
              <w:spacing w:after="80" w:line="240" w:lineRule="exact"/>
              <w:ind w:right="144"/>
              <w:rPr>
                <w:rFonts w:hint="cs"/>
                <w:i/>
                <w:iCs/>
                <w:sz w:val="16"/>
                <w:szCs w:val="24"/>
                <w:rtl/>
              </w:rPr>
            </w:pPr>
            <w:r>
              <w:rPr>
                <w:rFonts w:hint="cs"/>
                <w:i/>
                <w:iCs/>
                <w:sz w:val="16"/>
                <w:szCs w:val="24"/>
                <w:rtl/>
              </w:rPr>
              <w:t>المجموع</w:t>
            </w:r>
          </w:p>
        </w:tc>
        <w:tc>
          <w:tcPr>
            <w:tcW w:w="824" w:type="dxa"/>
            <w:tcBorders>
              <w:bottom w:val="single" w:sz="12" w:space="0" w:color="auto"/>
            </w:tcBorders>
            <w:shd w:val="clear" w:color="auto" w:fill="auto"/>
            <w:vAlign w:val="bottom"/>
          </w:tcPr>
          <w:p w:rsidR="00FE4F97" w:rsidRPr="00952FA8" w:rsidRDefault="00FE4F97">
            <w:pPr>
              <w:pStyle w:val="DualTxt"/>
              <w:spacing w:after="80" w:line="240" w:lineRule="exact"/>
              <w:ind w:right="144"/>
              <w:rPr>
                <w:rFonts w:hint="cs"/>
                <w:i/>
                <w:iCs/>
                <w:sz w:val="16"/>
                <w:szCs w:val="24"/>
                <w:rtl/>
              </w:rPr>
            </w:pPr>
            <w:r>
              <w:rPr>
                <w:rFonts w:hint="cs"/>
                <w:i/>
                <w:iCs/>
                <w:sz w:val="16"/>
                <w:szCs w:val="24"/>
                <w:rtl/>
              </w:rPr>
              <w:t>النساء</w:t>
            </w:r>
          </w:p>
        </w:tc>
        <w:tc>
          <w:tcPr>
            <w:tcW w:w="825" w:type="dxa"/>
            <w:tcBorders>
              <w:bottom w:val="single" w:sz="12" w:space="0" w:color="auto"/>
            </w:tcBorders>
            <w:shd w:val="clear" w:color="auto" w:fill="auto"/>
            <w:vAlign w:val="bottom"/>
          </w:tcPr>
          <w:p w:rsidR="00FE4F97" w:rsidRPr="00952FA8" w:rsidRDefault="00FE4F97">
            <w:pPr>
              <w:pStyle w:val="DualTxt"/>
              <w:spacing w:after="80" w:line="240" w:lineRule="exact"/>
              <w:ind w:right="144"/>
              <w:rPr>
                <w:rFonts w:hint="cs"/>
                <w:i/>
                <w:iCs/>
                <w:sz w:val="16"/>
                <w:szCs w:val="24"/>
                <w:rtl/>
              </w:rPr>
            </w:pPr>
            <w:r>
              <w:rPr>
                <w:rFonts w:hint="cs"/>
                <w:i/>
                <w:iCs/>
                <w:sz w:val="16"/>
                <w:szCs w:val="24"/>
                <w:rtl/>
              </w:rPr>
              <w:t>المجموع</w:t>
            </w:r>
          </w:p>
        </w:tc>
        <w:tc>
          <w:tcPr>
            <w:tcW w:w="927" w:type="dxa"/>
            <w:tcBorders>
              <w:bottom w:val="single" w:sz="12" w:space="0" w:color="auto"/>
            </w:tcBorders>
            <w:shd w:val="clear" w:color="auto" w:fill="auto"/>
            <w:vAlign w:val="bottom"/>
          </w:tcPr>
          <w:p w:rsidR="00FE4F97" w:rsidRPr="00952FA8" w:rsidRDefault="00FE4F97">
            <w:pPr>
              <w:pStyle w:val="DualTxt"/>
              <w:spacing w:after="80" w:line="240" w:lineRule="exact"/>
              <w:ind w:right="144"/>
              <w:rPr>
                <w:rFonts w:hint="cs"/>
                <w:i/>
                <w:iCs/>
                <w:sz w:val="16"/>
                <w:szCs w:val="24"/>
                <w:rtl/>
              </w:rPr>
            </w:pPr>
            <w:r>
              <w:rPr>
                <w:rFonts w:hint="cs"/>
                <w:i/>
                <w:iCs/>
                <w:sz w:val="16"/>
                <w:szCs w:val="24"/>
                <w:rtl/>
              </w:rPr>
              <w:t>النساء</w:t>
            </w:r>
          </w:p>
        </w:tc>
        <w:tc>
          <w:tcPr>
            <w:tcW w:w="927" w:type="dxa"/>
            <w:tcBorders>
              <w:bottom w:val="single" w:sz="12" w:space="0" w:color="auto"/>
            </w:tcBorders>
            <w:shd w:val="clear" w:color="auto" w:fill="auto"/>
            <w:vAlign w:val="bottom"/>
          </w:tcPr>
          <w:p w:rsidR="00FE4F97" w:rsidRPr="00952FA8" w:rsidRDefault="00FE4F97">
            <w:pPr>
              <w:pStyle w:val="DualTxt"/>
              <w:spacing w:after="80" w:line="240" w:lineRule="exact"/>
              <w:ind w:right="144"/>
              <w:rPr>
                <w:rFonts w:hint="cs"/>
                <w:i/>
                <w:iCs/>
                <w:sz w:val="16"/>
                <w:szCs w:val="24"/>
                <w:rtl/>
              </w:rPr>
            </w:pPr>
            <w:r>
              <w:rPr>
                <w:rFonts w:hint="cs"/>
                <w:i/>
                <w:iCs/>
                <w:sz w:val="16"/>
                <w:szCs w:val="24"/>
                <w:rtl/>
              </w:rPr>
              <w:t>المجموع</w:t>
            </w:r>
          </w:p>
        </w:tc>
        <w:tc>
          <w:tcPr>
            <w:tcW w:w="927" w:type="dxa"/>
            <w:tcBorders>
              <w:bottom w:val="single" w:sz="12" w:space="0" w:color="auto"/>
            </w:tcBorders>
            <w:shd w:val="clear" w:color="auto" w:fill="auto"/>
            <w:vAlign w:val="bottom"/>
          </w:tcPr>
          <w:p w:rsidR="00FE4F97" w:rsidRPr="00952FA8" w:rsidRDefault="00FE4F97">
            <w:pPr>
              <w:pStyle w:val="DualTxt"/>
              <w:spacing w:after="80" w:line="240" w:lineRule="exact"/>
              <w:ind w:right="144"/>
              <w:rPr>
                <w:rFonts w:hint="cs"/>
                <w:i/>
                <w:iCs/>
                <w:sz w:val="16"/>
                <w:szCs w:val="24"/>
                <w:rtl/>
              </w:rPr>
            </w:pPr>
            <w:r>
              <w:rPr>
                <w:rFonts w:hint="cs"/>
                <w:i/>
                <w:iCs/>
                <w:sz w:val="16"/>
                <w:szCs w:val="24"/>
                <w:rtl/>
              </w:rPr>
              <w:t>النساء</w:t>
            </w:r>
          </w:p>
        </w:tc>
      </w:tr>
      <w:tr w:rsidR="00FE4F97" w:rsidRPr="00952FA8">
        <w:trPr>
          <w:cantSplit/>
          <w:jc w:val="center"/>
        </w:trPr>
        <w:tc>
          <w:tcPr>
            <w:tcW w:w="1750" w:type="dxa"/>
            <w:shd w:val="clear" w:color="auto" w:fill="auto"/>
            <w:vAlign w:val="bottom"/>
          </w:tcPr>
          <w:p w:rsidR="00FE4F97" w:rsidRPr="00952FA8" w:rsidRDefault="00FE4F97">
            <w:pPr>
              <w:pStyle w:val="DualTxt"/>
              <w:spacing w:before="40" w:after="80" w:line="240" w:lineRule="exact"/>
              <w:rPr>
                <w:rFonts w:hint="cs"/>
                <w:sz w:val="16"/>
                <w:szCs w:val="24"/>
                <w:rtl/>
              </w:rPr>
            </w:pPr>
            <w:r>
              <w:rPr>
                <w:rFonts w:hint="cs"/>
                <w:sz w:val="16"/>
                <w:szCs w:val="24"/>
                <w:rtl/>
              </w:rPr>
              <w:t>رئيس الجمهورية</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1</w:t>
            </w:r>
          </w:p>
        </w:tc>
        <w:tc>
          <w:tcPr>
            <w:tcW w:w="824"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صفر</w:t>
            </w:r>
          </w:p>
        </w:tc>
        <w:tc>
          <w:tcPr>
            <w:tcW w:w="825"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1</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صفر</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1</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صفر</w:t>
            </w:r>
          </w:p>
        </w:tc>
      </w:tr>
      <w:tr w:rsidR="00FE4F97" w:rsidRPr="00952FA8">
        <w:trPr>
          <w:cantSplit/>
          <w:jc w:val="center"/>
        </w:trPr>
        <w:tc>
          <w:tcPr>
            <w:tcW w:w="1750" w:type="dxa"/>
            <w:shd w:val="clear" w:color="auto" w:fill="auto"/>
            <w:vAlign w:val="bottom"/>
          </w:tcPr>
          <w:p w:rsidR="00FE4F97" w:rsidRPr="00952FA8" w:rsidRDefault="00FE4F97">
            <w:pPr>
              <w:pStyle w:val="DualTxt"/>
              <w:spacing w:before="40" w:after="80" w:line="240" w:lineRule="exact"/>
              <w:rPr>
                <w:rFonts w:hint="cs"/>
                <w:sz w:val="16"/>
                <w:szCs w:val="24"/>
                <w:rtl/>
              </w:rPr>
            </w:pPr>
            <w:r>
              <w:rPr>
                <w:rFonts w:hint="cs"/>
                <w:sz w:val="16"/>
                <w:szCs w:val="24"/>
                <w:rtl/>
              </w:rPr>
              <w:t>رئيس البرلمان</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1</w:t>
            </w:r>
          </w:p>
        </w:tc>
        <w:tc>
          <w:tcPr>
            <w:tcW w:w="824"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صفر</w:t>
            </w:r>
          </w:p>
        </w:tc>
        <w:tc>
          <w:tcPr>
            <w:tcW w:w="825"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1</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صفر</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1</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صفر</w:t>
            </w:r>
          </w:p>
        </w:tc>
      </w:tr>
      <w:tr w:rsidR="00FE4F97" w:rsidRPr="00952FA8">
        <w:trPr>
          <w:cantSplit/>
          <w:jc w:val="center"/>
        </w:trPr>
        <w:tc>
          <w:tcPr>
            <w:tcW w:w="1750" w:type="dxa"/>
            <w:shd w:val="clear" w:color="auto" w:fill="auto"/>
            <w:vAlign w:val="bottom"/>
          </w:tcPr>
          <w:p w:rsidR="00FE4F97" w:rsidRPr="00952FA8" w:rsidRDefault="00FE4F97">
            <w:pPr>
              <w:pStyle w:val="DualTxt"/>
              <w:spacing w:before="40" w:after="80" w:line="240" w:lineRule="exact"/>
              <w:rPr>
                <w:rFonts w:hint="cs"/>
                <w:sz w:val="16"/>
                <w:szCs w:val="24"/>
                <w:rtl/>
              </w:rPr>
            </w:pPr>
            <w:r>
              <w:rPr>
                <w:rFonts w:hint="cs"/>
                <w:sz w:val="16"/>
                <w:szCs w:val="24"/>
                <w:rtl/>
              </w:rPr>
              <w:t>وكيل رئيس البرلمان</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1</w:t>
            </w:r>
          </w:p>
        </w:tc>
        <w:tc>
          <w:tcPr>
            <w:tcW w:w="824"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صفر</w:t>
            </w:r>
          </w:p>
        </w:tc>
        <w:tc>
          <w:tcPr>
            <w:tcW w:w="825"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1</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صفر</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1</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صفر</w:t>
            </w:r>
          </w:p>
        </w:tc>
      </w:tr>
      <w:tr w:rsidR="00FE4F97" w:rsidRPr="00952FA8">
        <w:trPr>
          <w:cantSplit/>
          <w:jc w:val="center"/>
        </w:trPr>
        <w:tc>
          <w:tcPr>
            <w:tcW w:w="1750" w:type="dxa"/>
            <w:shd w:val="clear" w:color="auto" w:fill="auto"/>
            <w:vAlign w:val="bottom"/>
          </w:tcPr>
          <w:p w:rsidR="00FE4F97" w:rsidRPr="00952FA8" w:rsidRDefault="00FE4F97">
            <w:pPr>
              <w:pStyle w:val="DualTxt"/>
              <w:spacing w:before="40" w:after="80" w:line="240" w:lineRule="exact"/>
              <w:rPr>
                <w:rFonts w:hint="cs"/>
                <w:sz w:val="16"/>
                <w:szCs w:val="24"/>
                <w:rtl/>
              </w:rPr>
            </w:pPr>
            <w:r>
              <w:rPr>
                <w:rFonts w:hint="cs"/>
                <w:sz w:val="16"/>
                <w:szCs w:val="24"/>
                <w:rtl/>
              </w:rPr>
              <w:t>رئيس الوزراء</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1</w:t>
            </w:r>
          </w:p>
        </w:tc>
        <w:tc>
          <w:tcPr>
            <w:tcW w:w="824"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صفر</w:t>
            </w:r>
          </w:p>
        </w:tc>
        <w:tc>
          <w:tcPr>
            <w:tcW w:w="825"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1</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صفر</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1</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صفر</w:t>
            </w:r>
          </w:p>
        </w:tc>
      </w:tr>
      <w:tr w:rsidR="00FE4F97" w:rsidRPr="00952FA8">
        <w:trPr>
          <w:cantSplit/>
          <w:jc w:val="center"/>
        </w:trPr>
        <w:tc>
          <w:tcPr>
            <w:tcW w:w="1750" w:type="dxa"/>
            <w:shd w:val="clear" w:color="auto" w:fill="auto"/>
            <w:vAlign w:val="bottom"/>
          </w:tcPr>
          <w:p w:rsidR="00FE4F97" w:rsidRPr="00952FA8" w:rsidRDefault="00FE4F97">
            <w:pPr>
              <w:pStyle w:val="DualTxt"/>
              <w:spacing w:before="40" w:after="80" w:line="240" w:lineRule="exact"/>
              <w:rPr>
                <w:rFonts w:hint="cs"/>
                <w:sz w:val="16"/>
                <w:szCs w:val="24"/>
                <w:rtl/>
              </w:rPr>
            </w:pPr>
            <w:r>
              <w:rPr>
                <w:rFonts w:hint="cs"/>
                <w:sz w:val="16"/>
                <w:szCs w:val="24"/>
                <w:rtl/>
              </w:rPr>
              <w:t>أعضاء البرلمان</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76</w:t>
            </w:r>
          </w:p>
        </w:tc>
        <w:tc>
          <w:tcPr>
            <w:tcW w:w="824"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8</w:t>
            </w:r>
          </w:p>
        </w:tc>
        <w:tc>
          <w:tcPr>
            <w:tcW w:w="825"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76</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9</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76</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5</w:t>
            </w:r>
          </w:p>
        </w:tc>
      </w:tr>
      <w:tr w:rsidR="00FE4F97" w:rsidRPr="00952FA8">
        <w:trPr>
          <w:cantSplit/>
          <w:jc w:val="center"/>
        </w:trPr>
        <w:tc>
          <w:tcPr>
            <w:tcW w:w="1750" w:type="dxa"/>
            <w:shd w:val="clear" w:color="auto" w:fill="auto"/>
            <w:vAlign w:val="bottom"/>
          </w:tcPr>
          <w:p w:rsidR="00FE4F97" w:rsidRPr="00952FA8" w:rsidRDefault="00FE4F97">
            <w:pPr>
              <w:pStyle w:val="DualTxt"/>
              <w:spacing w:before="40" w:after="80" w:line="240" w:lineRule="exact"/>
              <w:rPr>
                <w:rFonts w:hint="cs"/>
                <w:sz w:val="16"/>
                <w:szCs w:val="24"/>
                <w:rtl/>
              </w:rPr>
            </w:pPr>
            <w:r>
              <w:rPr>
                <w:rFonts w:hint="cs"/>
                <w:sz w:val="16"/>
                <w:szCs w:val="24"/>
                <w:rtl/>
              </w:rPr>
              <w:t>أعضاء مجلس الوزراء</w:t>
            </w:r>
          </w:p>
        </w:tc>
        <w:tc>
          <w:tcPr>
            <w:tcW w:w="927" w:type="dxa"/>
            <w:shd w:val="clear" w:color="auto" w:fill="auto"/>
            <w:vAlign w:val="bottom"/>
          </w:tcPr>
          <w:p w:rsidR="00FE4F97" w:rsidRDefault="00FE4F97">
            <w:pPr>
              <w:pStyle w:val="DualTxt"/>
              <w:spacing w:before="40" w:after="80" w:line="240" w:lineRule="exact"/>
              <w:ind w:right="144"/>
              <w:rPr>
                <w:rFonts w:hint="cs"/>
                <w:sz w:val="16"/>
                <w:szCs w:val="24"/>
                <w:rtl/>
              </w:rPr>
            </w:pPr>
            <w:r>
              <w:rPr>
                <w:rFonts w:hint="cs"/>
                <w:sz w:val="16"/>
                <w:szCs w:val="24"/>
                <w:rtl/>
              </w:rPr>
              <w:t>9</w:t>
            </w:r>
          </w:p>
        </w:tc>
        <w:tc>
          <w:tcPr>
            <w:tcW w:w="824" w:type="dxa"/>
            <w:shd w:val="clear" w:color="auto" w:fill="auto"/>
            <w:vAlign w:val="bottom"/>
          </w:tcPr>
          <w:p w:rsidR="00FE4F97" w:rsidRDefault="00FE4F97">
            <w:pPr>
              <w:pStyle w:val="DualTxt"/>
              <w:spacing w:before="40" w:after="80" w:line="240" w:lineRule="exact"/>
              <w:ind w:right="144"/>
              <w:rPr>
                <w:rFonts w:hint="cs"/>
                <w:sz w:val="16"/>
                <w:szCs w:val="24"/>
                <w:rtl/>
              </w:rPr>
            </w:pPr>
            <w:r>
              <w:rPr>
                <w:rFonts w:hint="cs"/>
                <w:sz w:val="16"/>
                <w:szCs w:val="24"/>
                <w:rtl/>
              </w:rPr>
              <w:t>1</w:t>
            </w:r>
          </w:p>
        </w:tc>
        <w:tc>
          <w:tcPr>
            <w:tcW w:w="825" w:type="dxa"/>
            <w:shd w:val="clear" w:color="auto" w:fill="auto"/>
            <w:vAlign w:val="bottom"/>
          </w:tcPr>
          <w:p w:rsidR="00FE4F97" w:rsidRDefault="00FE4F97">
            <w:pPr>
              <w:pStyle w:val="DualTxt"/>
              <w:spacing w:before="40" w:after="80" w:line="240" w:lineRule="exact"/>
              <w:ind w:right="144"/>
              <w:rPr>
                <w:rFonts w:hint="cs"/>
                <w:sz w:val="16"/>
                <w:szCs w:val="24"/>
                <w:rtl/>
              </w:rPr>
            </w:pPr>
            <w:r>
              <w:rPr>
                <w:rFonts w:hint="cs"/>
                <w:sz w:val="16"/>
                <w:szCs w:val="24"/>
                <w:rtl/>
              </w:rPr>
              <w:t>11</w:t>
            </w:r>
          </w:p>
        </w:tc>
        <w:tc>
          <w:tcPr>
            <w:tcW w:w="927" w:type="dxa"/>
            <w:shd w:val="clear" w:color="auto" w:fill="auto"/>
            <w:vAlign w:val="bottom"/>
          </w:tcPr>
          <w:p w:rsidR="00FE4F97" w:rsidRDefault="00FE4F97">
            <w:pPr>
              <w:pStyle w:val="DualTxt"/>
              <w:spacing w:before="40" w:after="80" w:line="240" w:lineRule="exact"/>
              <w:ind w:right="144"/>
              <w:rPr>
                <w:rFonts w:hint="cs"/>
                <w:sz w:val="16"/>
                <w:szCs w:val="24"/>
                <w:rtl/>
              </w:rPr>
            </w:pPr>
            <w:r>
              <w:rPr>
                <w:rFonts w:hint="cs"/>
                <w:sz w:val="16"/>
                <w:szCs w:val="24"/>
                <w:rtl/>
              </w:rPr>
              <w:t>صفر</w:t>
            </w:r>
          </w:p>
        </w:tc>
        <w:tc>
          <w:tcPr>
            <w:tcW w:w="927" w:type="dxa"/>
            <w:shd w:val="clear" w:color="auto" w:fill="auto"/>
            <w:vAlign w:val="bottom"/>
          </w:tcPr>
          <w:p w:rsidR="00FE4F97" w:rsidRDefault="00FE4F97">
            <w:pPr>
              <w:pStyle w:val="DualTxt"/>
              <w:spacing w:before="40" w:after="80" w:line="240" w:lineRule="exact"/>
              <w:ind w:right="144"/>
              <w:rPr>
                <w:rFonts w:hint="cs"/>
                <w:sz w:val="16"/>
                <w:szCs w:val="24"/>
                <w:rtl/>
              </w:rPr>
            </w:pPr>
            <w:r>
              <w:rPr>
                <w:rFonts w:hint="cs"/>
                <w:sz w:val="16"/>
                <w:szCs w:val="24"/>
                <w:rtl/>
              </w:rPr>
              <w:t>17</w:t>
            </w:r>
          </w:p>
        </w:tc>
        <w:tc>
          <w:tcPr>
            <w:tcW w:w="927" w:type="dxa"/>
            <w:shd w:val="clear" w:color="auto" w:fill="auto"/>
            <w:vAlign w:val="bottom"/>
          </w:tcPr>
          <w:p w:rsidR="00FE4F97" w:rsidRDefault="00FE4F97">
            <w:pPr>
              <w:pStyle w:val="DualTxt"/>
              <w:spacing w:before="40" w:after="80" w:line="240" w:lineRule="exact"/>
              <w:ind w:right="144"/>
              <w:rPr>
                <w:rFonts w:hint="cs"/>
                <w:sz w:val="16"/>
                <w:szCs w:val="24"/>
                <w:rtl/>
              </w:rPr>
            </w:pPr>
            <w:r>
              <w:rPr>
                <w:rFonts w:hint="cs"/>
                <w:sz w:val="16"/>
                <w:szCs w:val="24"/>
                <w:rtl/>
              </w:rPr>
              <w:t>1</w:t>
            </w:r>
          </w:p>
        </w:tc>
      </w:tr>
      <w:tr w:rsidR="00FE4F97" w:rsidRPr="00952FA8">
        <w:trPr>
          <w:cantSplit/>
          <w:jc w:val="center"/>
        </w:trPr>
        <w:tc>
          <w:tcPr>
            <w:tcW w:w="1750" w:type="dxa"/>
            <w:shd w:val="clear" w:color="auto" w:fill="auto"/>
            <w:vAlign w:val="bottom"/>
          </w:tcPr>
          <w:p w:rsidR="00FE4F97" w:rsidRPr="00952FA8" w:rsidRDefault="00FE4F97">
            <w:pPr>
              <w:pStyle w:val="DualTxt"/>
              <w:spacing w:before="40" w:after="80" w:line="240" w:lineRule="exact"/>
              <w:rPr>
                <w:rFonts w:hint="cs"/>
                <w:sz w:val="16"/>
                <w:szCs w:val="24"/>
                <w:rtl/>
              </w:rPr>
            </w:pPr>
            <w:r>
              <w:rPr>
                <w:rFonts w:hint="cs"/>
                <w:sz w:val="16"/>
                <w:szCs w:val="24"/>
                <w:rtl/>
              </w:rPr>
              <w:t>جميع مستويات المحافظين (الإقليم، والمقاطعة، والمدينة، والمنطقة)</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373</w:t>
            </w:r>
          </w:p>
        </w:tc>
        <w:tc>
          <w:tcPr>
            <w:tcW w:w="824"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9</w:t>
            </w:r>
          </w:p>
        </w:tc>
        <w:tc>
          <w:tcPr>
            <w:tcW w:w="825"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338</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11</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338</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p>
        </w:tc>
      </w:tr>
      <w:tr w:rsidR="00FE4F97" w:rsidRPr="00952FA8">
        <w:trPr>
          <w:cantSplit/>
          <w:jc w:val="center"/>
        </w:trPr>
        <w:tc>
          <w:tcPr>
            <w:tcW w:w="1750" w:type="dxa"/>
            <w:shd w:val="clear" w:color="auto" w:fill="auto"/>
            <w:vAlign w:val="bottom"/>
          </w:tcPr>
          <w:p w:rsidR="00FE4F97" w:rsidRPr="00952FA8" w:rsidRDefault="00FE4F97">
            <w:pPr>
              <w:pStyle w:val="DualTxt"/>
              <w:spacing w:before="40" w:after="80" w:line="240" w:lineRule="exact"/>
              <w:rPr>
                <w:rFonts w:hint="cs"/>
                <w:sz w:val="16"/>
                <w:szCs w:val="24"/>
                <w:rtl/>
              </w:rPr>
            </w:pPr>
            <w:r>
              <w:rPr>
                <w:rFonts w:hint="cs"/>
                <w:sz w:val="16"/>
                <w:szCs w:val="24"/>
                <w:rtl/>
              </w:rPr>
              <w:t>السفراء</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28</w:t>
            </w:r>
          </w:p>
        </w:tc>
        <w:tc>
          <w:tcPr>
            <w:tcW w:w="824"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صفر</w:t>
            </w:r>
          </w:p>
        </w:tc>
        <w:tc>
          <w:tcPr>
            <w:tcW w:w="825"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30</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1</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28</w:t>
            </w:r>
          </w:p>
        </w:tc>
        <w:tc>
          <w:tcPr>
            <w:tcW w:w="927" w:type="dxa"/>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1</w:t>
            </w:r>
          </w:p>
        </w:tc>
      </w:tr>
      <w:tr w:rsidR="00FE4F97" w:rsidRPr="00952FA8">
        <w:trPr>
          <w:cantSplit/>
          <w:jc w:val="center"/>
        </w:trPr>
        <w:tc>
          <w:tcPr>
            <w:tcW w:w="1750" w:type="dxa"/>
            <w:tcBorders>
              <w:bottom w:val="single" w:sz="12" w:space="0" w:color="auto"/>
            </w:tcBorders>
            <w:shd w:val="clear" w:color="auto" w:fill="auto"/>
            <w:vAlign w:val="bottom"/>
          </w:tcPr>
          <w:p w:rsidR="00FE4F97" w:rsidRPr="00952FA8" w:rsidRDefault="00FE4F97">
            <w:pPr>
              <w:pStyle w:val="DualTxt"/>
              <w:spacing w:before="40" w:after="80" w:line="240" w:lineRule="exact"/>
              <w:rPr>
                <w:rFonts w:hint="cs"/>
                <w:sz w:val="16"/>
                <w:szCs w:val="24"/>
                <w:rtl/>
              </w:rPr>
            </w:pPr>
            <w:r>
              <w:rPr>
                <w:rFonts w:hint="cs"/>
                <w:sz w:val="16"/>
                <w:szCs w:val="24"/>
                <w:rtl/>
              </w:rPr>
              <w:t>رؤساء ممثلي المواطنين المحليين في الأقاليم والعاصمة</w:t>
            </w:r>
          </w:p>
        </w:tc>
        <w:tc>
          <w:tcPr>
            <w:tcW w:w="927" w:type="dxa"/>
            <w:tcBorders>
              <w:bottom w:val="single" w:sz="12" w:space="0" w:color="auto"/>
            </w:tcBorders>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22</w:t>
            </w:r>
          </w:p>
        </w:tc>
        <w:tc>
          <w:tcPr>
            <w:tcW w:w="824" w:type="dxa"/>
            <w:tcBorders>
              <w:bottom w:val="single" w:sz="12" w:space="0" w:color="auto"/>
            </w:tcBorders>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صفر</w:t>
            </w:r>
          </w:p>
        </w:tc>
        <w:tc>
          <w:tcPr>
            <w:tcW w:w="825" w:type="dxa"/>
            <w:tcBorders>
              <w:bottom w:val="single" w:sz="12" w:space="0" w:color="auto"/>
            </w:tcBorders>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22</w:t>
            </w:r>
          </w:p>
        </w:tc>
        <w:tc>
          <w:tcPr>
            <w:tcW w:w="927" w:type="dxa"/>
            <w:tcBorders>
              <w:bottom w:val="single" w:sz="12" w:space="0" w:color="auto"/>
            </w:tcBorders>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صفر</w:t>
            </w:r>
          </w:p>
        </w:tc>
        <w:tc>
          <w:tcPr>
            <w:tcW w:w="927" w:type="dxa"/>
            <w:tcBorders>
              <w:bottom w:val="single" w:sz="12" w:space="0" w:color="auto"/>
            </w:tcBorders>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22</w:t>
            </w:r>
          </w:p>
        </w:tc>
        <w:tc>
          <w:tcPr>
            <w:tcW w:w="927" w:type="dxa"/>
            <w:tcBorders>
              <w:bottom w:val="single" w:sz="12" w:space="0" w:color="auto"/>
            </w:tcBorders>
            <w:shd w:val="clear" w:color="auto" w:fill="auto"/>
            <w:vAlign w:val="bottom"/>
          </w:tcPr>
          <w:p w:rsidR="00FE4F97" w:rsidRPr="00952FA8" w:rsidRDefault="00FE4F97">
            <w:pPr>
              <w:pStyle w:val="DualTxt"/>
              <w:spacing w:before="40" w:after="80" w:line="240" w:lineRule="exact"/>
              <w:ind w:right="144"/>
              <w:rPr>
                <w:rFonts w:hint="cs"/>
                <w:sz w:val="16"/>
                <w:szCs w:val="24"/>
                <w:rtl/>
              </w:rPr>
            </w:pPr>
            <w:r>
              <w:rPr>
                <w:rFonts w:hint="cs"/>
                <w:sz w:val="16"/>
                <w:szCs w:val="24"/>
                <w:rtl/>
              </w:rPr>
              <w:t>1</w:t>
            </w:r>
          </w:p>
        </w:tc>
      </w:tr>
    </w:tbl>
    <w:p w:rsidR="00FE4F97" w:rsidRPr="00641BF6" w:rsidRDefault="00FE4F9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2"/>
          <w:rtl/>
        </w:rPr>
      </w:pPr>
    </w:p>
    <w:p w:rsidR="00FE4F97" w:rsidRPr="004F357F" w:rsidRDefault="00FE4F97">
      <w:pPr>
        <w:pStyle w:val="SingleTxt"/>
        <w:spacing w:line="300" w:lineRule="exact"/>
        <w:rPr>
          <w:rFonts w:hint="cs"/>
          <w:sz w:val="16"/>
          <w:szCs w:val="26"/>
          <w:rtl/>
        </w:rPr>
      </w:pPr>
      <w:r w:rsidRPr="004F357F">
        <w:rPr>
          <w:rFonts w:hint="cs"/>
          <w:i/>
          <w:iCs/>
          <w:sz w:val="16"/>
          <w:szCs w:val="26"/>
          <w:rtl/>
        </w:rPr>
        <w:tab/>
        <w:t>المصادر</w:t>
      </w:r>
      <w:r w:rsidRPr="004F357F">
        <w:rPr>
          <w:rFonts w:hint="cs"/>
          <w:sz w:val="16"/>
          <w:szCs w:val="26"/>
          <w:rtl/>
        </w:rPr>
        <w:t>: بيانات عام 199</w:t>
      </w:r>
      <w:r>
        <w:rPr>
          <w:rFonts w:hint="cs"/>
          <w:sz w:val="16"/>
          <w:szCs w:val="26"/>
          <w:rtl/>
        </w:rPr>
        <w:t xml:space="preserve">7 </w:t>
      </w:r>
      <w:r w:rsidRPr="004F357F">
        <w:rPr>
          <w:rFonts w:hint="cs"/>
          <w:sz w:val="16"/>
          <w:szCs w:val="26"/>
          <w:rtl/>
        </w:rPr>
        <w:t xml:space="preserve">لمركز إحالة المعلومات المتعلقة بالمرأة من صندوق الأمم المتحدة الإنمائي للمرأة عام 2001؛ وبيانات عام 2001 من الدراسة الاستقصائية </w:t>
      </w:r>
      <w:r w:rsidRPr="004F357F">
        <w:rPr>
          <w:rFonts w:hint="eastAsia"/>
          <w:sz w:val="16"/>
          <w:szCs w:val="26"/>
          <w:rtl/>
        </w:rPr>
        <w:t>”المشاركة السياسية للمرأة</w:t>
      </w:r>
      <w:r w:rsidRPr="004F357F">
        <w:rPr>
          <w:rFonts w:hint="cs"/>
          <w:sz w:val="16"/>
          <w:szCs w:val="26"/>
          <w:rtl/>
        </w:rPr>
        <w:t>“، مركز الشؤون الجنسانية فيما يتعلق بالتنمية المستدامة، 2002.</w:t>
      </w:r>
    </w:p>
    <w:p w:rsidR="00FE4F97" w:rsidRPr="004F357F" w:rsidRDefault="00FE4F9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FE4F97" w:rsidRPr="004F357F" w:rsidRDefault="00FE4F9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FE4F97" w:rsidRDefault="00FE4F97">
      <w:pPr>
        <w:pStyle w:val="SingleTxt"/>
        <w:rPr>
          <w:rFonts w:hint="cs"/>
          <w:rtl/>
        </w:rPr>
      </w:pPr>
      <w:r>
        <w:rPr>
          <w:rFonts w:hint="cs"/>
          <w:rtl/>
        </w:rPr>
        <w:tab/>
        <w:t>ووفقا لتقرير التقييم الجنساني لمنغوليا، ارتفعت الموارد المالية المطلوبة للقيام بحملة انتخابية ارتفاعا شديدا في كل انتخاب، وتجد النساء أن من الأصعب لهن من نظرائهن الذكور جمع الأموال المطلوبة. وتسمية المرشحات داخل الأحزاب معقدة أيضا وفيها محاباة للذكور الذين لديهم علاقات قائمة. وكبار أعضاء الأحزاب يرشحون أيضا المرشحات ضد بعضهن البعض وهو من الناحية المنطقية العامل الرئيسي في انخفاض عدد النساء المنتخبات في عام 2004.</w:t>
      </w:r>
    </w:p>
    <w:p w:rsidR="00FE4F97" w:rsidRDefault="00FE4F97">
      <w:pPr>
        <w:pStyle w:val="SingleTxt"/>
        <w:rPr>
          <w:rFonts w:hint="cs"/>
          <w:rtl/>
        </w:rPr>
      </w:pPr>
      <w:r>
        <w:rPr>
          <w:rFonts w:hint="cs"/>
          <w:rtl/>
        </w:rPr>
        <w:tab/>
        <w:t xml:space="preserve">ويَستخدم مقياس تمكين المرأة متغيرات وُضعت بشكل واضح لقياس التمكين النسبي للمرأة والرجل في السياسة والاقتصاد. وبلغ مقياس تمكين المرأة في منغوليا </w:t>
      </w:r>
      <w:r w:rsidRPr="00001182">
        <w:rPr>
          <w:vertAlign w:val="superscript"/>
          <w:rtl/>
        </w:rPr>
        <w:t>(</w:t>
      </w:r>
      <w:r>
        <w:rPr>
          <w:rStyle w:val="FootnoteReference"/>
          <w:rtl/>
        </w:rPr>
        <w:footnoteReference w:id="50"/>
      </w:r>
      <w:r w:rsidRPr="00001182">
        <w:rPr>
          <w:vertAlign w:val="superscript"/>
          <w:rtl/>
        </w:rPr>
        <w:t>)</w:t>
      </w:r>
      <w:r>
        <w:rPr>
          <w:rFonts w:hint="cs"/>
          <w:rtl/>
        </w:rPr>
        <w:t>0.458 في عام 2005 وهو أدنى من رقمها القياسي للتنمية الجنسانية. والمؤشرات التي تُظهر انخفاض مستوى المشاركة السياسية للمرأة تُخفض المشاركة المرتفعة نسبيا للمرأة في الأنشطة الاقتصادية</w:t>
      </w:r>
      <w:r w:rsidRPr="00001182">
        <w:rPr>
          <w:vertAlign w:val="superscript"/>
          <w:rtl/>
        </w:rPr>
        <w:t>(</w:t>
      </w:r>
      <w:r>
        <w:rPr>
          <w:rStyle w:val="FootnoteReference"/>
          <w:rtl/>
        </w:rPr>
        <w:footnoteReference w:id="51"/>
      </w:r>
      <w:r w:rsidRPr="00001182">
        <w:rPr>
          <w:vertAlign w:val="superscript"/>
          <w:rtl/>
        </w:rPr>
        <w:t>)</w:t>
      </w:r>
      <w:r>
        <w:rPr>
          <w:rFonts w:hint="cs"/>
          <w:rtl/>
        </w:rPr>
        <w:t>.</w:t>
      </w:r>
    </w:p>
    <w:p w:rsidR="00FE4F97" w:rsidRDefault="00FE4F97" w:rsidP="000F5B52">
      <w:pPr>
        <w:pStyle w:val="SingleTxt"/>
        <w:rPr>
          <w:rFonts w:hint="cs"/>
          <w:rtl/>
        </w:rPr>
      </w:pPr>
      <w:r>
        <w:rPr>
          <w:rFonts w:hint="cs"/>
          <w:rtl/>
        </w:rPr>
        <w:tab/>
        <w:t>ومع أن المواطنين يتمتعون بتكافؤ الفرص بدون تمييز للاشتراك في الانتخابات بموجب القانون، أجرت اللجنة الوطنية لحقوق الإنسان دراسة استقصائية عما إذا كان هذا المبدأ يُتبع على جميع مستويات الانتخابات. وطبقا للدراسة الاستقصائية، فإن بعض حالات الانتهاكات مثل اختلال التمثيل بين الأحزاب، والإئتلافات وعدم الإنتماء لحزب في الدوائر الإنتخابية واللجان المحلية، ووضع الحواجز أمام التمثيل بدون الإنتماء لحزب، والتأخر في تكوين الدوائر الانتخابية واللجان المحلية، ترتب آثارا سلبية على حق المواطن في أن يَنتخب أو يُنتخب</w:t>
      </w:r>
      <w:r w:rsidRPr="00001182">
        <w:rPr>
          <w:vertAlign w:val="superscript"/>
          <w:rtl/>
        </w:rPr>
        <w:t>(</w:t>
      </w:r>
      <w:r>
        <w:rPr>
          <w:rStyle w:val="FootnoteReference"/>
          <w:rtl/>
        </w:rPr>
        <w:footnoteReference w:id="52"/>
      </w:r>
      <w:r w:rsidRPr="00001182">
        <w:rPr>
          <w:vertAlign w:val="superscript"/>
          <w:rtl/>
        </w:rPr>
        <w:t>)</w:t>
      </w:r>
      <w:r>
        <w:rPr>
          <w:rFonts w:hint="cs"/>
          <w:rtl/>
        </w:rPr>
        <w:t>.</w:t>
      </w:r>
    </w:p>
    <w:p w:rsidR="00FE4F97" w:rsidRDefault="00FE4F97">
      <w:pPr>
        <w:pStyle w:val="SingleTxt"/>
        <w:rPr>
          <w:rFonts w:hint="cs"/>
          <w:rtl/>
        </w:rPr>
      </w:pPr>
      <w:r>
        <w:rPr>
          <w:rFonts w:hint="cs"/>
          <w:rtl/>
        </w:rPr>
        <w:tab/>
        <w:t>وبمبادرة من مؤسسة القياديات، عمل ممثلو المنظمات غير الحكومية مع الفريق العامل التابع للبرلمان على إدخال تعديلات وتغييرات على قانون الأحزاب السياسية وعرضوا مقترحاتهم المشتركة بشأن هذا القانون.</w:t>
      </w:r>
    </w:p>
    <w:p w:rsidR="00FE4F97" w:rsidRDefault="00FE4F97">
      <w:pPr>
        <w:pStyle w:val="SingleTxt"/>
        <w:rPr>
          <w:rFonts w:hint="cs"/>
          <w:rtl/>
        </w:rPr>
      </w:pPr>
      <w:r>
        <w:rPr>
          <w:rFonts w:hint="cs"/>
          <w:rtl/>
        </w:rPr>
        <w:tab/>
        <w:t>ونتيجة لذلك، أيدت السيدات أعضاء البرلمان الحكمين التاليين ومفادهما أن تتيح الأحزاب تكافؤ الفرص بعدم التمييز على أساس نوع الجنس للتمثيل على مستوى صنع القرار في الأحزاب والتسمية لخوض الانتخابات، واختيار كوادرها بدون تمييز، لإدراجهما في القانون.</w:t>
      </w:r>
    </w:p>
    <w:p w:rsidR="00FE4F97" w:rsidRDefault="00FE4F97">
      <w:pPr>
        <w:pStyle w:val="SingleTxt"/>
        <w:rPr>
          <w:rFonts w:hint="cs"/>
          <w:rtl/>
        </w:rPr>
      </w:pPr>
      <w:r>
        <w:rPr>
          <w:rFonts w:hint="cs"/>
          <w:rtl/>
        </w:rPr>
        <w:tab/>
        <w:t>وعملا بهذين الحكمين، اتخذت الأحزاب، وعلى سبيل المثال تلك التي لها مقاعد في البرلمان، بعض الخطوات لزيادة مشاركة النساء في أنشطتها بما في ذلك بيان هذه القضية في قواعدها الحزبية ووثائق سياستها العامة.</w:t>
      </w:r>
    </w:p>
    <w:p w:rsidR="00FE4F97" w:rsidRDefault="00FE4F97">
      <w:pPr>
        <w:pStyle w:val="SingleTxt"/>
        <w:rPr>
          <w:rFonts w:hint="cs"/>
          <w:rtl/>
        </w:rPr>
      </w:pPr>
      <w:r>
        <w:rPr>
          <w:rFonts w:hint="cs"/>
          <w:rtl/>
        </w:rPr>
        <w:tab/>
        <w:t>وينص القانون المعدل المتعلق بالانتخابات البرلمانية المعتمد في عام 2006 على ألا تقل نسبة النساء عن 30 في المائة من المرشحين الذين يسميهم الحزب والائتلاف لخوض الانتخابات. وهي محاولة للتقدم إلى الأمام.</w:t>
      </w:r>
    </w:p>
    <w:p w:rsidR="00FE4F97" w:rsidRPr="002860DC" w:rsidRDefault="00FE4F97">
      <w:pPr>
        <w:pStyle w:val="SingleTxt"/>
        <w:spacing w:after="0" w:line="120" w:lineRule="exact"/>
        <w:rPr>
          <w:rFonts w:hint="cs"/>
          <w:sz w:val="12"/>
          <w:rtl/>
        </w:rPr>
      </w:pPr>
    </w:p>
    <w:p w:rsidR="00FE4F97" w:rsidRDefault="00FE4F97">
      <w:pPr>
        <w:pStyle w:val="SingleTxt"/>
        <w:rPr>
          <w:rFonts w:hint="cs"/>
          <w:rtl/>
        </w:rPr>
      </w:pPr>
      <w:r>
        <w:rPr>
          <w:rFonts w:hint="cs"/>
          <w:rtl/>
        </w:rPr>
        <w:t>الرسم البياني 18</w:t>
      </w:r>
    </w:p>
    <w:p w:rsidR="00FE4F97" w:rsidRDefault="00FE4F97">
      <w:pPr>
        <w:pStyle w:val="SingleTxt"/>
        <w:rPr>
          <w:rFonts w:hint="cs"/>
          <w:b/>
          <w:bCs/>
          <w:rtl/>
        </w:rPr>
      </w:pPr>
      <w:r>
        <w:rPr>
          <w:rFonts w:hint="cs"/>
          <w:b/>
          <w:bCs/>
          <w:rtl/>
        </w:rPr>
        <w:t>نسبة النساء في الخدمة الإدارية المدنية</w:t>
      </w:r>
    </w:p>
    <w:p w:rsidR="00FE4F97" w:rsidRDefault="00FE4F97">
      <w:pPr>
        <w:pStyle w:val="SingleTxt"/>
        <w:rPr>
          <w:rFonts w:hint="cs"/>
          <w:rtl/>
        </w:rPr>
      </w:pPr>
      <w:r>
        <w:rPr>
          <w:rFonts w:hint="cs"/>
          <w:rtl/>
        </w:rPr>
        <w:t>حسب المنصب (نسبة مئوية)</w:t>
      </w:r>
    </w:p>
    <w:p w:rsidR="00FE4F97" w:rsidRDefault="00FE4F97">
      <w:pPr>
        <w:pStyle w:val="SingleTxt"/>
        <w:rPr>
          <w:rFonts w:hint="cs"/>
          <w:rtl/>
        </w:rPr>
      </w:pPr>
      <w:r>
        <w:rPr>
          <w:i/>
          <w:iCs/>
          <w:noProof/>
        </w:rPr>
        <w:pict>
          <v:shape id="_x0000_s1277" type="#_x0000_t75" style="position:absolute;left:0;text-align:left;margin-left:30.9pt;margin-top:18.4pt;width:378.35pt;height:195.6pt;z-index:59" wrapcoords="5486 828 4371 828 4371 1655 5143 2152 4371 2979 4371 3641 5143 4800 3686 4966 3514 5048 3471 6869 3557 10510 4157 11421 4457 11421 4371 11834 4543 12248 5143 12745 4714 13407 4629 13655 4629 15062 6129 15393 10800 15393 5357 15890 5400 16717 5957 18207 10371 19366 10843 19366 10843 20028 12429 20028 12514 19779 12386 19531 12214 19283 9643 18041 17657 16800 17786 15972 16757 15807 10800 15393 17571 15393 17486 14483 5014 14069 17571 14069 18557 13986 18471 828 5486 828">
            <v:imagedata r:id="rId43" o:title=""/>
            <w10:wrap type="tight"/>
          </v:shape>
          <o:OLEObject Type="Embed" ProgID="MSGraph.Chart.8" ShapeID="_x0000_s1277" DrawAspect="Content" ObjectID="_1395245893" r:id="rId44">
            <o:FieldCodes>\s</o:FieldCodes>
          </o:OLEObject>
        </w:pict>
      </w:r>
    </w:p>
    <w:p w:rsidR="00FE4F97" w:rsidRDefault="00FE4F97">
      <w:pPr>
        <w:pStyle w:val="SingleTxt"/>
        <w:rPr>
          <w:rFonts w:hint="cs"/>
          <w:rtl/>
        </w:rPr>
      </w:pPr>
    </w:p>
    <w:p w:rsidR="00FE4F97" w:rsidRDefault="00FE4F97">
      <w:pPr>
        <w:pStyle w:val="SingleTxt"/>
        <w:rPr>
          <w:rFonts w:hint="cs"/>
          <w:rtl/>
        </w:rPr>
      </w:pPr>
      <w:r>
        <w:rPr>
          <w:rFonts w:hint="cs"/>
          <w:noProof/>
          <w:w w:val="100"/>
          <w:rtl/>
        </w:rPr>
        <w:pict>
          <v:shape id="_x0000_s1307" type="#_x0000_t202" style="position:absolute;left:0;text-align:left;margin-left:-275.8pt;margin-top:11.4pt;width:15.45pt;height:54pt;z-index:89" stroked="f">
            <v:textbox style="layout-flow:vertical;mso-layout-flow-alt:bottom-to-top;mso-next-textbox:#_x0000_s1307" inset="0,0,0,0">
              <w:txbxContent>
                <w:p w:rsidR="007433E8" w:rsidRPr="000579DC" w:rsidRDefault="007433E8">
                  <w:pPr>
                    <w:spacing w:line="240" w:lineRule="exact"/>
                    <w:jc w:val="center"/>
                    <w:rPr>
                      <w:rFonts w:hint="cs"/>
                      <w:szCs w:val="20"/>
                    </w:rPr>
                  </w:pPr>
                  <w:r>
                    <w:rPr>
                      <w:rFonts w:hint="cs"/>
                      <w:szCs w:val="20"/>
                      <w:rtl/>
                    </w:rPr>
                    <w:t>نسبة مئوية</w:t>
                  </w:r>
                </w:p>
              </w:txbxContent>
            </v:textbox>
            <w10:wrap anchorx="page"/>
          </v:shape>
        </w:pict>
      </w:r>
    </w:p>
    <w:p w:rsidR="00FE4F97" w:rsidRDefault="00FE4F97">
      <w:pPr>
        <w:pStyle w:val="SingleTxt"/>
        <w:rPr>
          <w:rFonts w:hint="cs"/>
          <w:rtl/>
        </w:rPr>
      </w:pPr>
    </w:p>
    <w:p w:rsidR="00FE4F97" w:rsidRDefault="00FE4F97">
      <w:pPr>
        <w:pStyle w:val="SingleTxt"/>
        <w:rPr>
          <w:rFonts w:hint="cs"/>
          <w:rtl/>
        </w:rPr>
      </w:pPr>
    </w:p>
    <w:p w:rsidR="00FE4F97" w:rsidRDefault="00FE4F97">
      <w:pPr>
        <w:pStyle w:val="SingleTxt"/>
        <w:rPr>
          <w:rFonts w:hint="cs"/>
          <w:rtl/>
        </w:rPr>
      </w:pPr>
      <w:r>
        <w:rPr>
          <w:rFonts w:hint="cs"/>
          <w:noProof/>
          <w:w w:val="100"/>
          <w:rtl/>
        </w:rPr>
        <w:pict>
          <v:shape id="_x0000_s1302" type="#_x0000_t202" style="position:absolute;left:0;text-align:left;margin-left:-55.95pt;margin-top:20.6pt;width:34.9pt;height:27pt;z-index:84" stroked="f">
            <v:textbox style="mso-next-textbox:#_x0000_s1302" inset="0,0,0,0">
              <w:txbxContent>
                <w:p w:rsidR="007433E8" w:rsidRPr="000579DC" w:rsidRDefault="007433E8">
                  <w:pPr>
                    <w:spacing w:line="240" w:lineRule="exact"/>
                    <w:jc w:val="center"/>
                    <w:rPr>
                      <w:rFonts w:hint="cs"/>
                      <w:szCs w:val="20"/>
                    </w:rPr>
                  </w:pPr>
                  <w:r>
                    <w:rPr>
                      <w:rFonts w:hint="cs"/>
                      <w:szCs w:val="20"/>
                      <w:rtl/>
                    </w:rPr>
                    <w:t>موظفون مبتدئون</w:t>
                  </w:r>
                </w:p>
              </w:txbxContent>
            </v:textbox>
            <w10:wrap anchorx="page"/>
          </v:shape>
        </w:pict>
      </w:r>
      <w:r>
        <w:rPr>
          <w:rFonts w:hint="cs"/>
          <w:noProof/>
          <w:w w:val="100"/>
          <w:rtl/>
        </w:rPr>
        <w:pict>
          <v:shape id="_x0000_s1303" type="#_x0000_t202" style="position:absolute;left:0;text-align:left;margin-left:-103.95pt;margin-top:19.2pt;width:37.7pt;height:18pt;z-index:85" stroked="f">
            <v:textbox style="mso-next-textbox:#_x0000_s1303" inset="0,0,0,0">
              <w:txbxContent>
                <w:p w:rsidR="007433E8" w:rsidRPr="000579DC" w:rsidRDefault="007433E8">
                  <w:pPr>
                    <w:spacing w:line="240" w:lineRule="exact"/>
                    <w:jc w:val="center"/>
                    <w:rPr>
                      <w:rFonts w:hint="cs"/>
                      <w:szCs w:val="20"/>
                    </w:rPr>
                  </w:pPr>
                  <w:r>
                    <w:rPr>
                      <w:rFonts w:hint="cs"/>
                      <w:szCs w:val="20"/>
                      <w:rtl/>
                    </w:rPr>
                    <w:t>موظفون</w:t>
                  </w:r>
                </w:p>
              </w:txbxContent>
            </v:textbox>
            <w10:wrap anchorx="page"/>
          </v:shape>
        </w:pict>
      </w:r>
      <w:r>
        <w:rPr>
          <w:rFonts w:hint="cs"/>
          <w:noProof/>
          <w:w w:val="100"/>
          <w:rtl/>
        </w:rPr>
        <w:pict>
          <v:shape id="_x0000_s1304" type="#_x0000_t202" style="position:absolute;left:0;text-align:left;margin-left:-148.65pt;margin-top:19.9pt;width:40.05pt;height:30.5pt;z-index:86" stroked="f">
            <v:textbox style="mso-next-textbox:#_x0000_s1304" inset="0,0,0,0">
              <w:txbxContent>
                <w:p w:rsidR="007433E8" w:rsidRPr="000579DC" w:rsidRDefault="007433E8">
                  <w:pPr>
                    <w:spacing w:line="240" w:lineRule="exact"/>
                    <w:jc w:val="center"/>
                    <w:rPr>
                      <w:rFonts w:hint="cs"/>
                      <w:szCs w:val="20"/>
                    </w:rPr>
                  </w:pPr>
                  <w:r>
                    <w:rPr>
                      <w:rFonts w:hint="cs"/>
                      <w:szCs w:val="20"/>
                      <w:rtl/>
                    </w:rPr>
                    <w:t>موظفون أقدم</w:t>
                  </w:r>
                </w:p>
              </w:txbxContent>
            </v:textbox>
            <w10:wrap anchorx="page"/>
          </v:shape>
        </w:pict>
      </w:r>
      <w:r>
        <w:rPr>
          <w:rFonts w:hint="cs"/>
          <w:noProof/>
          <w:w w:val="100"/>
          <w:rtl/>
        </w:rPr>
        <w:pict>
          <v:shape id="_x0000_s1306" type="#_x0000_t202" style="position:absolute;left:0;text-align:left;margin-left:-239pt;margin-top:19.9pt;width:38.85pt;height:39.5pt;z-index:88" stroked="f">
            <v:textbox style="mso-next-textbox:#_x0000_s1306" inset="0,0,0,0">
              <w:txbxContent>
                <w:p w:rsidR="007433E8" w:rsidRPr="000579DC" w:rsidRDefault="007433E8">
                  <w:pPr>
                    <w:spacing w:line="240" w:lineRule="exact"/>
                    <w:jc w:val="center"/>
                    <w:rPr>
                      <w:rFonts w:hint="cs"/>
                      <w:szCs w:val="20"/>
                    </w:rPr>
                  </w:pPr>
                  <w:r>
                    <w:rPr>
                      <w:rFonts w:hint="cs"/>
                      <w:szCs w:val="20"/>
                      <w:rtl/>
                    </w:rPr>
                    <w:t>مستوى وزير الدولة</w:t>
                  </w:r>
                </w:p>
              </w:txbxContent>
            </v:textbox>
            <w10:wrap anchorx="page"/>
          </v:shape>
        </w:pict>
      </w:r>
      <w:r>
        <w:rPr>
          <w:rFonts w:hint="cs"/>
          <w:noProof/>
          <w:w w:val="100"/>
          <w:rtl/>
        </w:rPr>
        <w:pict>
          <v:shape id="_x0000_s1305" type="#_x0000_t202" style="position:absolute;left:0;text-align:left;margin-left:-195pt;margin-top:19.9pt;width:41.2pt;height:39.5pt;z-index:87" stroked="f">
            <v:textbox style="mso-next-textbox:#_x0000_s1305" inset="0,0,0,0">
              <w:txbxContent>
                <w:p w:rsidR="007433E8" w:rsidRPr="000579DC" w:rsidRDefault="007433E8">
                  <w:pPr>
                    <w:spacing w:line="240" w:lineRule="exact"/>
                    <w:jc w:val="center"/>
                    <w:rPr>
                      <w:rFonts w:hint="cs"/>
                      <w:szCs w:val="20"/>
                    </w:rPr>
                  </w:pPr>
                  <w:r>
                    <w:rPr>
                      <w:rFonts w:hint="cs"/>
                      <w:szCs w:val="20"/>
                      <w:rtl/>
                    </w:rPr>
                    <w:t>مستوى مدير عام</w:t>
                  </w:r>
                </w:p>
              </w:txbxContent>
            </v:textbox>
            <w10:wrap anchorx="page"/>
          </v:shape>
        </w:pict>
      </w:r>
    </w:p>
    <w:p w:rsidR="00FE4F97" w:rsidRDefault="00FE4F97">
      <w:pPr>
        <w:pStyle w:val="SingleTxt"/>
        <w:rPr>
          <w:rFonts w:hint="cs"/>
          <w:rtl/>
        </w:rPr>
      </w:pPr>
    </w:p>
    <w:p w:rsidR="00FE4F97" w:rsidRDefault="00FE4F97">
      <w:pPr>
        <w:pStyle w:val="SingleTxt"/>
        <w:rPr>
          <w:rFonts w:hint="cs"/>
          <w:rtl/>
        </w:rPr>
      </w:pPr>
      <w:r>
        <w:rPr>
          <w:rFonts w:hint="cs"/>
          <w:noProof/>
          <w:w w:val="100"/>
          <w:rtl/>
        </w:rPr>
        <w:pict>
          <v:shape id="_x0000_s1301" type="#_x0000_t202" style="position:absolute;left:0;text-align:left;margin-left:-63.4pt;margin-top:5.3pt;width:91.55pt;height:18pt;z-index:83" stroked="f">
            <v:textbox style="mso-next-textbox:#_x0000_s1301" inset="0,0,0,0">
              <w:txbxContent>
                <w:p w:rsidR="007433E8" w:rsidRPr="000579DC" w:rsidRDefault="007433E8">
                  <w:pPr>
                    <w:spacing w:line="240" w:lineRule="exact"/>
                    <w:jc w:val="center"/>
                    <w:rPr>
                      <w:rFonts w:hint="cs"/>
                      <w:szCs w:val="20"/>
                    </w:rPr>
                  </w:pPr>
                  <w:r>
                    <w:rPr>
                      <w:rFonts w:hint="cs"/>
                      <w:szCs w:val="20"/>
                      <w:rtl/>
                    </w:rPr>
                    <w:t>المستويات</w:t>
                  </w:r>
                </w:p>
              </w:txbxContent>
            </v:textbox>
            <w10:wrap anchorx="page"/>
          </v:shape>
        </w:pict>
      </w:r>
    </w:p>
    <w:p w:rsidR="00FE4F97" w:rsidRDefault="00FE4F97">
      <w:pPr>
        <w:pStyle w:val="SingleTxt"/>
        <w:spacing w:after="0" w:line="300" w:lineRule="exact"/>
        <w:rPr>
          <w:rFonts w:hint="cs"/>
          <w:rtl/>
        </w:rPr>
      </w:pPr>
      <w:r>
        <w:rPr>
          <w:rFonts w:hint="cs"/>
          <w:rtl/>
        </w:rPr>
        <w:tab/>
      </w:r>
      <w:r w:rsidRPr="00436BCD">
        <w:rPr>
          <w:rFonts w:hint="cs"/>
          <w:i/>
          <w:iCs/>
          <w:sz w:val="16"/>
          <w:szCs w:val="26"/>
          <w:rtl/>
        </w:rPr>
        <w:t>المصدر</w:t>
      </w:r>
      <w:r w:rsidRPr="00436BCD">
        <w:rPr>
          <w:rFonts w:hint="cs"/>
          <w:sz w:val="16"/>
          <w:szCs w:val="26"/>
          <w:rtl/>
        </w:rPr>
        <w:t>:</w:t>
      </w:r>
      <w:r>
        <w:rPr>
          <w:rFonts w:hint="cs"/>
          <w:sz w:val="16"/>
          <w:szCs w:val="26"/>
          <w:rtl/>
        </w:rPr>
        <w:tab/>
      </w:r>
      <w:r w:rsidRPr="00436BCD">
        <w:rPr>
          <w:rFonts w:hint="cs"/>
          <w:sz w:val="16"/>
          <w:szCs w:val="26"/>
          <w:rtl/>
        </w:rPr>
        <w:t>التقرير المتعلق بتكوين وحركة موظفي الخدمة المدنية، 2004</w:t>
      </w:r>
    </w:p>
    <w:p w:rsidR="00FE4F97" w:rsidRDefault="00FE4F97">
      <w:pPr>
        <w:pStyle w:val="SingleTxt"/>
        <w:rPr>
          <w:rFonts w:hint="cs"/>
          <w:rtl/>
        </w:rPr>
      </w:pPr>
      <w:r>
        <w:rPr>
          <w:rFonts w:hint="cs"/>
          <w:rtl/>
        </w:rPr>
        <w:tab/>
      </w:r>
      <w:r>
        <w:rPr>
          <w:rFonts w:hint="cs"/>
          <w:rtl/>
        </w:rPr>
        <w:tab/>
      </w:r>
      <w:r w:rsidRPr="00436BCD">
        <w:rPr>
          <w:rFonts w:hint="cs"/>
          <w:sz w:val="16"/>
          <w:szCs w:val="26"/>
          <w:rtl/>
        </w:rPr>
        <w:t>أمانة مجلس موظفي الخدمة المدنية</w:t>
      </w:r>
    </w:p>
    <w:p w:rsidR="00FE4F97" w:rsidRPr="002860DC" w:rsidRDefault="00FE4F97">
      <w:pPr>
        <w:pStyle w:val="SingleTxt"/>
        <w:spacing w:after="0" w:line="120" w:lineRule="exact"/>
        <w:rPr>
          <w:rFonts w:hint="cs"/>
          <w:sz w:val="12"/>
          <w:rtl/>
        </w:rPr>
      </w:pPr>
    </w:p>
    <w:p w:rsidR="00FE4F97" w:rsidRDefault="00FE4F97">
      <w:pPr>
        <w:pStyle w:val="SingleTxt"/>
        <w:rPr>
          <w:rFonts w:hint="cs"/>
          <w:rtl/>
        </w:rPr>
      </w:pPr>
      <w:r>
        <w:rPr>
          <w:rFonts w:hint="cs"/>
          <w:rtl/>
        </w:rPr>
        <w:tab/>
        <w:t>وقد تطورت أيضا مؤسسات المجتمع المدني أثناء هذه الفترة التي شهدت إصلاحات حكومية وتحولا إلى الديمقراطية. وقامت منظمات غير حكومية ترأسها سيدات بدور ريادي لزيادة الوعي بشأن القيم والممارسات الديمقراطية. وقدمت منظمات غير حكومية دولية الدعم لهذه المنظمات مما أدى إلى تسهيل ظهور عدة منظمات نسائية غير حكومية عالية السمعة تُروِّج للمساواة بين الجنسين على مستويات مختلفة مع أنه يمكن لقليل من المنظمات غير الحكومية تنفيذ برامج التنمية.</w:t>
      </w:r>
    </w:p>
    <w:p w:rsidR="00FE4F97" w:rsidRDefault="00FE4F97">
      <w:pPr>
        <w:pStyle w:val="SingleTxt"/>
        <w:rPr>
          <w:rFonts w:hint="cs"/>
          <w:rtl/>
        </w:rPr>
      </w:pPr>
      <w:r>
        <w:rPr>
          <w:rFonts w:hint="cs"/>
          <w:rtl/>
        </w:rPr>
        <w:tab/>
        <w:t>ومعظم هذه المنظمات نشطة في أولانباتار فحسب ولا تعمل على مستوى القاعدة الشعبية. وهناك أيضا افتقار في القدرة بين المنظمات غير الحكومية على إجراء تحليلات جنسانية</w:t>
      </w:r>
      <w:r w:rsidRPr="00E3204A">
        <w:rPr>
          <w:vertAlign w:val="superscript"/>
          <w:rtl/>
        </w:rPr>
        <w:t>(</w:t>
      </w:r>
      <w:r>
        <w:rPr>
          <w:rStyle w:val="FootnoteReference"/>
          <w:rtl/>
        </w:rPr>
        <w:footnoteReference w:id="53"/>
      </w:r>
      <w:r w:rsidRPr="00E3204A">
        <w:rPr>
          <w:vertAlign w:val="superscript"/>
          <w:rtl/>
        </w:rPr>
        <w:t>)</w:t>
      </w:r>
      <w:r>
        <w:rPr>
          <w:rFonts w:hint="cs"/>
          <w:rtl/>
        </w:rPr>
        <w:t>.</w:t>
      </w:r>
    </w:p>
    <w:p w:rsidR="00FE4F97" w:rsidRDefault="00FE4F97">
      <w:pPr>
        <w:pStyle w:val="SingleTxt"/>
        <w:rPr>
          <w:rFonts w:hint="cs"/>
          <w:rtl/>
        </w:rPr>
      </w:pPr>
      <w:r>
        <w:rPr>
          <w:rFonts w:hint="cs"/>
          <w:rtl/>
        </w:rPr>
        <w:tab/>
        <w:t>ويؤدي تعاون وتكاتف منظمات المجتمع المدني، والجهود والمبادرات النسائية واتحادها  دورا هاما في زيادة مشاركة المرأة في المجال السياسي غير أن المنظمات النسائية غير الحكومية لا يمكنها أن توحد أصواتها وأنشطتها معا، وتفتقر إلى سياسة وقوة موحدة.</w:t>
      </w:r>
    </w:p>
    <w:p w:rsidR="00FE4F97" w:rsidRDefault="00FE4F97">
      <w:pPr>
        <w:pStyle w:val="SingleTxt"/>
        <w:rPr>
          <w:rFonts w:hint="cs"/>
          <w:rtl/>
        </w:rPr>
      </w:pPr>
      <w:r>
        <w:rPr>
          <w:rFonts w:hint="cs"/>
          <w:rtl/>
        </w:rPr>
        <w:tab/>
        <w:t>والرسم البياني التالي يوضح وضع ونسبة النساء على</w:t>
      </w:r>
      <w:bookmarkStart w:id="1" w:name="TmpSave"/>
      <w:bookmarkEnd w:id="1"/>
      <w:r>
        <w:rPr>
          <w:rFonts w:hint="cs"/>
          <w:rtl/>
        </w:rPr>
        <w:t xml:space="preserve"> المستوى الإداري في الخدمة المدنية.</w:t>
      </w:r>
    </w:p>
    <w:p w:rsidR="00FE4F97" w:rsidRPr="000D4CB6" w:rsidRDefault="00FE4F97">
      <w:pPr>
        <w:pStyle w:val="SingleTxt"/>
        <w:spacing w:after="0" w:line="120" w:lineRule="exact"/>
        <w:rPr>
          <w:rFonts w:hint="cs"/>
          <w:sz w:val="10"/>
          <w:rtl/>
        </w:rPr>
      </w:pPr>
    </w:p>
    <w:p w:rsidR="00FE4F97" w:rsidRPr="00E3204A" w:rsidRDefault="00FE4F97">
      <w:pPr>
        <w:pStyle w:val="SingleTxt"/>
        <w:spacing w:after="0" w:line="120" w:lineRule="exact"/>
        <w:rPr>
          <w:rFonts w:hint="cs"/>
          <w:sz w:val="12"/>
          <w:rtl/>
        </w:rPr>
      </w:pPr>
    </w:p>
    <w:p w:rsidR="00FE4F97" w:rsidRDefault="00FE4F97">
      <w:pPr>
        <w:pStyle w:val="SingleTxt"/>
        <w:rPr>
          <w:rFonts w:hint="cs"/>
          <w:rtl/>
        </w:rPr>
      </w:pPr>
      <w:r>
        <w:rPr>
          <w:rFonts w:hint="cs"/>
          <w:rtl/>
        </w:rPr>
        <w:t>الرسم البياني 19</w:t>
      </w:r>
    </w:p>
    <w:p w:rsidR="00FE4F97" w:rsidRDefault="00FE4F97">
      <w:pPr>
        <w:pStyle w:val="SingleTxt"/>
        <w:rPr>
          <w:rFonts w:hint="cs"/>
          <w:b/>
          <w:bCs/>
          <w:rtl/>
        </w:rPr>
      </w:pPr>
      <w:r>
        <w:rPr>
          <w:rFonts w:hint="cs"/>
          <w:b/>
          <w:bCs/>
          <w:rtl/>
        </w:rPr>
        <w:t>النساء في خدمة الإدارة المدنية حسب المنصب والنسبة</w:t>
      </w:r>
    </w:p>
    <w:p w:rsidR="00FE4F97" w:rsidRPr="00436BCD" w:rsidRDefault="007433E8">
      <w:pPr>
        <w:pStyle w:val="SingleTxt"/>
        <w:rPr>
          <w:rFonts w:hint="cs"/>
          <w:rtl/>
        </w:rPr>
      </w:pPr>
      <w:r>
        <w:rPr>
          <w:rFonts w:hint="cs"/>
          <w:noProof/>
          <w:w w:val="100"/>
          <w:rtl/>
        </w:rPr>
        <w:pict>
          <v:group id="_x0000_s1329" style="position:absolute;left:0;text-align:left;margin-left:77.25pt;margin-top:16.4pt;width:370.85pt;height:209.9pt;z-index:97" coordorigin="2740,6782" coordsize="7417,4198">
            <v:shape id="_x0000_s1323" type="#_x0000_t75" style="position:absolute;left:2740;top:6782;width:7417;height:4198">
              <v:imagedata r:id="rId45" o:title=""/>
            </v:shape>
            <v:shape id="_x0000_s1324" type="#_x0000_t202" style="position:absolute;left:5590;top:10522;width:1653;height:288" stroked="f">
              <v:textbox style="mso-next-textbox:#_x0000_s1324" inset="0,0,0,0">
                <w:txbxContent>
                  <w:p w:rsidR="007433E8" w:rsidRPr="000579DC" w:rsidRDefault="007433E8" w:rsidP="007433E8">
                    <w:pPr>
                      <w:spacing w:line="240" w:lineRule="exact"/>
                      <w:jc w:val="center"/>
                      <w:rPr>
                        <w:rFonts w:hint="cs"/>
                        <w:szCs w:val="20"/>
                      </w:rPr>
                    </w:pPr>
                    <w:r>
                      <w:rPr>
                        <w:rFonts w:hint="cs"/>
                        <w:szCs w:val="20"/>
                        <w:rtl/>
                      </w:rPr>
                      <w:t>موظفات مساعدات</w:t>
                    </w:r>
                  </w:p>
                </w:txbxContent>
              </v:textbox>
            </v:shape>
            <v:shape id="_x0000_s1325" type="#_x0000_t202" style="position:absolute;left:3507;top:10508;width:1718;height:288" stroked="f">
              <v:textbox style="mso-next-textbox:#_x0000_s1325" inset="0,0,0,0">
                <w:txbxContent>
                  <w:p w:rsidR="007433E8" w:rsidRPr="000579DC" w:rsidRDefault="007433E8" w:rsidP="007433E8">
                    <w:pPr>
                      <w:spacing w:line="240" w:lineRule="exact"/>
                      <w:jc w:val="center"/>
                      <w:rPr>
                        <w:rFonts w:hint="cs"/>
                        <w:szCs w:val="20"/>
                      </w:rPr>
                    </w:pPr>
                    <w:r>
                      <w:rPr>
                        <w:rFonts w:hint="cs"/>
                        <w:szCs w:val="20"/>
                        <w:rtl/>
                      </w:rPr>
                      <w:t>موظفات</w:t>
                    </w:r>
                  </w:p>
                </w:txbxContent>
              </v:textbox>
            </v:shape>
            <v:shape id="_x0000_s1326" type="#_x0000_t202" style="position:absolute;left:7684;top:10244;width:1681;height:360" stroked="f">
              <v:textbox style="mso-next-textbox:#_x0000_s1326" inset="0,0,0,0">
                <w:txbxContent>
                  <w:p w:rsidR="007433E8" w:rsidRPr="000579DC" w:rsidRDefault="007433E8" w:rsidP="007433E8">
                    <w:pPr>
                      <w:spacing w:line="240" w:lineRule="exact"/>
                      <w:jc w:val="center"/>
                      <w:rPr>
                        <w:rFonts w:hint="cs"/>
                        <w:szCs w:val="20"/>
                      </w:rPr>
                    </w:pPr>
                    <w:r>
                      <w:rPr>
                        <w:rFonts w:hint="cs"/>
                        <w:szCs w:val="20"/>
                        <w:rtl/>
                      </w:rPr>
                      <w:t>مستوى رئيس شعبة</w:t>
                    </w:r>
                  </w:p>
                </w:txbxContent>
              </v:textbox>
            </v:shape>
            <v:shape id="_x0000_s1327" type="#_x0000_t202" style="position:absolute;left:5595;top:10202;width:1882;height:360" stroked="f">
              <v:textbox style="mso-next-textbox:#_x0000_s1327" inset="0,0,0,0">
                <w:txbxContent>
                  <w:p w:rsidR="007433E8" w:rsidRPr="000579DC" w:rsidRDefault="007433E8" w:rsidP="007433E8">
                    <w:pPr>
                      <w:spacing w:line="240" w:lineRule="exact"/>
                      <w:jc w:val="center"/>
                      <w:rPr>
                        <w:rFonts w:hint="cs"/>
                        <w:szCs w:val="20"/>
                      </w:rPr>
                    </w:pPr>
                    <w:r>
                      <w:rPr>
                        <w:rFonts w:hint="cs"/>
                        <w:szCs w:val="20"/>
                        <w:rtl/>
                      </w:rPr>
                      <w:t>مستوى مدير عام</w:t>
                    </w:r>
                  </w:p>
                </w:txbxContent>
              </v:textbox>
            </v:shape>
            <v:shape id="_x0000_s1328" type="#_x0000_t202" style="position:absolute;left:3479;top:10204;width:1821;height:360" stroked="f">
              <v:textbox style="mso-next-textbox:#_x0000_s1328" inset="0,0,0,0">
                <w:txbxContent>
                  <w:p w:rsidR="007433E8" w:rsidRPr="000579DC" w:rsidRDefault="007433E8" w:rsidP="007433E8">
                    <w:pPr>
                      <w:spacing w:line="240" w:lineRule="exact"/>
                      <w:jc w:val="center"/>
                      <w:rPr>
                        <w:rFonts w:hint="cs"/>
                        <w:szCs w:val="20"/>
                      </w:rPr>
                    </w:pPr>
                    <w:r>
                      <w:rPr>
                        <w:rFonts w:hint="cs"/>
                        <w:szCs w:val="20"/>
                        <w:rtl/>
                      </w:rPr>
                      <w:t>مستوى وزير دولة</w:t>
                    </w:r>
                  </w:p>
                </w:txbxContent>
              </v:textbox>
            </v:shape>
          </v:group>
          <o:OLEObject Type="Embed" ProgID="MSGraph.Chart.8" ShapeID="_x0000_s1323" DrawAspect="Content" ObjectID="_1395245894" r:id="rId46">
            <o:FieldCodes>\s</o:FieldCodes>
          </o:OLEObject>
        </w:pict>
      </w:r>
    </w:p>
    <w:p w:rsidR="00FE4F97" w:rsidRPr="00436BCD" w:rsidRDefault="00FE4F97">
      <w:pPr>
        <w:pStyle w:val="SingleTxt"/>
        <w:rPr>
          <w:rFonts w:hint="cs"/>
          <w:rtl/>
        </w:rPr>
      </w:pPr>
    </w:p>
    <w:p w:rsidR="00FE4F97" w:rsidRPr="00436BCD" w:rsidRDefault="00FE4F97">
      <w:pPr>
        <w:pStyle w:val="SingleTxt"/>
        <w:rPr>
          <w:rFonts w:hint="cs"/>
          <w:rtl/>
        </w:rPr>
      </w:pPr>
    </w:p>
    <w:p w:rsidR="00FE4F97" w:rsidRPr="00436BCD" w:rsidRDefault="00FE4F97">
      <w:pPr>
        <w:pStyle w:val="SingleTxt"/>
        <w:rPr>
          <w:rFonts w:hint="cs"/>
          <w:rtl/>
        </w:rPr>
      </w:pPr>
    </w:p>
    <w:p w:rsidR="00FE4F97" w:rsidRPr="00436BCD" w:rsidRDefault="00FE4F97">
      <w:pPr>
        <w:pStyle w:val="SingleTxt"/>
        <w:rPr>
          <w:rFonts w:hint="cs"/>
          <w:rtl/>
        </w:rPr>
      </w:pPr>
    </w:p>
    <w:p w:rsidR="00FE4F97" w:rsidRPr="00436BCD" w:rsidRDefault="00FE4F97">
      <w:pPr>
        <w:pStyle w:val="SingleTxt"/>
        <w:rPr>
          <w:rFonts w:hint="cs"/>
          <w:rtl/>
        </w:rPr>
      </w:pPr>
    </w:p>
    <w:p w:rsidR="00FE4F97" w:rsidRPr="00436BCD" w:rsidRDefault="00FE4F97">
      <w:pPr>
        <w:pStyle w:val="SingleTxt"/>
        <w:rPr>
          <w:rFonts w:hint="cs"/>
          <w:rtl/>
        </w:rPr>
      </w:pPr>
    </w:p>
    <w:p w:rsidR="00FE4F97" w:rsidRPr="00436BCD" w:rsidRDefault="00FE4F97">
      <w:pPr>
        <w:pStyle w:val="SingleTxt"/>
        <w:rPr>
          <w:rFonts w:hint="cs"/>
          <w:rtl/>
        </w:rPr>
      </w:pPr>
    </w:p>
    <w:p w:rsidR="00FE4F97" w:rsidRPr="00436BCD" w:rsidRDefault="00FE4F97">
      <w:pPr>
        <w:pStyle w:val="SingleTxt"/>
        <w:rPr>
          <w:rFonts w:hint="cs"/>
          <w:rtl/>
        </w:rPr>
      </w:pPr>
    </w:p>
    <w:p w:rsidR="00FE4F97" w:rsidRPr="00FD3AA6" w:rsidRDefault="00FE4F97">
      <w:pPr>
        <w:pStyle w:val="SingleTxt"/>
        <w:spacing w:line="300" w:lineRule="exact"/>
        <w:rPr>
          <w:rFonts w:hint="cs"/>
          <w:sz w:val="16"/>
          <w:szCs w:val="26"/>
          <w:rtl/>
        </w:rPr>
      </w:pPr>
      <w:r w:rsidRPr="00FD3AA6">
        <w:rPr>
          <w:rFonts w:hint="cs"/>
          <w:sz w:val="16"/>
          <w:szCs w:val="26"/>
          <w:rtl/>
        </w:rPr>
        <w:tab/>
      </w:r>
      <w:r w:rsidRPr="00FD3AA6">
        <w:rPr>
          <w:rFonts w:hint="cs"/>
          <w:i/>
          <w:iCs/>
          <w:sz w:val="16"/>
          <w:szCs w:val="26"/>
          <w:rtl/>
        </w:rPr>
        <w:t>المصدر</w:t>
      </w:r>
      <w:r w:rsidRPr="00FD3AA6">
        <w:rPr>
          <w:rFonts w:hint="cs"/>
          <w:sz w:val="16"/>
          <w:szCs w:val="26"/>
          <w:rtl/>
        </w:rPr>
        <w:t>:</w:t>
      </w:r>
      <w:r w:rsidRPr="00FD3AA6">
        <w:rPr>
          <w:rFonts w:hint="cs"/>
          <w:sz w:val="16"/>
          <w:szCs w:val="26"/>
          <w:rtl/>
        </w:rPr>
        <w:tab/>
        <w:t>التقرير المتعلق بتكوين وحركة موظفي الخدمة المدنية، 2004</w:t>
      </w:r>
    </w:p>
    <w:p w:rsidR="00FE4F97" w:rsidRDefault="00FE4F97">
      <w:pPr>
        <w:pStyle w:val="SingleTxt"/>
        <w:spacing w:line="300" w:lineRule="exact"/>
        <w:rPr>
          <w:rFonts w:hint="cs"/>
          <w:rtl/>
        </w:rPr>
      </w:pPr>
      <w:r w:rsidRPr="00FD3AA6">
        <w:rPr>
          <w:rFonts w:hint="cs"/>
          <w:sz w:val="16"/>
          <w:szCs w:val="26"/>
          <w:rtl/>
        </w:rPr>
        <w:tab/>
      </w:r>
      <w:r w:rsidRPr="00FD3AA6">
        <w:rPr>
          <w:rFonts w:hint="cs"/>
          <w:sz w:val="16"/>
          <w:szCs w:val="26"/>
          <w:rtl/>
        </w:rPr>
        <w:tab/>
        <w:t>أمانة مجلس موظفي الخدمة المدنية</w:t>
      </w:r>
    </w:p>
    <w:p w:rsidR="00FE4F97" w:rsidRPr="00FD3AA6" w:rsidRDefault="00FE4F97">
      <w:pPr>
        <w:pStyle w:val="SingleTxt"/>
        <w:spacing w:after="0" w:line="120" w:lineRule="exact"/>
        <w:rPr>
          <w:rFonts w:hint="cs"/>
          <w:sz w:val="10"/>
          <w:rtl/>
        </w:rPr>
      </w:pPr>
    </w:p>
    <w:p w:rsidR="00FE4F97" w:rsidRPr="00FD3AA6" w:rsidRDefault="00FE4F97">
      <w:pPr>
        <w:pStyle w:val="SingleTxt"/>
        <w:spacing w:after="0" w:line="120" w:lineRule="exact"/>
        <w:rPr>
          <w:rFonts w:hint="cs"/>
          <w:sz w:val="10"/>
          <w:rtl/>
        </w:rPr>
      </w:pPr>
    </w:p>
    <w:p w:rsidR="00FE4F97" w:rsidRDefault="00FE4F97">
      <w:pPr>
        <w:pStyle w:val="SingleTxt"/>
        <w:rPr>
          <w:rFonts w:hint="cs"/>
          <w:rtl/>
        </w:rPr>
      </w:pPr>
      <w:r>
        <w:rPr>
          <w:rFonts w:hint="cs"/>
          <w:rtl/>
        </w:rPr>
        <w:tab/>
        <w:t>وتقترح الحكومة اتخاذ التدابير التالية لزيادة مناصب المرأة ونسبها في المستويات السياسية ومستويات صنع القرار.</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1 -</w:t>
      </w:r>
      <w:r>
        <w:rPr>
          <w:rFonts w:hint="cs"/>
          <w:rtl/>
        </w:rPr>
        <w:tab/>
        <w:t xml:space="preserve">دعم المبادرات والشكل الجديد للتعاون من منظمات المجتمع المدني لمواءمة </w:t>
      </w:r>
      <w:r>
        <w:rPr>
          <w:rFonts w:hint="cs"/>
          <w:rtl/>
        </w:rPr>
        <w:tab/>
      </w:r>
      <w:r>
        <w:rPr>
          <w:rFonts w:hint="cs"/>
          <w:rtl/>
        </w:rPr>
        <w:tab/>
        <w:t xml:space="preserve">الفهم والاتجاه الصحيح بين الجمهور لتأكيد أهمية زيادة المشاركة السياسية </w:t>
      </w:r>
      <w:r>
        <w:rPr>
          <w:rFonts w:hint="cs"/>
          <w:rtl/>
        </w:rPr>
        <w:tab/>
      </w:r>
      <w:r>
        <w:rPr>
          <w:rFonts w:hint="cs"/>
          <w:rtl/>
        </w:rPr>
        <w:tab/>
        <w:t>للمرأة.</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2 -</w:t>
      </w:r>
      <w:r>
        <w:rPr>
          <w:rFonts w:hint="cs"/>
          <w:rtl/>
        </w:rPr>
        <w:tab/>
        <w:t xml:space="preserve">تحسين ثقافة الناخب بصورة مستمرة، والقيام بحملة تدريب ودعوة بين </w:t>
      </w:r>
      <w:r>
        <w:rPr>
          <w:rFonts w:hint="cs"/>
          <w:rtl/>
        </w:rPr>
        <w:tab/>
      </w:r>
      <w:r>
        <w:rPr>
          <w:rFonts w:hint="cs"/>
          <w:rtl/>
        </w:rPr>
        <w:tab/>
        <w:t xml:space="preserve">الناخبين لتحسين مطالبهم باستجابة الزعماء المنتخبين أو المعينين </w:t>
      </w:r>
      <w:r>
        <w:rPr>
          <w:rFonts w:hint="cs"/>
          <w:rtl/>
        </w:rPr>
        <w:tab/>
      </w:r>
      <w:r>
        <w:rPr>
          <w:rFonts w:hint="cs"/>
          <w:rtl/>
        </w:rPr>
        <w:tab/>
      </w:r>
      <w:r>
        <w:rPr>
          <w:rFonts w:hint="cs"/>
          <w:rtl/>
        </w:rPr>
        <w:tab/>
        <w:t>لاحتياجات الجنسين والنهوض بمسؤولياتهم.</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3 -</w:t>
      </w:r>
      <w:r>
        <w:rPr>
          <w:rFonts w:hint="cs"/>
          <w:rtl/>
        </w:rPr>
        <w:tab/>
        <w:t xml:space="preserve">دعم سياسة الأحزاب السياسية، وأنشطة المنظمات النسائية المنتسبة إليها </w:t>
      </w:r>
      <w:r>
        <w:rPr>
          <w:rFonts w:hint="cs"/>
          <w:rtl/>
        </w:rPr>
        <w:tab/>
      </w:r>
      <w:r>
        <w:rPr>
          <w:rFonts w:hint="cs"/>
          <w:rtl/>
        </w:rPr>
        <w:tab/>
        <w:t xml:space="preserve">من أجل إعداد المرأة للخدمة في المناصب القيادية وكفالة مشاركتها على </w:t>
      </w:r>
      <w:r>
        <w:rPr>
          <w:rFonts w:hint="cs"/>
          <w:rtl/>
        </w:rPr>
        <w:tab/>
      </w:r>
      <w:r>
        <w:rPr>
          <w:rFonts w:hint="cs"/>
          <w:rtl/>
        </w:rPr>
        <w:tab/>
        <w:t>مستويات صنع القرار.</w:t>
      </w:r>
    </w:p>
    <w:p w:rsidR="00FE4F97" w:rsidRDefault="00FE4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p>
    <w:p w:rsidR="00FE4F97" w:rsidRDefault="00FE4F97">
      <w:pPr>
        <w:pStyle w:val="SingleTxt"/>
        <w:rPr>
          <w:rFonts w:hint="cs"/>
          <w:rtl/>
        </w:rPr>
      </w:pPr>
      <w:r>
        <w:rPr>
          <w:rtl/>
        </w:rPr>
        <w:br w:type="page"/>
      </w:r>
      <w:r>
        <w:rPr>
          <w:rFonts w:hint="cs"/>
          <w:rtl/>
        </w:rPr>
        <w:t>المرفق 1</w:t>
      </w:r>
    </w:p>
    <w:p w:rsidR="00FE4F97" w:rsidRDefault="00FE4F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النظر في توصيات اللجنة المعنية بالقضاء على التمييز ضد المرأة فيما يتعلق بالتقرير الجامع للتقريرين الدوريين الثالث والرابع لمنغوليا في هذا التقرير</w:t>
      </w:r>
    </w:p>
    <w:p w:rsidR="00FE4F97" w:rsidRPr="00363C53" w:rsidRDefault="00FE4F97">
      <w:pPr>
        <w:pStyle w:val="SingleTxt"/>
        <w:spacing w:after="0" w:line="120" w:lineRule="exact"/>
        <w:rPr>
          <w:rFonts w:hint="cs"/>
          <w:sz w:val="10"/>
          <w:rtl/>
        </w:rPr>
      </w:pPr>
    </w:p>
    <w:tbl>
      <w:tblPr>
        <w:bidiVisual/>
        <w:tblW w:w="9850" w:type="dxa"/>
        <w:jc w:val="center"/>
        <w:tblLook w:val="01E0" w:firstRow="1" w:lastRow="1" w:firstColumn="1" w:lastColumn="1" w:noHBand="0" w:noVBand="0"/>
      </w:tblPr>
      <w:tblGrid>
        <w:gridCol w:w="1173"/>
        <w:gridCol w:w="5764"/>
        <w:gridCol w:w="2913"/>
      </w:tblGrid>
      <w:tr w:rsidR="00FE4F97" w:rsidRPr="008068E2">
        <w:trPr>
          <w:cantSplit/>
          <w:tblHeader/>
          <w:jc w:val="center"/>
        </w:trPr>
        <w:tc>
          <w:tcPr>
            <w:tcW w:w="1115" w:type="dxa"/>
            <w:tcBorders>
              <w:top w:val="single" w:sz="4" w:space="0" w:color="auto"/>
              <w:bottom w:val="single" w:sz="12" w:space="0" w:color="auto"/>
            </w:tcBorders>
            <w:shd w:val="clear" w:color="auto" w:fill="auto"/>
          </w:tcPr>
          <w:p w:rsidR="00FE4F97" w:rsidRPr="008068E2" w:rsidRDefault="00FE4F97" w:rsidP="008068E2">
            <w:pPr>
              <w:pStyle w:val="DualTxt"/>
              <w:spacing w:before="80" w:after="80" w:line="360" w:lineRule="exact"/>
              <w:rPr>
                <w:rFonts w:hint="cs"/>
                <w:i/>
                <w:iCs/>
                <w:sz w:val="28"/>
                <w:szCs w:val="28"/>
                <w:rtl/>
              </w:rPr>
            </w:pPr>
            <w:r w:rsidRPr="008068E2">
              <w:rPr>
                <w:rFonts w:hint="cs"/>
                <w:i/>
                <w:iCs/>
                <w:sz w:val="28"/>
                <w:szCs w:val="28"/>
                <w:rtl/>
              </w:rPr>
              <w:t>رقم المرجع</w:t>
            </w:r>
          </w:p>
        </w:tc>
        <w:tc>
          <w:tcPr>
            <w:tcW w:w="5477" w:type="dxa"/>
            <w:tcBorders>
              <w:top w:val="single" w:sz="4" w:space="0" w:color="auto"/>
              <w:bottom w:val="single" w:sz="12" w:space="0" w:color="auto"/>
            </w:tcBorders>
            <w:shd w:val="clear" w:color="auto" w:fill="auto"/>
          </w:tcPr>
          <w:p w:rsidR="00FE4F97" w:rsidRPr="008068E2" w:rsidRDefault="00FE4F97" w:rsidP="008068E2">
            <w:pPr>
              <w:pStyle w:val="DualTxt"/>
              <w:spacing w:before="80" w:after="80" w:line="360" w:lineRule="exact"/>
              <w:ind w:right="144"/>
              <w:rPr>
                <w:rFonts w:hint="cs"/>
                <w:i/>
                <w:iCs/>
                <w:sz w:val="28"/>
                <w:szCs w:val="28"/>
                <w:rtl/>
              </w:rPr>
            </w:pPr>
            <w:r w:rsidRPr="008068E2">
              <w:rPr>
                <w:rFonts w:hint="cs"/>
                <w:i/>
                <w:iCs/>
                <w:sz w:val="28"/>
                <w:szCs w:val="28"/>
                <w:rtl/>
              </w:rPr>
              <w:t>التوصيات</w:t>
            </w:r>
          </w:p>
        </w:tc>
        <w:tc>
          <w:tcPr>
            <w:tcW w:w="2768" w:type="dxa"/>
            <w:tcBorders>
              <w:top w:val="single" w:sz="4" w:space="0" w:color="auto"/>
              <w:bottom w:val="single" w:sz="12" w:space="0" w:color="auto"/>
            </w:tcBorders>
            <w:shd w:val="clear" w:color="auto" w:fill="auto"/>
          </w:tcPr>
          <w:p w:rsidR="00FE4F97" w:rsidRPr="008068E2" w:rsidRDefault="00FE4F97" w:rsidP="008068E2">
            <w:pPr>
              <w:pStyle w:val="DualTxt"/>
              <w:spacing w:before="80" w:after="80" w:line="360" w:lineRule="exact"/>
              <w:ind w:right="144"/>
              <w:rPr>
                <w:rFonts w:hint="cs"/>
                <w:i/>
                <w:iCs/>
                <w:sz w:val="28"/>
                <w:szCs w:val="28"/>
                <w:rtl/>
              </w:rPr>
            </w:pPr>
            <w:r w:rsidRPr="008068E2">
              <w:rPr>
                <w:rFonts w:hint="cs"/>
                <w:i/>
                <w:iCs/>
                <w:sz w:val="28"/>
                <w:szCs w:val="28"/>
                <w:rtl/>
              </w:rPr>
              <w:t>الرد الوارد في التقرير الحالي</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16</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تلاحظ اللجنة بقلق بالغ تدهور حالة المرأة في منغوليا في فترة التحول الاقتصادي. وتعرب اللجنة عن القلق بوجه خاص إزاء إخفاق الحكومة في منع تآكل حقوق المرأة في تحقيق التقدم الاقتصادي والصحي والتعليمي والمشاركة السياسية والأمن الشخصي.</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الجزء 1، و2 و3</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17</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تحث اللجنة الحكومة على حماية وتعزيز حقوق الإنسان للمرأة والاستفادة من الموارد الإنمائية والتقنية المتاحة لها، والاستفادة أيضا من الموارد البشرية للبلد، بما في ذلك المجتمع المدني والجماعات النسائية من أجل تصحيح مسار هذا الاتجاه.</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10 في الجزء 2</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18</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تعرب اللجنة عن قلقها  إزاء انتشار الفقر على نحو واسع في أوساط النساء نتيجة للخصخصة والعوامل الأخرى المتصلة بالتحول إلى الاقتصاد السوقي.</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45 في 3-3</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19</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تدعو اللجنة الحكومة إلى جمع البيانات والمعلومات عن المرأة التي تعاني الفقر، وتوزيعها حسب الفئة العمرية ووفقا للمنطقة الحضرية والمنطقة الريفية؛ ووضع سياسات وخدمات دعم محددة الهدف؛ وبذل جهود لمنع انحدار مزيد من النسوة إلى ما دون خط الفقر؛ والقيام بخاصة بمعالجة وضع الأسر المعيشية التي تعولها امرأة</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46 في 3-3</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20</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تعرب اللجنة عن قلقها من أنه، على الرغم من أن الدستور ينص على المساواة بين جميع المواطنين أمام القانون، غير أنه لم يتضمن التعريف المتعلق بالتمييز الوارد في المادة 1 من الاتفاقية، والذي يحظر ممارسة التمييز بشكليه المباشر وغير المباشر. وتعرب اللجنة عن قلقها أيضا إزاء عدم وجود سبل انتصاف متاحة للمرأة لجبر الانتهاكات التي تتعرض لها حقوقها.</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8 في الجزء 2</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21</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تدعو اللجنة الحكومة إلى إجراء إصلاحات قانونية بما يكفل التعبير التام في دستور البلد عن المعنى الكامل للمادة 1 من الاتفاقية.</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المرجع نفسه</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22</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تلاحظ اللجنة أنه تم سن مجموعة من القوانين لكنها لم تُحلَّل من حيث أثرها التمييزي المحتمل ضد المرأة. وتعرب اللجنة عن قلقها من أن القوانين لا تنفذ بفعالية لحماية حقوق الإنسان للمرأة.</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9 في الجزء 2</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23</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تدعو اللجنة الحكومة إلى استعراض وإصلاح جميع  القوانين التي تميز بين الجنسين، بالتشاور مع المجموعات المهنية والنسائية. وتحث الحكومة على تعزيز إنفاذ القانون وإتاحة سبل الإنتصاف الفعالة عن طريق المحاكم.</w:t>
            </w:r>
          </w:p>
          <w:p w:rsidR="00FE4F97" w:rsidRPr="008068E2" w:rsidRDefault="000F5B52" w:rsidP="008068E2">
            <w:pPr>
              <w:pStyle w:val="DualTxt"/>
              <w:spacing w:before="40" w:after="80" w:line="360" w:lineRule="exact"/>
              <w:ind w:right="144"/>
              <w:rPr>
                <w:rFonts w:hint="cs"/>
                <w:sz w:val="28"/>
                <w:szCs w:val="28"/>
                <w:rtl/>
              </w:rPr>
            </w:pPr>
            <w:r>
              <w:rPr>
                <w:sz w:val="28"/>
                <w:szCs w:val="28"/>
                <w:rtl/>
              </w:rPr>
              <w:tab/>
            </w:r>
            <w:r w:rsidR="00FE4F97" w:rsidRPr="008068E2">
              <w:rPr>
                <w:rFonts w:hint="cs"/>
                <w:sz w:val="28"/>
                <w:szCs w:val="28"/>
                <w:rtl/>
              </w:rPr>
              <w:t>وتطلب اللجنة إلى الحكومة أن تضع برامج للتثقيف القانوني في المجتمع المحلي وبرامج لإرهاف الوعي بالفوارق بين الجنسين يفيد منها القضاة وموظفو إنفاذ القانون.</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8 في الجزء 2</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24</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 xml:space="preserve">تلاحظ اللجنة بقلق أن منغوليا لم تضع بعد بشكل محدد برامج للتوعية بالفوارق بين الجنسين وبرامج التثقيف القانوني من أجل الفئة السكانية العريضة من شبابها. </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30 في 3-1</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25</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تدعو اللجنة الحكومة إلى توسيع نطاق برامجها التعليمية عن بعد للشباب بحيث تشمل برامج تربية جنسانية بأسرع ما يمكن.</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31 في 3-1</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26</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تعرب اللجنة عن قلقها لعدم انعكاس المستويات العالية لإنجازات المرأة في مجال التعليم في مشاركتها في الأجهزة التشريعية الوطنية والمحلية، وفي مناصب صنع القرار في الإدارة.</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47 في 3-3</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27</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تعرب اللجنة عن قلقها الشديد إزاء عدم معالجة ظاهرة العنف المرتكب ضد المرأة معالجة كافية في القوانين والسياسات والبرامج. ويساورها القلق بصورة خاصة إزاء التأخير الكبير في سن التشريع المقترح بشأن العنف المنزلي.</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10 في الجزء 2</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28</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تحث اللجنة الحكومة على سن قانون العنف المنزلي المقترح، بما في ذلك الأحكام المتعلقة بالاغتصاب في إطار الزواج، لتعزيز إنفاذ القانون واتخاذ مجموعة شاملة من المبادرات الهادفة إلى معالجة العنف ضد المرأة في ضوء التوصية العامة 19 للجنة والإعلان المتعلق بالقضاء على العنف ضد المرأة.</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المرجع نفسه</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29</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تحث اللجنة الحكومة على تنفيذ تدابير خاصة مؤقتة، تتطابق مع الاتفاقية، وبرامج للتوعية العامة والتثقيف في مجال حقوق الإنسان بما يوفر بيئة مواتية لمشاركة المرأة على نحو أكبر في الحياة العامة.</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9 في الجزء 2</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30</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تلاحظ اللجنة أن عددا من المؤسسات والوكالات يعالج المسائل الجنسانية على نحو مخصص الغرض، ولا تقوم بتنسيق عملها. وتعرب اللجنة عن قلقها لأن الحكومة، مع تسليمها بضعف الآلية الوطنية، لم تقدم معلومات بشأن المبادرات الجديدة الهادفة إلى معالجة هذه المشكلة.</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المرجع نفسه</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31</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 xml:space="preserve">تحث اللجنة الحكومة على إنشاء آلية وطنية قوية وفعالة حتى يمكن إدراج الاتفاقية ومنهاج عمل بيجين في خطط التنمية. وتعتبر اللجنة أن تعميم مراعاة الفوارق بين الجنسين يجب تنسيقه ورصده بشكل فعال. وتوصي اللجنة كذلك بإدراج الشواغل الجنسانية في عمل لجنة حقوق الإنسان وبتعيين بعض النساء كأعضاء في هذه الهيئة. </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9 في الجزء 2</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32</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تعرب اللجنة عن قلقها إزاء الخطوات المحدودة المتخذة لمكافحة البغاء والاتجار بالمرأة.</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11 في الجزء 2</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33</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تحث اللجنة الحكومة على أن تتخذ خطوات لمحاكمة الأشخاص المشتركين في تنظيم البغاء وأن تعتمد تدابير فعالة لمكافحة الاتجار بالمرأة.</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المرجع نفسه</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34</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تعرب اللجنة عن بالغ قلقها إزاء الآثار السلبية للخصخصة على حصول المرأة بشكل كاف على الرعاية الصحية والتعليم.</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33 في 3-2</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35</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تدعو اللجنة الحكومة إلى ضمان عدم تقليص هذه الخدمات، وألا تعاني مجالات الصحة والتعليم على وجه الخصوص من جراء الخصخصة.</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المرجع نفسه</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36</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تعرب اللجنة عن قلقها لأن منغوليا تضع مسؤولية الأسرة ورعاية أطفالها على كاهل المرأة دون غيرها، خاصة وأن السياسة السكانية في منغوليا تشجع المرأة على تكوين أسرة كبيرة العدد. وتلاحظ أن هذا الوضع يشجع على تهميشها في الاقتصاد ويزيد حدة الفقر.</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36 في 3-2</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37</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تحث اللجنة الحكومة على وضع قوانين وسياسات وبرامج تعليمية تدعم وتعزز فكرة مسؤولية الأبوين المشتركة وتمنع التمييز ضد المرأة بسبب مسؤولياتها الأسرية.</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7 في الجزء 2</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38</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تعرب اللجنة عن قلقها إزاء ارتفاع مستوى البطالة بين النساء.</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32 في 3-3</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39</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تحث اللجنة الحكومة على إنشاء قاعدة تشريعية تكفل للمرأة المساواة في الوصول إلى سوق العمل وتكافؤ فرص العمل، وتمنع التمييز المباشر وغير المباشر في التوظيف. وتهيب اللجنة بالحكومة تنفيذ سياسات تعالج البطالة بهدف خفض مستوى البطالة بين النساء.</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48 في 3-3</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40</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تعرب اللجنة عن قلقها فيما يتعلق بصحة المرأة على امتداد حياتها. كما تعرب عن قلقها إزاء التأثير السلبي للصعوبات الاقتصادية على الصحة الإنجابية والعقلية للمرأة. وتلاحظ اللجنة بقلق على وجه الخصوص المشكلة الحادة المتعلقة بوفيات الأمهات التي ترجع من جهة إلى عمليات الإجهاض التي تجرى في ظروف غير مأمونة وعدم توافر خدمات تنظيم الأسرة.</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32 في 3-2</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41</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تحث اللجنة الحكومة على توفير القدر الكافي المأمون من الخدمات الصحية البدنية والعقلية للمرأة على امتداد حياتها بصورة ميَسَّرة وبأسعار معقولة. وتحث أيضا الحكومة على زيادة وصول المرأة والرجل وخاصة في المناطق الريفية إلى وسائل منع الحمل بأسعار معقولة، وتوفير التربية الجنسية للبنات والبنين</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المرجع نفسه</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42</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تعرب اللجنة عن قلقها لأن كثيرا من المعلومات المقدمة في الردود الشفوية والخطية ليس لها صلة بوضع المرأة الحالي في منغوليا.</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43</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تطلب اللجنة أن تقوم الحكومة بتقديم معلومات متصلة بوضع المرأة في تقريرها المقبل، وكذلك معلومات عن الشواغل الأخرى المثارة في هذه التعليقات الختامية.</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ورد هذا التعليق في التقرير.</w:t>
            </w:r>
          </w:p>
        </w:tc>
      </w:tr>
      <w:tr w:rsidR="00FE4F97" w:rsidRPr="008068E2">
        <w:trPr>
          <w:cantSplit/>
          <w:jc w:val="center"/>
        </w:trPr>
        <w:tc>
          <w:tcPr>
            <w:tcW w:w="1115" w:type="dxa"/>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44</w:t>
            </w:r>
          </w:p>
        </w:tc>
        <w:tc>
          <w:tcPr>
            <w:tcW w:w="5477"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تحث اللجنة الحكومة على التصديق على البروتوكول الاختياري الملحق بالاتفاقية.</w:t>
            </w:r>
          </w:p>
        </w:tc>
        <w:tc>
          <w:tcPr>
            <w:tcW w:w="2768" w:type="dxa"/>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6 في الجزء 1</w:t>
            </w:r>
          </w:p>
        </w:tc>
      </w:tr>
      <w:tr w:rsidR="00FE4F97" w:rsidRPr="008068E2">
        <w:trPr>
          <w:cantSplit/>
          <w:jc w:val="center"/>
        </w:trPr>
        <w:tc>
          <w:tcPr>
            <w:tcW w:w="1115" w:type="dxa"/>
            <w:tcBorders>
              <w:bottom w:val="single" w:sz="12" w:space="0" w:color="auto"/>
            </w:tcBorders>
            <w:shd w:val="clear" w:color="auto" w:fill="auto"/>
          </w:tcPr>
          <w:p w:rsidR="00FE4F97" w:rsidRPr="008068E2" w:rsidRDefault="00FE4F97" w:rsidP="008068E2">
            <w:pPr>
              <w:pStyle w:val="DualTxt"/>
              <w:spacing w:before="40" w:after="80" w:line="360" w:lineRule="exact"/>
              <w:rPr>
                <w:rFonts w:hint="cs"/>
                <w:sz w:val="28"/>
                <w:szCs w:val="28"/>
                <w:rtl/>
              </w:rPr>
            </w:pPr>
            <w:r w:rsidRPr="008068E2">
              <w:rPr>
                <w:rFonts w:hint="cs"/>
                <w:sz w:val="28"/>
                <w:szCs w:val="28"/>
                <w:rtl/>
              </w:rPr>
              <w:t>45</w:t>
            </w:r>
          </w:p>
        </w:tc>
        <w:tc>
          <w:tcPr>
            <w:tcW w:w="5477" w:type="dxa"/>
            <w:tcBorders>
              <w:bottom w:val="single" w:sz="12" w:space="0" w:color="auto"/>
            </w:tcBorders>
            <w:shd w:val="clear" w:color="auto" w:fill="auto"/>
          </w:tcPr>
          <w:p w:rsidR="00FE4F97" w:rsidRPr="008068E2" w:rsidRDefault="00FE4F97" w:rsidP="008068E2">
            <w:pPr>
              <w:pStyle w:val="DualTxt"/>
              <w:spacing w:before="40" w:after="80" w:line="360" w:lineRule="exact"/>
              <w:ind w:right="144"/>
              <w:rPr>
                <w:rFonts w:hint="eastAsia"/>
                <w:sz w:val="28"/>
                <w:szCs w:val="28"/>
                <w:rtl/>
              </w:rPr>
            </w:pPr>
            <w:r w:rsidRPr="008068E2">
              <w:rPr>
                <w:rFonts w:hint="cs"/>
                <w:sz w:val="28"/>
                <w:szCs w:val="28"/>
                <w:rtl/>
              </w:rPr>
              <w:t xml:space="preserve">تطلب اللجنة إلى الحكومة أن تنشر هذه الملاحظات الختامية في منغوليا على نطاق واسع من أجل توعية الشعب، وبخاصة المدراء الحكوميون والسياسيون بالخطوات التي اتخذت لكفالة المساواة الفعلية والقانونية للمرأة، وبالخطوات الأخرى التي يتعين اتخاذها في هذا المضمار. وتطلب إلى الحكومة أن تواصل نشر الاتفاقية وبروتوكولها الاختياري على أوسع نطاق، وبخاصة في أوساط المنظمات النسائية ومنظمات حقوق الإنسان، كما تطلب إليها أن تنشر التوصيات العامة للجنة، وإعلان ومنهاج عمل بيجين، ونتائج الدورة الاستثنائية الثالثة والعشرين للجمعية العامة المعنونة </w:t>
            </w:r>
            <w:r w:rsidRPr="008068E2">
              <w:rPr>
                <w:rFonts w:hint="eastAsia"/>
                <w:sz w:val="28"/>
                <w:szCs w:val="28"/>
                <w:rtl/>
              </w:rPr>
              <w:t>”المرأة عام 2000</w:t>
            </w:r>
            <w:r w:rsidRPr="008068E2">
              <w:rPr>
                <w:rFonts w:hint="cs"/>
                <w:sz w:val="28"/>
                <w:szCs w:val="28"/>
                <w:rtl/>
              </w:rPr>
              <w:t>: المساواة بين الجنسين، والتنمية، والسلام في القرن الحادي والعشرين</w:t>
            </w:r>
            <w:r w:rsidRPr="008068E2">
              <w:rPr>
                <w:rFonts w:hint="eastAsia"/>
                <w:sz w:val="28"/>
                <w:szCs w:val="28"/>
                <w:rtl/>
              </w:rPr>
              <w:t>“.</w:t>
            </w:r>
          </w:p>
        </w:tc>
        <w:tc>
          <w:tcPr>
            <w:tcW w:w="2768" w:type="dxa"/>
            <w:tcBorders>
              <w:bottom w:val="single" w:sz="12" w:space="0" w:color="auto"/>
            </w:tcBorders>
            <w:shd w:val="clear" w:color="auto" w:fill="auto"/>
          </w:tcPr>
          <w:p w:rsidR="00FE4F97" w:rsidRPr="008068E2" w:rsidRDefault="00FE4F97" w:rsidP="008068E2">
            <w:pPr>
              <w:pStyle w:val="DualTxt"/>
              <w:spacing w:before="40" w:after="80" w:line="360" w:lineRule="exact"/>
              <w:ind w:right="144"/>
              <w:rPr>
                <w:rFonts w:hint="cs"/>
                <w:sz w:val="28"/>
                <w:szCs w:val="28"/>
                <w:rtl/>
              </w:rPr>
            </w:pPr>
            <w:r w:rsidRPr="008068E2">
              <w:rPr>
                <w:rFonts w:hint="cs"/>
                <w:sz w:val="28"/>
                <w:szCs w:val="28"/>
                <w:rtl/>
              </w:rPr>
              <w:t>الصفحة 8 في الجزء 2</w:t>
            </w:r>
          </w:p>
        </w:tc>
      </w:tr>
    </w:tbl>
    <w:p w:rsidR="00FE4F97" w:rsidRPr="008D7594" w:rsidRDefault="00FE4F97" w:rsidP="000F5B5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40" w:lineRule="auto"/>
        <w:ind w:left="1930" w:hanging="662"/>
        <w:rPr>
          <w:rFonts w:hint="cs"/>
          <w:rtl/>
        </w:rPr>
      </w:pPr>
      <w:r>
        <w:rPr>
          <w:rFonts w:hint="cs"/>
          <w:noProof/>
          <w:w w:val="100"/>
          <w:rtl/>
        </w:rPr>
        <w:pict>
          <v:line id="_x0000_s1223" style="position:absolute;left:0;text-align:left;z-index:7;mso-position-horizontal-relative:text;mso-position-vertical-relative:text" from="206.6pt,24pt" to="278.6pt,24pt" strokeweight=".25pt">
            <w10:wrap anchorx="page"/>
          </v:line>
        </w:pict>
      </w:r>
    </w:p>
    <w:sectPr w:rsidR="00FE4F97" w:rsidRPr="008D7594">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01T11:32:00Z" w:initials="Start">
    <w:p w:rsidR="007433E8" w:rsidRDefault="007433E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NO&gt;&gt;N0731578A&lt;&lt;ODS JOB NO</w:t>
      </w:r>
      <w:r>
        <w:rPr>
          <w:rtl/>
        </w:rPr>
        <w:t>&gt;&gt;</w:t>
      </w:r>
    </w:p>
    <w:p w:rsidR="007433E8" w:rsidRDefault="007433E8">
      <w:pPr>
        <w:pStyle w:val="CommentText"/>
        <w:rPr>
          <w:rtl/>
        </w:rPr>
      </w:pPr>
      <w:r>
        <w:rPr>
          <w:rtl/>
        </w:rPr>
        <w:t>&lt;&lt;</w:t>
      </w:r>
      <w:r>
        <w:t>ODS DOC SYMBOL1&gt;&gt;CEDAW/C/MNG/7&lt;&lt;ODS DOC SYMBOL1</w:t>
      </w:r>
      <w:r>
        <w:rPr>
          <w:rtl/>
        </w:rPr>
        <w:t>&gt;&gt;</w:t>
      </w:r>
    </w:p>
    <w:p w:rsidR="007433E8" w:rsidRDefault="007433E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3E8" w:rsidRDefault="007433E8">
      <w:pPr>
        <w:pStyle w:val="DualTxt"/>
      </w:pPr>
      <w:r>
        <w:separator/>
      </w:r>
    </w:p>
  </w:endnote>
  <w:endnote w:type="continuationSeparator" w:id="0">
    <w:p w:rsidR="007433E8" w:rsidRDefault="007433E8">
      <w:pPr>
        <w:pStyle w:val="DualT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Mon">
    <w:altName w:val="CG Omega"/>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433E8">
      <w:tblPrEx>
        <w:tblCellMar>
          <w:top w:w="0" w:type="dxa"/>
          <w:bottom w:w="0" w:type="dxa"/>
        </w:tblCellMar>
      </w:tblPrEx>
      <w:tc>
        <w:tcPr>
          <w:tcW w:w="5033" w:type="dxa"/>
          <w:shd w:val="clear" w:color="auto" w:fill="auto"/>
        </w:tcPr>
        <w:p w:rsidR="007433E8" w:rsidRPr="008D7594" w:rsidRDefault="007433E8">
          <w:pPr>
            <w:pStyle w:val="Footer"/>
            <w:jc w:val="right"/>
            <w:rPr>
              <w:w w:val="103"/>
            </w:rPr>
          </w:pPr>
          <w:r>
            <w:rPr>
              <w:w w:val="103"/>
            </w:rPr>
            <w:fldChar w:fldCharType="begin"/>
          </w:r>
          <w:r>
            <w:rPr>
              <w:w w:val="103"/>
            </w:rPr>
            <w:instrText xml:space="preserve"> PAGE  \* MERGEFORMAT </w:instrText>
          </w:r>
          <w:r>
            <w:rPr>
              <w:w w:val="103"/>
            </w:rPr>
            <w:fldChar w:fldCharType="separate"/>
          </w:r>
          <w:r w:rsidR="00511E73">
            <w:rPr>
              <w:w w:val="103"/>
            </w:rPr>
            <w:t>26</w:t>
          </w:r>
          <w:r>
            <w:rPr>
              <w:w w:val="103"/>
            </w:rPr>
            <w:fldChar w:fldCharType="end"/>
          </w:r>
        </w:p>
      </w:tc>
      <w:tc>
        <w:tcPr>
          <w:tcW w:w="5033" w:type="dxa"/>
          <w:shd w:val="clear" w:color="auto" w:fill="auto"/>
        </w:tcPr>
        <w:p w:rsidR="007433E8" w:rsidRPr="008D7594" w:rsidRDefault="007433E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11E73">
            <w:rPr>
              <w:b w:val="0"/>
              <w:w w:val="103"/>
            </w:rPr>
            <w:t>07-31578</w:t>
          </w:r>
          <w:r>
            <w:rPr>
              <w:b w:val="0"/>
              <w:w w:val="103"/>
            </w:rPr>
            <w:fldChar w:fldCharType="end"/>
          </w:r>
        </w:p>
      </w:tc>
    </w:tr>
  </w:tbl>
  <w:p w:rsidR="007433E8" w:rsidRPr="008D7594" w:rsidRDefault="007433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433E8">
      <w:tblPrEx>
        <w:tblCellMar>
          <w:top w:w="0" w:type="dxa"/>
          <w:bottom w:w="0" w:type="dxa"/>
        </w:tblCellMar>
      </w:tblPrEx>
      <w:tc>
        <w:tcPr>
          <w:tcW w:w="5033" w:type="dxa"/>
          <w:shd w:val="clear" w:color="auto" w:fill="auto"/>
        </w:tcPr>
        <w:p w:rsidR="007433E8" w:rsidRPr="008D7594" w:rsidRDefault="007433E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11E73">
            <w:rPr>
              <w:b w:val="0"/>
              <w:w w:val="103"/>
            </w:rPr>
            <w:t>07-31578</w:t>
          </w:r>
          <w:r>
            <w:rPr>
              <w:b w:val="0"/>
              <w:w w:val="103"/>
            </w:rPr>
            <w:fldChar w:fldCharType="end"/>
          </w:r>
        </w:p>
      </w:tc>
      <w:tc>
        <w:tcPr>
          <w:tcW w:w="5033" w:type="dxa"/>
          <w:shd w:val="clear" w:color="auto" w:fill="auto"/>
        </w:tcPr>
        <w:p w:rsidR="007433E8" w:rsidRPr="008D7594" w:rsidRDefault="007433E8">
          <w:pPr>
            <w:pStyle w:val="Footer"/>
            <w:rPr>
              <w:w w:val="103"/>
            </w:rPr>
          </w:pPr>
          <w:r>
            <w:rPr>
              <w:w w:val="103"/>
            </w:rPr>
            <w:fldChar w:fldCharType="begin"/>
          </w:r>
          <w:r>
            <w:rPr>
              <w:w w:val="103"/>
            </w:rPr>
            <w:instrText xml:space="preserve"> PAGE  \* MERGEFORMAT </w:instrText>
          </w:r>
          <w:r>
            <w:rPr>
              <w:w w:val="103"/>
            </w:rPr>
            <w:fldChar w:fldCharType="separate"/>
          </w:r>
          <w:r w:rsidR="00511E73">
            <w:rPr>
              <w:w w:val="103"/>
            </w:rPr>
            <w:t>27</w:t>
          </w:r>
          <w:r>
            <w:rPr>
              <w:w w:val="103"/>
            </w:rPr>
            <w:fldChar w:fldCharType="end"/>
          </w:r>
        </w:p>
      </w:tc>
    </w:tr>
  </w:tbl>
  <w:p w:rsidR="007433E8" w:rsidRPr="008D7594" w:rsidRDefault="007433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3E8" w:rsidRDefault="007433E8">
    <w:pPr>
      <w:pStyle w:val="Footer"/>
    </w:pPr>
  </w:p>
  <w:p w:rsidR="007433E8" w:rsidRDefault="007433E8" w:rsidP="00912812">
    <w:pPr>
      <w:pStyle w:val="Footer"/>
      <w:jc w:val="right"/>
      <w:rPr>
        <w:rFonts w:cs="Times New Roman"/>
        <w:b w:val="0"/>
        <w:w w:val="103"/>
        <w:sz w:val="20"/>
      </w:rPr>
    </w:pPr>
    <w:r>
      <w:rPr>
        <w:rFonts w:cs="Times New Roman"/>
        <w:b w:val="0"/>
        <w:w w:val="103"/>
        <w:sz w:val="20"/>
      </w:rPr>
      <w:t xml:space="preserve">060607    010607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511E73">
      <w:rPr>
        <w:rFonts w:cs="Times New Roman"/>
        <w:b w:val="0"/>
        <w:w w:val="103"/>
        <w:sz w:val="20"/>
      </w:rPr>
      <w:t>07-31578 (A)</w:t>
    </w:r>
    <w:r>
      <w:rPr>
        <w:rFonts w:cs="Times New Roman"/>
        <w:b w:val="0"/>
        <w:w w:val="103"/>
        <w:sz w:val="20"/>
      </w:rPr>
      <w:fldChar w:fldCharType="end"/>
    </w:r>
  </w:p>
  <w:p w:rsidR="007433E8" w:rsidRPr="008D7594" w:rsidRDefault="007433E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511E73">
      <w:rPr>
        <w:rFonts w:ascii="Barcode 3 of 9 by request" w:hAnsi="Barcode 3 of 9 by request" w:cs="Times New Roman"/>
        <w:b w:val="0"/>
        <w:sz w:val="24"/>
      </w:rPr>
      <w:t>*0731578*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3E8" w:rsidRPr="00912812" w:rsidRDefault="007433E8" w:rsidP="00912812">
      <w:pPr>
        <w:pStyle w:val="Footer"/>
        <w:bidi/>
        <w:spacing w:after="80"/>
        <w:ind w:left="792"/>
        <w:rPr>
          <w:sz w:val="16"/>
        </w:rPr>
      </w:pPr>
      <w:r w:rsidRPr="00912812">
        <w:rPr>
          <w:sz w:val="16"/>
        </w:rPr>
        <w:t>_________________</w:t>
      </w:r>
    </w:p>
  </w:footnote>
  <w:footnote w:type="continuationSeparator" w:id="0">
    <w:p w:rsidR="007433E8" w:rsidRPr="00912812" w:rsidRDefault="007433E8" w:rsidP="00912812">
      <w:pPr>
        <w:pStyle w:val="Footer"/>
        <w:bidi/>
        <w:spacing w:after="80"/>
        <w:ind w:right="792"/>
        <w:rPr>
          <w:sz w:val="16"/>
        </w:rPr>
      </w:pPr>
      <w:r w:rsidRPr="00912812">
        <w:rPr>
          <w:sz w:val="16"/>
        </w:rPr>
        <w:t>_________________</w:t>
      </w:r>
    </w:p>
  </w:footnote>
  <w:footnote w:id="1">
    <w:p w:rsidR="007433E8" w:rsidRPr="00253A7A"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253A7A">
        <w:rPr>
          <w:w w:val="103"/>
          <w:rtl/>
        </w:rPr>
        <w:t>(</w:t>
      </w:r>
      <w:r w:rsidRPr="00253A7A">
        <w:rPr>
          <w:rStyle w:val="FootnoteReference"/>
          <w:spacing w:val="0"/>
          <w:w w:val="103"/>
          <w:vertAlign w:val="baseline"/>
          <w:rtl/>
        </w:rPr>
        <w:footnoteRef/>
      </w:r>
      <w:r w:rsidRPr="00253A7A">
        <w:rPr>
          <w:w w:val="103"/>
          <w:rtl/>
        </w:rPr>
        <w:t>)</w:t>
      </w:r>
      <w:r w:rsidRPr="00253A7A">
        <w:rPr>
          <w:w w:val="103"/>
          <w:rtl/>
        </w:rPr>
        <w:tab/>
      </w:r>
      <w:r>
        <w:rPr>
          <w:rFonts w:hint="cs"/>
          <w:w w:val="103"/>
          <w:rtl/>
        </w:rPr>
        <w:t>الحولية الإحصائية المنغولية، المكتب الوطني للإحصاءات، 2005.</w:t>
      </w:r>
    </w:p>
  </w:footnote>
  <w:footnote w:id="2">
    <w:p w:rsidR="007433E8" w:rsidRPr="000C5F8B"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C5F8B">
        <w:rPr>
          <w:w w:val="103"/>
          <w:rtl/>
        </w:rPr>
        <w:t>(</w:t>
      </w:r>
      <w:r w:rsidRPr="000C5F8B">
        <w:rPr>
          <w:rStyle w:val="FootnoteReference"/>
          <w:spacing w:val="0"/>
          <w:w w:val="103"/>
          <w:vertAlign w:val="baseline"/>
          <w:rtl/>
        </w:rPr>
        <w:footnoteRef/>
      </w:r>
      <w:r w:rsidRPr="000C5F8B">
        <w:rPr>
          <w:w w:val="103"/>
          <w:rtl/>
        </w:rPr>
        <w:t>)</w:t>
      </w:r>
      <w:r w:rsidRPr="000C5F8B">
        <w:rPr>
          <w:w w:val="103"/>
          <w:rtl/>
        </w:rPr>
        <w:tab/>
      </w:r>
      <w:r>
        <w:rPr>
          <w:i/>
          <w:iCs/>
          <w:w w:val="103"/>
        </w:rPr>
        <w:t>Report on Human Rights and Freedom in Mongolia</w:t>
      </w:r>
      <w:r>
        <w:rPr>
          <w:w w:val="103"/>
        </w:rPr>
        <w:t>, 2002-2005, Mongolian National Commission for Human Rights, Ulaanbaatar</w:t>
      </w:r>
      <w:r>
        <w:rPr>
          <w:rFonts w:hint="cs"/>
          <w:w w:val="103"/>
          <w:rtl/>
        </w:rPr>
        <w:t>.</w:t>
      </w:r>
    </w:p>
  </w:footnote>
  <w:footnote w:id="3">
    <w:p w:rsidR="007433E8" w:rsidRPr="003F7DAD"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eastAsia"/>
          <w:w w:val="103"/>
          <w:rtl/>
        </w:rPr>
      </w:pPr>
      <w:r>
        <w:rPr>
          <w:rtl/>
        </w:rPr>
        <w:tab/>
      </w:r>
      <w:r w:rsidRPr="003F7DAD">
        <w:rPr>
          <w:w w:val="103"/>
          <w:rtl/>
        </w:rPr>
        <w:t>(</w:t>
      </w:r>
      <w:r w:rsidRPr="003F7DAD">
        <w:rPr>
          <w:rStyle w:val="FootnoteReference"/>
          <w:spacing w:val="0"/>
          <w:w w:val="103"/>
          <w:vertAlign w:val="baseline"/>
          <w:rtl/>
        </w:rPr>
        <w:footnoteRef/>
      </w:r>
      <w:r w:rsidRPr="003F7DAD">
        <w:rPr>
          <w:w w:val="103"/>
          <w:rtl/>
        </w:rPr>
        <w:t>)</w:t>
      </w:r>
      <w:r w:rsidRPr="003F7DAD">
        <w:rPr>
          <w:w w:val="103"/>
          <w:rtl/>
        </w:rPr>
        <w:tab/>
      </w:r>
      <w:r>
        <w:rPr>
          <w:rFonts w:hint="cs"/>
          <w:w w:val="103"/>
          <w:rtl/>
        </w:rPr>
        <w:t xml:space="preserve">من تقرير الحلقة الدراسية </w:t>
      </w:r>
      <w:r>
        <w:rPr>
          <w:rFonts w:hint="eastAsia"/>
          <w:w w:val="103"/>
          <w:rtl/>
        </w:rPr>
        <w:t>”</w:t>
      </w:r>
      <w:r>
        <w:rPr>
          <w:w w:val="103"/>
        </w:rPr>
        <w:t>Current Situation of Crime Victims and Improvement of the Situation</w:t>
      </w:r>
      <w:r>
        <w:rPr>
          <w:rFonts w:hint="eastAsia"/>
          <w:w w:val="103"/>
          <w:rtl/>
        </w:rPr>
        <w:t>“.</w:t>
      </w:r>
    </w:p>
  </w:footnote>
  <w:footnote w:id="4">
    <w:p w:rsidR="007433E8" w:rsidRPr="00EE6346"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E6346">
        <w:rPr>
          <w:w w:val="103"/>
          <w:rtl/>
        </w:rPr>
        <w:t>(</w:t>
      </w:r>
      <w:r w:rsidRPr="00EE6346">
        <w:rPr>
          <w:rStyle w:val="FootnoteReference"/>
          <w:spacing w:val="0"/>
          <w:w w:val="103"/>
          <w:vertAlign w:val="baseline"/>
          <w:rtl/>
        </w:rPr>
        <w:footnoteRef/>
      </w:r>
      <w:r w:rsidRPr="00EE6346">
        <w:rPr>
          <w:w w:val="103"/>
          <w:rtl/>
        </w:rPr>
        <w:t>)</w:t>
      </w:r>
      <w:r w:rsidRPr="00EE6346">
        <w:rPr>
          <w:w w:val="103"/>
          <w:rtl/>
        </w:rPr>
        <w:tab/>
      </w:r>
      <w:r>
        <w:rPr>
          <w:i/>
          <w:iCs/>
          <w:w w:val="103"/>
        </w:rPr>
        <w:t>Report on Human Rights and Freedom in Mongolia</w:t>
      </w:r>
      <w:r>
        <w:rPr>
          <w:w w:val="103"/>
        </w:rPr>
        <w:t xml:space="preserve">. 2002-2005, Mongolian National Commission for Human Rights, </w:t>
      </w:r>
      <w:smartTag w:uri="urn:schemas-microsoft-com:office:smarttags" w:element="place">
        <w:smartTag w:uri="urn:schemas-microsoft-com:office:smarttags" w:element="City">
          <w:r>
            <w:rPr>
              <w:w w:val="103"/>
            </w:rPr>
            <w:t>Ulaanbaatar</w:t>
          </w:r>
        </w:smartTag>
      </w:smartTag>
      <w:r>
        <w:rPr>
          <w:rFonts w:hint="cs"/>
          <w:w w:val="103"/>
          <w:rtl/>
        </w:rPr>
        <w:t>.</w:t>
      </w:r>
    </w:p>
  </w:footnote>
  <w:footnote w:id="5">
    <w:p w:rsidR="007433E8" w:rsidRPr="004B6CBB"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4B6CBB">
        <w:rPr>
          <w:w w:val="103"/>
          <w:rtl/>
        </w:rPr>
        <w:t>(</w:t>
      </w:r>
      <w:r w:rsidRPr="004B6CBB">
        <w:rPr>
          <w:rStyle w:val="FootnoteReference"/>
          <w:spacing w:val="0"/>
          <w:w w:val="103"/>
          <w:vertAlign w:val="baseline"/>
          <w:rtl/>
        </w:rPr>
        <w:footnoteRef/>
      </w:r>
      <w:r w:rsidRPr="004B6CBB">
        <w:rPr>
          <w:w w:val="103"/>
          <w:rtl/>
        </w:rPr>
        <w:t>)</w:t>
      </w:r>
      <w:r w:rsidRPr="004B6CBB">
        <w:rPr>
          <w:w w:val="103"/>
          <w:rtl/>
        </w:rPr>
        <w:tab/>
      </w:r>
      <w:r>
        <w:rPr>
          <w:rFonts w:hint="cs"/>
          <w:w w:val="103"/>
          <w:rtl/>
        </w:rPr>
        <w:t xml:space="preserve">مقتطفات من الخطاب الذي ألقاه السيد شي باتبايار، وزارة الرعاية الاجتماعية والعمل، في المنتدى الوطني بشأن </w:t>
      </w:r>
      <w:r>
        <w:rPr>
          <w:rFonts w:hint="eastAsia"/>
          <w:w w:val="103"/>
          <w:rtl/>
        </w:rPr>
        <w:t>”نوع الجنس والتن</w:t>
      </w:r>
      <w:r>
        <w:rPr>
          <w:rFonts w:hint="cs"/>
          <w:w w:val="103"/>
          <w:rtl/>
        </w:rPr>
        <w:t>م</w:t>
      </w:r>
      <w:r>
        <w:rPr>
          <w:rFonts w:hint="eastAsia"/>
          <w:w w:val="103"/>
          <w:rtl/>
        </w:rPr>
        <w:t>ية</w:t>
      </w:r>
      <w:r>
        <w:rPr>
          <w:rFonts w:hint="cs"/>
          <w:w w:val="103"/>
          <w:rtl/>
        </w:rPr>
        <w:t>“.</w:t>
      </w:r>
    </w:p>
  </w:footnote>
  <w:footnote w:id="6">
    <w:p w:rsidR="007433E8" w:rsidRPr="00B14F97"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14F97">
        <w:rPr>
          <w:w w:val="103"/>
          <w:rtl/>
        </w:rPr>
        <w:t>(</w:t>
      </w:r>
      <w:r w:rsidRPr="00B14F97">
        <w:rPr>
          <w:rStyle w:val="FootnoteReference"/>
          <w:spacing w:val="0"/>
          <w:w w:val="103"/>
          <w:vertAlign w:val="baseline"/>
          <w:rtl/>
        </w:rPr>
        <w:footnoteRef/>
      </w:r>
      <w:r w:rsidRPr="00B14F97">
        <w:rPr>
          <w:w w:val="103"/>
          <w:rtl/>
        </w:rPr>
        <w:t>)</w:t>
      </w:r>
      <w:r w:rsidRPr="00B14F97">
        <w:rPr>
          <w:w w:val="103"/>
          <w:rtl/>
        </w:rPr>
        <w:tab/>
      </w:r>
      <w:r>
        <w:rPr>
          <w:rFonts w:hint="cs"/>
          <w:w w:val="103"/>
          <w:rtl/>
        </w:rPr>
        <w:t>تعداد السكان والمساكن لعام 2000، أولانباتار، 2000.</w:t>
      </w:r>
    </w:p>
  </w:footnote>
  <w:footnote w:id="7">
    <w:p w:rsidR="007433E8" w:rsidRPr="000F4CB2"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F4CB2">
        <w:rPr>
          <w:w w:val="103"/>
          <w:rtl/>
        </w:rPr>
        <w:t>(</w:t>
      </w:r>
      <w:r w:rsidRPr="000F4CB2">
        <w:rPr>
          <w:rStyle w:val="FootnoteReference"/>
          <w:spacing w:val="0"/>
          <w:w w:val="103"/>
          <w:vertAlign w:val="baseline"/>
          <w:rtl/>
        </w:rPr>
        <w:footnoteRef/>
      </w:r>
      <w:r w:rsidRPr="000F4CB2">
        <w:rPr>
          <w:w w:val="103"/>
          <w:rtl/>
        </w:rPr>
        <w:t>)</w:t>
      </w:r>
      <w:r w:rsidRPr="000F4CB2">
        <w:rPr>
          <w:w w:val="103"/>
          <w:rtl/>
        </w:rPr>
        <w:tab/>
      </w:r>
      <w:r>
        <w:rPr>
          <w:rFonts w:hint="cs"/>
          <w:w w:val="103"/>
          <w:rtl/>
        </w:rPr>
        <w:t>بيانات إحصائية عن السنة الدراسية 2004/2005 من وزارة التعليم والثقافة والعلوم، 2004.</w:t>
      </w:r>
    </w:p>
  </w:footnote>
  <w:footnote w:id="8">
    <w:p w:rsidR="007433E8" w:rsidRPr="00A11935"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11935">
        <w:rPr>
          <w:w w:val="103"/>
          <w:rtl/>
        </w:rPr>
        <w:t>(</w:t>
      </w:r>
      <w:r w:rsidRPr="00A11935">
        <w:rPr>
          <w:rStyle w:val="FootnoteReference"/>
          <w:spacing w:val="0"/>
          <w:w w:val="103"/>
          <w:vertAlign w:val="baseline"/>
          <w:rtl/>
        </w:rPr>
        <w:footnoteRef/>
      </w:r>
      <w:r w:rsidRPr="00A11935">
        <w:rPr>
          <w:w w:val="103"/>
          <w:rtl/>
        </w:rPr>
        <w:t>)</w:t>
      </w:r>
      <w:r w:rsidRPr="00A11935">
        <w:rPr>
          <w:w w:val="103"/>
          <w:rtl/>
        </w:rPr>
        <w:tab/>
      </w:r>
      <w:r>
        <w:rPr>
          <w:rFonts w:hint="cs"/>
          <w:w w:val="103"/>
          <w:rtl/>
        </w:rPr>
        <w:t>خصخصة القطاع الاجتماعي، والإصلاح والخصخصة في قطاع الصحة، 2004.</w:t>
      </w:r>
    </w:p>
  </w:footnote>
  <w:footnote w:id="9">
    <w:p w:rsidR="007433E8" w:rsidRPr="00BE0F18"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E0F18">
        <w:rPr>
          <w:w w:val="103"/>
          <w:rtl/>
        </w:rPr>
        <w:t>(</w:t>
      </w:r>
      <w:r w:rsidRPr="00BE0F18">
        <w:rPr>
          <w:rStyle w:val="FootnoteReference"/>
          <w:spacing w:val="0"/>
          <w:w w:val="103"/>
          <w:vertAlign w:val="baseline"/>
          <w:rtl/>
        </w:rPr>
        <w:footnoteRef/>
      </w:r>
      <w:r w:rsidRPr="00BE0F18">
        <w:rPr>
          <w:w w:val="103"/>
          <w:rtl/>
        </w:rPr>
        <w:t>)</w:t>
      </w:r>
      <w:r w:rsidRPr="00BE0F18">
        <w:rPr>
          <w:w w:val="103"/>
          <w:rtl/>
        </w:rPr>
        <w:tab/>
      </w:r>
      <w:r>
        <w:rPr>
          <w:rFonts w:hint="cs"/>
          <w:w w:val="103"/>
          <w:rtl/>
        </w:rPr>
        <w:t>خصخصة القطاع الاجتماعي، والإصلاح والخصخصة في قطاع الصحة، 2004.</w:t>
      </w:r>
    </w:p>
  </w:footnote>
  <w:footnote w:id="10">
    <w:p w:rsidR="007433E8" w:rsidRPr="00AF44D3"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F44D3">
        <w:rPr>
          <w:w w:val="103"/>
          <w:rtl/>
        </w:rPr>
        <w:t>(</w:t>
      </w:r>
      <w:r w:rsidRPr="00AF44D3">
        <w:rPr>
          <w:rStyle w:val="FootnoteReference"/>
          <w:spacing w:val="0"/>
          <w:w w:val="103"/>
          <w:vertAlign w:val="baseline"/>
          <w:rtl/>
        </w:rPr>
        <w:footnoteRef/>
      </w:r>
      <w:r w:rsidRPr="00AF44D3">
        <w:rPr>
          <w:w w:val="103"/>
          <w:rtl/>
        </w:rPr>
        <w:t>)</w:t>
      </w:r>
      <w:r w:rsidRPr="00AF44D3">
        <w:rPr>
          <w:w w:val="103"/>
          <w:rtl/>
        </w:rPr>
        <w:tab/>
      </w:r>
      <w:r>
        <w:rPr>
          <w:rFonts w:hint="cs"/>
          <w:w w:val="103"/>
          <w:rtl/>
        </w:rPr>
        <w:t>الخطة الرئيسية لقطاع الصحة.</w:t>
      </w:r>
    </w:p>
  </w:footnote>
  <w:footnote w:id="11">
    <w:p w:rsidR="007433E8" w:rsidRPr="00AF44D3"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F44D3">
        <w:rPr>
          <w:w w:val="103"/>
          <w:rtl/>
        </w:rPr>
        <w:t>(</w:t>
      </w:r>
      <w:r w:rsidRPr="00AF44D3">
        <w:rPr>
          <w:rStyle w:val="FootnoteReference"/>
          <w:spacing w:val="0"/>
          <w:w w:val="103"/>
          <w:vertAlign w:val="baseline"/>
          <w:rtl/>
        </w:rPr>
        <w:footnoteRef/>
      </w:r>
      <w:r w:rsidRPr="00AF44D3">
        <w:rPr>
          <w:w w:val="103"/>
          <w:rtl/>
        </w:rPr>
        <w:t>)</w:t>
      </w:r>
      <w:r w:rsidRPr="00AF44D3">
        <w:rPr>
          <w:w w:val="103"/>
          <w:rtl/>
        </w:rPr>
        <w:tab/>
      </w:r>
      <w:r>
        <w:rPr>
          <w:rFonts w:hint="cs"/>
          <w:w w:val="103"/>
          <w:rtl/>
        </w:rPr>
        <w:t>تقرير التنمية البشرية لمنغوليا، 2003.</w:t>
      </w:r>
    </w:p>
  </w:footnote>
  <w:footnote w:id="12">
    <w:p w:rsidR="007433E8" w:rsidRPr="00AF44D3"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F44D3">
        <w:rPr>
          <w:w w:val="103"/>
          <w:rtl/>
        </w:rPr>
        <w:t>(</w:t>
      </w:r>
      <w:r w:rsidRPr="00AF44D3">
        <w:rPr>
          <w:rStyle w:val="FootnoteReference"/>
          <w:spacing w:val="0"/>
          <w:w w:val="103"/>
          <w:vertAlign w:val="baseline"/>
          <w:rtl/>
        </w:rPr>
        <w:footnoteRef/>
      </w:r>
      <w:r w:rsidRPr="00AF44D3">
        <w:rPr>
          <w:w w:val="103"/>
          <w:rtl/>
        </w:rPr>
        <w:t>)</w:t>
      </w:r>
      <w:r w:rsidRPr="00AF44D3">
        <w:rPr>
          <w:w w:val="103"/>
          <w:rtl/>
        </w:rPr>
        <w:tab/>
      </w:r>
      <w:r>
        <w:rPr>
          <w:rFonts w:hint="cs"/>
          <w:w w:val="103"/>
          <w:rtl/>
        </w:rPr>
        <w:t>الخطة الرئيسية لقطاع الصحة.</w:t>
      </w:r>
    </w:p>
  </w:footnote>
  <w:footnote w:id="13">
    <w:p w:rsidR="007433E8" w:rsidRPr="00CE0368"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E0368">
        <w:rPr>
          <w:w w:val="103"/>
          <w:rtl/>
        </w:rPr>
        <w:t>(</w:t>
      </w:r>
      <w:r w:rsidRPr="00CE0368">
        <w:rPr>
          <w:rStyle w:val="FootnoteReference"/>
          <w:spacing w:val="0"/>
          <w:w w:val="103"/>
          <w:vertAlign w:val="baseline"/>
          <w:rtl/>
        </w:rPr>
        <w:footnoteRef/>
      </w:r>
      <w:r w:rsidRPr="00CE0368">
        <w:rPr>
          <w:w w:val="103"/>
          <w:rtl/>
        </w:rPr>
        <w:t>)</w:t>
      </w:r>
      <w:r w:rsidRPr="00CE0368">
        <w:rPr>
          <w:w w:val="103"/>
          <w:rtl/>
        </w:rPr>
        <w:tab/>
      </w:r>
      <w:r>
        <w:rPr>
          <w:rFonts w:hint="cs"/>
          <w:w w:val="103"/>
          <w:rtl/>
        </w:rPr>
        <w:t>التقرير المتعلق بتنفيذ خطة عمل الحكومة، 2004.</w:t>
      </w:r>
    </w:p>
  </w:footnote>
  <w:footnote w:id="14">
    <w:p w:rsidR="007433E8" w:rsidRPr="00CE0368"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E0368">
        <w:rPr>
          <w:w w:val="103"/>
          <w:rtl/>
        </w:rPr>
        <w:t>(</w:t>
      </w:r>
      <w:r w:rsidRPr="00CE0368">
        <w:rPr>
          <w:rStyle w:val="FootnoteReference"/>
          <w:spacing w:val="0"/>
          <w:w w:val="103"/>
          <w:vertAlign w:val="baseline"/>
          <w:rtl/>
        </w:rPr>
        <w:footnoteRef/>
      </w:r>
      <w:r w:rsidRPr="00CE0368">
        <w:rPr>
          <w:w w:val="103"/>
          <w:rtl/>
        </w:rPr>
        <w:t>)</w:t>
      </w:r>
      <w:r w:rsidRPr="00CE0368">
        <w:rPr>
          <w:w w:val="103"/>
          <w:rtl/>
        </w:rPr>
        <w:tab/>
      </w:r>
      <w:r>
        <w:rPr>
          <w:rFonts w:hint="cs"/>
          <w:w w:val="103"/>
          <w:rtl/>
        </w:rPr>
        <w:t>الخطة الرئيسية لقطاع الصحة.</w:t>
      </w:r>
    </w:p>
  </w:footnote>
  <w:footnote w:id="15">
    <w:p w:rsidR="007433E8" w:rsidRPr="009E2266"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9E2266">
        <w:rPr>
          <w:w w:val="103"/>
          <w:rtl/>
        </w:rPr>
        <w:t>(</w:t>
      </w:r>
      <w:r w:rsidRPr="009E2266">
        <w:rPr>
          <w:rStyle w:val="FootnoteReference"/>
          <w:spacing w:val="0"/>
          <w:w w:val="103"/>
          <w:vertAlign w:val="baseline"/>
          <w:rtl/>
        </w:rPr>
        <w:footnoteRef/>
      </w:r>
      <w:r w:rsidRPr="009E2266">
        <w:rPr>
          <w:w w:val="103"/>
          <w:rtl/>
        </w:rPr>
        <w:t>)</w:t>
      </w:r>
      <w:r w:rsidRPr="009E2266">
        <w:rPr>
          <w:w w:val="103"/>
          <w:rtl/>
        </w:rPr>
        <w:tab/>
      </w:r>
      <w:r>
        <w:rPr>
          <w:rFonts w:hint="cs"/>
          <w:w w:val="103"/>
          <w:rtl/>
        </w:rPr>
        <w:t>سياسة الدولة فيما يتعلق بتنمية السكان.</w:t>
      </w:r>
    </w:p>
  </w:footnote>
  <w:footnote w:id="16">
    <w:p w:rsidR="007433E8" w:rsidRPr="003E12FA"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E12FA">
        <w:rPr>
          <w:w w:val="103"/>
          <w:rtl/>
        </w:rPr>
        <w:t>(</w:t>
      </w:r>
      <w:r w:rsidRPr="003E12FA">
        <w:rPr>
          <w:rStyle w:val="FootnoteReference"/>
          <w:spacing w:val="0"/>
          <w:w w:val="103"/>
          <w:vertAlign w:val="baseline"/>
          <w:rtl/>
        </w:rPr>
        <w:footnoteRef/>
      </w:r>
      <w:r w:rsidRPr="003E12FA">
        <w:rPr>
          <w:w w:val="103"/>
          <w:rtl/>
        </w:rPr>
        <w:t>)</w:t>
      </w:r>
      <w:r w:rsidRPr="003E12FA">
        <w:rPr>
          <w:w w:val="103"/>
          <w:rtl/>
        </w:rPr>
        <w:tab/>
      </w:r>
      <w:r>
        <w:rPr>
          <w:rFonts w:hint="cs"/>
          <w:w w:val="103"/>
          <w:rtl/>
        </w:rPr>
        <w:t>إحصاءات الصحة، 2004.</w:t>
      </w:r>
    </w:p>
  </w:footnote>
  <w:footnote w:id="17">
    <w:p w:rsidR="007433E8" w:rsidRPr="003E12FA"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E12FA">
        <w:rPr>
          <w:w w:val="103"/>
          <w:rtl/>
        </w:rPr>
        <w:t>(</w:t>
      </w:r>
      <w:r w:rsidRPr="003E12FA">
        <w:rPr>
          <w:rStyle w:val="FootnoteReference"/>
          <w:spacing w:val="0"/>
          <w:w w:val="103"/>
          <w:vertAlign w:val="baseline"/>
          <w:rtl/>
        </w:rPr>
        <w:footnoteRef/>
      </w:r>
      <w:r w:rsidRPr="003E12FA">
        <w:rPr>
          <w:w w:val="103"/>
          <w:rtl/>
        </w:rPr>
        <w:t>)</w:t>
      </w:r>
      <w:r w:rsidRPr="003E12FA">
        <w:rPr>
          <w:w w:val="103"/>
          <w:rtl/>
        </w:rPr>
        <w:tab/>
      </w:r>
      <w:r>
        <w:rPr>
          <w:rFonts w:hint="cs"/>
          <w:w w:val="103"/>
          <w:rtl/>
        </w:rPr>
        <w:t>إحصاءات الصحة، 2004.</w:t>
      </w:r>
    </w:p>
  </w:footnote>
  <w:footnote w:id="18">
    <w:p w:rsidR="007433E8" w:rsidRPr="003E12FA"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E12FA">
        <w:rPr>
          <w:w w:val="103"/>
          <w:rtl/>
        </w:rPr>
        <w:t>(</w:t>
      </w:r>
      <w:r w:rsidRPr="003E12FA">
        <w:rPr>
          <w:rStyle w:val="FootnoteReference"/>
          <w:spacing w:val="0"/>
          <w:w w:val="103"/>
          <w:vertAlign w:val="baseline"/>
          <w:rtl/>
        </w:rPr>
        <w:footnoteRef/>
      </w:r>
      <w:r w:rsidRPr="003E12FA">
        <w:rPr>
          <w:w w:val="103"/>
          <w:rtl/>
        </w:rPr>
        <w:t>)</w:t>
      </w:r>
      <w:r w:rsidRPr="003E12FA">
        <w:rPr>
          <w:w w:val="103"/>
          <w:rtl/>
        </w:rPr>
        <w:tab/>
      </w:r>
      <w:r>
        <w:rPr>
          <w:rFonts w:hint="cs"/>
          <w:w w:val="103"/>
          <w:rtl/>
        </w:rPr>
        <w:t>معهد الصحة الاجتماعية، 2004.</w:t>
      </w:r>
    </w:p>
  </w:footnote>
  <w:footnote w:id="19">
    <w:p w:rsidR="007433E8" w:rsidRPr="0004027B"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4027B">
        <w:rPr>
          <w:w w:val="103"/>
          <w:rtl/>
        </w:rPr>
        <w:t>(</w:t>
      </w:r>
      <w:r w:rsidRPr="0004027B">
        <w:rPr>
          <w:rStyle w:val="FootnoteReference"/>
          <w:spacing w:val="0"/>
          <w:w w:val="103"/>
          <w:vertAlign w:val="baseline"/>
          <w:rtl/>
        </w:rPr>
        <w:footnoteRef/>
      </w:r>
      <w:r w:rsidRPr="0004027B">
        <w:rPr>
          <w:w w:val="103"/>
          <w:rtl/>
        </w:rPr>
        <w:t>)</w:t>
      </w:r>
      <w:r w:rsidRPr="0004027B">
        <w:rPr>
          <w:w w:val="103"/>
          <w:rtl/>
        </w:rPr>
        <w:tab/>
      </w:r>
      <w:r>
        <w:rPr>
          <w:rFonts w:hint="cs"/>
          <w:w w:val="103"/>
          <w:rtl/>
        </w:rPr>
        <w:t>الحالة الراهنة لوفيات الأمهات، 2001، 2002، 2003، وزارة الصحة، مركز بحوث الأم والطفل.</w:t>
      </w:r>
    </w:p>
  </w:footnote>
  <w:footnote w:id="20">
    <w:p w:rsidR="007433E8" w:rsidRPr="004D5822"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4D5822">
        <w:rPr>
          <w:w w:val="103"/>
          <w:rtl/>
        </w:rPr>
        <w:t>(</w:t>
      </w:r>
      <w:r w:rsidRPr="004D5822">
        <w:rPr>
          <w:rStyle w:val="FootnoteReference"/>
          <w:spacing w:val="0"/>
          <w:w w:val="103"/>
          <w:vertAlign w:val="baseline"/>
          <w:rtl/>
        </w:rPr>
        <w:footnoteRef/>
      </w:r>
      <w:r w:rsidRPr="004D5822">
        <w:rPr>
          <w:w w:val="103"/>
          <w:rtl/>
        </w:rPr>
        <w:t>)</w:t>
      </w:r>
      <w:r w:rsidRPr="004D5822">
        <w:rPr>
          <w:w w:val="103"/>
          <w:rtl/>
        </w:rPr>
        <w:tab/>
      </w:r>
      <w:r>
        <w:rPr>
          <w:rFonts w:hint="cs"/>
          <w:w w:val="103"/>
          <w:rtl/>
        </w:rPr>
        <w:t>دراسة استقصائية للصحة الإنجابية، أولانباتار، 2003، المكتب الوطني للإحصاءات، صندوق الأمم المتحدة للسكان.</w:t>
      </w:r>
    </w:p>
  </w:footnote>
  <w:footnote w:id="21">
    <w:p w:rsidR="007433E8" w:rsidRPr="000F03D8"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F03D8">
        <w:rPr>
          <w:w w:val="103"/>
          <w:rtl/>
        </w:rPr>
        <w:t>(</w:t>
      </w:r>
      <w:r w:rsidRPr="000F03D8">
        <w:rPr>
          <w:rStyle w:val="FootnoteReference"/>
          <w:spacing w:val="0"/>
          <w:w w:val="103"/>
          <w:vertAlign w:val="baseline"/>
          <w:rtl/>
        </w:rPr>
        <w:footnoteRef/>
      </w:r>
      <w:r w:rsidRPr="000F03D8">
        <w:rPr>
          <w:w w:val="103"/>
          <w:rtl/>
        </w:rPr>
        <w:t>)</w:t>
      </w:r>
      <w:r w:rsidRPr="000F03D8">
        <w:rPr>
          <w:w w:val="103"/>
          <w:rtl/>
        </w:rPr>
        <w:tab/>
      </w:r>
      <w:r>
        <w:rPr>
          <w:rFonts w:hint="cs"/>
          <w:w w:val="103"/>
          <w:rtl/>
        </w:rPr>
        <w:t>قطاع الصحة، 2003.</w:t>
      </w:r>
    </w:p>
  </w:footnote>
  <w:footnote w:id="22">
    <w:p w:rsidR="007433E8" w:rsidRPr="003C074D"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C074D">
        <w:rPr>
          <w:w w:val="103"/>
          <w:rtl/>
        </w:rPr>
        <w:t>(</w:t>
      </w:r>
      <w:r w:rsidRPr="003C074D">
        <w:rPr>
          <w:rStyle w:val="FootnoteReference"/>
          <w:spacing w:val="0"/>
          <w:w w:val="103"/>
          <w:vertAlign w:val="baseline"/>
          <w:rtl/>
        </w:rPr>
        <w:footnoteRef/>
      </w:r>
      <w:r w:rsidRPr="003C074D">
        <w:rPr>
          <w:w w:val="103"/>
          <w:rtl/>
        </w:rPr>
        <w:t>)</w:t>
      </w:r>
      <w:r w:rsidRPr="003C074D">
        <w:rPr>
          <w:w w:val="103"/>
          <w:rtl/>
        </w:rPr>
        <w:tab/>
      </w:r>
      <w:r>
        <w:rPr>
          <w:rFonts w:hint="cs"/>
          <w:w w:val="103"/>
          <w:rtl/>
        </w:rPr>
        <w:t>التقرير الوطني المتعلق بالأهداف الإنمائية للألفية، 2003.</w:t>
      </w:r>
    </w:p>
  </w:footnote>
  <w:footnote w:id="23">
    <w:p w:rsidR="007433E8" w:rsidRPr="003C074D"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C074D">
        <w:rPr>
          <w:w w:val="103"/>
          <w:rtl/>
        </w:rPr>
        <w:t>(</w:t>
      </w:r>
      <w:r w:rsidRPr="003C074D">
        <w:rPr>
          <w:rStyle w:val="FootnoteReference"/>
          <w:spacing w:val="0"/>
          <w:w w:val="103"/>
          <w:vertAlign w:val="baseline"/>
          <w:rtl/>
        </w:rPr>
        <w:footnoteRef/>
      </w:r>
      <w:r w:rsidRPr="003C074D">
        <w:rPr>
          <w:w w:val="103"/>
          <w:rtl/>
        </w:rPr>
        <w:t>)</w:t>
      </w:r>
      <w:r w:rsidRPr="003C074D">
        <w:rPr>
          <w:w w:val="103"/>
          <w:rtl/>
        </w:rPr>
        <w:tab/>
      </w:r>
      <w:r>
        <w:rPr>
          <w:rFonts w:hint="cs"/>
          <w:w w:val="103"/>
          <w:rtl/>
        </w:rPr>
        <w:t>إحصاءات الصحة، 2004.</w:t>
      </w:r>
    </w:p>
  </w:footnote>
  <w:footnote w:id="24">
    <w:p w:rsidR="007433E8" w:rsidRPr="003C074D"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C074D">
        <w:rPr>
          <w:w w:val="103"/>
          <w:rtl/>
        </w:rPr>
        <w:t>(</w:t>
      </w:r>
      <w:r w:rsidRPr="003C074D">
        <w:rPr>
          <w:rStyle w:val="FootnoteReference"/>
          <w:spacing w:val="0"/>
          <w:w w:val="103"/>
          <w:vertAlign w:val="baseline"/>
          <w:rtl/>
        </w:rPr>
        <w:footnoteRef/>
      </w:r>
      <w:r w:rsidRPr="003C074D">
        <w:rPr>
          <w:w w:val="103"/>
          <w:rtl/>
        </w:rPr>
        <w:t>)</w:t>
      </w:r>
      <w:r w:rsidRPr="003C074D">
        <w:rPr>
          <w:w w:val="103"/>
          <w:rtl/>
        </w:rPr>
        <w:tab/>
      </w:r>
      <w:r>
        <w:rPr>
          <w:rFonts w:hint="cs"/>
          <w:w w:val="103"/>
          <w:rtl/>
        </w:rPr>
        <w:t>إحصاءات الصحة، 2004.</w:t>
      </w:r>
    </w:p>
  </w:footnote>
  <w:footnote w:id="25">
    <w:p w:rsidR="007433E8" w:rsidRPr="001F61F6"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F61F6">
        <w:rPr>
          <w:w w:val="103"/>
          <w:rtl/>
        </w:rPr>
        <w:t>(</w:t>
      </w:r>
      <w:r w:rsidRPr="001F61F6">
        <w:rPr>
          <w:rStyle w:val="FootnoteReference"/>
          <w:spacing w:val="0"/>
          <w:w w:val="103"/>
          <w:vertAlign w:val="baseline"/>
          <w:rtl/>
        </w:rPr>
        <w:footnoteRef/>
      </w:r>
      <w:r w:rsidRPr="001F61F6">
        <w:rPr>
          <w:w w:val="103"/>
          <w:rtl/>
        </w:rPr>
        <w:t>)</w:t>
      </w:r>
      <w:r w:rsidRPr="001F61F6">
        <w:rPr>
          <w:w w:val="103"/>
          <w:rtl/>
        </w:rPr>
        <w:tab/>
      </w:r>
      <w:r>
        <w:rPr>
          <w:rFonts w:hint="cs"/>
          <w:w w:val="103"/>
          <w:rtl/>
        </w:rPr>
        <w:t>لماذا تتوفى الأم؟ 2006، مصرف التنمية الآسيوي، مركز بحوث الأم والطفل.</w:t>
      </w:r>
    </w:p>
  </w:footnote>
  <w:footnote w:id="26">
    <w:p w:rsidR="007433E8" w:rsidRPr="00670C78"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70C78">
        <w:rPr>
          <w:w w:val="103"/>
          <w:rtl/>
        </w:rPr>
        <w:t>(</w:t>
      </w:r>
      <w:r w:rsidRPr="00670C78">
        <w:rPr>
          <w:rStyle w:val="FootnoteReference"/>
          <w:spacing w:val="0"/>
          <w:w w:val="103"/>
          <w:vertAlign w:val="baseline"/>
          <w:rtl/>
        </w:rPr>
        <w:footnoteRef/>
      </w:r>
      <w:r w:rsidRPr="00670C78">
        <w:rPr>
          <w:w w:val="103"/>
          <w:rtl/>
        </w:rPr>
        <w:t>)</w:t>
      </w:r>
      <w:r w:rsidRPr="00670C78">
        <w:rPr>
          <w:w w:val="103"/>
          <w:rtl/>
        </w:rPr>
        <w:tab/>
      </w:r>
      <w:r>
        <w:rPr>
          <w:rFonts w:hint="cs"/>
          <w:w w:val="103"/>
          <w:rtl/>
        </w:rPr>
        <w:t>إحصاءات الصحة، 2003.</w:t>
      </w:r>
    </w:p>
  </w:footnote>
  <w:footnote w:id="27">
    <w:p w:rsidR="007433E8" w:rsidRPr="00670C78"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70C78">
        <w:rPr>
          <w:w w:val="103"/>
          <w:rtl/>
        </w:rPr>
        <w:t>(</w:t>
      </w:r>
      <w:r w:rsidRPr="00670C78">
        <w:rPr>
          <w:rStyle w:val="FootnoteReference"/>
          <w:spacing w:val="0"/>
          <w:w w:val="103"/>
          <w:vertAlign w:val="baseline"/>
          <w:rtl/>
        </w:rPr>
        <w:footnoteRef/>
      </w:r>
      <w:r w:rsidRPr="00670C78">
        <w:rPr>
          <w:w w:val="103"/>
          <w:rtl/>
        </w:rPr>
        <w:t>)</w:t>
      </w:r>
      <w:r w:rsidRPr="00670C78">
        <w:rPr>
          <w:w w:val="103"/>
          <w:rtl/>
        </w:rPr>
        <w:tab/>
      </w:r>
      <w:r>
        <w:rPr>
          <w:rFonts w:hint="cs"/>
          <w:w w:val="103"/>
          <w:rtl/>
        </w:rPr>
        <w:t>تقييم الاستراتيجية المتعلقة بتحسين نوعية خدمات الإجهاض وتنظيم الأسرة والحد من الإجهاض المتكرر، 2003.</w:t>
      </w:r>
    </w:p>
  </w:footnote>
  <w:footnote w:id="28">
    <w:p w:rsidR="007433E8" w:rsidRPr="00F91FA8"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91FA8">
        <w:rPr>
          <w:w w:val="103"/>
          <w:rtl/>
        </w:rPr>
        <w:t>(</w:t>
      </w:r>
      <w:r w:rsidRPr="00F91FA8">
        <w:rPr>
          <w:rStyle w:val="FootnoteReference"/>
          <w:spacing w:val="0"/>
          <w:w w:val="103"/>
          <w:vertAlign w:val="baseline"/>
          <w:rtl/>
        </w:rPr>
        <w:footnoteRef/>
      </w:r>
      <w:r w:rsidRPr="00F91FA8">
        <w:rPr>
          <w:w w:val="103"/>
          <w:rtl/>
        </w:rPr>
        <w:t>)</w:t>
      </w:r>
      <w:r w:rsidRPr="00F91FA8">
        <w:rPr>
          <w:w w:val="103"/>
          <w:rtl/>
        </w:rPr>
        <w:tab/>
      </w:r>
      <w:r>
        <w:rPr>
          <w:rFonts w:hint="cs"/>
          <w:w w:val="103"/>
          <w:rtl/>
        </w:rPr>
        <w:t>لماذا تموت الأم؟ 2006، مصرف التنمية الآسيوي، مركز بحوث الأم والطفل.</w:t>
      </w:r>
    </w:p>
  </w:footnote>
  <w:footnote w:id="29">
    <w:p w:rsidR="007433E8" w:rsidRPr="000D5F0D"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D5F0D">
        <w:rPr>
          <w:w w:val="103"/>
          <w:rtl/>
        </w:rPr>
        <w:t>(</w:t>
      </w:r>
      <w:r w:rsidRPr="000D5F0D">
        <w:rPr>
          <w:rStyle w:val="FootnoteReference"/>
          <w:spacing w:val="0"/>
          <w:w w:val="103"/>
          <w:vertAlign w:val="baseline"/>
          <w:rtl/>
        </w:rPr>
        <w:footnoteRef/>
      </w:r>
      <w:r w:rsidRPr="000D5F0D">
        <w:rPr>
          <w:w w:val="103"/>
          <w:rtl/>
        </w:rPr>
        <w:t>)</w:t>
      </w:r>
      <w:r w:rsidRPr="000D5F0D">
        <w:rPr>
          <w:w w:val="103"/>
          <w:rtl/>
        </w:rPr>
        <w:tab/>
      </w:r>
      <w:r>
        <w:rPr>
          <w:rFonts w:hint="cs"/>
          <w:w w:val="103"/>
          <w:rtl/>
        </w:rPr>
        <w:t>مؤشرات الصحة، 2004.</w:t>
      </w:r>
    </w:p>
  </w:footnote>
  <w:footnote w:id="30">
    <w:p w:rsidR="007433E8" w:rsidRPr="005104D1"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5104D1">
        <w:rPr>
          <w:w w:val="103"/>
          <w:rtl/>
        </w:rPr>
        <w:t>(</w:t>
      </w:r>
      <w:r w:rsidRPr="005104D1">
        <w:rPr>
          <w:rStyle w:val="FootnoteReference"/>
          <w:spacing w:val="0"/>
          <w:w w:val="103"/>
          <w:vertAlign w:val="baseline"/>
          <w:rtl/>
        </w:rPr>
        <w:footnoteRef/>
      </w:r>
      <w:r w:rsidRPr="005104D1">
        <w:rPr>
          <w:w w:val="103"/>
          <w:rtl/>
        </w:rPr>
        <w:t>)</w:t>
      </w:r>
      <w:r w:rsidRPr="005104D1">
        <w:rPr>
          <w:w w:val="103"/>
          <w:rtl/>
        </w:rPr>
        <w:tab/>
      </w:r>
      <w:r>
        <w:rPr>
          <w:rFonts w:hint="cs"/>
          <w:w w:val="103"/>
          <w:rtl/>
        </w:rPr>
        <w:t>مؤشرات الصحة، 2004.</w:t>
      </w:r>
    </w:p>
  </w:footnote>
  <w:footnote w:id="31">
    <w:p w:rsidR="007433E8" w:rsidRPr="005104D1"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5104D1">
        <w:rPr>
          <w:w w:val="103"/>
          <w:rtl/>
        </w:rPr>
        <w:t>(</w:t>
      </w:r>
      <w:r w:rsidRPr="005104D1">
        <w:rPr>
          <w:rStyle w:val="FootnoteReference"/>
          <w:spacing w:val="0"/>
          <w:w w:val="103"/>
          <w:vertAlign w:val="baseline"/>
          <w:rtl/>
        </w:rPr>
        <w:footnoteRef/>
      </w:r>
      <w:r w:rsidRPr="005104D1">
        <w:rPr>
          <w:w w:val="103"/>
          <w:rtl/>
        </w:rPr>
        <w:t>)</w:t>
      </w:r>
      <w:r w:rsidRPr="005104D1">
        <w:rPr>
          <w:w w:val="103"/>
          <w:rtl/>
        </w:rPr>
        <w:tab/>
      </w:r>
      <w:r>
        <w:rPr>
          <w:rFonts w:hint="cs"/>
          <w:w w:val="103"/>
          <w:rtl/>
        </w:rPr>
        <w:t>الخطة الرئيسية لقطاع الصحة.</w:t>
      </w:r>
    </w:p>
  </w:footnote>
  <w:footnote w:id="32">
    <w:p w:rsidR="007433E8" w:rsidRPr="005104D1"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5104D1">
        <w:rPr>
          <w:w w:val="103"/>
          <w:rtl/>
        </w:rPr>
        <w:t>(</w:t>
      </w:r>
      <w:r w:rsidRPr="005104D1">
        <w:rPr>
          <w:rStyle w:val="FootnoteReference"/>
          <w:spacing w:val="0"/>
          <w:w w:val="103"/>
          <w:vertAlign w:val="baseline"/>
          <w:rtl/>
        </w:rPr>
        <w:footnoteRef/>
      </w:r>
      <w:r w:rsidRPr="005104D1">
        <w:rPr>
          <w:w w:val="103"/>
          <w:rtl/>
        </w:rPr>
        <w:t>)</w:t>
      </w:r>
      <w:r w:rsidRPr="005104D1">
        <w:rPr>
          <w:w w:val="103"/>
          <w:rtl/>
        </w:rPr>
        <w:tab/>
      </w:r>
      <w:r>
        <w:rPr>
          <w:rFonts w:hint="cs"/>
          <w:w w:val="103"/>
          <w:rtl/>
        </w:rPr>
        <w:t>البرنامج الوطني المتعلق بصحة المسنين.</w:t>
      </w:r>
    </w:p>
  </w:footnote>
  <w:footnote w:id="33">
    <w:p w:rsidR="007433E8" w:rsidRPr="0038179E"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8179E">
        <w:rPr>
          <w:w w:val="103"/>
          <w:rtl/>
        </w:rPr>
        <w:t>(</w:t>
      </w:r>
      <w:r w:rsidRPr="0038179E">
        <w:rPr>
          <w:rStyle w:val="FootnoteReference"/>
          <w:spacing w:val="0"/>
          <w:w w:val="103"/>
          <w:vertAlign w:val="baseline"/>
          <w:rtl/>
        </w:rPr>
        <w:footnoteRef/>
      </w:r>
      <w:r w:rsidRPr="0038179E">
        <w:rPr>
          <w:w w:val="103"/>
          <w:rtl/>
        </w:rPr>
        <w:t>)</w:t>
      </w:r>
      <w:r w:rsidRPr="0038179E">
        <w:rPr>
          <w:w w:val="103"/>
          <w:rtl/>
        </w:rPr>
        <w:tab/>
      </w:r>
      <w:r>
        <w:rPr>
          <w:rFonts w:hint="cs"/>
          <w:w w:val="103"/>
          <w:rtl/>
        </w:rPr>
        <w:t>تقرير التنمية البشرية في العالم، 2004، 2005.</w:t>
      </w:r>
    </w:p>
  </w:footnote>
  <w:footnote w:id="34">
    <w:p w:rsidR="007433E8" w:rsidRPr="0038179E"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8179E">
        <w:rPr>
          <w:w w:val="103"/>
          <w:rtl/>
        </w:rPr>
        <w:t>(</w:t>
      </w:r>
      <w:r w:rsidRPr="0038179E">
        <w:rPr>
          <w:rStyle w:val="FootnoteReference"/>
          <w:spacing w:val="0"/>
          <w:w w:val="103"/>
          <w:vertAlign w:val="baseline"/>
          <w:rtl/>
        </w:rPr>
        <w:footnoteRef/>
      </w:r>
      <w:r w:rsidRPr="0038179E">
        <w:rPr>
          <w:w w:val="103"/>
          <w:rtl/>
        </w:rPr>
        <w:t>)</w:t>
      </w:r>
      <w:r w:rsidRPr="0038179E">
        <w:rPr>
          <w:w w:val="103"/>
          <w:rtl/>
        </w:rPr>
        <w:tab/>
      </w:r>
      <w:r>
        <w:rPr>
          <w:rFonts w:hint="cs"/>
          <w:w w:val="103"/>
          <w:rtl/>
        </w:rPr>
        <w:t>مؤشرات التنمية البشرية في العالم، 2004.</w:t>
      </w:r>
    </w:p>
  </w:footnote>
  <w:footnote w:id="35">
    <w:p w:rsidR="007433E8" w:rsidRPr="0038179E"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38179E">
        <w:rPr>
          <w:w w:val="103"/>
          <w:rtl/>
        </w:rPr>
        <w:t>(</w:t>
      </w:r>
      <w:r w:rsidRPr="0038179E">
        <w:rPr>
          <w:rStyle w:val="FootnoteReference"/>
          <w:spacing w:val="0"/>
          <w:w w:val="103"/>
          <w:vertAlign w:val="baseline"/>
          <w:rtl/>
        </w:rPr>
        <w:footnoteRef/>
      </w:r>
      <w:r w:rsidRPr="0038179E">
        <w:rPr>
          <w:w w:val="103"/>
          <w:rtl/>
        </w:rPr>
        <w:t>)</w:t>
      </w:r>
      <w:r w:rsidRPr="0038179E">
        <w:rPr>
          <w:w w:val="103"/>
          <w:rtl/>
        </w:rPr>
        <w:tab/>
      </w:r>
      <w:r>
        <w:rPr>
          <w:rFonts w:hint="cs"/>
          <w:w w:val="103"/>
          <w:rtl/>
        </w:rPr>
        <w:t>الدراسة الاستقصائية لقياس مستوى المعيشة، 2002/2003.</w:t>
      </w:r>
    </w:p>
  </w:footnote>
  <w:footnote w:id="36">
    <w:p w:rsidR="007433E8" w:rsidRPr="00D568E8"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D568E8">
        <w:rPr>
          <w:w w:val="103"/>
          <w:rtl/>
        </w:rPr>
        <w:t>(</w:t>
      </w:r>
      <w:r w:rsidRPr="00D568E8">
        <w:rPr>
          <w:rStyle w:val="FootnoteReference"/>
          <w:spacing w:val="0"/>
          <w:w w:val="103"/>
          <w:vertAlign w:val="baseline"/>
          <w:rtl/>
        </w:rPr>
        <w:footnoteRef/>
      </w:r>
      <w:r w:rsidRPr="00D568E8">
        <w:rPr>
          <w:w w:val="103"/>
          <w:rtl/>
        </w:rPr>
        <w:t>)</w:t>
      </w:r>
      <w:r w:rsidRPr="00D568E8">
        <w:rPr>
          <w:w w:val="103"/>
          <w:rtl/>
        </w:rPr>
        <w:tab/>
      </w:r>
      <w:r>
        <w:rPr>
          <w:rFonts w:hint="cs"/>
          <w:w w:val="103"/>
          <w:rtl/>
        </w:rPr>
        <w:t>الحولية السنوية للإحصاءات، المكتب الوطني للإحصاءات، أولانبتار 2005.</w:t>
      </w:r>
    </w:p>
  </w:footnote>
  <w:footnote w:id="37">
    <w:p w:rsidR="007433E8" w:rsidRPr="001A434A"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A434A">
        <w:rPr>
          <w:w w:val="103"/>
          <w:rtl/>
        </w:rPr>
        <w:t>(</w:t>
      </w:r>
      <w:r w:rsidRPr="001A434A">
        <w:rPr>
          <w:rStyle w:val="FootnoteReference"/>
          <w:spacing w:val="0"/>
          <w:w w:val="103"/>
          <w:vertAlign w:val="baseline"/>
          <w:rtl/>
        </w:rPr>
        <w:footnoteRef/>
      </w:r>
      <w:r w:rsidRPr="001A434A">
        <w:rPr>
          <w:w w:val="103"/>
          <w:rtl/>
        </w:rPr>
        <w:t>)</w:t>
      </w:r>
      <w:r w:rsidRPr="001A434A">
        <w:rPr>
          <w:w w:val="103"/>
          <w:rtl/>
        </w:rPr>
        <w:tab/>
      </w:r>
      <w:r>
        <w:rPr>
          <w:rFonts w:hint="cs"/>
          <w:w w:val="103"/>
          <w:rtl/>
        </w:rPr>
        <w:t>الوثيقة الاستراتيجية لقطاع الضمان الاجتماعي، وزارة الرعاية الإجتماعية والعمل، 2003.</w:t>
      </w:r>
    </w:p>
  </w:footnote>
  <w:footnote w:id="38">
    <w:p w:rsidR="007433E8" w:rsidRPr="00E513A1"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513A1">
        <w:rPr>
          <w:w w:val="103"/>
          <w:rtl/>
        </w:rPr>
        <w:t>(</w:t>
      </w:r>
      <w:r w:rsidRPr="00E513A1">
        <w:rPr>
          <w:rStyle w:val="FootnoteReference"/>
          <w:spacing w:val="0"/>
          <w:w w:val="103"/>
          <w:vertAlign w:val="baseline"/>
          <w:rtl/>
        </w:rPr>
        <w:footnoteRef/>
      </w:r>
      <w:r w:rsidRPr="00E513A1">
        <w:rPr>
          <w:w w:val="103"/>
          <w:rtl/>
        </w:rPr>
        <w:t>)</w:t>
      </w:r>
      <w:r w:rsidRPr="00E513A1">
        <w:rPr>
          <w:w w:val="103"/>
          <w:rtl/>
        </w:rPr>
        <w:tab/>
      </w:r>
      <w:r>
        <w:rPr>
          <w:rFonts w:hint="cs"/>
          <w:w w:val="103"/>
          <w:rtl/>
        </w:rPr>
        <w:t>الحولية السنوية للإحصاءات، المكتب الوطني للإحصاءات، أولانباتار، 2005.</w:t>
      </w:r>
    </w:p>
  </w:footnote>
  <w:footnote w:id="39">
    <w:p w:rsidR="007433E8" w:rsidRPr="00B527C7"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527C7">
        <w:rPr>
          <w:w w:val="103"/>
          <w:rtl/>
        </w:rPr>
        <w:t>(</w:t>
      </w:r>
      <w:r w:rsidRPr="00B527C7">
        <w:rPr>
          <w:rStyle w:val="FootnoteReference"/>
          <w:spacing w:val="0"/>
          <w:w w:val="103"/>
          <w:vertAlign w:val="baseline"/>
          <w:rtl/>
        </w:rPr>
        <w:footnoteRef/>
      </w:r>
      <w:r w:rsidRPr="00B527C7">
        <w:rPr>
          <w:w w:val="103"/>
          <w:rtl/>
        </w:rPr>
        <w:t>)</w:t>
      </w:r>
      <w:r w:rsidRPr="00B527C7">
        <w:rPr>
          <w:w w:val="103"/>
          <w:rtl/>
        </w:rPr>
        <w:tab/>
      </w:r>
      <w:r>
        <w:rPr>
          <w:rFonts w:hint="cs"/>
          <w:w w:val="103"/>
          <w:rtl/>
        </w:rPr>
        <w:t>الحولية السنوية للإحصاءات، المكتب الوطني للإحصاءات، أولانباتار، 2005.</w:t>
      </w:r>
    </w:p>
  </w:footnote>
  <w:footnote w:id="40">
    <w:p w:rsidR="007433E8" w:rsidRPr="00661BE8"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61BE8">
        <w:rPr>
          <w:w w:val="103"/>
          <w:rtl/>
        </w:rPr>
        <w:t>(</w:t>
      </w:r>
      <w:r w:rsidRPr="00661BE8">
        <w:rPr>
          <w:rStyle w:val="FootnoteReference"/>
          <w:spacing w:val="0"/>
          <w:w w:val="103"/>
          <w:vertAlign w:val="baseline"/>
          <w:rtl/>
        </w:rPr>
        <w:footnoteRef/>
      </w:r>
      <w:r w:rsidRPr="00661BE8">
        <w:rPr>
          <w:w w:val="103"/>
          <w:rtl/>
        </w:rPr>
        <w:t>)</w:t>
      </w:r>
      <w:r w:rsidRPr="00661BE8">
        <w:rPr>
          <w:w w:val="103"/>
          <w:rtl/>
        </w:rPr>
        <w:tab/>
      </w:r>
      <w:r>
        <w:rPr>
          <w:rFonts w:hint="cs"/>
          <w:w w:val="103"/>
          <w:rtl/>
        </w:rPr>
        <w:t>التقرير السنوي للعمالة، المكتب الوطني للإحصاءات، 2005.</w:t>
      </w:r>
    </w:p>
  </w:footnote>
  <w:footnote w:id="41">
    <w:p w:rsidR="007433E8" w:rsidRPr="00CC7100"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C7100">
        <w:rPr>
          <w:w w:val="103"/>
          <w:rtl/>
        </w:rPr>
        <w:t>(</w:t>
      </w:r>
      <w:r w:rsidRPr="00CC7100">
        <w:rPr>
          <w:rStyle w:val="FootnoteReference"/>
          <w:spacing w:val="0"/>
          <w:w w:val="103"/>
          <w:vertAlign w:val="baseline"/>
          <w:rtl/>
        </w:rPr>
        <w:footnoteRef/>
      </w:r>
      <w:r w:rsidRPr="00CC7100">
        <w:rPr>
          <w:w w:val="103"/>
          <w:rtl/>
        </w:rPr>
        <w:t>)</w:t>
      </w:r>
      <w:r w:rsidRPr="00CC7100">
        <w:rPr>
          <w:w w:val="103"/>
          <w:rtl/>
        </w:rPr>
        <w:tab/>
      </w:r>
      <w:r>
        <w:rPr>
          <w:w w:val="103"/>
        </w:rPr>
        <w:t xml:space="preserve">K. </w:t>
      </w:r>
      <w:smartTag w:uri="urn:schemas-microsoft-com:office:smarttags" w:element="place">
        <w:smartTag w:uri="urn:schemas-microsoft-com:office:smarttags" w:element="City">
          <w:r>
            <w:rPr>
              <w:w w:val="103"/>
            </w:rPr>
            <w:t>Griffin</w:t>
          </w:r>
        </w:smartTag>
      </w:smartTag>
      <w:r>
        <w:rPr>
          <w:w w:val="103"/>
        </w:rPr>
        <w:t>. Poverty and Transition to market economy in Mongolia</w:t>
      </w:r>
      <w:r>
        <w:rPr>
          <w:rFonts w:hint="cs"/>
          <w:w w:val="103"/>
          <w:rtl/>
        </w:rPr>
        <w:t>، برنامج الأمم المتحدة الإنمائي، أولانباتار، 1994.</w:t>
      </w:r>
    </w:p>
  </w:footnote>
  <w:footnote w:id="42">
    <w:p w:rsidR="007433E8" w:rsidRPr="001712A5"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712A5">
        <w:rPr>
          <w:w w:val="103"/>
          <w:rtl/>
        </w:rPr>
        <w:t>(</w:t>
      </w:r>
      <w:r w:rsidRPr="001712A5">
        <w:rPr>
          <w:rStyle w:val="FootnoteReference"/>
          <w:spacing w:val="0"/>
          <w:w w:val="103"/>
          <w:vertAlign w:val="baseline"/>
          <w:rtl/>
        </w:rPr>
        <w:footnoteRef/>
      </w:r>
      <w:r w:rsidRPr="001712A5">
        <w:rPr>
          <w:w w:val="103"/>
          <w:rtl/>
        </w:rPr>
        <w:t>)</w:t>
      </w:r>
      <w:r w:rsidRPr="001712A5">
        <w:rPr>
          <w:w w:val="103"/>
          <w:rtl/>
        </w:rPr>
        <w:tab/>
      </w:r>
      <w:r>
        <w:rPr>
          <w:w w:val="103"/>
        </w:rPr>
        <w:t>Privatization, Income distribution and Poverty,  survey report, Ministry of Finance, UNDP, UB, 2004</w:t>
      </w:r>
      <w:r>
        <w:rPr>
          <w:rFonts w:hint="cs"/>
          <w:w w:val="103"/>
          <w:rtl/>
        </w:rPr>
        <w:t>.</w:t>
      </w:r>
    </w:p>
  </w:footnote>
  <w:footnote w:id="43">
    <w:p w:rsidR="007433E8" w:rsidRPr="00FD24A0"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D24A0">
        <w:rPr>
          <w:w w:val="103"/>
          <w:rtl/>
        </w:rPr>
        <w:t>(</w:t>
      </w:r>
      <w:r w:rsidRPr="00FD24A0">
        <w:rPr>
          <w:rStyle w:val="FootnoteReference"/>
          <w:spacing w:val="0"/>
          <w:w w:val="103"/>
          <w:vertAlign w:val="baseline"/>
          <w:rtl/>
        </w:rPr>
        <w:footnoteRef/>
      </w:r>
      <w:r w:rsidRPr="00FD24A0">
        <w:rPr>
          <w:w w:val="103"/>
          <w:rtl/>
        </w:rPr>
        <w:t>)</w:t>
      </w:r>
      <w:r w:rsidRPr="00FD24A0">
        <w:rPr>
          <w:w w:val="103"/>
          <w:rtl/>
        </w:rPr>
        <w:tab/>
      </w:r>
      <w:r>
        <w:rPr>
          <w:w w:val="103"/>
        </w:rPr>
        <w:t>Privatization, Income distribution and Poverty,  survey report, Ministry of Finance, UNDP, UB, 2004</w:t>
      </w:r>
      <w:r>
        <w:rPr>
          <w:rFonts w:hint="cs"/>
          <w:w w:val="103"/>
          <w:rtl/>
        </w:rPr>
        <w:t>.</w:t>
      </w:r>
    </w:p>
  </w:footnote>
  <w:footnote w:id="44">
    <w:p w:rsidR="007433E8" w:rsidRPr="00FD24A0"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D24A0">
        <w:rPr>
          <w:w w:val="103"/>
          <w:rtl/>
        </w:rPr>
        <w:t>(</w:t>
      </w:r>
      <w:r w:rsidRPr="00FD24A0">
        <w:rPr>
          <w:rStyle w:val="FootnoteReference"/>
          <w:spacing w:val="0"/>
          <w:w w:val="103"/>
          <w:vertAlign w:val="baseline"/>
          <w:rtl/>
        </w:rPr>
        <w:footnoteRef/>
      </w:r>
      <w:r w:rsidRPr="00FD24A0">
        <w:rPr>
          <w:w w:val="103"/>
          <w:rtl/>
        </w:rPr>
        <w:t>)</w:t>
      </w:r>
      <w:r w:rsidRPr="00FD24A0">
        <w:rPr>
          <w:w w:val="103"/>
          <w:rtl/>
        </w:rPr>
        <w:tab/>
      </w:r>
      <w:r>
        <w:rPr>
          <w:w w:val="103"/>
        </w:rPr>
        <w:t>Privatization, Income distribution and Poverty,  survey report, Ministry of Finance, UNDP, UB, 2004</w:t>
      </w:r>
      <w:r>
        <w:rPr>
          <w:rFonts w:hint="cs"/>
          <w:w w:val="103"/>
          <w:rtl/>
        </w:rPr>
        <w:t>.</w:t>
      </w:r>
    </w:p>
  </w:footnote>
  <w:footnote w:id="45">
    <w:p w:rsidR="007433E8" w:rsidRPr="00F561DC"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561DC">
        <w:rPr>
          <w:w w:val="103"/>
          <w:rtl/>
        </w:rPr>
        <w:t>(</w:t>
      </w:r>
      <w:r w:rsidRPr="00F561DC">
        <w:rPr>
          <w:rStyle w:val="FootnoteReference"/>
          <w:spacing w:val="0"/>
          <w:w w:val="103"/>
          <w:vertAlign w:val="baseline"/>
          <w:rtl/>
        </w:rPr>
        <w:footnoteRef/>
      </w:r>
      <w:r w:rsidRPr="00F561DC">
        <w:rPr>
          <w:w w:val="103"/>
          <w:rtl/>
        </w:rPr>
        <w:t>)</w:t>
      </w:r>
      <w:r w:rsidRPr="00F561DC">
        <w:rPr>
          <w:w w:val="103"/>
          <w:rtl/>
        </w:rPr>
        <w:tab/>
      </w:r>
      <w:r>
        <w:rPr>
          <w:rFonts w:hint="cs"/>
          <w:w w:val="103"/>
          <w:rtl/>
        </w:rPr>
        <w:t>التقييم الجنساني القطري، مصرف التنمية الآسيوي، البنك الدولي، 2005.</w:t>
      </w:r>
    </w:p>
  </w:footnote>
  <w:footnote w:id="46">
    <w:p w:rsidR="007433E8" w:rsidRPr="00F561DC"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561DC">
        <w:rPr>
          <w:w w:val="103"/>
          <w:rtl/>
        </w:rPr>
        <w:t>(</w:t>
      </w:r>
      <w:r w:rsidRPr="00F561DC">
        <w:rPr>
          <w:rStyle w:val="FootnoteReference"/>
          <w:spacing w:val="0"/>
          <w:w w:val="103"/>
          <w:vertAlign w:val="baseline"/>
          <w:rtl/>
        </w:rPr>
        <w:footnoteRef/>
      </w:r>
      <w:r w:rsidRPr="00F561DC">
        <w:rPr>
          <w:w w:val="103"/>
          <w:rtl/>
        </w:rPr>
        <w:t>)</w:t>
      </w:r>
      <w:r w:rsidRPr="00F561DC">
        <w:rPr>
          <w:w w:val="103"/>
          <w:rtl/>
        </w:rPr>
        <w:tab/>
      </w:r>
      <w:r>
        <w:rPr>
          <w:rFonts w:hint="cs"/>
          <w:w w:val="103"/>
          <w:rtl/>
        </w:rPr>
        <w:t>التقييم الجنساني القطري، مصرف التنمية الآسيوي، البنك الدولي، 2005.</w:t>
      </w:r>
    </w:p>
  </w:footnote>
  <w:footnote w:id="47">
    <w:p w:rsidR="007433E8" w:rsidRPr="00F429F5"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429F5">
        <w:rPr>
          <w:w w:val="103"/>
          <w:rtl/>
        </w:rPr>
        <w:t>(</w:t>
      </w:r>
      <w:r w:rsidRPr="00F429F5">
        <w:rPr>
          <w:rStyle w:val="FootnoteReference"/>
          <w:spacing w:val="0"/>
          <w:w w:val="103"/>
          <w:vertAlign w:val="baseline"/>
          <w:rtl/>
        </w:rPr>
        <w:footnoteRef/>
      </w:r>
      <w:r w:rsidRPr="00F429F5">
        <w:rPr>
          <w:w w:val="103"/>
          <w:rtl/>
        </w:rPr>
        <w:t>)</w:t>
      </w:r>
      <w:r w:rsidRPr="00F429F5">
        <w:rPr>
          <w:w w:val="103"/>
          <w:rtl/>
        </w:rPr>
        <w:tab/>
      </w:r>
      <w:r>
        <w:rPr>
          <w:rFonts w:hint="cs"/>
          <w:w w:val="103"/>
          <w:rtl/>
        </w:rPr>
        <w:t>التقرير المتعلق بحقوق الإنسان والحرية في منغوليا، 2002-2005، اللجنة الوطنية المنغولية لحقوق الإنسان، أولانباتار.</w:t>
      </w:r>
    </w:p>
  </w:footnote>
  <w:footnote w:id="48">
    <w:p w:rsidR="007433E8" w:rsidRPr="00E45CBB"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45CBB">
        <w:rPr>
          <w:w w:val="103"/>
          <w:rtl/>
        </w:rPr>
        <w:t>(</w:t>
      </w:r>
      <w:r w:rsidRPr="00E45CBB">
        <w:rPr>
          <w:rStyle w:val="FootnoteReference"/>
          <w:spacing w:val="0"/>
          <w:w w:val="103"/>
          <w:vertAlign w:val="baseline"/>
          <w:rtl/>
        </w:rPr>
        <w:footnoteRef/>
      </w:r>
      <w:r w:rsidRPr="00E45CBB">
        <w:rPr>
          <w:w w:val="103"/>
          <w:rtl/>
        </w:rPr>
        <w:t>)</w:t>
      </w:r>
      <w:r w:rsidRPr="00E45CBB">
        <w:rPr>
          <w:w w:val="103"/>
          <w:rtl/>
        </w:rPr>
        <w:tab/>
      </w:r>
      <w:r>
        <w:rPr>
          <w:w w:val="103"/>
        </w:rPr>
        <w:t xml:space="preserve">Presentation by Ms. Ichinnorov at the Conference on Participation of Women in politics: Challenges and Tendency, </w:t>
      </w:r>
      <w:smartTag w:uri="urn:schemas-microsoft-com:office:smarttags" w:element="place">
        <w:smartTag w:uri="urn:schemas-microsoft-com:office:smarttags" w:element="City">
          <w:r>
            <w:rPr>
              <w:w w:val="103"/>
            </w:rPr>
            <w:t>Ulaanbaatar</w:t>
          </w:r>
        </w:smartTag>
      </w:smartTag>
      <w:r>
        <w:rPr>
          <w:w w:val="103"/>
        </w:rPr>
        <w:t xml:space="preserve">, </w:t>
      </w:r>
      <w:smartTag w:uri="urn:schemas-microsoft-com:office:smarttags" w:element="date">
        <w:smartTagPr>
          <w:attr w:name="Year" w:val="2004"/>
          <w:attr w:name="Day" w:val="21"/>
          <w:attr w:name="Month" w:val="10"/>
        </w:smartTagPr>
        <w:r>
          <w:rPr>
            <w:w w:val="103"/>
          </w:rPr>
          <w:t>21 Oct. 2004</w:t>
        </w:r>
      </w:smartTag>
      <w:r>
        <w:rPr>
          <w:rFonts w:hint="cs"/>
          <w:w w:val="103"/>
          <w:rtl/>
        </w:rPr>
        <w:t>.</w:t>
      </w:r>
    </w:p>
  </w:footnote>
  <w:footnote w:id="49">
    <w:p w:rsidR="007433E8" w:rsidRPr="00E45CBB"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45CBB">
        <w:rPr>
          <w:w w:val="103"/>
          <w:rtl/>
        </w:rPr>
        <w:t>(</w:t>
      </w:r>
      <w:r w:rsidRPr="00E45CBB">
        <w:rPr>
          <w:rStyle w:val="FootnoteReference"/>
          <w:spacing w:val="0"/>
          <w:w w:val="103"/>
          <w:vertAlign w:val="baseline"/>
          <w:rtl/>
        </w:rPr>
        <w:footnoteRef/>
      </w:r>
      <w:r w:rsidRPr="00E45CBB">
        <w:rPr>
          <w:w w:val="103"/>
          <w:rtl/>
        </w:rPr>
        <w:t>)</w:t>
      </w:r>
      <w:r w:rsidRPr="00E45CBB">
        <w:rPr>
          <w:w w:val="103"/>
          <w:rtl/>
        </w:rPr>
        <w:tab/>
      </w:r>
      <w:r>
        <w:rPr>
          <w:rFonts w:hint="cs"/>
          <w:w w:val="103"/>
          <w:rtl/>
        </w:rPr>
        <w:t>التقييم الجنساني القطري، مصرف التنمية الآسيوي، البنك الدولي، 2005.</w:t>
      </w:r>
    </w:p>
  </w:footnote>
  <w:footnote w:id="50">
    <w:p w:rsidR="007433E8" w:rsidRPr="00001182"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01182">
        <w:rPr>
          <w:w w:val="103"/>
          <w:rtl/>
        </w:rPr>
        <w:t>(</w:t>
      </w:r>
      <w:r w:rsidRPr="00001182">
        <w:rPr>
          <w:rStyle w:val="FootnoteReference"/>
          <w:spacing w:val="0"/>
          <w:w w:val="103"/>
          <w:vertAlign w:val="baseline"/>
          <w:rtl/>
        </w:rPr>
        <w:footnoteRef/>
      </w:r>
      <w:r w:rsidRPr="00001182">
        <w:rPr>
          <w:w w:val="103"/>
          <w:rtl/>
        </w:rPr>
        <w:t>)</w:t>
      </w:r>
      <w:r w:rsidRPr="00001182">
        <w:rPr>
          <w:w w:val="103"/>
          <w:rtl/>
        </w:rPr>
        <w:tab/>
      </w:r>
      <w:r>
        <w:rPr>
          <w:rFonts w:hint="cs"/>
          <w:w w:val="103"/>
          <w:rtl/>
        </w:rPr>
        <w:t>تقرير التنمية البشرية: التفاوتات بين الحضر والريف في منغوليا، حكومة منغوليا، برنامج الأمم المتحدة االإنمائي، 2004.</w:t>
      </w:r>
    </w:p>
  </w:footnote>
  <w:footnote w:id="51">
    <w:p w:rsidR="007433E8" w:rsidRPr="00001182"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01182">
        <w:rPr>
          <w:w w:val="103"/>
          <w:rtl/>
        </w:rPr>
        <w:t>(</w:t>
      </w:r>
      <w:r w:rsidRPr="00001182">
        <w:rPr>
          <w:rStyle w:val="FootnoteReference"/>
          <w:spacing w:val="0"/>
          <w:w w:val="103"/>
          <w:vertAlign w:val="baseline"/>
          <w:rtl/>
        </w:rPr>
        <w:footnoteRef/>
      </w:r>
      <w:r w:rsidRPr="00001182">
        <w:rPr>
          <w:w w:val="103"/>
          <w:rtl/>
        </w:rPr>
        <w:t>)</w:t>
      </w:r>
      <w:r w:rsidRPr="00001182">
        <w:rPr>
          <w:w w:val="103"/>
          <w:rtl/>
        </w:rPr>
        <w:tab/>
      </w:r>
      <w:r>
        <w:rPr>
          <w:rFonts w:hint="cs"/>
          <w:w w:val="103"/>
          <w:rtl/>
        </w:rPr>
        <w:t>التقييم الجنساني القطري، مصرف التنمية الآسيوي، البنك الدولي، 2005.</w:t>
      </w:r>
    </w:p>
  </w:footnote>
  <w:footnote w:id="52">
    <w:p w:rsidR="007433E8" w:rsidRPr="00001182"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001182">
        <w:rPr>
          <w:w w:val="103"/>
          <w:rtl/>
        </w:rPr>
        <w:t>(</w:t>
      </w:r>
      <w:r w:rsidRPr="00001182">
        <w:rPr>
          <w:rStyle w:val="FootnoteReference"/>
          <w:spacing w:val="0"/>
          <w:w w:val="103"/>
          <w:vertAlign w:val="baseline"/>
          <w:rtl/>
        </w:rPr>
        <w:footnoteRef/>
      </w:r>
      <w:r w:rsidRPr="00001182">
        <w:rPr>
          <w:w w:val="103"/>
          <w:rtl/>
        </w:rPr>
        <w:t>)</w:t>
      </w:r>
      <w:r w:rsidRPr="00001182">
        <w:rPr>
          <w:w w:val="103"/>
          <w:rtl/>
        </w:rPr>
        <w:tab/>
      </w:r>
      <w:r>
        <w:rPr>
          <w:rFonts w:hint="cs"/>
          <w:w w:val="103"/>
          <w:rtl/>
        </w:rPr>
        <w:t>التقرير المتعلق بحقوق الإنسان والحرية في منغوليا، 2002-2005، اللجنة الوطنية المنغولية لحقوق الإنسان، أولانباتار.</w:t>
      </w:r>
    </w:p>
  </w:footnote>
  <w:footnote w:id="53">
    <w:p w:rsidR="007433E8" w:rsidRPr="00E3204A" w:rsidRDefault="007433E8" w:rsidP="00912812">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E3204A">
        <w:rPr>
          <w:w w:val="103"/>
          <w:rtl/>
        </w:rPr>
        <w:t>(</w:t>
      </w:r>
      <w:r w:rsidRPr="00E3204A">
        <w:rPr>
          <w:rStyle w:val="FootnoteReference"/>
          <w:spacing w:val="0"/>
          <w:w w:val="103"/>
          <w:vertAlign w:val="baseline"/>
          <w:rtl/>
        </w:rPr>
        <w:footnoteRef/>
      </w:r>
      <w:r w:rsidRPr="00E3204A">
        <w:rPr>
          <w:w w:val="103"/>
          <w:rtl/>
        </w:rPr>
        <w:t>)</w:t>
      </w:r>
      <w:r w:rsidRPr="00E3204A">
        <w:rPr>
          <w:w w:val="103"/>
          <w:rtl/>
        </w:rPr>
        <w:tab/>
      </w:r>
      <w:r>
        <w:rPr>
          <w:rFonts w:hint="cs"/>
          <w:w w:val="103"/>
          <w:rtl/>
        </w:rPr>
        <w:t>التقييم الجنساني القطري، مصرف التنمية الآسيوي، البنك الدولي،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433E8">
      <w:tblPrEx>
        <w:tblCellMar>
          <w:top w:w="0" w:type="dxa"/>
          <w:bottom w:w="0" w:type="dxa"/>
        </w:tblCellMar>
      </w:tblPrEx>
      <w:trPr>
        <w:trHeight w:hRule="exact" w:val="864"/>
        <w:jc w:val="center"/>
      </w:trPr>
      <w:tc>
        <w:tcPr>
          <w:tcW w:w="5033" w:type="dxa"/>
          <w:shd w:val="clear" w:color="auto" w:fill="auto"/>
          <w:vAlign w:val="bottom"/>
        </w:tcPr>
        <w:p w:rsidR="007433E8" w:rsidRDefault="007433E8">
          <w:pPr>
            <w:pStyle w:val="Header"/>
            <w:bidi/>
            <w:jc w:val="right"/>
          </w:pPr>
        </w:p>
      </w:tc>
      <w:tc>
        <w:tcPr>
          <w:tcW w:w="5033" w:type="dxa"/>
          <w:shd w:val="clear" w:color="auto" w:fill="auto"/>
          <w:vAlign w:val="bottom"/>
        </w:tcPr>
        <w:p w:rsidR="007433E8" w:rsidRPr="008D7594" w:rsidRDefault="007433E8">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sidR="00511E73">
            <w:rPr>
              <w:w w:val="103"/>
            </w:rPr>
            <w:t>CEDAW/C/MNG/7</w:t>
          </w:r>
          <w:r>
            <w:rPr>
              <w:w w:val="103"/>
            </w:rPr>
            <w:fldChar w:fldCharType="end"/>
          </w:r>
        </w:p>
      </w:tc>
    </w:tr>
  </w:tbl>
  <w:p w:rsidR="007433E8" w:rsidRPr="008D7594" w:rsidRDefault="007433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433E8">
      <w:tblPrEx>
        <w:tblCellMar>
          <w:top w:w="0" w:type="dxa"/>
          <w:bottom w:w="0" w:type="dxa"/>
        </w:tblCellMar>
      </w:tblPrEx>
      <w:trPr>
        <w:trHeight w:hRule="exact" w:val="864"/>
        <w:jc w:val="center"/>
      </w:trPr>
      <w:tc>
        <w:tcPr>
          <w:tcW w:w="5033" w:type="dxa"/>
          <w:shd w:val="clear" w:color="auto" w:fill="auto"/>
          <w:vAlign w:val="bottom"/>
        </w:tcPr>
        <w:p w:rsidR="007433E8" w:rsidRPr="008D7594" w:rsidRDefault="007433E8">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511E73">
            <w:rPr>
              <w:w w:val="103"/>
            </w:rPr>
            <w:t>CEDAW/C/MNG/7</w:t>
          </w:r>
          <w:r>
            <w:rPr>
              <w:w w:val="103"/>
              <w:rtl/>
            </w:rPr>
            <w:fldChar w:fldCharType="end"/>
          </w:r>
        </w:p>
      </w:tc>
      <w:tc>
        <w:tcPr>
          <w:tcW w:w="5033" w:type="dxa"/>
          <w:shd w:val="clear" w:color="auto" w:fill="auto"/>
          <w:vAlign w:val="bottom"/>
        </w:tcPr>
        <w:p w:rsidR="007433E8" w:rsidRDefault="007433E8">
          <w:pPr>
            <w:pStyle w:val="Header"/>
          </w:pPr>
        </w:p>
      </w:tc>
    </w:tr>
  </w:tbl>
  <w:p w:rsidR="007433E8" w:rsidRPr="008D7594" w:rsidRDefault="007433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433E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433E8" w:rsidRDefault="007433E8">
          <w:pPr>
            <w:pStyle w:val="Header"/>
            <w:spacing w:after="120"/>
          </w:pPr>
        </w:p>
      </w:tc>
      <w:tc>
        <w:tcPr>
          <w:tcW w:w="1786" w:type="dxa"/>
          <w:tcBorders>
            <w:bottom w:val="single" w:sz="4" w:space="0" w:color="auto"/>
          </w:tcBorders>
          <w:shd w:val="clear" w:color="auto" w:fill="auto"/>
          <w:vAlign w:val="bottom"/>
        </w:tcPr>
        <w:p w:rsidR="007433E8" w:rsidRPr="008D7594" w:rsidRDefault="007433E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433E8" w:rsidRDefault="007433E8">
          <w:pPr>
            <w:pStyle w:val="Header"/>
            <w:spacing w:after="120"/>
          </w:pPr>
        </w:p>
      </w:tc>
      <w:tc>
        <w:tcPr>
          <w:tcW w:w="6523" w:type="dxa"/>
          <w:gridSpan w:val="3"/>
          <w:tcBorders>
            <w:bottom w:val="single" w:sz="4" w:space="0" w:color="auto"/>
          </w:tcBorders>
          <w:shd w:val="clear" w:color="auto" w:fill="auto"/>
          <w:vAlign w:val="bottom"/>
        </w:tcPr>
        <w:p w:rsidR="007433E8" w:rsidRPr="008D7594" w:rsidRDefault="007433E8">
          <w:pPr>
            <w:spacing w:line="380" w:lineRule="exact"/>
            <w:jc w:val="right"/>
          </w:pPr>
          <w:r>
            <w:rPr>
              <w:sz w:val="40"/>
            </w:rPr>
            <w:t>CEDAW</w:t>
          </w:r>
          <w:r>
            <w:t>/C/MNG/7</w:t>
          </w:r>
        </w:p>
      </w:tc>
    </w:tr>
    <w:tr w:rsidR="007433E8" w:rsidRPr="008D759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433E8" w:rsidRDefault="007433E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6.25pt;height:46.5pt">
                <v:imagedata r:id="rId1" o:title="_unlogo"/>
              </v:shape>
            </w:pict>
          </w:r>
        </w:p>
        <w:p w:rsidR="007433E8" w:rsidRPr="008D7594" w:rsidRDefault="007433E8">
          <w:pPr>
            <w:pStyle w:val="Header"/>
            <w:spacing w:before="109"/>
            <w:jc w:val="right"/>
          </w:pPr>
        </w:p>
      </w:tc>
      <w:tc>
        <w:tcPr>
          <w:tcW w:w="5227" w:type="dxa"/>
          <w:gridSpan w:val="3"/>
          <w:tcBorders>
            <w:top w:val="single" w:sz="4" w:space="0" w:color="auto"/>
            <w:bottom w:val="single" w:sz="12" w:space="0" w:color="auto"/>
          </w:tcBorders>
          <w:shd w:val="clear" w:color="auto" w:fill="auto"/>
        </w:tcPr>
        <w:p w:rsidR="007433E8" w:rsidRPr="008D7594" w:rsidRDefault="007433E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433E8" w:rsidRPr="008D7594" w:rsidRDefault="007433E8">
          <w:pPr>
            <w:pStyle w:val="Header"/>
            <w:spacing w:before="109"/>
          </w:pPr>
        </w:p>
      </w:tc>
      <w:tc>
        <w:tcPr>
          <w:tcW w:w="3100" w:type="dxa"/>
          <w:gridSpan w:val="2"/>
          <w:tcBorders>
            <w:top w:val="single" w:sz="4" w:space="0" w:color="auto"/>
            <w:bottom w:val="single" w:sz="12" w:space="0" w:color="auto"/>
          </w:tcBorders>
          <w:shd w:val="clear" w:color="auto" w:fill="auto"/>
        </w:tcPr>
        <w:p w:rsidR="007433E8" w:rsidRDefault="007433E8">
          <w:pPr>
            <w:bidi w:val="0"/>
            <w:spacing w:before="240" w:line="240" w:lineRule="exact"/>
          </w:pPr>
          <w:r>
            <w:t>Distr.: General</w:t>
          </w:r>
        </w:p>
        <w:p w:rsidR="007433E8" w:rsidRDefault="007433E8">
          <w:pPr>
            <w:bidi w:val="0"/>
            <w:spacing w:line="240" w:lineRule="exact"/>
            <w:jc w:val="left"/>
          </w:pPr>
          <w:r>
            <w:t>12 April 2007</w:t>
          </w:r>
        </w:p>
        <w:p w:rsidR="007433E8" w:rsidRDefault="007433E8">
          <w:pPr>
            <w:bidi w:val="0"/>
            <w:spacing w:line="240" w:lineRule="exact"/>
            <w:jc w:val="left"/>
          </w:pPr>
          <w:r>
            <w:t>Arabic</w:t>
          </w:r>
        </w:p>
        <w:p w:rsidR="007433E8" w:rsidRPr="008D7594" w:rsidRDefault="007433E8">
          <w:pPr>
            <w:bidi w:val="0"/>
            <w:spacing w:line="240" w:lineRule="exact"/>
            <w:jc w:val="left"/>
          </w:pPr>
          <w:r>
            <w:t>Original: English</w:t>
          </w:r>
        </w:p>
      </w:tc>
    </w:tr>
  </w:tbl>
  <w:p w:rsidR="007433E8" w:rsidRPr="008D7594" w:rsidRDefault="007433E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1578*"/>
    <w:docVar w:name="CreationDt" w:val="6/1/2007 11:32 AM"/>
    <w:docVar w:name="DocCategory" w:val="Doc"/>
    <w:docVar w:name="DocType" w:val="Final"/>
    <w:docVar w:name="FooterJN" w:val="07-31578"/>
    <w:docVar w:name="jobn" w:val="07-31578 (A)"/>
    <w:docVar w:name="jobnDT" w:val="07-31578 (A)   010607"/>
    <w:docVar w:name="jobnDTDT" w:val="07-31578 (A)   010607   010607"/>
    <w:docVar w:name="JobNo" w:val="0731578A"/>
    <w:docVar w:name="OandT" w:val="إبراهيم حشيش"/>
    <w:docVar w:name="sss1" w:val="CEDAW/C/MNG/7"/>
    <w:docVar w:name="sss2" w:val="-"/>
    <w:docVar w:name="Symbol1" w:val="CEDAW/C/MNG/7"/>
    <w:docVar w:name="Symbol2" w:val="-"/>
  </w:docVars>
  <w:rsids>
    <w:rsidRoot w:val="00FE4F97"/>
    <w:rsid w:val="000F5B52"/>
    <w:rsid w:val="0012644E"/>
    <w:rsid w:val="004A5549"/>
    <w:rsid w:val="00511E73"/>
    <w:rsid w:val="007433E8"/>
    <w:rsid w:val="008068E2"/>
    <w:rsid w:val="008D0535"/>
    <w:rsid w:val="00912812"/>
    <w:rsid w:val="00AA2240"/>
    <w:rsid w:val="00AD2A7A"/>
    <w:rsid w:val="00B35C66"/>
    <w:rsid w:val="00B43BC7"/>
    <w:rsid w:val="00F057B5"/>
    <w:rsid w:val="00FE4F9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City"/>
  <w:shapeDefaults>
    <o:shapedefaults v:ext="edit" spidmax="2050"/>
    <o:shapelayout v:ext="edit">
      <o:idmap v:ext="edit" data="1"/>
      <o:regrouptable v:ext="edit">
        <o:entry new="1" old="0"/>
        <o:entry new="2" old="0"/>
        <o:entry new="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line="400" w:lineRule="exact"/>
      <w:jc w:val="lowKashida"/>
    </w:pPr>
    <w:rPr>
      <w:w w:val="103"/>
      <w:kern w:val="14"/>
      <w:szCs w:val="30"/>
      <w:lang w:val="en-US" w:eastAsia="en-US"/>
    </w:rPr>
  </w:style>
  <w:style w:type="paragraph" w:styleId="Heading1">
    <w:name w:val="heading 1"/>
    <w:basedOn w:val="Normal"/>
    <w:next w:val="Normal"/>
    <w:qFormat/>
    <w:pPr>
      <w:keepNext/>
      <w:outlineLvl w:val="0"/>
    </w:pPr>
    <w:rPr>
      <w:sz w:val="24"/>
      <w:szCs w:val="24"/>
    </w:rPr>
  </w:style>
  <w:style w:type="paragraph" w:styleId="Heading2">
    <w:name w:val="heading 2"/>
    <w:basedOn w:val="Normal"/>
    <w:next w:val="Normal"/>
    <w:qFormat/>
    <w:pPr>
      <w:keepNext/>
      <w:outlineLvl w:val="1"/>
    </w:pPr>
    <w:rPr>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jc w:val="both"/>
      <w:outlineLvl w:val="1"/>
    </w:pPr>
    <w:rPr>
      <w:spacing w:val="2"/>
      <w:sz w:val="20"/>
      <w:szCs w:val="30"/>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aliases w:val="ft"/>
    <w:basedOn w:val="Normal"/>
    <w:semiHidden/>
    <w:pPr>
      <w:tabs>
        <w:tab w:val="right" w:pos="418"/>
      </w:tabs>
      <w:spacing w:line="300" w:lineRule="exact"/>
      <w:ind w:left="662"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noProof/>
      <w:sz w:val="17"/>
      <w:szCs w:val="25"/>
      <w:lang w:val="en-US" w:eastAsia="en-US"/>
    </w:rPr>
  </w:style>
  <w:style w:type="character" w:styleId="FootnoteReference">
    <w:name w:val="footnote reference"/>
    <w:aliases w:val="ftref"/>
    <w:semiHidden/>
    <w:rPr>
      <w:rFonts w:ascii="Times New Roman" w:hAnsi="Times New Roman" w:cs="Traditional Arabic"/>
      <w:spacing w:val="-5"/>
      <w:w w:val="100"/>
      <w:position w:val="0"/>
      <w:sz w:val="17"/>
      <w:szCs w:val="26"/>
      <w:vertAlign w:val="superscript"/>
      <w:lang w:val="en-US" w:bidi="ar-SA"/>
    </w:rPr>
  </w:style>
  <w:style w:type="paragraph" w:styleId="Header">
    <w:name w:val="header"/>
    <w:pPr>
      <w:tabs>
        <w:tab w:val="center" w:pos="4320"/>
        <w:tab w:val="right" w:pos="8640"/>
      </w:tabs>
    </w:pPr>
    <w:rPr>
      <w:b/>
      <w:bCs/>
      <w:noProof/>
      <w:w w:val="105"/>
      <w:sz w:val="17"/>
      <w:szCs w:val="25"/>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righ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righ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customStyle="1" w:styleId="JDualTxt">
    <w:name w:val="J__Dual Txt"/>
    <w:basedOn w:val="Normal"/>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pPr>
      <w:spacing w:line="420" w:lineRule="exact"/>
    </w:pPr>
    <w:rPr>
      <w:sz w:val="23"/>
      <w:szCs w:val="34"/>
    </w:rPr>
  </w:style>
  <w:style w:type="paragraph" w:customStyle="1" w:styleId="JH2">
    <w:name w:val="J_H_2"/>
    <w:basedOn w:val="JH1"/>
    <w:pPr>
      <w:spacing w:line="400" w:lineRule="exact"/>
    </w:pPr>
    <w:rPr>
      <w:sz w:val="20"/>
      <w:szCs w:val="30"/>
    </w:rPr>
  </w:style>
  <w:style w:type="paragraph" w:styleId="BalloonText">
    <w:name w:val="Balloon Text"/>
    <w:basedOn w:val="Normal"/>
    <w:semiHidden/>
    <w:rPr>
      <w:rFonts w:ascii="Tahoma" w:hAnsi="Tahoma" w:cs="Tahoma"/>
      <w:sz w:val="16"/>
      <w:szCs w:val="16"/>
    </w:rPr>
  </w:style>
  <w:style w:type="paragraph" w:customStyle="1" w:styleId="JSmall">
    <w:name w:val="J_Small"/>
    <w:basedOn w:val="JSingleTxt"/>
    <w:next w:val="JSingleTxt"/>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Pr>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wmf"/><Relationship Id="rId18" Type="http://schemas.openxmlformats.org/officeDocument/2006/relationships/oleObject" Target="embeddings/oleObject3.bin"/><Relationship Id="rId26" Type="http://schemas.openxmlformats.org/officeDocument/2006/relationships/oleObject" Target="embeddings/oleObject7.bin"/><Relationship Id="rId39" Type="http://schemas.openxmlformats.org/officeDocument/2006/relationships/oleObject" Target="embeddings/oleObject13.bin"/><Relationship Id="rId3" Type="http://schemas.openxmlformats.org/officeDocument/2006/relationships/webSettings" Target="webSettings.xml"/><Relationship Id="rId21" Type="http://schemas.openxmlformats.org/officeDocument/2006/relationships/image" Target="media/image6.wmf"/><Relationship Id="rId34" Type="http://schemas.openxmlformats.org/officeDocument/2006/relationships/oleObject" Target="embeddings/oleObject11.bin"/><Relationship Id="rId42" Type="http://schemas.openxmlformats.org/officeDocument/2006/relationships/oleObject" Target="embeddings/oleObject14.bin"/><Relationship Id="rId47"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image" Target="media/image4.emf"/><Relationship Id="rId25" Type="http://schemas.openxmlformats.org/officeDocument/2006/relationships/oleObject" Target="embeddings/oleObject6.bin"/><Relationship Id="rId33" Type="http://schemas.openxmlformats.org/officeDocument/2006/relationships/image" Target="media/image12.wmf"/><Relationship Id="rId38" Type="http://schemas.openxmlformats.org/officeDocument/2006/relationships/image" Target="media/image15.wmf"/><Relationship Id="rId46" Type="http://schemas.openxmlformats.org/officeDocument/2006/relationships/oleObject" Target="embeddings/oleObject16.bin"/><Relationship Id="rId2" Type="http://schemas.openxmlformats.org/officeDocument/2006/relationships/settings" Target="settings.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image" Target="media/image10.wmf"/><Relationship Id="rId41" Type="http://schemas.openxmlformats.org/officeDocument/2006/relationships/image" Target="media/image17.wmf"/><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image" Target="media/image8.wmf"/><Relationship Id="rId32" Type="http://schemas.openxmlformats.org/officeDocument/2006/relationships/oleObject" Target="embeddings/oleObject10.bin"/><Relationship Id="rId37" Type="http://schemas.openxmlformats.org/officeDocument/2006/relationships/image" Target="media/image14.emf"/><Relationship Id="rId40" Type="http://schemas.openxmlformats.org/officeDocument/2006/relationships/image" Target="media/image16.emf"/><Relationship Id="rId45" Type="http://schemas.openxmlformats.org/officeDocument/2006/relationships/image" Target="media/image19.wmf"/><Relationship Id="rId5" Type="http://schemas.openxmlformats.org/officeDocument/2006/relationships/endnotes" Target="endnote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oleObject" Target="embeddings/oleObject8.bin"/><Relationship Id="rId36" Type="http://schemas.openxmlformats.org/officeDocument/2006/relationships/oleObject" Target="embeddings/oleObject12.bin"/><Relationship Id="rId10" Type="http://schemas.openxmlformats.org/officeDocument/2006/relationships/header" Target="header3.xml"/><Relationship Id="rId19" Type="http://schemas.openxmlformats.org/officeDocument/2006/relationships/image" Target="media/image5.wmf"/><Relationship Id="rId31" Type="http://schemas.openxmlformats.org/officeDocument/2006/relationships/image" Target="media/image11.wmf"/><Relationship Id="rId44" Type="http://schemas.openxmlformats.org/officeDocument/2006/relationships/oleObject" Target="embeddings/oleObject15.bin"/><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image" Target="media/image9.wmf"/><Relationship Id="rId30" Type="http://schemas.openxmlformats.org/officeDocument/2006/relationships/oleObject" Target="embeddings/oleObject9.bin"/><Relationship Id="rId35" Type="http://schemas.openxmlformats.org/officeDocument/2006/relationships/image" Target="media/image13.wmf"/><Relationship Id="rId43" Type="http://schemas.openxmlformats.org/officeDocument/2006/relationships/image" Target="media/image18.wmf"/><Relationship Id="rId48"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39</Pages>
  <Words>15657</Words>
  <Characters>80478</Characters>
  <Application>Microsoft Office Word</Application>
  <DocSecurity>4</DocSecurity>
  <Lines>1871</Lines>
  <Paragraphs>555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95580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Hashish</dc:creator>
  <cp:keywords/>
  <dc:description/>
  <cp:lastModifiedBy>IMTU</cp:lastModifiedBy>
  <cp:revision>2</cp:revision>
  <cp:lastPrinted>2007-06-06T17:15:00Z</cp:lastPrinted>
  <dcterms:created xsi:type="dcterms:W3CDTF">2007-06-06T17:15:00Z</dcterms:created>
  <dcterms:modified xsi:type="dcterms:W3CDTF">2007-06-06T17:15:00Z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0731578</vt:lpwstr>
  </property>
  <property fmtid="{D5CDD505-2E9C-101B-9397-08002B2CF9AE}" pid="3" name="Symbol1">
    <vt:lpwstr>CEDAW/C/MNG/7</vt:lpwstr>
  </property>
  <property fmtid="{D5CDD505-2E9C-101B-9397-08002B2CF9AE}" pid="4" name="Symbol2">
    <vt:lpwstr/>
  </property>
  <property fmtid="{D5CDD505-2E9C-101B-9397-08002B2CF9AE}" pid="5" name="Translator">
    <vt:lpwstr/>
  </property>
  <property fmtid="{D5CDD505-2E9C-101B-9397-08002B2CF9AE}" pid="6" name="Operator">
    <vt:lpwstr>إبراهيم حشيش</vt:lpwstr>
  </property>
  <property fmtid="{D5CDD505-2E9C-101B-9397-08002B2CF9AE}" pid="7" name="DraftPages">
    <vt:lpwstr> </vt:lpwstr>
  </property>
  <property fmtid="{D5CDD505-2E9C-101B-9397-08002B2CF9AE}" pid="8" name="Comment">
    <vt:lpwstr/>
  </property>
</Properties>
</file>