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after="780" w:line="240" w:lineRule="auto"/>
        <w:ind w:left="1267"/>
      </w:pPr>
      <w:r>
        <w:rPr>
          <w:rStyle w:val="CommentReference"/>
          <w:vanish/>
        </w:rPr>
        <w:commentReference w:id="0"/>
      </w:r>
      <w:r>
        <w:t>Naciones Unidas</w:t>
      </w:r>
    </w:p>
    <w:p w:rsidR="00000000" w:rsidRDefault="00000000">
      <w:pPr>
        <w:pStyle w:val="SL"/>
      </w:pPr>
      <w:r>
        <w:t>Informe del Comité para la Eliminación de la Discriminación contra la Mujer</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24° período de sesiones</w:t>
      </w:r>
    </w:p>
    <w:p w:rsidR="00000000" w:rsidRDefault="00000000">
      <w:pPr>
        <w:pStyle w:val="SM"/>
      </w:pPr>
      <w:r>
        <w:t>(15 de enero a 2 de febrero de 2001)</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25° período de sesiones</w:t>
      </w:r>
    </w:p>
    <w:p w:rsidR="00000000" w:rsidRDefault="00000000">
      <w:pPr>
        <w:pStyle w:val="SM"/>
      </w:pPr>
      <w:r>
        <w:t>(2 a 20 de julio de 2001)</w:t>
      </w:r>
    </w:p>
    <w:p w:rsidR="00000000" w:rsidRDefault="00000000">
      <w:pPr>
        <w:pStyle w:val="XLarge"/>
        <w:spacing w:before="640"/>
        <w:ind w:left="1267"/>
      </w:pPr>
      <w:r>
        <w:t>Asamblea General</w:t>
      </w:r>
    </w:p>
    <w:p w:rsidR="00000000" w:rsidRDefault="00000000">
      <w:pPr>
        <w:pStyle w:val="HCh"/>
        <w:ind w:left="1267"/>
      </w:pPr>
      <w:r>
        <w:t>Documentos Oficiales</w:t>
      </w:r>
      <w:r>
        <w:br/>
        <w:t>Quincuagésimo sexto período de sesiones</w:t>
      </w:r>
      <w:r>
        <w:br/>
        <w:t>Suplemento No. 38 (A/56/38)</w:t>
      </w:r>
    </w:p>
    <w:p w:rsidR="00000000" w:rsidRDefault="00000000">
      <w:pPr>
        <w:pStyle w:val="HCh"/>
        <w:spacing w:line="240" w:lineRule="auto"/>
        <w:ind w:left="1267"/>
        <w:rPr>
          <w:sz w:val="9"/>
        </w:rPr>
      </w:pPr>
    </w:p>
    <w:p w:rsidR="00000000" w:rsidRDefault="00000000">
      <w:pPr>
        <w:pageBreakBefore/>
        <w:framePr w:w="10224" w:h="1440" w:hSpace="180" w:wrap="around" w:vAnchor="page" w:hAnchor="page" w:x="1210" w:y="1369" w:anchorLock="1"/>
        <w:spacing w:line="270" w:lineRule="exact"/>
        <w:rPr>
          <w:sz w:val="24"/>
        </w:rPr>
      </w:pPr>
      <w:r>
        <w:rPr>
          <w:b/>
          <w:sz w:val="24"/>
        </w:rPr>
        <w:t>Asamblea General</w:t>
      </w:r>
      <w:r>
        <w:rPr>
          <w:b/>
          <w:sz w:val="24"/>
        </w:rPr>
        <w:br/>
      </w:r>
      <w:r>
        <w:rPr>
          <w:sz w:val="24"/>
        </w:rPr>
        <w:t>Documentos Oficiales</w:t>
      </w:r>
      <w:r>
        <w:rPr>
          <w:sz w:val="24"/>
        </w:rPr>
        <w:br/>
        <w:t>Quincuagésimo sexto período de sesiones</w:t>
      </w:r>
      <w:r>
        <w:rPr>
          <w:sz w:val="24"/>
        </w:rPr>
        <w:br/>
        <w:t>Suplemento No. 38 (A/56/38)</w:t>
      </w:r>
    </w:p>
    <w:p w:rsidR="00000000" w:rsidRDefault="00000000">
      <w:pPr>
        <w:framePr w:w="10224" w:h="1440" w:hSpace="180" w:wrap="around" w:vAnchor="page" w:hAnchor="page" w:x="1210" w:y="12961" w:anchorLock="1"/>
        <w:spacing w:before="600"/>
        <w:ind w:left="1267"/>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fillcolor="window">
            <v:imagedata r:id="rId8" o:title="_unlogo"/>
          </v:shape>
        </w:pict>
      </w:r>
      <w:r>
        <w:br/>
      </w:r>
      <w:r>
        <w:rPr>
          <w:sz w:val="28"/>
        </w:rPr>
        <w:t xml:space="preserve">Naciones Unidas </w:t>
      </w:r>
      <w:r>
        <w:rPr>
          <w:sz w:val="28"/>
        </w:rPr>
        <w:sym w:font="Symbol" w:char="F0B7"/>
      </w:r>
      <w:r>
        <w:rPr>
          <w:sz w:val="28"/>
        </w:rPr>
        <w:t xml:space="preserve"> Nueva York, 2001</w:t>
      </w:r>
    </w:p>
    <w:p w:rsidR="00000000" w:rsidRDefault="00000000">
      <w:pPr>
        <w:spacing w:after="800"/>
      </w:pPr>
    </w:p>
    <w:p w:rsidR="00000000" w:rsidRDefault="00000000">
      <w:pPr>
        <w:pStyle w:val="SM"/>
      </w:pPr>
      <w:r>
        <w:t xml:space="preserve">Informe del Comité para la Eliminación de la Discriminación contra la Mujer </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24° período de sesiones</w:t>
      </w:r>
    </w:p>
    <w:p w:rsidR="00000000" w:rsidRDefault="00000000">
      <w:pPr>
        <w:pStyle w:val="SS"/>
      </w:pPr>
      <w:r>
        <w:t>(15 de enero a 2 de febrero de 2001)</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25° período de sesiones</w:t>
      </w:r>
    </w:p>
    <w:p w:rsidR="00000000" w:rsidRDefault="00000000">
      <w:pPr>
        <w:pStyle w:val="SS"/>
      </w:pPr>
      <w:r>
        <w:t xml:space="preserve">(2 a 20 de julio de 2001) </w:t>
      </w:r>
    </w:p>
    <w:p w:rsidR="00000000" w:rsidRDefault="00000000">
      <w:pPr>
        <w:pageBreakBefore/>
        <w:framePr w:w="288" w:h="1440" w:hSpace="180" w:wrap="notBeside" w:vAnchor="page" w:hAnchor="page" w:x="11665" w:y="721" w:anchorLock="1"/>
        <w:spacing w:line="240" w:lineRule="auto"/>
        <w:textDirection w:val="tbRl"/>
        <w:rPr>
          <w:sz w:val="17"/>
        </w:rPr>
      </w:pPr>
      <w:r>
        <w:rPr>
          <w:sz w:val="17"/>
        </w:rPr>
        <w:t>A/56/38</w:t>
      </w:r>
    </w:p>
    <w:p w:rsidR="00000000" w:rsidRDefault="00000000">
      <w:pPr>
        <w:spacing w:line="240" w:lineRule="auto"/>
        <w:ind w:left="1260"/>
      </w:pPr>
      <w:r>
        <w:br w:type="page"/>
      </w:r>
    </w:p>
    <w:p w:rsidR="00000000" w:rsidRDefault="00000000">
      <w:pPr>
        <w:framePr w:w="2880" w:h="288" w:hSpace="180" w:wrap="notBeside" w:vAnchor="page" w:hAnchor="margin" w:x="1268" w:y="14199" w:anchorLock="1"/>
      </w:pPr>
      <w:r>
        <w:t>ISSN 0255-0997</w:t>
      </w:r>
    </w:p>
    <w:p w:rsidR="00000000" w:rsidRDefault="00000000">
      <w:pPr>
        <w:spacing w:before="1400" w:line="240" w:lineRule="auto"/>
        <w:ind w:left="1260"/>
        <w:rPr>
          <w:i/>
        </w:rPr>
      </w:pPr>
      <w:r>
        <w:rPr>
          <w:i/>
        </w:rPr>
        <w:t>Nota</w:t>
      </w:r>
    </w:p>
    <w:p w:rsidR="00000000" w:rsidRDefault="00000000">
      <w:pPr>
        <w:spacing w:before="240" w:line="240" w:lineRule="auto"/>
        <w:ind w:left="1260" w:right="1260" w:firstLine="475"/>
        <w:jc w:val="both"/>
      </w:pPr>
      <w:r>
        <w:t>Las signaturas de los documentos de las Naciones Unidas se componen de letras mayúsculas y cifras. La mención de una de tales signaturas indica que se hace referencia a un documento de las Naciones Unidas.</w:t>
      </w:r>
    </w:p>
    <w:p w:rsidR="00000000" w:rsidRDefault="00000000">
      <w:pPr>
        <w:spacing w:before="240" w:line="240" w:lineRule="auto"/>
        <w:ind w:left="1260" w:right="1260" w:firstLine="475"/>
        <w:jc w:val="both"/>
      </w:pPr>
      <w:r>
        <w:t>Las designaciones empleadas y la presentación del material en el presente informe no implican la expresión de ninguna opinión por parte de la Secretaría de las Naciones Unidas respecto de la situación jurídica de ningún país, territorio, ciudad o zona, ni respecto de sus autoridades, así como tampoco respecto de la delimitación de sus fronteras o límites.</w:t>
      </w:r>
    </w:p>
    <w:p w:rsidR="00000000" w:rsidRDefault="00000000"/>
    <w:p w:rsidR="00000000" w:rsidRDefault="00000000">
      <w:pPr>
        <w:sectPr w:rsidR="00000000">
          <w:headerReference w:type="first" r:id="rId9"/>
          <w:endnotePr>
            <w:numFmt w:val="decimal"/>
          </w:endnotePr>
          <w:type w:val="continuous"/>
          <w:pgSz w:w="12240" w:h="15840" w:code="1"/>
          <w:pgMar w:top="1742" w:right="1195" w:bottom="1898" w:left="1195" w:header="576" w:footer="1030" w:gutter="0"/>
          <w:cols w:space="720"/>
          <w:noEndnote/>
          <w:titlePg/>
        </w:sectPr>
      </w:pPr>
    </w:p>
    <w:p w:rsidR="00000000" w:rsidRDefault="00000000"/>
    <w:p w:rsidR="00000000" w:rsidRDefault="00000000">
      <w:pPr>
        <w:pStyle w:val="HCh"/>
        <w:spacing w:before="880" w:after="100"/>
        <w:rPr>
          <w:b w:val="0"/>
        </w:rPr>
      </w:pPr>
      <w:r>
        <w:rPr>
          <w:b w:val="0"/>
        </w:rPr>
        <w:t>Índice</w:t>
      </w:r>
    </w:p>
    <w:p w:rsidR="00000000" w:rsidRDefault="00000000"/>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jc w:val="right"/>
              <w:rPr>
                <w:i/>
                <w:sz w:val="14"/>
              </w:rPr>
            </w:pPr>
            <w:r>
              <w:rPr>
                <w:i/>
                <w:sz w:val="14"/>
              </w:rPr>
              <w:t>Capítulo</w:t>
            </w:r>
          </w:p>
        </w:tc>
        <w:tc>
          <w:tcPr>
            <w:tcW w:w="7056" w:type="dxa"/>
          </w:tcPr>
          <w:p w:rsidR="00000000" w:rsidRDefault="00000000">
            <w:pPr>
              <w:spacing w:after="120"/>
              <w:rPr>
                <w:i/>
                <w:sz w:val="14"/>
              </w:rPr>
            </w:pPr>
          </w:p>
        </w:tc>
        <w:tc>
          <w:tcPr>
            <w:tcW w:w="994" w:type="dxa"/>
          </w:tcPr>
          <w:p w:rsidR="00000000" w:rsidRDefault="00000000">
            <w:pPr>
              <w:spacing w:after="120"/>
              <w:ind w:right="40"/>
              <w:jc w:val="right"/>
              <w:rPr>
                <w:i/>
                <w:sz w:val="14"/>
              </w:rPr>
            </w:pPr>
            <w:r>
              <w:rPr>
                <w:i/>
                <w:sz w:val="14"/>
              </w:rPr>
              <w:t>Párrafos</w:t>
            </w:r>
          </w:p>
        </w:tc>
        <w:tc>
          <w:tcPr>
            <w:tcW w:w="792" w:type="dxa"/>
          </w:tcPr>
          <w:p w:rsidR="00000000" w:rsidRDefault="00000000">
            <w:pPr>
              <w:spacing w:after="120"/>
              <w:ind w:right="40"/>
              <w:jc w:val="right"/>
              <w:rPr>
                <w:i/>
                <w:sz w:val="14"/>
              </w:rPr>
            </w:pPr>
            <w:r>
              <w:rPr>
                <w:i/>
                <w:sz w:val="14"/>
              </w:rPr>
              <w:t>Página</w:t>
            </w:r>
          </w:p>
        </w:tc>
      </w:tr>
    </w:tbl>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3" style="position:absolute;z-index: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Publicado originalmente como documento A/56/38 (Parte I).</w:t>
      </w:r>
    </w:p>
    <w:tbl>
      <w:tblPr>
        <w:tblW w:w="0" w:type="auto"/>
        <w:tblInd w:w="2" w:type="dxa"/>
        <w:tblLayout w:type="fixed"/>
        <w:tblCellMar>
          <w:left w:w="0" w:type="dxa"/>
          <w:right w:w="0" w:type="dxa"/>
        </w:tblCellMar>
        <w:tblLook w:val="0000" w:firstRow="0" w:lastRow="0" w:firstColumn="0" w:lastColumn="0" w:noHBand="0" w:noVBand="0"/>
      </w:tblPr>
      <w:tblGrid>
        <w:gridCol w:w="8122"/>
        <w:gridCol w:w="988"/>
        <w:gridCol w:w="6"/>
        <w:gridCol w:w="786"/>
        <w:gridCol w:w="6"/>
      </w:tblGrid>
      <w:tr w:rsidR="00000000">
        <w:tblPrEx>
          <w:tblCellMar>
            <w:top w:w="0" w:type="dxa"/>
            <w:left w:w="0" w:type="dxa"/>
            <w:bottom w:w="0" w:type="dxa"/>
            <w:right w:w="0" w:type="dxa"/>
          </w:tblCellMar>
        </w:tblPrEx>
        <w:trPr>
          <w:gridAfter w:val="1"/>
          <w:wAfter w:w="6" w:type="dxa"/>
          <w:cantSplit/>
        </w:trPr>
        <w:tc>
          <w:tcPr>
            <w:tcW w:w="911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t>Primera parte</w:t>
            </w:r>
            <w:r>
              <w:br/>
              <w:t>Informe del Comité para la Eliminación de la Discriminación contra la Mujer sobre la labor realizada en su 24° período de sesiones*</w:t>
            </w:r>
          </w:p>
        </w:tc>
        <w:tc>
          <w:tcPr>
            <w:tcW w:w="792" w:type="dxa"/>
            <w:gridSpan w:val="2"/>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gridAfter w:val="1"/>
          <w:wAfter w:w="6" w:type="dxa"/>
          <w:cantSplit/>
        </w:trPr>
        <w:tc>
          <w:tcPr>
            <w:tcW w:w="9110" w:type="dxa"/>
            <w:gridSpan w:val="2"/>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Carta de envío</w:t>
            </w:r>
            <w:r>
              <w:rPr>
                <w:spacing w:val="60"/>
                <w:sz w:val="17"/>
              </w:rPr>
              <w:tab/>
            </w:r>
          </w:p>
        </w:tc>
        <w:tc>
          <w:tcPr>
            <w:tcW w:w="792" w:type="dxa"/>
            <w:gridSpan w:val="2"/>
            <w:vAlign w:val="bottom"/>
          </w:tcPr>
          <w:p w:rsidR="00000000" w:rsidRDefault="00000000">
            <w:pPr>
              <w:spacing w:after="120"/>
              <w:ind w:right="40"/>
              <w:jc w:val="right"/>
            </w:pPr>
            <w:r>
              <w:t>2</w:t>
            </w:r>
          </w:p>
        </w:tc>
      </w:tr>
      <w:tr w:rsidR="00000000">
        <w:tblPrEx>
          <w:tblCellMar>
            <w:top w:w="0" w:type="dxa"/>
            <w:left w:w="0" w:type="dxa"/>
            <w:bottom w:w="0" w:type="dxa"/>
            <w:right w:w="0" w:type="dxa"/>
          </w:tblCellMar>
        </w:tblPrEx>
        <w:trPr>
          <w:gridAfter w:val="1"/>
          <w:wAfter w:w="6" w:type="dxa"/>
          <w:cantSplit/>
        </w:trPr>
        <w:tc>
          <w:tcPr>
            <w:tcW w:w="9110" w:type="dxa"/>
            <w:gridSpan w:val="2"/>
          </w:tcPr>
          <w:p w:rsidR="00000000" w:rsidRDefault="00000000">
            <w:pPr>
              <w:tabs>
                <w:tab w:val="num" w:pos="475"/>
                <w:tab w:val="right" w:pos="1080"/>
                <w:tab w:val="left" w:pos="1296"/>
                <w:tab w:val="left" w:pos="1728"/>
                <w:tab w:val="left" w:pos="2160"/>
                <w:tab w:val="right" w:leader="dot" w:pos="9101"/>
              </w:tabs>
              <w:spacing w:after="120"/>
            </w:pPr>
            <w:r>
              <w:tab/>
            </w:r>
            <w:r>
              <w:tab/>
              <w:t>I.</w:t>
            </w:r>
            <w:r>
              <w:tab/>
              <w:t>Cuestiones que se señalan a la atención de los Estados partes</w:t>
            </w:r>
            <w:r>
              <w:rPr>
                <w:spacing w:val="60"/>
                <w:sz w:val="17"/>
              </w:rPr>
              <w:tab/>
            </w:r>
          </w:p>
        </w:tc>
        <w:tc>
          <w:tcPr>
            <w:tcW w:w="792" w:type="dxa"/>
            <w:gridSpan w:val="2"/>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gridAfter w:val="1"/>
          <w:wAfter w:w="6" w:type="dxa"/>
          <w:cantSplit/>
        </w:trPr>
        <w:tc>
          <w:tcPr>
            <w:tcW w:w="9110" w:type="dxa"/>
            <w:gridSpan w:val="2"/>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Decisiones</w:t>
            </w:r>
            <w:r>
              <w:rPr>
                <w:spacing w:val="60"/>
                <w:sz w:val="17"/>
              </w:rPr>
              <w:tab/>
            </w:r>
          </w:p>
        </w:tc>
        <w:tc>
          <w:tcPr>
            <w:tcW w:w="792" w:type="dxa"/>
            <w:gridSpan w:val="2"/>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8122" w:type="dxa"/>
          </w:tcPr>
          <w:p w:rsidR="00000000" w:rsidRDefault="00000000">
            <w:pPr>
              <w:tabs>
                <w:tab w:val="num" w:pos="475"/>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ab/>
            </w:r>
            <w:r>
              <w:tab/>
              <w:t>II.</w:t>
            </w:r>
            <w:r>
              <w:tab/>
              <w:t>Cuestiones de organización y otros asuntos</w:t>
            </w:r>
            <w:r>
              <w:rPr>
                <w:spacing w:val="60"/>
                <w:sz w:val="17"/>
              </w:rPr>
              <w:tab/>
            </w:r>
          </w:p>
        </w:tc>
        <w:tc>
          <w:tcPr>
            <w:tcW w:w="994" w:type="dxa"/>
            <w:gridSpan w:val="2"/>
            <w:vAlign w:val="bottom"/>
          </w:tcPr>
          <w:p w:rsidR="00000000" w:rsidRDefault="00000000">
            <w:pPr>
              <w:spacing w:after="120"/>
              <w:ind w:right="40"/>
              <w:jc w:val="right"/>
            </w:pPr>
            <w:r>
              <w:t>1-23</w:t>
            </w:r>
          </w:p>
        </w:tc>
        <w:tc>
          <w:tcPr>
            <w:tcW w:w="792" w:type="dxa"/>
            <w:gridSpan w:val="2"/>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8122" w:type="dxa"/>
          </w:tcPr>
          <w:p w:rsidR="00000000" w:rsidRDefault="00000000">
            <w:pPr>
              <w:numPr>
                <w:ilvl w:val="1"/>
                <w:numId w:val="0"/>
              </w:numPr>
              <w:tabs>
                <w:tab w:val="num" w:pos="475"/>
                <w:tab w:val="right" w:pos="1080"/>
                <w:tab w:val="left" w:pos="1296"/>
                <w:tab w:val="left" w:pos="1728"/>
                <w:tab w:val="left" w:pos="2160"/>
                <w:tab w:val="left" w:pos="2592"/>
                <w:tab w:val="left" w:pos="3024"/>
                <w:tab w:val="left" w:pos="3456"/>
                <w:tab w:val="left" w:pos="3888"/>
                <w:tab w:val="left" w:pos="4320"/>
                <w:tab w:val="right" w:leader="dot" w:pos="8122"/>
              </w:tabs>
              <w:spacing w:after="120"/>
              <w:ind w:left="1728" w:hanging="1728"/>
            </w:pPr>
            <w:r>
              <w:tab/>
            </w:r>
            <w:r>
              <w:tab/>
            </w:r>
            <w:r>
              <w:tab/>
              <w:t>A.</w:t>
            </w:r>
            <w:r>
              <w:tab/>
              <w:t>Estados partes en la Convención sobre la eliminación de todas las formas de discriminación contra la mujer</w:t>
            </w:r>
            <w:r>
              <w:rPr>
                <w:spacing w:val="60"/>
                <w:sz w:val="17"/>
              </w:rPr>
              <w:tab/>
            </w:r>
          </w:p>
        </w:tc>
        <w:tc>
          <w:tcPr>
            <w:tcW w:w="994" w:type="dxa"/>
            <w:gridSpan w:val="2"/>
            <w:vAlign w:val="bottom"/>
          </w:tcPr>
          <w:p w:rsidR="00000000" w:rsidRDefault="00000000">
            <w:pPr>
              <w:spacing w:after="120"/>
              <w:ind w:right="40"/>
              <w:jc w:val="right"/>
            </w:pPr>
            <w:r>
              <w:t>1-2</w:t>
            </w:r>
          </w:p>
        </w:tc>
        <w:tc>
          <w:tcPr>
            <w:tcW w:w="792" w:type="dxa"/>
            <w:gridSpan w:val="2"/>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8122" w:type="dxa"/>
          </w:tcPr>
          <w:p w:rsidR="00000000" w:rsidRDefault="00000000">
            <w:pPr>
              <w:numPr>
                <w:ilvl w:val="1"/>
                <w:numId w:val="0"/>
              </w:numPr>
              <w:tabs>
                <w:tab w:val="num" w:pos="475"/>
                <w:tab w:val="right" w:pos="1080"/>
                <w:tab w:val="left" w:pos="1296"/>
                <w:tab w:val="left" w:pos="1728"/>
                <w:tab w:val="left" w:pos="2160"/>
                <w:tab w:val="left" w:pos="2592"/>
                <w:tab w:val="left" w:pos="3024"/>
                <w:tab w:val="left" w:pos="3456"/>
                <w:tab w:val="left" w:pos="3888"/>
                <w:tab w:val="left" w:pos="4320"/>
                <w:tab w:val="right" w:leader="dot" w:pos="8122"/>
              </w:tabs>
              <w:spacing w:after="120"/>
            </w:pPr>
            <w:r>
              <w:tab/>
            </w:r>
            <w:r>
              <w:tab/>
            </w:r>
            <w:r>
              <w:tab/>
              <w:t>B.</w:t>
            </w:r>
            <w:r>
              <w:tab/>
              <w:t>Apertura del período de sesiones</w:t>
            </w:r>
            <w:r>
              <w:rPr>
                <w:spacing w:val="60"/>
                <w:sz w:val="17"/>
              </w:rPr>
              <w:tab/>
            </w:r>
          </w:p>
        </w:tc>
        <w:tc>
          <w:tcPr>
            <w:tcW w:w="994" w:type="dxa"/>
            <w:gridSpan w:val="2"/>
            <w:vAlign w:val="bottom"/>
          </w:tcPr>
          <w:p w:rsidR="00000000" w:rsidRDefault="00000000">
            <w:pPr>
              <w:spacing w:after="120"/>
              <w:ind w:right="40"/>
              <w:jc w:val="right"/>
            </w:pPr>
            <w:r>
              <w:t>3-11</w:t>
            </w:r>
          </w:p>
        </w:tc>
        <w:tc>
          <w:tcPr>
            <w:tcW w:w="792" w:type="dxa"/>
            <w:gridSpan w:val="2"/>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8122" w:type="dxa"/>
          </w:tcPr>
          <w:p w:rsidR="00000000" w:rsidRDefault="00000000">
            <w:pPr>
              <w:numPr>
                <w:ilvl w:val="1"/>
                <w:numId w:val="0"/>
              </w:numPr>
              <w:tabs>
                <w:tab w:val="num" w:pos="475"/>
                <w:tab w:val="right" w:pos="1080"/>
                <w:tab w:val="left" w:pos="1296"/>
                <w:tab w:val="left" w:pos="1728"/>
                <w:tab w:val="left" w:pos="2160"/>
                <w:tab w:val="left" w:pos="2592"/>
                <w:tab w:val="right" w:leader="dot" w:pos="8122"/>
              </w:tabs>
              <w:spacing w:after="120"/>
            </w:pPr>
            <w:r>
              <w:tab/>
            </w:r>
            <w:r>
              <w:tab/>
            </w:r>
            <w:r>
              <w:tab/>
              <w:t>C.</w:t>
            </w:r>
            <w:r>
              <w:tab/>
              <w:t>Asistencia</w:t>
            </w:r>
            <w:r>
              <w:rPr>
                <w:spacing w:val="60"/>
                <w:sz w:val="17"/>
              </w:rPr>
              <w:tab/>
            </w:r>
          </w:p>
        </w:tc>
        <w:tc>
          <w:tcPr>
            <w:tcW w:w="994" w:type="dxa"/>
            <w:gridSpan w:val="2"/>
            <w:vAlign w:val="bottom"/>
          </w:tcPr>
          <w:p w:rsidR="00000000" w:rsidRDefault="00000000">
            <w:pPr>
              <w:spacing w:after="120"/>
              <w:ind w:right="40"/>
              <w:jc w:val="right"/>
            </w:pPr>
            <w:r>
              <w:t>12-13</w:t>
            </w:r>
          </w:p>
        </w:tc>
        <w:tc>
          <w:tcPr>
            <w:tcW w:w="792" w:type="dxa"/>
            <w:gridSpan w:val="2"/>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8122" w:type="dxa"/>
          </w:tcPr>
          <w:p w:rsidR="00000000" w:rsidRDefault="00000000">
            <w:pPr>
              <w:numPr>
                <w:ilvl w:val="1"/>
                <w:numId w:val="0"/>
              </w:numPr>
              <w:tabs>
                <w:tab w:val="num" w:pos="475"/>
                <w:tab w:val="right" w:pos="1080"/>
                <w:tab w:val="left" w:pos="1296"/>
                <w:tab w:val="left" w:pos="1728"/>
                <w:tab w:val="left" w:pos="2160"/>
                <w:tab w:val="left" w:pos="2592"/>
                <w:tab w:val="left" w:pos="3024"/>
                <w:tab w:val="left" w:pos="3456"/>
                <w:tab w:val="right" w:leader="dot" w:pos="8122"/>
              </w:tabs>
              <w:spacing w:after="120"/>
            </w:pPr>
            <w:r>
              <w:tab/>
            </w:r>
            <w:r>
              <w:tab/>
            </w:r>
            <w:r>
              <w:tab/>
              <w:t>D.</w:t>
            </w:r>
            <w:r>
              <w:tab/>
              <w:t>Declaración solemne</w:t>
            </w:r>
            <w:r>
              <w:rPr>
                <w:spacing w:val="60"/>
                <w:sz w:val="17"/>
              </w:rPr>
              <w:tab/>
            </w:r>
          </w:p>
        </w:tc>
        <w:tc>
          <w:tcPr>
            <w:tcW w:w="994" w:type="dxa"/>
            <w:gridSpan w:val="2"/>
            <w:vAlign w:val="bottom"/>
          </w:tcPr>
          <w:p w:rsidR="00000000" w:rsidRDefault="00000000">
            <w:pPr>
              <w:spacing w:after="120"/>
              <w:ind w:right="40"/>
              <w:jc w:val="right"/>
            </w:pPr>
            <w:r>
              <w:t>14</w:t>
            </w:r>
          </w:p>
        </w:tc>
        <w:tc>
          <w:tcPr>
            <w:tcW w:w="792" w:type="dxa"/>
            <w:gridSpan w:val="2"/>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8122" w:type="dxa"/>
          </w:tcPr>
          <w:p w:rsidR="00000000" w:rsidRDefault="00000000">
            <w:pPr>
              <w:numPr>
                <w:ilvl w:val="1"/>
                <w:numId w:val="0"/>
              </w:numPr>
              <w:tabs>
                <w:tab w:val="num" w:pos="475"/>
                <w:tab w:val="right" w:pos="1080"/>
                <w:tab w:val="left" w:pos="1296"/>
                <w:tab w:val="left" w:pos="1728"/>
                <w:tab w:val="left" w:pos="2160"/>
                <w:tab w:val="left" w:pos="2592"/>
                <w:tab w:val="left" w:pos="3024"/>
                <w:tab w:val="right" w:leader="dot" w:pos="8122"/>
              </w:tabs>
              <w:spacing w:after="120"/>
            </w:pPr>
            <w:r>
              <w:tab/>
            </w:r>
            <w:r>
              <w:tab/>
            </w:r>
            <w:r>
              <w:tab/>
              <w:t>E.</w:t>
            </w:r>
            <w:r>
              <w:tab/>
              <w:t>Elección de la Mesa</w:t>
            </w:r>
            <w:r>
              <w:rPr>
                <w:spacing w:val="60"/>
                <w:sz w:val="17"/>
              </w:rPr>
              <w:tab/>
            </w:r>
          </w:p>
        </w:tc>
        <w:tc>
          <w:tcPr>
            <w:tcW w:w="994" w:type="dxa"/>
            <w:gridSpan w:val="2"/>
            <w:vAlign w:val="bottom"/>
          </w:tcPr>
          <w:p w:rsidR="00000000" w:rsidRDefault="00000000">
            <w:pPr>
              <w:spacing w:after="120"/>
              <w:ind w:right="40"/>
              <w:jc w:val="right"/>
            </w:pPr>
            <w:r>
              <w:t>15</w:t>
            </w:r>
          </w:p>
        </w:tc>
        <w:tc>
          <w:tcPr>
            <w:tcW w:w="792" w:type="dxa"/>
            <w:gridSpan w:val="2"/>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8122" w:type="dxa"/>
          </w:tcPr>
          <w:p w:rsidR="00000000" w:rsidRDefault="00000000">
            <w:pPr>
              <w:numPr>
                <w:ilvl w:val="1"/>
                <w:numId w:val="0"/>
              </w:numPr>
              <w:tabs>
                <w:tab w:val="num" w:pos="475"/>
                <w:tab w:val="right" w:pos="1080"/>
                <w:tab w:val="left" w:pos="1296"/>
                <w:tab w:val="left" w:pos="1728"/>
                <w:tab w:val="left" w:pos="2160"/>
                <w:tab w:val="left" w:pos="2592"/>
                <w:tab w:val="left" w:pos="3024"/>
                <w:tab w:val="left" w:pos="3456"/>
                <w:tab w:val="left" w:pos="3888"/>
                <w:tab w:val="left" w:pos="4320"/>
                <w:tab w:val="right" w:leader="dot" w:pos="8122"/>
              </w:tabs>
              <w:spacing w:after="120"/>
            </w:pPr>
            <w:r>
              <w:tab/>
            </w:r>
            <w:r>
              <w:tab/>
            </w:r>
            <w:r>
              <w:tab/>
              <w:t>F.</w:t>
            </w:r>
            <w:r>
              <w:tab/>
              <w:t>Declaración de la nueva Presidenta</w:t>
            </w:r>
            <w:r>
              <w:rPr>
                <w:spacing w:val="60"/>
                <w:sz w:val="17"/>
              </w:rPr>
              <w:tab/>
            </w:r>
          </w:p>
        </w:tc>
        <w:tc>
          <w:tcPr>
            <w:tcW w:w="994" w:type="dxa"/>
            <w:gridSpan w:val="2"/>
            <w:vAlign w:val="bottom"/>
          </w:tcPr>
          <w:p w:rsidR="00000000" w:rsidRDefault="00000000">
            <w:pPr>
              <w:spacing w:after="120"/>
              <w:ind w:right="40"/>
              <w:jc w:val="right"/>
            </w:pPr>
            <w:r>
              <w:t>16-17</w:t>
            </w:r>
          </w:p>
        </w:tc>
        <w:tc>
          <w:tcPr>
            <w:tcW w:w="792" w:type="dxa"/>
            <w:gridSpan w:val="2"/>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8122" w:type="dxa"/>
          </w:tcPr>
          <w:p w:rsidR="00000000" w:rsidRDefault="00000000">
            <w:pPr>
              <w:numPr>
                <w:ilvl w:val="1"/>
                <w:numId w:val="0"/>
              </w:numPr>
              <w:tabs>
                <w:tab w:val="num" w:pos="475"/>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pPr>
            <w:r>
              <w:tab/>
            </w:r>
            <w:r>
              <w:tab/>
            </w:r>
            <w:r>
              <w:tab/>
              <w:t>G.</w:t>
            </w:r>
            <w:r>
              <w:tab/>
              <w:t>Aprobación del programa y organización de los trabajos</w:t>
            </w:r>
            <w:r>
              <w:rPr>
                <w:spacing w:val="60"/>
                <w:sz w:val="17"/>
              </w:rPr>
              <w:tab/>
            </w:r>
          </w:p>
        </w:tc>
        <w:tc>
          <w:tcPr>
            <w:tcW w:w="994" w:type="dxa"/>
            <w:gridSpan w:val="2"/>
            <w:vAlign w:val="bottom"/>
          </w:tcPr>
          <w:p w:rsidR="00000000" w:rsidRDefault="00000000">
            <w:pPr>
              <w:spacing w:after="120"/>
              <w:ind w:right="40"/>
              <w:jc w:val="right"/>
            </w:pPr>
            <w:r>
              <w:t>18</w:t>
            </w:r>
          </w:p>
        </w:tc>
        <w:tc>
          <w:tcPr>
            <w:tcW w:w="792" w:type="dxa"/>
            <w:gridSpan w:val="2"/>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8122" w:type="dxa"/>
          </w:tcPr>
          <w:p w:rsidR="00000000" w:rsidRDefault="00000000">
            <w:pPr>
              <w:numPr>
                <w:ilvl w:val="1"/>
                <w:numId w:val="0"/>
              </w:numPr>
              <w:tabs>
                <w:tab w:val="num" w:pos="475"/>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pPr>
            <w:r>
              <w:tab/>
            </w:r>
            <w:r>
              <w:tab/>
            </w:r>
            <w:r>
              <w:tab/>
              <w:t>H.</w:t>
            </w:r>
            <w:r>
              <w:tab/>
              <w:t>Informe del Grupo de Trabajo anterior al período de sesiones</w:t>
            </w:r>
            <w:r>
              <w:rPr>
                <w:spacing w:val="60"/>
                <w:sz w:val="17"/>
              </w:rPr>
              <w:tab/>
            </w:r>
          </w:p>
        </w:tc>
        <w:tc>
          <w:tcPr>
            <w:tcW w:w="994" w:type="dxa"/>
            <w:gridSpan w:val="2"/>
            <w:vAlign w:val="bottom"/>
          </w:tcPr>
          <w:p w:rsidR="00000000" w:rsidRDefault="00000000">
            <w:pPr>
              <w:spacing w:after="120"/>
              <w:ind w:right="40"/>
              <w:jc w:val="right"/>
            </w:pPr>
            <w:r>
              <w:t>19-22</w:t>
            </w:r>
          </w:p>
        </w:tc>
        <w:tc>
          <w:tcPr>
            <w:tcW w:w="792" w:type="dxa"/>
            <w:gridSpan w:val="2"/>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8122" w:type="dxa"/>
          </w:tcPr>
          <w:p w:rsidR="00000000" w:rsidRDefault="00000000">
            <w:pPr>
              <w:numPr>
                <w:ilvl w:val="1"/>
                <w:numId w:val="0"/>
              </w:numPr>
              <w:tabs>
                <w:tab w:val="num" w:pos="475"/>
                <w:tab w:val="right" w:pos="1080"/>
                <w:tab w:val="left" w:pos="1296"/>
                <w:tab w:val="left" w:pos="1728"/>
                <w:tab w:val="left" w:pos="2160"/>
                <w:tab w:val="left" w:pos="2592"/>
                <w:tab w:val="left" w:pos="3024"/>
                <w:tab w:val="left" w:pos="3456"/>
                <w:tab w:val="left" w:pos="3888"/>
                <w:tab w:val="right" w:leader="dot" w:pos="8122"/>
              </w:tabs>
              <w:spacing w:after="120"/>
            </w:pPr>
            <w:r>
              <w:tab/>
            </w:r>
            <w:r>
              <w:tab/>
            </w:r>
            <w:r>
              <w:tab/>
              <w:t>I.</w:t>
            </w:r>
            <w:r>
              <w:tab/>
              <w:t>Organización de los trabajos</w:t>
            </w:r>
            <w:r>
              <w:rPr>
                <w:spacing w:val="60"/>
                <w:sz w:val="17"/>
              </w:rPr>
              <w:tab/>
            </w:r>
          </w:p>
        </w:tc>
        <w:tc>
          <w:tcPr>
            <w:tcW w:w="994" w:type="dxa"/>
            <w:gridSpan w:val="2"/>
            <w:vAlign w:val="bottom"/>
          </w:tcPr>
          <w:p w:rsidR="00000000" w:rsidRDefault="00000000">
            <w:pPr>
              <w:spacing w:after="120"/>
              <w:ind w:right="40"/>
              <w:jc w:val="right"/>
            </w:pPr>
            <w:r>
              <w:t>23</w:t>
            </w:r>
          </w:p>
        </w:tc>
        <w:tc>
          <w:tcPr>
            <w:tcW w:w="792" w:type="dxa"/>
            <w:gridSpan w:val="2"/>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8122" w:type="dxa"/>
          </w:tcPr>
          <w:p w:rsidR="00000000" w:rsidRDefault="00000000">
            <w:pPr>
              <w:tabs>
                <w:tab w:val="num" w:pos="475"/>
                <w:tab w:val="right" w:pos="1080"/>
                <w:tab w:val="left" w:pos="1296"/>
                <w:tab w:val="left" w:pos="1728"/>
                <w:tab w:val="left" w:pos="2160"/>
                <w:tab w:val="left" w:pos="2592"/>
                <w:tab w:val="left" w:pos="3024"/>
                <w:tab w:val="left" w:pos="3456"/>
                <w:tab w:val="right" w:leader="dot" w:pos="8122"/>
              </w:tabs>
              <w:spacing w:after="120"/>
              <w:ind w:left="1296" w:hanging="1296"/>
            </w:pPr>
            <w:r>
              <w:tab/>
            </w:r>
            <w:r>
              <w:tab/>
              <w:t>III.</w:t>
            </w:r>
            <w:r>
              <w:tab/>
              <w:t>Informe de la Presidenta sobre las actividades realizadas entre los períodos de sesiones 23° y 24° del Comité</w:t>
            </w:r>
            <w:r>
              <w:rPr>
                <w:spacing w:val="60"/>
                <w:sz w:val="17"/>
              </w:rPr>
              <w:tab/>
            </w:r>
          </w:p>
        </w:tc>
        <w:tc>
          <w:tcPr>
            <w:tcW w:w="994" w:type="dxa"/>
            <w:gridSpan w:val="2"/>
            <w:vAlign w:val="bottom"/>
          </w:tcPr>
          <w:p w:rsidR="00000000" w:rsidRDefault="00000000">
            <w:pPr>
              <w:spacing w:after="120"/>
              <w:ind w:right="40"/>
              <w:jc w:val="right"/>
            </w:pPr>
            <w:r>
              <w:t>24-29</w:t>
            </w:r>
          </w:p>
        </w:tc>
        <w:tc>
          <w:tcPr>
            <w:tcW w:w="792" w:type="dxa"/>
            <w:gridSpan w:val="2"/>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8122" w:type="dxa"/>
          </w:tcPr>
          <w:p w:rsidR="00000000" w:rsidRDefault="00000000">
            <w:pPr>
              <w:tabs>
                <w:tab w:val="num" w:pos="475"/>
                <w:tab w:val="right" w:pos="1080"/>
                <w:tab w:val="left" w:pos="1296"/>
                <w:tab w:val="left" w:pos="1728"/>
                <w:tab w:val="left" w:pos="2160"/>
                <w:tab w:val="left" w:pos="2592"/>
                <w:tab w:val="left" w:pos="3024"/>
                <w:tab w:val="left" w:pos="3456"/>
                <w:tab w:val="right" w:leader="dot" w:pos="8122"/>
              </w:tabs>
              <w:spacing w:after="120"/>
              <w:ind w:left="1296" w:hanging="1296"/>
            </w:pPr>
            <w:r>
              <w:tab/>
            </w:r>
            <w:r>
              <w:tab/>
              <w:t>IV.</w:t>
            </w:r>
            <w:r>
              <w:tab/>
              <w:t>Examen de los informes presentados por los Estados partes con arreglo al artículo 18 de la Convención</w:t>
            </w:r>
            <w:r>
              <w:rPr>
                <w:spacing w:val="60"/>
                <w:sz w:val="17"/>
              </w:rPr>
              <w:tab/>
            </w:r>
          </w:p>
        </w:tc>
        <w:tc>
          <w:tcPr>
            <w:tcW w:w="994" w:type="dxa"/>
            <w:gridSpan w:val="2"/>
            <w:vAlign w:val="bottom"/>
          </w:tcPr>
          <w:p w:rsidR="00000000" w:rsidRDefault="00000000">
            <w:pPr>
              <w:spacing w:after="120"/>
              <w:ind w:right="40"/>
              <w:jc w:val="right"/>
            </w:pPr>
            <w:r>
              <w:t>30-358</w:t>
            </w:r>
          </w:p>
        </w:tc>
        <w:tc>
          <w:tcPr>
            <w:tcW w:w="792" w:type="dxa"/>
            <w:gridSpan w:val="2"/>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8122" w:type="dxa"/>
          </w:tcPr>
          <w:p w:rsidR="00000000" w:rsidRDefault="00000000">
            <w:pPr>
              <w:numPr>
                <w:ilvl w:val="1"/>
                <w:numId w:val="0"/>
              </w:numPr>
              <w:tabs>
                <w:tab w:val="num" w:pos="475"/>
                <w:tab w:val="right" w:pos="1080"/>
                <w:tab w:val="left" w:pos="1296"/>
                <w:tab w:val="left" w:pos="1728"/>
                <w:tab w:val="left" w:pos="2160"/>
                <w:tab w:val="left" w:pos="2592"/>
                <w:tab w:val="right" w:leader="dot" w:pos="8122"/>
              </w:tabs>
              <w:spacing w:after="120"/>
            </w:pPr>
            <w:r>
              <w:tab/>
            </w:r>
            <w:r>
              <w:tab/>
            </w:r>
            <w:r>
              <w:tab/>
              <w:t>A.</w:t>
            </w:r>
            <w:r>
              <w:tab/>
              <w:t>Introducción</w:t>
            </w:r>
            <w:r>
              <w:rPr>
                <w:spacing w:val="60"/>
                <w:sz w:val="17"/>
              </w:rPr>
              <w:tab/>
            </w:r>
          </w:p>
        </w:tc>
        <w:tc>
          <w:tcPr>
            <w:tcW w:w="994" w:type="dxa"/>
            <w:gridSpan w:val="2"/>
            <w:vAlign w:val="bottom"/>
          </w:tcPr>
          <w:p w:rsidR="00000000" w:rsidRDefault="00000000">
            <w:pPr>
              <w:spacing w:after="120"/>
              <w:ind w:right="40"/>
              <w:jc w:val="right"/>
            </w:pPr>
            <w:r>
              <w:t>30-31</w:t>
            </w:r>
          </w:p>
        </w:tc>
        <w:tc>
          <w:tcPr>
            <w:tcW w:w="792" w:type="dxa"/>
            <w:gridSpan w:val="2"/>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8122" w:type="dxa"/>
          </w:tcPr>
          <w:p w:rsidR="00000000" w:rsidRDefault="00000000">
            <w:pPr>
              <w:numPr>
                <w:ilvl w:val="1"/>
                <w:numId w:val="0"/>
              </w:numPr>
              <w:tabs>
                <w:tab w:val="num" w:pos="475"/>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122"/>
              </w:tabs>
              <w:spacing w:after="120"/>
            </w:pPr>
            <w:r>
              <w:tab/>
            </w:r>
            <w:r>
              <w:tab/>
            </w:r>
            <w:r>
              <w:tab/>
              <w:t>B.</w:t>
            </w:r>
            <w:r>
              <w:tab/>
              <w:t>Examen de los informes de los Estados partes</w:t>
            </w:r>
            <w:r>
              <w:rPr>
                <w:spacing w:val="60"/>
                <w:sz w:val="17"/>
              </w:rPr>
              <w:tab/>
            </w:r>
          </w:p>
        </w:tc>
        <w:tc>
          <w:tcPr>
            <w:tcW w:w="994" w:type="dxa"/>
            <w:gridSpan w:val="2"/>
            <w:vAlign w:val="bottom"/>
          </w:tcPr>
          <w:p w:rsidR="00000000" w:rsidRDefault="00000000">
            <w:pPr>
              <w:spacing w:after="120"/>
              <w:ind w:right="40"/>
              <w:jc w:val="right"/>
            </w:pPr>
            <w:r>
              <w:t>32-358</w:t>
            </w:r>
          </w:p>
        </w:tc>
        <w:tc>
          <w:tcPr>
            <w:tcW w:w="792" w:type="dxa"/>
            <w:gridSpan w:val="2"/>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8122" w:type="dxa"/>
          </w:tcPr>
          <w:p w:rsidR="00000000" w:rsidRDefault="00000000">
            <w:pPr>
              <w:numPr>
                <w:ilvl w:val="2"/>
                <w:numId w:val="0"/>
              </w:numPr>
              <w:tabs>
                <w:tab w:val="num" w:pos="475"/>
                <w:tab w:val="right" w:pos="1080"/>
                <w:tab w:val="left" w:pos="1296"/>
                <w:tab w:val="left" w:pos="1728"/>
                <w:tab w:val="left" w:pos="2160"/>
                <w:tab w:val="left" w:pos="2592"/>
                <w:tab w:val="left" w:pos="3024"/>
                <w:tab w:val="left" w:pos="3456"/>
                <w:tab w:val="right" w:leader="dot" w:pos="8122"/>
              </w:tabs>
              <w:spacing w:after="120"/>
            </w:pPr>
            <w:r>
              <w:tab/>
            </w:r>
            <w:r>
              <w:tab/>
            </w:r>
            <w:r>
              <w:tab/>
            </w:r>
            <w:r>
              <w:tab/>
              <w:t>1.</w:t>
            </w:r>
            <w:r>
              <w:tab/>
              <w:t>Informes iniciales</w:t>
            </w:r>
            <w:r>
              <w:rPr>
                <w:spacing w:val="60"/>
                <w:sz w:val="17"/>
              </w:rPr>
              <w:tab/>
            </w:r>
          </w:p>
        </w:tc>
        <w:tc>
          <w:tcPr>
            <w:tcW w:w="994" w:type="dxa"/>
            <w:gridSpan w:val="2"/>
            <w:vAlign w:val="bottom"/>
          </w:tcPr>
          <w:p w:rsidR="00000000" w:rsidRDefault="00000000">
            <w:pPr>
              <w:spacing w:after="120"/>
              <w:ind w:right="40"/>
              <w:jc w:val="right"/>
            </w:pPr>
            <w:r>
              <w:t>32-194</w:t>
            </w:r>
          </w:p>
        </w:tc>
        <w:tc>
          <w:tcPr>
            <w:tcW w:w="792" w:type="dxa"/>
            <w:gridSpan w:val="2"/>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Burundi</w:t>
            </w:r>
            <w:r>
              <w:rPr>
                <w:spacing w:val="60"/>
                <w:sz w:val="17"/>
              </w:rPr>
              <w:tab/>
            </w:r>
            <w:r>
              <w:rPr>
                <w:spacing w:val="60"/>
                <w:sz w:val="17"/>
              </w:rPr>
              <w:tab/>
            </w:r>
          </w:p>
        </w:tc>
        <w:tc>
          <w:tcPr>
            <w:tcW w:w="994" w:type="dxa"/>
            <w:gridSpan w:val="2"/>
            <w:vAlign w:val="bottom"/>
          </w:tcPr>
          <w:p w:rsidR="00000000" w:rsidRDefault="00000000">
            <w:pPr>
              <w:spacing w:after="120"/>
              <w:ind w:right="40"/>
              <w:jc w:val="right"/>
            </w:pPr>
            <w:r>
              <w:t>32-67</w:t>
            </w:r>
          </w:p>
        </w:tc>
        <w:tc>
          <w:tcPr>
            <w:tcW w:w="792" w:type="dxa"/>
            <w:gridSpan w:val="2"/>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right" w:leader="dot" w:pos="8122"/>
              </w:tabs>
              <w:spacing w:after="120"/>
              <w:rPr>
                <w:spacing w:val="60"/>
                <w:sz w:val="17"/>
              </w:rPr>
            </w:pPr>
            <w:r>
              <w:tab/>
            </w:r>
            <w:r>
              <w:tab/>
            </w:r>
            <w:r>
              <w:tab/>
            </w:r>
            <w:r>
              <w:tab/>
              <w:t>Kazajstán</w:t>
            </w:r>
            <w:r>
              <w:rPr>
                <w:spacing w:val="60"/>
                <w:sz w:val="17"/>
              </w:rPr>
              <w:tab/>
            </w:r>
          </w:p>
        </w:tc>
        <w:tc>
          <w:tcPr>
            <w:tcW w:w="994" w:type="dxa"/>
            <w:gridSpan w:val="2"/>
            <w:vAlign w:val="bottom"/>
          </w:tcPr>
          <w:p w:rsidR="00000000" w:rsidRDefault="00000000">
            <w:pPr>
              <w:spacing w:after="120"/>
              <w:ind w:right="40"/>
              <w:jc w:val="right"/>
            </w:pPr>
            <w:r>
              <w:t>68-113</w:t>
            </w:r>
          </w:p>
        </w:tc>
        <w:tc>
          <w:tcPr>
            <w:tcW w:w="792" w:type="dxa"/>
            <w:gridSpan w:val="2"/>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right" w:leader="dot" w:pos="8122"/>
              </w:tabs>
              <w:spacing w:after="120"/>
              <w:rPr>
                <w:spacing w:val="60"/>
                <w:sz w:val="17"/>
              </w:rPr>
            </w:pPr>
            <w:r>
              <w:tab/>
            </w:r>
            <w:r>
              <w:tab/>
            </w:r>
            <w:r>
              <w:tab/>
            </w:r>
            <w:r>
              <w:tab/>
              <w:t>Maldivas</w:t>
            </w:r>
            <w:r>
              <w:rPr>
                <w:spacing w:val="60"/>
                <w:sz w:val="17"/>
              </w:rPr>
              <w:tab/>
            </w:r>
          </w:p>
        </w:tc>
        <w:tc>
          <w:tcPr>
            <w:tcW w:w="994" w:type="dxa"/>
            <w:gridSpan w:val="2"/>
            <w:vAlign w:val="bottom"/>
          </w:tcPr>
          <w:p w:rsidR="00000000" w:rsidRDefault="00000000">
            <w:pPr>
              <w:spacing w:after="120"/>
              <w:ind w:right="40"/>
              <w:jc w:val="right"/>
            </w:pPr>
            <w:r>
              <w:t>114-146</w:t>
            </w:r>
          </w:p>
        </w:tc>
        <w:tc>
          <w:tcPr>
            <w:tcW w:w="792" w:type="dxa"/>
            <w:gridSpan w:val="2"/>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Uzbekistán</w:t>
            </w:r>
            <w:r>
              <w:rPr>
                <w:spacing w:val="60"/>
                <w:sz w:val="17"/>
              </w:rPr>
              <w:tab/>
            </w:r>
          </w:p>
        </w:tc>
        <w:tc>
          <w:tcPr>
            <w:tcW w:w="994" w:type="dxa"/>
            <w:gridSpan w:val="2"/>
            <w:vAlign w:val="bottom"/>
          </w:tcPr>
          <w:p w:rsidR="00000000" w:rsidRDefault="00000000">
            <w:pPr>
              <w:spacing w:after="120"/>
              <w:ind w:right="40"/>
              <w:jc w:val="right"/>
            </w:pPr>
            <w:r>
              <w:t>147-194</w:t>
            </w:r>
          </w:p>
        </w:tc>
        <w:tc>
          <w:tcPr>
            <w:tcW w:w="792" w:type="dxa"/>
            <w:gridSpan w:val="2"/>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8122" w:type="dxa"/>
          </w:tcPr>
          <w:p w:rsidR="00000000" w:rsidRDefault="00000000">
            <w:pPr>
              <w:numPr>
                <w:ilvl w:val="2"/>
                <w:numId w:val="0"/>
              </w:numPr>
              <w:tabs>
                <w:tab w:val="num" w:pos="475"/>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pPr>
            <w:r>
              <w:tab/>
            </w:r>
            <w:r>
              <w:tab/>
            </w:r>
            <w:r>
              <w:tab/>
            </w:r>
            <w:r>
              <w:tab/>
              <w:t>2.</w:t>
            </w:r>
            <w:r>
              <w:tab/>
              <w:t>Informes periódicos segundo, tercero y cuarto combinados</w:t>
            </w:r>
          </w:p>
        </w:tc>
        <w:tc>
          <w:tcPr>
            <w:tcW w:w="994" w:type="dxa"/>
            <w:gridSpan w:val="2"/>
            <w:vAlign w:val="bottom"/>
          </w:tcPr>
          <w:p w:rsidR="00000000" w:rsidRDefault="00000000">
            <w:pPr>
              <w:spacing w:after="120"/>
              <w:ind w:right="40"/>
              <w:jc w:val="right"/>
            </w:pPr>
          </w:p>
        </w:tc>
        <w:tc>
          <w:tcPr>
            <w:tcW w:w="792" w:type="dxa"/>
            <w:gridSpan w:val="2"/>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r>
            <w:r>
              <w:tab/>
              <w:t>Jamaica</w:t>
            </w:r>
            <w:r>
              <w:rPr>
                <w:spacing w:val="60"/>
                <w:sz w:val="17"/>
              </w:rPr>
              <w:tab/>
            </w:r>
            <w:r>
              <w:rPr>
                <w:spacing w:val="60"/>
                <w:sz w:val="17"/>
              </w:rPr>
              <w:tab/>
            </w:r>
          </w:p>
        </w:tc>
        <w:tc>
          <w:tcPr>
            <w:tcW w:w="994" w:type="dxa"/>
            <w:gridSpan w:val="2"/>
            <w:vAlign w:val="bottom"/>
          </w:tcPr>
          <w:p w:rsidR="00000000" w:rsidRDefault="00000000">
            <w:pPr>
              <w:spacing w:after="120"/>
              <w:ind w:right="40"/>
              <w:jc w:val="right"/>
            </w:pPr>
            <w:r>
              <w:t>195-233</w:t>
            </w:r>
          </w:p>
        </w:tc>
        <w:tc>
          <w:tcPr>
            <w:tcW w:w="792" w:type="dxa"/>
            <w:gridSpan w:val="2"/>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8122" w:type="dxa"/>
          </w:tcPr>
          <w:p w:rsidR="00000000" w:rsidRDefault="00000000">
            <w:pPr>
              <w:numPr>
                <w:ilvl w:val="2"/>
                <w:numId w:val="0"/>
              </w:numPr>
              <w:tabs>
                <w:tab w:val="num" w:pos="475"/>
                <w:tab w:val="right" w:pos="1080"/>
                <w:tab w:val="left" w:pos="1296"/>
                <w:tab w:val="left" w:pos="1728"/>
                <w:tab w:val="left" w:pos="2178"/>
                <w:tab w:val="left" w:pos="2592"/>
                <w:tab w:val="left" w:pos="3024"/>
                <w:tab w:val="right" w:leader="dot" w:pos="8122"/>
              </w:tabs>
              <w:spacing w:after="120"/>
            </w:pPr>
            <w:r>
              <w:tab/>
            </w:r>
            <w:r>
              <w:tab/>
            </w:r>
            <w:r>
              <w:tab/>
            </w:r>
            <w:r>
              <w:tab/>
              <w:t>3.</w:t>
            </w:r>
            <w:r>
              <w:tab/>
              <w:t>Informes periódicos tercero y cuarto combinados</w:t>
            </w:r>
          </w:p>
        </w:tc>
        <w:tc>
          <w:tcPr>
            <w:tcW w:w="994" w:type="dxa"/>
            <w:gridSpan w:val="2"/>
            <w:vAlign w:val="bottom"/>
          </w:tcPr>
          <w:p w:rsidR="00000000" w:rsidRDefault="00000000">
            <w:pPr>
              <w:spacing w:after="120"/>
              <w:ind w:right="40"/>
              <w:jc w:val="right"/>
            </w:pPr>
          </w:p>
        </w:tc>
        <w:tc>
          <w:tcPr>
            <w:tcW w:w="792" w:type="dxa"/>
            <w:gridSpan w:val="2"/>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r>
            <w:r>
              <w:tab/>
              <w:t>Mongolia</w:t>
            </w:r>
            <w:r>
              <w:rPr>
                <w:spacing w:val="60"/>
                <w:sz w:val="17"/>
              </w:rPr>
              <w:tab/>
            </w:r>
            <w:r>
              <w:rPr>
                <w:spacing w:val="60"/>
                <w:sz w:val="17"/>
              </w:rPr>
              <w:tab/>
            </w:r>
          </w:p>
        </w:tc>
        <w:tc>
          <w:tcPr>
            <w:tcW w:w="994" w:type="dxa"/>
            <w:gridSpan w:val="2"/>
            <w:vAlign w:val="bottom"/>
          </w:tcPr>
          <w:p w:rsidR="00000000" w:rsidRDefault="00000000">
            <w:pPr>
              <w:spacing w:after="120"/>
              <w:ind w:right="40"/>
              <w:jc w:val="right"/>
            </w:pPr>
            <w:r>
              <w:t>234-278</w:t>
            </w:r>
          </w:p>
        </w:tc>
        <w:tc>
          <w:tcPr>
            <w:tcW w:w="792" w:type="dxa"/>
            <w:gridSpan w:val="2"/>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8122" w:type="dxa"/>
          </w:tcPr>
          <w:p w:rsidR="00000000" w:rsidRDefault="00000000">
            <w:pPr>
              <w:numPr>
                <w:ilvl w:val="2"/>
                <w:numId w:val="0"/>
              </w:numPr>
              <w:tabs>
                <w:tab w:val="num" w:pos="475"/>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pPr>
            <w:r>
              <w:tab/>
            </w:r>
            <w:r>
              <w:tab/>
            </w:r>
            <w:r>
              <w:tab/>
            </w:r>
            <w:r>
              <w:tab/>
              <w:t>4.</w:t>
            </w:r>
            <w:r>
              <w:tab/>
              <w:t>Informes periódicos tercero y cuarto</w:t>
            </w:r>
          </w:p>
        </w:tc>
        <w:tc>
          <w:tcPr>
            <w:tcW w:w="994" w:type="dxa"/>
            <w:gridSpan w:val="2"/>
            <w:vAlign w:val="bottom"/>
          </w:tcPr>
          <w:p w:rsidR="00000000" w:rsidRDefault="00000000">
            <w:pPr>
              <w:spacing w:after="120"/>
              <w:ind w:right="40"/>
              <w:jc w:val="right"/>
            </w:pPr>
          </w:p>
        </w:tc>
        <w:tc>
          <w:tcPr>
            <w:tcW w:w="792" w:type="dxa"/>
            <w:gridSpan w:val="2"/>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r>
            <w:r>
              <w:tab/>
              <w:t>Finlandia</w:t>
            </w:r>
            <w:r>
              <w:rPr>
                <w:spacing w:val="60"/>
                <w:sz w:val="17"/>
              </w:rPr>
              <w:tab/>
            </w:r>
            <w:r>
              <w:rPr>
                <w:spacing w:val="60"/>
                <w:sz w:val="17"/>
              </w:rPr>
              <w:tab/>
            </w:r>
          </w:p>
        </w:tc>
        <w:tc>
          <w:tcPr>
            <w:tcW w:w="994" w:type="dxa"/>
            <w:gridSpan w:val="2"/>
            <w:vAlign w:val="bottom"/>
          </w:tcPr>
          <w:p w:rsidR="00000000" w:rsidRDefault="00000000">
            <w:pPr>
              <w:spacing w:after="120"/>
              <w:ind w:right="40"/>
              <w:jc w:val="right"/>
            </w:pPr>
            <w:r>
              <w:t>279-311</w:t>
            </w:r>
          </w:p>
        </w:tc>
        <w:tc>
          <w:tcPr>
            <w:tcW w:w="792" w:type="dxa"/>
            <w:gridSpan w:val="2"/>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8122" w:type="dxa"/>
          </w:tcPr>
          <w:p w:rsidR="00000000" w:rsidRDefault="00000000">
            <w:pPr>
              <w:numPr>
                <w:ilvl w:val="2"/>
                <w:numId w:val="0"/>
              </w:numPr>
              <w:tabs>
                <w:tab w:val="num" w:pos="475"/>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ind w:left="2160" w:hanging="2160"/>
            </w:pPr>
            <w:r>
              <w:tab/>
            </w:r>
            <w:r>
              <w:tab/>
            </w:r>
            <w:r>
              <w:tab/>
            </w:r>
            <w:r>
              <w:tab/>
              <w:t>5.</w:t>
            </w:r>
            <w:r>
              <w:tab/>
              <w:t>Tercer informe periódico e informes periódicos cuarto y quinto combinados</w:t>
            </w:r>
          </w:p>
        </w:tc>
        <w:tc>
          <w:tcPr>
            <w:tcW w:w="994" w:type="dxa"/>
            <w:gridSpan w:val="2"/>
            <w:vAlign w:val="bottom"/>
          </w:tcPr>
          <w:p w:rsidR="00000000" w:rsidRDefault="00000000">
            <w:pPr>
              <w:spacing w:after="120"/>
              <w:ind w:right="40"/>
              <w:jc w:val="right"/>
            </w:pPr>
          </w:p>
        </w:tc>
        <w:tc>
          <w:tcPr>
            <w:tcW w:w="792" w:type="dxa"/>
            <w:gridSpan w:val="2"/>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r>
            <w:r>
              <w:tab/>
              <w:t>Egipto</w:t>
            </w:r>
            <w:r>
              <w:rPr>
                <w:spacing w:val="60"/>
                <w:sz w:val="17"/>
              </w:rPr>
              <w:tab/>
            </w:r>
            <w:r>
              <w:rPr>
                <w:spacing w:val="60"/>
                <w:sz w:val="17"/>
              </w:rPr>
              <w:tab/>
            </w:r>
          </w:p>
        </w:tc>
        <w:tc>
          <w:tcPr>
            <w:tcW w:w="994" w:type="dxa"/>
            <w:gridSpan w:val="2"/>
            <w:vAlign w:val="bottom"/>
          </w:tcPr>
          <w:p w:rsidR="00000000" w:rsidRDefault="00000000">
            <w:pPr>
              <w:spacing w:after="120"/>
              <w:ind w:right="40"/>
              <w:jc w:val="right"/>
            </w:pPr>
            <w:r>
              <w:t>312-358</w:t>
            </w:r>
          </w:p>
        </w:tc>
        <w:tc>
          <w:tcPr>
            <w:tcW w:w="792" w:type="dxa"/>
            <w:gridSpan w:val="2"/>
            <w:vAlign w:val="bottom"/>
          </w:tcPr>
          <w:p w:rsidR="00000000" w:rsidRDefault="00000000">
            <w:pPr>
              <w:spacing w:after="120"/>
              <w:ind w:right="40"/>
              <w:jc w:val="right"/>
            </w:pPr>
            <w:r>
              <w:t>34</w:t>
            </w:r>
          </w:p>
        </w:tc>
      </w:tr>
      <w:tr w:rsidR="00000000">
        <w:tblPrEx>
          <w:tblCellMar>
            <w:top w:w="0" w:type="dxa"/>
            <w:left w:w="0" w:type="dxa"/>
            <w:bottom w:w="0" w:type="dxa"/>
            <w:right w:w="0" w:type="dxa"/>
          </w:tblCellMar>
        </w:tblPrEx>
        <w:trPr>
          <w:cantSplit/>
        </w:trPr>
        <w:tc>
          <w:tcPr>
            <w:tcW w:w="8122" w:type="dxa"/>
          </w:tcPr>
          <w:p w:rsidR="00000000" w:rsidRDefault="00000000">
            <w:pPr>
              <w:tabs>
                <w:tab w:val="num" w:pos="475"/>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ab/>
            </w:r>
            <w:r>
              <w:tab/>
              <w:t>V.</w:t>
            </w:r>
            <w:r>
              <w:tab/>
              <w:t>Medios de agilizar los trabajos del Comité</w:t>
            </w:r>
            <w:r>
              <w:rPr>
                <w:spacing w:val="60"/>
                <w:sz w:val="17"/>
              </w:rPr>
              <w:tab/>
            </w:r>
          </w:p>
        </w:tc>
        <w:tc>
          <w:tcPr>
            <w:tcW w:w="994" w:type="dxa"/>
            <w:gridSpan w:val="2"/>
            <w:vAlign w:val="bottom"/>
          </w:tcPr>
          <w:p w:rsidR="00000000" w:rsidRDefault="00000000">
            <w:pPr>
              <w:spacing w:after="120"/>
              <w:ind w:right="40"/>
              <w:jc w:val="right"/>
            </w:pPr>
            <w:r>
              <w:t>359-369</w:t>
            </w:r>
          </w:p>
        </w:tc>
        <w:tc>
          <w:tcPr>
            <w:tcW w:w="792" w:type="dxa"/>
            <w:gridSpan w:val="2"/>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8122" w:type="dxa"/>
          </w:tcPr>
          <w:p w:rsidR="00000000" w:rsidRDefault="00000000">
            <w:pPr>
              <w:tabs>
                <w:tab w:val="num" w:pos="475"/>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ab/>
            </w:r>
            <w:r>
              <w:tab/>
              <w:t>VI.</w:t>
            </w:r>
            <w:r>
              <w:tab/>
              <w:t>Aplicación del artículo 21 de la Convención</w:t>
            </w:r>
            <w:r>
              <w:rPr>
                <w:spacing w:val="60"/>
                <w:sz w:val="17"/>
              </w:rPr>
              <w:tab/>
            </w:r>
          </w:p>
        </w:tc>
        <w:tc>
          <w:tcPr>
            <w:tcW w:w="994" w:type="dxa"/>
            <w:gridSpan w:val="2"/>
            <w:vAlign w:val="bottom"/>
          </w:tcPr>
          <w:p w:rsidR="00000000" w:rsidRDefault="00000000">
            <w:pPr>
              <w:spacing w:after="120"/>
              <w:ind w:right="40"/>
              <w:jc w:val="right"/>
            </w:pPr>
            <w:r>
              <w:t>370-385</w:t>
            </w:r>
          </w:p>
        </w:tc>
        <w:tc>
          <w:tcPr>
            <w:tcW w:w="792" w:type="dxa"/>
            <w:gridSpan w:val="2"/>
            <w:vAlign w:val="bottom"/>
          </w:tcPr>
          <w:p w:rsidR="00000000" w:rsidRDefault="00000000">
            <w:pPr>
              <w:spacing w:after="120"/>
              <w:ind w:right="40"/>
              <w:jc w:val="right"/>
            </w:pPr>
            <w:r>
              <w:t>41</w:t>
            </w:r>
          </w:p>
        </w:tc>
      </w:tr>
      <w:tr w:rsidR="00000000">
        <w:tblPrEx>
          <w:tblCellMar>
            <w:top w:w="0" w:type="dxa"/>
            <w:left w:w="0" w:type="dxa"/>
            <w:bottom w:w="0" w:type="dxa"/>
            <w:right w:w="0" w:type="dxa"/>
          </w:tblCellMar>
        </w:tblPrEx>
        <w:trPr>
          <w:cantSplit/>
        </w:trPr>
        <w:tc>
          <w:tcPr>
            <w:tcW w:w="8122" w:type="dxa"/>
          </w:tcPr>
          <w:p w:rsidR="00000000" w:rsidRDefault="00000000">
            <w:pPr>
              <w:tabs>
                <w:tab w:val="num" w:pos="475"/>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122"/>
              </w:tabs>
              <w:spacing w:after="120"/>
            </w:pPr>
            <w:r>
              <w:tab/>
            </w:r>
            <w:r>
              <w:tab/>
              <w:t>VII.</w:t>
            </w:r>
            <w:r>
              <w:tab/>
              <w:t>Programa provisional para el 25° período de sesiones</w:t>
            </w:r>
            <w:r>
              <w:rPr>
                <w:spacing w:val="60"/>
                <w:sz w:val="17"/>
              </w:rPr>
              <w:tab/>
            </w:r>
          </w:p>
        </w:tc>
        <w:tc>
          <w:tcPr>
            <w:tcW w:w="994" w:type="dxa"/>
            <w:gridSpan w:val="2"/>
            <w:vAlign w:val="bottom"/>
          </w:tcPr>
          <w:p w:rsidR="00000000" w:rsidRDefault="00000000">
            <w:pPr>
              <w:spacing w:after="120"/>
              <w:ind w:right="40"/>
              <w:jc w:val="right"/>
            </w:pPr>
            <w:r>
              <w:t>386</w:t>
            </w:r>
          </w:p>
        </w:tc>
        <w:tc>
          <w:tcPr>
            <w:tcW w:w="792" w:type="dxa"/>
            <w:gridSpan w:val="2"/>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8122" w:type="dxa"/>
          </w:tcPr>
          <w:p w:rsidR="00000000" w:rsidRDefault="00000000">
            <w:pPr>
              <w:tabs>
                <w:tab w:val="num" w:pos="475"/>
                <w:tab w:val="right" w:pos="1080"/>
                <w:tab w:val="left" w:pos="1296"/>
                <w:tab w:val="left" w:pos="1728"/>
                <w:tab w:val="left" w:pos="2160"/>
                <w:tab w:val="left" w:pos="2592"/>
                <w:tab w:val="left" w:pos="3024"/>
                <w:tab w:val="right" w:leader="dot" w:pos="8122"/>
              </w:tabs>
              <w:spacing w:after="120"/>
            </w:pPr>
            <w:r>
              <w:tab/>
            </w:r>
            <w:r>
              <w:tab/>
              <w:t>VIII.</w:t>
            </w:r>
            <w:r>
              <w:tab/>
              <w:t>Aprobación del informe</w:t>
            </w:r>
            <w:r>
              <w:rPr>
                <w:spacing w:val="60"/>
                <w:sz w:val="17"/>
              </w:rPr>
              <w:tab/>
            </w:r>
          </w:p>
        </w:tc>
        <w:tc>
          <w:tcPr>
            <w:tcW w:w="994" w:type="dxa"/>
            <w:gridSpan w:val="2"/>
            <w:vAlign w:val="bottom"/>
          </w:tcPr>
          <w:p w:rsidR="00000000" w:rsidRDefault="00000000">
            <w:pPr>
              <w:spacing w:after="120"/>
              <w:ind w:right="40"/>
              <w:jc w:val="right"/>
            </w:pPr>
            <w:r>
              <w:t>387</w:t>
            </w:r>
          </w:p>
        </w:tc>
        <w:tc>
          <w:tcPr>
            <w:tcW w:w="792" w:type="dxa"/>
            <w:gridSpan w:val="2"/>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gridAfter w:val="1"/>
          <w:wAfter w:w="6" w:type="dxa"/>
          <w:cantSplit/>
        </w:trPr>
        <w:tc>
          <w:tcPr>
            <w:tcW w:w="911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t>Segunda parte</w:t>
            </w:r>
            <w:r>
              <w:br/>
              <w:t>Informe del Comité para la Eliminación de la Discriminación contra la Mujer sobre la labor realizada en su 24° período de sesiones</w:t>
            </w:r>
          </w:p>
        </w:tc>
        <w:tc>
          <w:tcPr>
            <w:tcW w:w="792" w:type="dxa"/>
            <w:gridSpan w:val="2"/>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gridAfter w:val="1"/>
          <w:wAfter w:w="6" w:type="dxa"/>
          <w:cantSplit/>
        </w:trPr>
        <w:tc>
          <w:tcPr>
            <w:tcW w:w="9110" w:type="dxa"/>
            <w:gridSpan w:val="2"/>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Carta de envío</w:t>
            </w:r>
            <w:r>
              <w:rPr>
                <w:spacing w:val="60"/>
                <w:sz w:val="17"/>
              </w:rPr>
              <w:tab/>
            </w:r>
          </w:p>
        </w:tc>
        <w:tc>
          <w:tcPr>
            <w:tcW w:w="792" w:type="dxa"/>
            <w:gridSpan w:val="2"/>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gridAfter w:val="1"/>
          <w:wAfter w:w="6" w:type="dxa"/>
          <w:cantSplit/>
        </w:trPr>
        <w:tc>
          <w:tcPr>
            <w:tcW w:w="9110" w:type="dxa"/>
            <w:gridSpan w:val="2"/>
          </w:tcPr>
          <w:p w:rsidR="00000000" w:rsidRDefault="00000000">
            <w:pPr>
              <w:tabs>
                <w:tab w:val="right" w:pos="1080"/>
                <w:tab w:val="left" w:pos="1287"/>
                <w:tab w:val="left" w:pos="2160"/>
                <w:tab w:val="right" w:leader="dot" w:pos="9101"/>
              </w:tabs>
              <w:spacing w:after="120"/>
            </w:pPr>
            <w:r>
              <w:tab/>
              <w:t>I.</w:t>
            </w:r>
            <w:r>
              <w:tab/>
              <w:t>Cuestiones que se señalan a la atención de los Estados partes</w:t>
            </w:r>
          </w:p>
        </w:tc>
        <w:tc>
          <w:tcPr>
            <w:tcW w:w="792" w:type="dxa"/>
            <w:gridSpan w:val="2"/>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gridAfter w:val="1"/>
          <w:wAfter w:w="6" w:type="dxa"/>
          <w:cantSplit/>
        </w:trPr>
        <w:tc>
          <w:tcPr>
            <w:tcW w:w="9110" w:type="dxa"/>
            <w:gridSpan w:val="2"/>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A.</w:t>
            </w:r>
            <w:r>
              <w:tab/>
              <w:t>Decisiones</w:t>
            </w:r>
            <w:r>
              <w:rPr>
                <w:spacing w:val="60"/>
                <w:sz w:val="17"/>
              </w:rPr>
              <w:tab/>
            </w:r>
          </w:p>
        </w:tc>
        <w:tc>
          <w:tcPr>
            <w:tcW w:w="792" w:type="dxa"/>
            <w:gridSpan w:val="2"/>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gridAfter w:val="1"/>
          <w:wAfter w:w="6" w:type="dxa"/>
          <w:cantSplit/>
        </w:trPr>
        <w:tc>
          <w:tcPr>
            <w:tcW w:w="9110" w:type="dxa"/>
            <w:gridSpan w:val="2"/>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B.</w:t>
            </w:r>
            <w:r>
              <w:tab/>
              <w:t>Sugerencias</w:t>
            </w:r>
            <w:r>
              <w:rPr>
                <w:spacing w:val="60"/>
                <w:sz w:val="17"/>
              </w:rPr>
              <w:tab/>
            </w:r>
          </w:p>
        </w:tc>
        <w:tc>
          <w:tcPr>
            <w:tcW w:w="792" w:type="dxa"/>
            <w:gridSpan w:val="2"/>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rPr>
                <w:spacing w:val="60"/>
                <w:sz w:val="17"/>
              </w:rPr>
            </w:pPr>
            <w:r>
              <w:tab/>
              <w:t>II.</w:t>
            </w:r>
            <w:r>
              <w:tab/>
              <w:t>Cuestiones de organización y otros asuntos</w:t>
            </w:r>
            <w:r>
              <w:rPr>
                <w:spacing w:val="60"/>
                <w:sz w:val="17"/>
              </w:rPr>
              <w:tab/>
            </w:r>
            <w:r>
              <w:rPr>
                <w:spacing w:val="60"/>
                <w:sz w:val="17"/>
              </w:rPr>
              <w:tab/>
            </w:r>
          </w:p>
        </w:tc>
        <w:tc>
          <w:tcPr>
            <w:tcW w:w="994" w:type="dxa"/>
            <w:gridSpan w:val="2"/>
            <w:vAlign w:val="bottom"/>
          </w:tcPr>
          <w:p w:rsidR="00000000" w:rsidRDefault="00000000">
            <w:pPr>
              <w:spacing w:after="120"/>
              <w:ind w:right="40"/>
              <w:jc w:val="right"/>
            </w:pPr>
            <w:r>
              <w:t>1-18</w:t>
            </w:r>
          </w:p>
        </w:tc>
        <w:tc>
          <w:tcPr>
            <w:tcW w:w="792" w:type="dxa"/>
            <w:gridSpan w:val="2"/>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728" w:hanging="1728"/>
              <w:rPr>
                <w:spacing w:val="60"/>
                <w:sz w:val="17"/>
              </w:rPr>
            </w:pPr>
            <w:r>
              <w:tab/>
            </w:r>
            <w:r>
              <w:tab/>
              <w:t>A.</w:t>
            </w:r>
            <w:r>
              <w:tab/>
              <w:t>Estados partes en la Convención sobre la eliminación de todas las formas de discriminación contra la mujer</w:t>
            </w:r>
            <w:r>
              <w:rPr>
                <w:spacing w:val="60"/>
                <w:sz w:val="17"/>
              </w:rPr>
              <w:tab/>
            </w:r>
          </w:p>
        </w:tc>
        <w:tc>
          <w:tcPr>
            <w:tcW w:w="994" w:type="dxa"/>
            <w:gridSpan w:val="2"/>
            <w:vAlign w:val="bottom"/>
          </w:tcPr>
          <w:p w:rsidR="00000000" w:rsidRDefault="00000000">
            <w:pPr>
              <w:spacing w:after="120"/>
              <w:ind w:right="40"/>
              <w:jc w:val="right"/>
            </w:pPr>
            <w:r>
              <w:t>1-2</w:t>
            </w:r>
          </w:p>
        </w:tc>
        <w:tc>
          <w:tcPr>
            <w:tcW w:w="792" w:type="dxa"/>
            <w:gridSpan w:val="2"/>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1728" w:hanging="1728"/>
              <w:rPr>
                <w:spacing w:val="60"/>
                <w:sz w:val="17"/>
              </w:rPr>
            </w:pPr>
            <w:r>
              <w:tab/>
            </w:r>
            <w:r>
              <w:tab/>
              <w:t>B.</w:t>
            </w:r>
            <w:r>
              <w:tab/>
              <w:t>Apertura del período de sesiones</w:t>
            </w:r>
            <w:r>
              <w:rPr>
                <w:spacing w:val="60"/>
                <w:sz w:val="17"/>
              </w:rPr>
              <w:tab/>
            </w:r>
          </w:p>
        </w:tc>
        <w:tc>
          <w:tcPr>
            <w:tcW w:w="994" w:type="dxa"/>
            <w:gridSpan w:val="2"/>
            <w:vAlign w:val="bottom"/>
          </w:tcPr>
          <w:p w:rsidR="00000000" w:rsidRDefault="00000000">
            <w:pPr>
              <w:spacing w:after="120"/>
              <w:ind w:right="40"/>
              <w:jc w:val="right"/>
            </w:pPr>
            <w:r>
              <w:t>3-11</w:t>
            </w:r>
          </w:p>
        </w:tc>
        <w:tc>
          <w:tcPr>
            <w:tcW w:w="792" w:type="dxa"/>
            <w:gridSpan w:val="2"/>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rPr>
            </w:pPr>
            <w:r>
              <w:tab/>
            </w:r>
            <w:r>
              <w:tab/>
              <w:t>C.</w:t>
            </w:r>
            <w:r>
              <w:tab/>
              <w:t>Asistencia</w:t>
            </w:r>
            <w:r>
              <w:rPr>
                <w:spacing w:val="60"/>
                <w:sz w:val="17"/>
              </w:rPr>
              <w:tab/>
            </w:r>
          </w:p>
        </w:tc>
        <w:tc>
          <w:tcPr>
            <w:tcW w:w="994" w:type="dxa"/>
            <w:gridSpan w:val="2"/>
            <w:vAlign w:val="bottom"/>
          </w:tcPr>
          <w:p w:rsidR="00000000" w:rsidRDefault="00000000">
            <w:pPr>
              <w:spacing w:after="120"/>
              <w:ind w:right="40"/>
              <w:jc w:val="right"/>
            </w:pPr>
            <w:r>
              <w:t>12</w:t>
            </w:r>
          </w:p>
        </w:tc>
        <w:tc>
          <w:tcPr>
            <w:tcW w:w="792" w:type="dxa"/>
            <w:gridSpan w:val="2"/>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ind w:left="1728" w:hanging="1728"/>
              <w:rPr>
                <w:spacing w:val="60"/>
                <w:sz w:val="17"/>
              </w:rPr>
            </w:pPr>
            <w:r>
              <w:tab/>
            </w:r>
            <w:r>
              <w:tab/>
              <w:t>D.</w:t>
            </w:r>
            <w:r>
              <w:tab/>
              <w:t>Aprobación del programa y organización de los trabajos</w:t>
            </w:r>
            <w:r>
              <w:rPr>
                <w:spacing w:val="60"/>
                <w:sz w:val="17"/>
              </w:rPr>
              <w:tab/>
            </w:r>
          </w:p>
        </w:tc>
        <w:tc>
          <w:tcPr>
            <w:tcW w:w="994" w:type="dxa"/>
            <w:gridSpan w:val="2"/>
            <w:vAlign w:val="bottom"/>
          </w:tcPr>
          <w:p w:rsidR="00000000" w:rsidRDefault="00000000">
            <w:pPr>
              <w:spacing w:after="120"/>
              <w:ind w:right="40"/>
              <w:jc w:val="right"/>
            </w:pPr>
            <w:r>
              <w:t>13</w:t>
            </w:r>
          </w:p>
        </w:tc>
        <w:tc>
          <w:tcPr>
            <w:tcW w:w="792" w:type="dxa"/>
            <w:gridSpan w:val="2"/>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ind w:left="1728" w:hanging="1728"/>
              <w:rPr>
                <w:spacing w:val="60"/>
                <w:sz w:val="17"/>
              </w:rPr>
            </w:pPr>
            <w:r>
              <w:tab/>
            </w:r>
            <w:r>
              <w:tab/>
              <w:t>E.</w:t>
            </w:r>
            <w:r>
              <w:tab/>
              <w:t>Informe del Grupo de Trabajo anterior al período de sesiones</w:t>
            </w:r>
            <w:r>
              <w:rPr>
                <w:spacing w:val="60"/>
                <w:sz w:val="17"/>
              </w:rPr>
              <w:tab/>
            </w:r>
          </w:p>
        </w:tc>
        <w:tc>
          <w:tcPr>
            <w:tcW w:w="994" w:type="dxa"/>
            <w:gridSpan w:val="2"/>
            <w:vAlign w:val="bottom"/>
          </w:tcPr>
          <w:p w:rsidR="00000000" w:rsidRDefault="00000000">
            <w:pPr>
              <w:spacing w:after="120"/>
              <w:ind w:right="40"/>
              <w:jc w:val="right"/>
            </w:pPr>
            <w:r>
              <w:t>14-17</w:t>
            </w:r>
          </w:p>
        </w:tc>
        <w:tc>
          <w:tcPr>
            <w:tcW w:w="792" w:type="dxa"/>
            <w:gridSpan w:val="2"/>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728" w:hanging="1728"/>
              <w:rPr>
                <w:spacing w:val="60"/>
                <w:sz w:val="17"/>
              </w:rPr>
            </w:pPr>
            <w:r>
              <w:tab/>
            </w:r>
            <w:r>
              <w:tab/>
              <w:t>F.</w:t>
            </w:r>
            <w:r>
              <w:tab/>
              <w:t>Organización de los trabajos</w:t>
            </w:r>
            <w:r>
              <w:rPr>
                <w:spacing w:val="60"/>
                <w:sz w:val="17"/>
              </w:rPr>
              <w:tab/>
            </w:r>
          </w:p>
        </w:tc>
        <w:tc>
          <w:tcPr>
            <w:tcW w:w="994" w:type="dxa"/>
            <w:gridSpan w:val="2"/>
            <w:vAlign w:val="bottom"/>
          </w:tcPr>
          <w:p w:rsidR="00000000" w:rsidRDefault="00000000">
            <w:pPr>
              <w:spacing w:after="120"/>
              <w:ind w:right="40"/>
              <w:jc w:val="right"/>
            </w:pPr>
            <w:r>
              <w:t>18</w:t>
            </w:r>
          </w:p>
        </w:tc>
        <w:tc>
          <w:tcPr>
            <w:tcW w:w="792" w:type="dxa"/>
            <w:gridSpan w:val="2"/>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296" w:hanging="1296"/>
              <w:rPr>
                <w:spacing w:val="60"/>
                <w:sz w:val="17"/>
              </w:rPr>
            </w:pPr>
            <w:r>
              <w:tab/>
              <w:t>III.</w:t>
            </w:r>
            <w:r>
              <w:tab/>
              <w:t>Informe de la Presidenta sobre las actividades realizadas entre los períodos de sesiones 24° y 25° del Comité</w:t>
            </w:r>
            <w:r>
              <w:rPr>
                <w:spacing w:val="60"/>
                <w:sz w:val="17"/>
              </w:rPr>
              <w:tab/>
            </w:r>
          </w:p>
        </w:tc>
        <w:tc>
          <w:tcPr>
            <w:tcW w:w="994" w:type="dxa"/>
            <w:gridSpan w:val="2"/>
            <w:vAlign w:val="bottom"/>
          </w:tcPr>
          <w:p w:rsidR="00000000" w:rsidRDefault="00000000">
            <w:pPr>
              <w:spacing w:after="120"/>
              <w:ind w:right="40"/>
              <w:jc w:val="right"/>
            </w:pPr>
            <w:r>
              <w:t>19-20</w:t>
            </w:r>
          </w:p>
        </w:tc>
        <w:tc>
          <w:tcPr>
            <w:tcW w:w="792" w:type="dxa"/>
            <w:gridSpan w:val="2"/>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296" w:hanging="1296"/>
              <w:rPr>
                <w:spacing w:val="60"/>
                <w:sz w:val="17"/>
              </w:rPr>
            </w:pPr>
            <w:r>
              <w:tab/>
              <w:t>IV.</w:t>
            </w:r>
            <w:r>
              <w:tab/>
              <w:t>Examen de los informes presentados por los Estados partes con arreglo al artículo 18 de la Convención</w:t>
            </w:r>
            <w:r>
              <w:rPr>
                <w:spacing w:val="60"/>
                <w:sz w:val="17"/>
              </w:rPr>
              <w:tab/>
            </w:r>
          </w:p>
        </w:tc>
        <w:tc>
          <w:tcPr>
            <w:tcW w:w="994" w:type="dxa"/>
            <w:gridSpan w:val="2"/>
            <w:vAlign w:val="bottom"/>
          </w:tcPr>
          <w:p w:rsidR="00000000" w:rsidRDefault="00000000">
            <w:pPr>
              <w:spacing w:after="120"/>
              <w:ind w:right="40"/>
              <w:jc w:val="right"/>
            </w:pPr>
            <w:r>
              <w:t>21-360</w:t>
            </w:r>
          </w:p>
        </w:tc>
        <w:tc>
          <w:tcPr>
            <w:tcW w:w="792" w:type="dxa"/>
            <w:gridSpan w:val="2"/>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right" w:leader="dot" w:pos="8122"/>
              </w:tabs>
              <w:spacing w:after="120"/>
              <w:ind w:left="1296" w:hanging="1296"/>
              <w:rPr>
                <w:spacing w:val="60"/>
                <w:sz w:val="17"/>
              </w:rPr>
            </w:pPr>
            <w:r>
              <w:tab/>
            </w:r>
            <w:r>
              <w:tab/>
              <w:t>A.</w:t>
            </w:r>
            <w:r>
              <w:tab/>
              <w:t>Introducción</w:t>
            </w:r>
            <w:r>
              <w:rPr>
                <w:spacing w:val="60"/>
                <w:sz w:val="17"/>
              </w:rPr>
              <w:tab/>
            </w:r>
          </w:p>
        </w:tc>
        <w:tc>
          <w:tcPr>
            <w:tcW w:w="994" w:type="dxa"/>
            <w:gridSpan w:val="2"/>
            <w:vAlign w:val="bottom"/>
          </w:tcPr>
          <w:p w:rsidR="00000000" w:rsidRDefault="00000000">
            <w:pPr>
              <w:spacing w:after="120"/>
              <w:ind w:right="40"/>
              <w:jc w:val="right"/>
            </w:pPr>
            <w:r>
              <w:t>21-22</w:t>
            </w:r>
          </w:p>
        </w:tc>
        <w:tc>
          <w:tcPr>
            <w:tcW w:w="792" w:type="dxa"/>
            <w:gridSpan w:val="2"/>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8122" w:type="dxa"/>
          </w:tcPr>
          <w:p w:rsidR="00000000" w:rsidRDefault="00000000">
            <w:pPr>
              <w:pageBreakBefore/>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122"/>
              </w:tabs>
              <w:spacing w:after="120"/>
              <w:ind w:left="1296" w:hanging="1296"/>
              <w:rPr>
                <w:spacing w:val="60"/>
                <w:sz w:val="17"/>
              </w:rPr>
            </w:pPr>
            <w:r>
              <w:tab/>
            </w:r>
            <w:r>
              <w:tab/>
              <w:t>B.</w:t>
            </w:r>
            <w:r>
              <w:tab/>
              <w:t>Examen de los informes de los Estados partes</w:t>
            </w:r>
            <w:r>
              <w:rPr>
                <w:spacing w:val="60"/>
                <w:sz w:val="17"/>
              </w:rPr>
              <w:tab/>
            </w:r>
          </w:p>
        </w:tc>
        <w:tc>
          <w:tcPr>
            <w:tcW w:w="994" w:type="dxa"/>
            <w:gridSpan w:val="2"/>
            <w:vAlign w:val="bottom"/>
          </w:tcPr>
          <w:p w:rsidR="00000000" w:rsidRDefault="00000000">
            <w:pPr>
              <w:spacing w:after="120"/>
              <w:ind w:right="40"/>
              <w:jc w:val="right"/>
            </w:pPr>
            <w:r>
              <w:t>23-360</w:t>
            </w:r>
          </w:p>
        </w:tc>
        <w:tc>
          <w:tcPr>
            <w:tcW w:w="792" w:type="dxa"/>
            <w:gridSpan w:val="2"/>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296" w:hanging="1296"/>
              <w:rPr>
                <w:spacing w:val="60"/>
                <w:sz w:val="17"/>
              </w:rPr>
            </w:pPr>
            <w:r>
              <w:tab/>
            </w:r>
            <w:r>
              <w:tab/>
            </w:r>
            <w:r>
              <w:tab/>
              <w:t>1.</w:t>
            </w:r>
            <w:r>
              <w:tab/>
              <w:t>Informes iniciales</w:t>
            </w:r>
          </w:p>
        </w:tc>
        <w:tc>
          <w:tcPr>
            <w:tcW w:w="994" w:type="dxa"/>
            <w:gridSpan w:val="2"/>
            <w:vAlign w:val="bottom"/>
          </w:tcPr>
          <w:p w:rsidR="00000000" w:rsidRDefault="00000000">
            <w:pPr>
              <w:spacing w:after="120"/>
              <w:ind w:right="40"/>
              <w:jc w:val="right"/>
            </w:pPr>
          </w:p>
        </w:tc>
        <w:tc>
          <w:tcPr>
            <w:tcW w:w="792" w:type="dxa"/>
            <w:gridSpan w:val="2"/>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right" w:leader="dot" w:pos="8122"/>
              </w:tabs>
              <w:spacing w:after="120"/>
              <w:ind w:left="1296" w:hanging="1296"/>
              <w:rPr>
                <w:spacing w:val="60"/>
                <w:sz w:val="17"/>
              </w:rPr>
            </w:pPr>
            <w:r>
              <w:tab/>
            </w:r>
            <w:r>
              <w:tab/>
            </w:r>
            <w:r>
              <w:tab/>
            </w:r>
            <w:r>
              <w:tab/>
              <w:t>Andorra</w:t>
            </w:r>
            <w:r>
              <w:rPr>
                <w:spacing w:val="60"/>
                <w:sz w:val="17"/>
              </w:rPr>
              <w:tab/>
            </w:r>
          </w:p>
        </w:tc>
        <w:tc>
          <w:tcPr>
            <w:tcW w:w="994" w:type="dxa"/>
            <w:gridSpan w:val="2"/>
            <w:vAlign w:val="bottom"/>
          </w:tcPr>
          <w:p w:rsidR="00000000" w:rsidRDefault="00000000">
            <w:pPr>
              <w:spacing w:after="120"/>
              <w:ind w:right="40"/>
              <w:jc w:val="right"/>
            </w:pPr>
            <w:r>
              <w:t>23-53</w:t>
            </w:r>
          </w:p>
        </w:tc>
        <w:tc>
          <w:tcPr>
            <w:tcW w:w="792" w:type="dxa"/>
            <w:gridSpan w:val="2"/>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122"/>
              </w:tabs>
              <w:spacing w:after="120"/>
              <w:ind w:left="1296" w:hanging="1296"/>
              <w:rPr>
                <w:spacing w:val="60"/>
                <w:sz w:val="17"/>
              </w:rPr>
            </w:pPr>
            <w:r>
              <w:tab/>
            </w:r>
            <w:r>
              <w:tab/>
            </w:r>
            <w:r>
              <w:tab/>
              <w:t>2.</w:t>
            </w:r>
            <w:r>
              <w:tab/>
              <w:t>Informe inicial y segundo informe periódico</w:t>
            </w:r>
          </w:p>
        </w:tc>
        <w:tc>
          <w:tcPr>
            <w:tcW w:w="994" w:type="dxa"/>
            <w:gridSpan w:val="2"/>
            <w:vAlign w:val="bottom"/>
          </w:tcPr>
          <w:p w:rsidR="00000000" w:rsidRDefault="00000000">
            <w:pPr>
              <w:spacing w:after="120"/>
              <w:ind w:right="40"/>
              <w:jc w:val="right"/>
            </w:pPr>
          </w:p>
        </w:tc>
        <w:tc>
          <w:tcPr>
            <w:tcW w:w="792" w:type="dxa"/>
            <w:gridSpan w:val="2"/>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right" w:leader="dot" w:pos="8122"/>
              </w:tabs>
              <w:spacing w:after="120"/>
              <w:ind w:left="1296" w:hanging="1296"/>
              <w:rPr>
                <w:spacing w:val="60"/>
                <w:sz w:val="17"/>
              </w:rPr>
            </w:pPr>
            <w:r>
              <w:tab/>
            </w:r>
            <w:r>
              <w:tab/>
            </w:r>
            <w:r>
              <w:tab/>
            </w:r>
            <w:r>
              <w:tab/>
              <w:t>Singapur</w:t>
            </w:r>
            <w:r>
              <w:rPr>
                <w:spacing w:val="60"/>
                <w:sz w:val="17"/>
              </w:rPr>
              <w:tab/>
            </w:r>
          </w:p>
        </w:tc>
        <w:tc>
          <w:tcPr>
            <w:tcW w:w="994" w:type="dxa"/>
            <w:gridSpan w:val="2"/>
            <w:vAlign w:val="bottom"/>
          </w:tcPr>
          <w:p w:rsidR="00000000" w:rsidRDefault="00000000">
            <w:pPr>
              <w:spacing w:after="120"/>
              <w:ind w:right="40"/>
              <w:jc w:val="right"/>
            </w:pPr>
            <w:r>
              <w:t>54-96</w:t>
            </w:r>
          </w:p>
        </w:tc>
        <w:tc>
          <w:tcPr>
            <w:tcW w:w="792" w:type="dxa"/>
            <w:gridSpan w:val="2"/>
            <w:vAlign w:val="bottom"/>
          </w:tcPr>
          <w:p w:rsidR="00000000" w:rsidRDefault="00000000">
            <w:pPr>
              <w:spacing w:after="120"/>
              <w:ind w:right="40"/>
              <w:jc w:val="right"/>
            </w:pPr>
            <w:r>
              <w:t>54</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right" w:leader="dot" w:pos="8122"/>
              </w:tabs>
              <w:spacing w:after="120"/>
              <w:ind w:left="1296" w:hanging="1296"/>
            </w:pPr>
            <w:r>
              <w:tab/>
            </w:r>
            <w:r>
              <w:tab/>
            </w:r>
            <w:r>
              <w:tab/>
              <w:t>3.</w:t>
            </w:r>
            <w:r>
              <w:tab/>
              <w:t>Informe inicial y segundo y tercer informes periódicos combinados</w:t>
            </w:r>
          </w:p>
        </w:tc>
        <w:tc>
          <w:tcPr>
            <w:tcW w:w="994" w:type="dxa"/>
            <w:gridSpan w:val="2"/>
            <w:vAlign w:val="bottom"/>
          </w:tcPr>
          <w:p w:rsidR="00000000" w:rsidRDefault="00000000">
            <w:pPr>
              <w:spacing w:after="120"/>
              <w:ind w:right="40"/>
              <w:jc w:val="right"/>
            </w:pPr>
          </w:p>
        </w:tc>
        <w:tc>
          <w:tcPr>
            <w:tcW w:w="792" w:type="dxa"/>
            <w:gridSpan w:val="2"/>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right" w:leader="dot" w:pos="8122"/>
              </w:tabs>
              <w:spacing w:after="120"/>
              <w:ind w:left="1296" w:hanging="1296"/>
              <w:rPr>
                <w:spacing w:val="60"/>
                <w:sz w:val="17"/>
              </w:rPr>
            </w:pPr>
            <w:r>
              <w:tab/>
            </w:r>
            <w:r>
              <w:tab/>
            </w:r>
            <w:r>
              <w:tab/>
            </w:r>
            <w:r>
              <w:tab/>
              <w:t>Guinea</w:t>
            </w:r>
            <w:r>
              <w:rPr>
                <w:spacing w:val="60"/>
                <w:sz w:val="17"/>
              </w:rPr>
              <w:tab/>
            </w:r>
          </w:p>
        </w:tc>
        <w:tc>
          <w:tcPr>
            <w:tcW w:w="994" w:type="dxa"/>
            <w:gridSpan w:val="2"/>
            <w:vAlign w:val="bottom"/>
          </w:tcPr>
          <w:p w:rsidR="00000000" w:rsidRDefault="00000000">
            <w:pPr>
              <w:spacing w:after="120"/>
              <w:ind w:right="40"/>
              <w:jc w:val="right"/>
            </w:pPr>
            <w:r>
              <w:t>97-144</w:t>
            </w:r>
          </w:p>
        </w:tc>
        <w:tc>
          <w:tcPr>
            <w:tcW w:w="792" w:type="dxa"/>
            <w:gridSpan w:val="2"/>
            <w:vAlign w:val="bottom"/>
          </w:tcPr>
          <w:p w:rsidR="00000000" w:rsidRDefault="00000000">
            <w:pPr>
              <w:spacing w:after="120"/>
              <w:ind w:right="40"/>
              <w:jc w:val="right"/>
            </w:pPr>
            <w:r>
              <w:t>58</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1296" w:hanging="1296"/>
              <w:rPr>
                <w:spacing w:val="60"/>
                <w:sz w:val="17"/>
              </w:rPr>
            </w:pPr>
            <w:r>
              <w:tab/>
            </w:r>
            <w:r>
              <w:tab/>
            </w:r>
            <w:r>
              <w:tab/>
              <w:t>4.</w:t>
            </w:r>
            <w:r>
              <w:tab/>
              <w:t>Segundo examen periódico</w:t>
            </w:r>
          </w:p>
        </w:tc>
        <w:tc>
          <w:tcPr>
            <w:tcW w:w="994" w:type="dxa"/>
            <w:gridSpan w:val="2"/>
            <w:vAlign w:val="bottom"/>
          </w:tcPr>
          <w:p w:rsidR="00000000" w:rsidRDefault="00000000">
            <w:pPr>
              <w:spacing w:after="120"/>
              <w:ind w:right="40"/>
              <w:jc w:val="right"/>
            </w:pPr>
          </w:p>
        </w:tc>
        <w:tc>
          <w:tcPr>
            <w:tcW w:w="792" w:type="dxa"/>
            <w:gridSpan w:val="2"/>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right" w:leader="dot" w:pos="8122"/>
              </w:tabs>
              <w:spacing w:after="120"/>
              <w:ind w:left="1296" w:hanging="1296"/>
              <w:rPr>
                <w:spacing w:val="60"/>
                <w:sz w:val="17"/>
              </w:rPr>
            </w:pPr>
            <w:r>
              <w:tab/>
            </w:r>
            <w:r>
              <w:tab/>
            </w:r>
            <w:r>
              <w:tab/>
            </w:r>
            <w:r>
              <w:tab/>
              <w:t>Guyana</w:t>
            </w:r>
            <w:r>
              <w:rPr>
                <w:spacing w:val="60"/>
                <w:sz w:val="17"/>
              </w:rPr>
              <w:tab/>
            </w:r>
          </w:p>
        </w:tc>
        <w:tc>
          <w:tcPr>
            <w:tcW w:w="994" w:type="dxa"/>
            <w:gridSpan w:val="2"/>
            <w:vAlign w:val="bottom"/>
          </w:tcPr>
          <w:p w:rsidR="00000000" w:rsidRDefault="00000000">
            <w:pPr>
              <w:spacing w:after="120"/>
              <w:ind w:right="40"/>
              <w:jc w:val="right"/>
            </w:pPr>
            <w:r>
              <w:t>145-184</w:t>
            </w:r>
          </w:p>
        </w:tc>
        <w:tc>
          <w:tcPr>
            <w:tcW w:w="792" w:type="dxa"/>
            <w:gridSpan w:val="2"/>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right" w:leader="dot" w:pos="8122"/>
              </w:tabs>
              <w:spacing w:after="120"/>
              <w:ind w:left="1296" w:hanging="1296"/>
            </w:pPr>
            <w:r>
              <w:tab/>
            </w:r>
            <w:r>
              <w:tab/>
            </w:r>
            <w:r>
              <w:tab/>
              <w:t>5.</w:t>
            </w:r>
            <w:r>
              <w:tab/>
              <w:t>Informes periódicos segundo y tercero</w:t>
            </w:r>
          </w:p>
        </w:tc>
        <w:tc>
          <w:tcPr>
            <w:tcW w:w="994" w:type="dxa"/>
            <w:gridSpan w:val="2"/>
            <w:vAlign w:val="bottom"/>
          </w:tcPr>
          <w:p w:rsidR="00000000" w:rsidRDefault="00000000">
            <w:pPr>
              <w:spacing w:after="120"/>
              <w:ind w:right="40"/>
              <w:jc w:val="right"/>
            </w:pPr>
          </w:p>
        </w:tc>
        <w:tc>
          <w:tcPr>
            <w:tcW w:w="792" w:type="dxa"/>
            <w:gridSpan w:val="2"/>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right" w:leader="dot" w:pos="8122"/>
              </w:tabs>
              <w:spacing w:after="120"/>
              <w:ind w:left="1296" w:hanging="1296"/>
              <w:rPr>
                <w:spacing w:val="60"/>
                <w:sz w:val="17"/>
              </w:rPr>
            </w:pPr>
            <w:r>
              <w:tab/>
            </w:r>
            <w:r>
              <w:tab/>
            </w:r>
            <w:r>
              <w:tab/>
            </w:r>
            <w:r>
              <w:tab/>
              <w:t>Países Bajos</w:t>
            </w:r>
            <w:r>
              <w:rPr>
                <w:spacing w:val="60"/>
                <w:sz w:val="17"/>
              </w:rPr>
              <w:tab/>
            </w:r>
          </w:p>
        </w:tc>
        <w:tc>
          <w:tcPr>
            <w:tcW w:w="994" w:type="dxa"/>
            <w:gridSpan w:val="2"/>
            <w:vAlign w:val="bottom"/>
          </w:tcPr>
          <w:p w:rsidR="00000000" w:rsidRDefault="00000000">
            <w:pPr>
              <w:spacing w:after="120"/>
              <w:ind w:right="40"/>
              <w:jc w:val="right"/>
            </w:pPr>
            <w:r>
              <w:t>185-231</w:t>
            </w:r>
          </w:p>
        </w:tc>
        <w:tc>
          <w:tcPr>
            <w:tcW w:w="792" w:type="dxa"/>
            <w:gridSpan w:val="2"/>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right" w:leader="dot" w:pos="8122"/>
              </w:tabs>
              <w:spacing w:after="120"/>
              <w:ind w:left="2160" w:hanging="2160"/>
            </w:pPr>
            <w:r>
              <w:tab/>
            </w:r>
            <w:r>
              <w:tab/>
            </w:r>
            <w:r>
              <w:tab/>
              <w:t>6.</w:t>
            </w:r>
            <w:r>
              <w:tab/>
              <w:t>Segundo informe periódico e informes periódicos tercero y cuarto combinados</w:t>
            </w:r>
          </w:p>
        </w:tc>
        <w:tc>
          <w:tcPr>
            <w:tcW w:w="994" w:type="dxa"/>
            <w:gridSpan w:val="2"/>
            <w:vAlign w:val="bottom"/>
          </w:tcPr>
          <w:p w:rsidR="00000000" w:rsidRDefault="00000000">
            <w:pPr>
              <w:spacing w:after="120"/>
              <w:ind w:right="40"/>
              <w:jc w:val="right"/>
            </w:pPr>
          </w:p>
        </w:tc>
        <w:tc>
          <w:tcPr>
            <w:tcW w:w="792" w:type="dxa"/>
            <w:gridSpan w:val="2"/>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right" w:leader="dot" w:pos="8122"/>
              </w:tabs>
              <w:spacing w:after="120"/>
              <w:ind w:left="2160" w:hanging="2160"/>
              <w:rPr>
                <w:spacing w:val="60"/>
                <w:sz w:val="17"/>
              </w:rPr>
            </w:pPr>
            <w:r>
              <w:tab/>
            </w:r>
            <w:r>
              <w:tab/>
            </w:r>
            <w:r>
              <w:tab/>
            </w:r>
            <w:r>
              <w:tab/>
              <w:t>Viet Nam</w:t>
            </w:r>
            <w:r>
              <w:rPr>
                <w:spacing w:val="60"/>
                <w:sz w:val="17"/>
              </w:rPr>
              <w:tab/>
            </w:r>
          </w:p>
        </w:tc>
        <w:tc>
          <w:tcPr>
            <w:tcW w:w="994" w:type="dxa"/>
            <w:gridSpan w:val="2"/>
            <w:vAlign w:val="bottom"/>
          </w:tcPr>
          <w:p w:rsidR="00000000" w:rsidRDefault="00000000">
            <w:pPr>
              <w:spacing w:after="120"/>
              <w:ind w:right="40"/>
              <w:jc w:val="right"/>
            </w:pPr>
            <w:r>
              <w:t>232-276</w:t>
            </w:r>
          </w:p>
        </w:tc>
        <w:tc>
          <w:tcPr>
            <w:tcW w:w="792" w:type="dxa"/>
            <w:gridSpan w:val="2"/>
            <w:vAlign w:val="bottom"/>
          </w:tcPr>
          <w:p w:rsidR="00000000" w:rsidRDefault="00000000">
            <w:pPr>
              <w:spacing w:after="120"/>
              <w:ind w:right="40"/>
              <w:jc w:val="right"/>
            </w:pPr>
            <w:r>
              <w:t>71</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ind w:left="2160" w:hanging="2160"/>
              <w:rPr>
                <w:spacing w:val="60"/>
                <w:sz w:val="17"/>
              </w:rPr>
            </w:pPr>
            <w:r>
              <w:tab/>
            </w:r>
            <w:r>
              <w:tab/>
            </w:r>
            <w:r>
              <w:tab/>
              <w:t>7.</w:t>
            </w:r>
            <w:r>
              <w:tab/>
              <w:t>Cuarto y quinto informes periódicos</w:t>
            </w:r>
            <w:r>
              <w:rPr>
                <w:spacing w:val="60"/>
                <w:sz w:val="17"/>
              </w:rPr>
              <w:tab/>
            </w:r>
          </w:p>
        </w:tc>
        <w:tc>
          <w:tcPr>
            <w:tcW w:w="994" w:type="dxa"/>
            <w:gridSpan w:val="2"/>
            <w:vAlign w:val="bottom"/>
          </w:tcPr>
          <w:p w:rsidR="00000000" w:rsidRDefault="00000000">
            <w:pPr>
              <w:spacing w:after="120"/>
              <w:ind w:right="40"/>
              <w:jc w:val="right"/>
            </w:pPr>
            <w:r>
              <w:t>277-360</w:t>
            </w:r>
          </w:p>
        </w:tc>
        <w:tc>
          <w:tcPr>
            <w:tcW w:w="792" w:type="dxa"/>
            <w:gridSpan w:val="2"/>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right" w:leader="dot" w:pos="8122"/>
              </w:tabs>
              <w:spacing w:after="120"/>
              <w:ind w:left="2160" w:hanging="2160"/>
              <w:rPr>
                <w:spacing w:val="60"/>
                <w:sz w:val="17"/>
              </w:rPr>
            </w:pPr>
            <w:r>
              <w:tab/>
            </w:r>
            <w:r>
              <w:tab/>
            </w:r>
            <w:r>
              <w:tab/>
            </w:r>
            <w:r>
              <w:tab/>
              <w:t>Nicaragua</w:t>
            </w:r>
            <w:r>
              <w:rPr>
                <w:spacing w:val="60"/>
                <w:sz w:val="17"/>
              </w:rPr>
              <w:tab/>
            </w:r>
          </w:p>
        </w:tc>
        <w:tc>
          <w:tcPr>
            <w:tcW w:w="994" w:type="dxa"/>
            <w:gridSpan w:val="2"/>
            <w:vAlign w:val="bottom"/>
          </w:tcPr>
          <w:p w:rsidR="00000000" w:rsidRDefault="00000000">
            <w:pPr>
              <w:spacing w:after="120"/>
              <w:ind w:right="40"/>
              <w:jc w:val="right"/>
            </w:pPr>
            <w:r>
              <w:t>277-318</w:t>
            </w:r>
          </w:p>
        </w:tc>
        <w:tc>
          <w:tcPr>
            <w:tcW w:w="792" w:type="dxa"/>
            <w:gridSpan w:val="2"/>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right" w:leader="dot" w:pos="8122"/>
              </w:tabs>
              <w:spacing w:after="120"/>
              <w:ind w:left="2160" w:hanging="2160"/>
              <w:rPr>
                <w:spacing w:val="60"/>
                <w:sz w:val="17"/>
              </w:rPr>
            </w:pPr>
            <w:r>
              <w:tab/>
            </w:r>
            <w:r>
              <w:tab/>
            </w:r>
            <w:r>
              <w:tab/>
            </w:r>
            <w:r>
              <w:tab/>
              <w:t>Suecia</w:t>
            </w:r>
            <w:r>
              <w:rPr>
                <w:spacing w:val="60"/>
                <w:sz w:val="17"/>
              </w:rPr>
              <w:tab/>
            </w:r>
          </w:p>
        </w:tc>
        <w:tc>
          <w:tcPr>
            <w:tcW w:w="994" w:type="dxa"/>
            <w:gridSpan w:val="2"/>
            <w:vAlign w:val="bottom"/>
          </w:tcPr>
          <w:p w:rsidR="00000000" w:rsidRDefault="00000000">
            <w:pPr>
              <w:spacing w:after="120"/>
              <w:ind w:right="40"/>
              <w:jc w:val="right"/>
            </w:pPr>
            <w:r>
              <w:t>319-360</w:t>
            </w:r>
          </w:p>
        </w:tc>
        <w:tc>
          <w:tcPr>
            <w:tcW w:w="792" w:type="dxa"/>
            <w:gridSpan w:val="2"/>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right" w:leader="dot" w:pos="8122"/>
              </w:tabs>
              <w:spacing w:after="120"/>
              <w:ind w:left="1296" w:hanging="1296"/>
              <w:rPr>
                <w:spacing w:val="60"/>
                <w:sz w:val="17"/>
              </w:rPr>
            </w:pPr>
            <w:r>
              <w:tab/>
              <w:t>V.</w:t>
            </w:r>
            <w:r>
              <w:tab/>
              <w:t>Actividades llevadas a cabo en virtud del Protocolo Facultativo de la Convención sobre la eliminación de todas las formas de discriminación contra la mujer</w:t>
            </w:r>
            <w:r>
              <w:rPr>
                <w:spacing w:val="60"/>
                <w:sz w:val="17"/>
              </w:rPr>
              <w:tab/>
            </w:r>
          </w:p>
        </w:tc>
        <w:tc>
          <w:tcPr>
            <w:tcW w:w="994" w:type="dxa"/>
            <w:gridSpan w:val="2"/>
            <w:vAlign w:val="bottom"/>
          </w:tcPr>
          <w:p w:rsidR="00000000" w:rsidRDefault="00000000">
            <w:pPr>
              <w:spacing w:after="120"/>
              <w:ind w:right="40"/>
              <w:jc w:val="right"/>
            </w:pPr>
            <w:r>
              <w:t>361-366</w:t>
            </w:r>
          </w:p>
        </w:tc>
        <w:tc>
          <w:tcPr>
            <w:tcW w:w="792" w:type="dxa"/>
            <w:gridSpan w:val="2"/>
            <w:vAlign w:val="bottom"/>
          </w:tcPr>
          <w:p w:rsidR="00000000" w:rsidRDefault="00000000">
            <w:pPr>
              <w:spacing w:after="120"/>
              <w:ind w:right="40"/>
              <w:jc w:val="right"/>
            </w:pPr>
            <w:r>
              <w:t>84</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1296" w:hanging="1296"/>
              <w:rPr>
                <w:spacing w:val="60"/>
                <w:sz w:val="17"/>
              </w:rPr>
            </w:pPr>
            <w:r>
              <w:tab/>
              <w:t>VI.</w:t>
            </w:r>
            <w:r>
              <w:tab/>
              <w:t>Medios de agilizar los trabajos del Comité</w:t>
            </w:r>
            <w:r>
              <w:rPr>
                <w:spacing w:val="60"/>
                <w:sz w:val="17"/>
              </w:rPr>
              <w:tab/>
            </w:r>
          </w:p>
        </w:tc>
        <w:tc>
          <w:tcPr>
            <w:tcW w:w="994" w:type="dxa"/>
            <w:gridSpan w:val="2"/>
            <w:vAlign w:val="bottom"/>
          </w:tcPr>
          <w:p w:rsidR="00000000" w:rsidRDefault="00000000">
            <w:pPr>
              <w:spacing w:after="120"/>
              <w:ind w:right="40"/>
              <w:jc w:val="right"/>
            </w:pPr>
            <w:r>
              <w:t>367-375</w:t>
            </w:r>
          </w:p>
        </w:tc>
        <w:tc>
          <w:tcPr>
            <w:tcW w:w="792" w:type="dxa"/>
            <w:gridSpan w:val="2"/>
            <w:vAlign w:val="bottom"/>
          </w:tcPr>
          <w:p w:rsidR="00000000" w:rsidRDefault="00000000">
            <w:pPr>
              <w:spacing w:after="120"/>
              <w:ind w:right="40"/>
              <w:jc w:val="right"/>
            </w:pPr>
            <w:r>
              <w:t>84</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1296" w:hanging="1296"/>
              <w:rPr>
                <w:spacing w:val="60"/>
                <w:sz w:val="17"/>
              </w:rPr>
            </w:pPr>
            <w:r>
              <w:tab/>
              <w:t>VII.</w:t>
            </w:r>
            <w:r>
              <w:tab/>
              <w:t>Aplicación del artículo 21 de la Convención</w:t>
            </w:r>
            <w:r>
              <w:rPr>
                <w:spacing w:val="60"/>
                <w:sz w:val="17"/>
              </w:rPr>
              <w:tab/>
            </w:r>
          </w:p>
        </w:tc>
        <w:tc>
          <w:tcPr>
            <w:tcW w:w="994" w:type="dxa"/>
            <w:gridSpan w:val="2"/>
            <w:vAlign w:val="bottom"/>
          </w:tcPr>
          <w:p w:rsidR="00000000" w:rsidRDefault="00000000">
            <w:pPr>
              <w:spacing w:after="120"/>
              <w:ind w:right="40"/>
              <w:jc w:val="right"/>
            </w:pPr>
            <w:r>
              <w:t>376-395</w:t>
            </w:r>
          </w:p>
        </w:tc>
        <w:tc>
          <w:tcPr>
            <w:tcW w:w="792" w:type="dxa"/>
            <w:gridSpan w:val="2"/>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122"/>
              </w:tabs>
              <w:spacing w:after="120"/>
              <w:ind w:left="1296" w:hanging="1296"/>
              <w:rPr>
                <w:spacing w:val="60"/>
                <w:sz w:val="17"/>
              </w:rPr>
            </w:pPr>
            <w:r>
              <w:tab/>
              <w:t>VIII.</w:t>
            </w:r>
            <w:r>
              <w:tab/>
              <w:t>Programa provisional para el 26° período de sesiones</w:t>
            </w:r>
            <w:r>
              <w:rPr>
                <w:spacing w:val="60"/>
                <w:sz w:val="17"/>
              </w:rPr>
              <w:tab/>
            </w:r>
          </w:p>
        </w:tc>
        <w:tc>
          <w:tcPr>
            <w:tcW w:w="994" w:type="dxa"/>
            <w:gridSpan w:val="2"/>
            <w:vAlign w:val="bottom"/>
          </w:tcPr>
          <w:p w:rsidR="00000000" w:rsidRDefault="00000000">
            <w:pPr>
              <w:spacing w:after="120"/>
              <w:ind w:right="40"/>
              <w:jc w:val="right"/>
            </w:pPr>
            <w:r>
              <w:t>396</w:t>
            </w:r>
          </w:p>
        </w:tc>
        <w:tc>
          <w:tcPr>
            <w:tcW w:w="792" w:type="dxa"/>
            <w:gridSpan w:val="2"/>
            <w:vAlign w:val="bottom"/>
          </w:tcPr>
          <w:p w:rsidR="00000000" w:rsidRDefault="00000000">
            <w:pPr>
              <w:spacing w:after="120"/>
              <w:ind w:right="40"/>
              <w:jc w:val="right"/>
            </w:pPr>
            <w:r>
              <w:t>89</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right" w:leader="dot" w:pos="8122"/>
              </w:tabs>
              <w:spacing w:after="120"/>
              <w:ind w:left="1296" w:hanging="1296"/>
              <w:rPr>
                <w:spacing w:val="60"/>
                <w:sz w:val="17"/>
              </w:rPr>
            </w:pPr>
            <w:r>
              <w:tab/>
              <w:t>IX.</w:t>
            </w:r>
            <w:r>
              <w:tab/>
              <w:t>Aprobación del informe</w:t>
            </w:r>
            <w:r>
              <w:rPr>
                <w:spacing w:val="60"/>
                <w:sz w:val="17"/>
              </w:rPr>
              <w:tab/>
            </w:r>
          </w:p>
        </w:tc>
        <w:tc>
          <w:tcPr>
            <w:tcW w:w="994" w:type="dxa"/>
            <w:gridSpan w:val="2"/>
            <w:vAlign w:val="bottom"/>
          </w:tcPr>
          <w:p w:rsidR="00000000" w:rsidRDefault="00000000">
            <w:pPr>
              <w:spacing w:after="120"/>
              <w:ind w:right="40"/>
              <w:jc w:val="right"/>
            </w:pPr>
            <w:r>
              <w:t>397</w:t>
            </w:r>
          </w:p>
        </w:tc>
        <w:tc>
          <w:tcPr>
            <w:tcW w:w="792" w:type="dxa"/>
            <w:gridSpan w:val="2"/>
            <w:vAlign w:val="bottom"/>
          </w:tcPr>
          <w:p w:rsidR="00000000" w:rsidRDefault="00000000">
            <w:pPr>
              <w:spacing w:after="120"/>
              <w:ind w:right="40"/>
              <w:jc w:val="right"/>
            </w:pPr>
            <w:r>
              <w:t>89</w:t>
            </w:r>
          </w:p>
        </w:tc>
      </w:tr>
      <w:tr w:rsidR="00000000">
        <w:tblPrEx>
          <w:tblCellMar>
            <w:top w:w="0" w:type="dxa"/>
            <w:left w:w="0" w:type="dxa"/>
            <w:bottom w:w="0" w:type="dxa"/>
            <w:right w:w="0" w:type="dxa"/>
          </w:tblCellMar>
        </w:tblPrEx>
        <w:trPr>
          <w:cantSplit/>
        </w:trPr>
        <w:tc>
          <w:tcPr>
            <w:tcW w:w="8122" w:type="dxa"/>
          </w:tcPr>
          <w:p w:rsidR="00000000" w:rsidRDefault="00000000">
            <w:pPr>
              <w:tabs>
                <w:tab w:val="right" w:pos="1080"/>
                <w:tab w:val="left" w:pos="1296"/>
                <w:tab w:val="left" w:pos="1728"/>
                <w:tab w:val="left" w:pos="2160"/>
                <w:tab w:val="left" w:pos="2592"/>
                <w:tab w:val="left" w:pos="3024"/>
                <w:tab w:val="right" w:leader="dot" w:pos="8122"/>
              </w:tabs>
              <w:spacing w:after="120"/>
              <w:ind w:left="1296" w:hanging="1296"/>
            </w:pPr>
            <w:r>
              <w:tab/>
              <w:t>Anexos</w:t>
            </w:r>
          </w:p>
        </w:tc>
        <w:tc>
          <w:tcPr>
            <w:tcW w:w="994" w:type="dxa"/>
            <w:gridSpan w:val="2"/>
            <w:vAlign w:val="bottom"/>
          </w:tcPr>
          <w:p w:rsidR="00000000" w:rsidRDefault="00000000">
            <w:pPr>
              <w:spacing w:after="120"/>
              <w:ind w:right="40"/>
              <w:jc w:val="right"/>
            </w:pPr>
          </w:p>
        </w:tc>
        <w:tc>
          <w:tcPr>
            <w:tcW w:w="792" w:type="dxa"/>
            <w:gridSpan w:val="2"/>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6" w:type="dxa"/>
            <w:gridSpan w:val="3"/>
          </w:tcPr>
          <w:p w:rsidR="00000000" w:rsidRDefault="00000000">
            <w:pPr>
              <w:numPr>
                <w:ilvl w:val="0"/>
                <w:numId w:val="510"/>
              </w:num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pPr>
            <w:r>
              <w:tab/>
              <w:t>Reglamento del Comité para la Eliminación de la Discriminación contra la Mujer</w:t>
            </w:r>
            <w:r>
              <w:rPr>
                <w:spacing w:val="60"/>
                <w:sz w:val="17"/>
              </w:rPr>
              <w:tab/>
            </w:r>
          </w:p>
        </w:tc>
        <w:tc>
          <w:tcPr>
            <w:tcW w:w="792" w:type="dxa"/>
            <w:gridSpan w:val="2"/>
            <w:vAlign w:val="bottom"/>
          </w:tcPr>
          <w:p w:rsidR="00000000" w:rsidRDefault="00000000">
            <w:pPr>
              <w:spacing w:after="120"/>
              <w:ind w:right="40"/>
              <w:jc w:val="right"/>
            </w:pPr>
            <w:r>
              <w:t>90</w:t>
            </w:r>
          </w:p>
        </w:tc>
      </w:tr>
      <w:tr w:rsidR="00000000">
        <w:tblPrEx>
          <w:tblCellMar>
            <w:top w:w="0" w:type="dxa"/>
            <w:left w:w="0" w:type="dxa"/>
            <w:bottom w:w="0" w:type="dxa"/>
            <w:right w:w="0" w:type="dxa"/>
          </w:tblCellMar>
        </w:tblPrEx>
        <w:trPr>
          <w:cantSplit/>
        </w:trPr>
        <w:tc>
          <w:tcPr>
            <w:tcW w:w="9116" w:type="dxa"/>
            <w:gridSpan w:val="3"/>
          </w:tcPr>
          <w:p w:rsidR="00000000" w:rsidRDefault="00000000">
            <w:pPr>
              <w:numPr>
                <w:ilvl w:val="0"/>
                <w:numId w:val="510"/>
              </w:numPr>
              <w:tabs>
                <w:tab w:val="right" w:pos="1080"/>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pPr>
            <w:r>
              <w:tab/>
              <w:t>Estados partes en la Convención sobre la eliminación de todas las formas de discriminación contra la mujer, al 1° de agosto de 2001</w:t>
            </w:r>
            <w:r>
              <w:rPr>
                <w:spacing w:val="60"/>
                <w:sz w:val="17"/>
              </w:rPr>
              <w:tab/>
            </w:r>
          </w:p>
        </w:tc>
        <w:tc>
          <w:tcPr>
            <w:tcW w:w="792" w:type="dxa"/>
            <w:gridSpan w:val="2"/>
            <w:vAlign w:val="bottom"/>
          </w:tcPr>
          <w:p w:rsidR="00000000" w:rsidRDefault="00000000">
            <w:pPr>
              <w:spacing w:after="120"/>
              <w:ind w:right="40"/>
              <w:jc w:val="right"/>
            </w:pPr>
            <w:r>
              <w:t>120</w:t>
            </w:r>
          </w:p>
        </w:tc>
      </w:tr>
      <w:tr w:rsidR="00000000">
        <w:tblPrEx>
          <w:tblCellMar>
            <w:top w:w="0" w:type="dxa"/>
            <w:left w:w="0" w:type="dxa"/>
            <w:bottom w:w="0" w:type="dxa"/>
            <w:right w:w="0" w:type="dxa"/>
          </w:tblCellMar>
        </w:tblPrEx>
        <w:trPr>
          <w:cantSplit/>
        </w:trPr>
        <w:tc>
          <w:tcPr>
            <w:tcW w:w="9116" w:type="dxa"/>
            <w:gridSpan w:val="3"/>
          </w:tcPr>
          <w:p w:rsidR="00000000" w:rsidRDefault="00000000">
            <w:pPr>
              <w:numPr>
                <w:ilvl w:val="0"/>
                <w:numId w:val="510"/>
              </w:num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pPr>
            <w:r>
              <w:tab/>
              <w:t>Estados partes que han depositado instrumentos de aceptación de la enmienda del párrafo 1 del artículo 20 de la Convención ante el Secretario General</w:t>
            </w:r>
            <w:r>
              <w:rPr>
                <w:spacing w:val="60"/>
                <w:sz w:val="17"/>
              </w:rPr>
              <w:tab/>
            </w:r>
          </w:p>
        </w:tc>
        <w:tc>
          <w:tcPr>
            <w:tcW w:w="792" w:type="dxa"/>
            <w:gridSpan w:val="2"/>
            <w:vAlign w:val="bottom"/>
          </w:tcPr>
          <w:p w:rsidR="00000000" w:rsidRDefault="00000000">
            <w:pPr>
              <w:spacing w:after="120"/>
              <w:ind w:right="40"/>
              <w:jc w:val="right"/>
            </w:pPr>
            <w:r>
              <w:t>125</w:t>
            </w:r>
          </w:p>
        </w:tc>
      </w:tr>
      <w:tr w:rsidR="00000000">
        <w:tblPrEx>
          <w:tblCellMar>
            <w:top w:w="0" w:type="dxa"/>
            <w:left w:w="0" w:type="dxa"/>
            <w:bottom w:w="0" w:type="dxa"/>
            <w:right w:w="0" w:type="dxa"/>
          </w:tblCellMar>
        </w:tblPrEx>
        <w:trPr>
          <w:cantSplit/>
        </w:trPr>
        <w:tc>
          <w:tcPr>
            <w:tcW w:w="9116" w:type="dxa"/>
            <w:gridSpan w:val="3"/>
          </w:tcPr>
          <w:p w:rsidR="00000000" w:rsidRDefault="00000000">
            <w:pPr>
              <w:numPr>
                <w:ilvl w:val="0"/>
                <w:numId w:val="510"/>
              </w:numPr>
              <w:tabs>
                <w:tab w:val="right" w:pos="1080"/>
                <w:tab w:val="left" w:pos="1728"/>
                <w:tab w:val="left" w:pos="2160"/>
                <w:tab w:val="left" w:pos="2592"/>
                <w:tab w:val="right" w:leader="dot" w:pos="9101"/>
              </w:tabs>
              <w:spacing w:after="120"/>
            </w:pPr>
            <w:r>
              <w:tab/>
              <w:t>Estados partes que han firmado o ratificado el Protocolo Facultativo de la Convención o se han adherido a él</w:t>
            </w:r>
            <w:r>
              <w:rPr>
                <w:spacing w:val="60"/>
                <w:sz w:val="17"/>
              </w:rPr>
              <w:tab/>
            </w:r>
          </w:p>
        </w:tc>
        <w:tc>
          <w:tcPr>
            <w:tcW w:w="792" w:type="dxa"/>
            <w:gridSpan w:val="2"/>
            <w:vAlign w:val="bottom"/>
          </w:tcPr>
          <w:p w:rsidR="00000000" w:rsidRDefault="00000000">
            <w:pPr>
              <w:spacing w:after="120"/>
              <w:ind w:right="40"/>
              <w:jc w:val="right"/>
            </w:pPr>
            <w:r>
              <w:t>126</w:t>
            </w:r>
          </w:p>
        </w:tc>
      </w:tr>
      <w:tr w:rsidR="00000000">
        <w:tblPrEx>
          <w:tblCellMar>
            <w:top w:w="0" w:type="dxa"/>
            <w:left w:w="0" w:type="dxa"/>
            <w:bottom w:w="0" w:type="dxa"/>
            <w:right w:w="0" w:type="dxa"/>
          </w:tblCellMar>
        </w:tblPrEx>
        <w:trPr>
          <w:cantSplit/>
        </w:trPr>
        <w:tc>
          <w:tcPr>
            <w:tcW w:w="9116" w:type="dxa"/>
            <w:gridSpan w:val="3"/>
          </w:tcPr>
          <w:p w:rsidR="00000000" w:rsidRDefault="00000000">
            <w:pPr>
              <w:numPr>
                <w:ilvl w:val="0"/>
                <w:numId w:val="510"/>
              </w:num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pPr>
            <w:r>
              <w:tab/>
              <w:t>Documentos que el Comité tuvo ante sí en sus períodos de sesiones 24° y 25°</w:t>
            </w:r>
            <w:r>
              <w:rPr>
                <w:spacing w:val="60"/>
                <w:sz w:val="17"/>
              </w:rPr>
              <w:tab/>
            </w:r>
          </w:p>
        </w:tc>
        <w:tc>
          <w:tcPr>
            <w:tcW w:w="792" w:type="dxa"/>
            <w:gridSpan w:val="2"/>
            <w:vAlign w:val="bottom"/>
          </w:tcPr>
          <w:p w:rsidR="00000000" w:rsidRDefault="00000000">
            <w:pPr>
              <w:spacing w:after="120"/>
              <w:ind w:right="40"/>
              <w:jc w:val="right"/>
            </w:pPr>
            <w:r>
              <w:t>128</w:t>
            </w:r>
          </w:p>
        </w:tc>
      </w:tr>
      <w:tr w:rsidR="00000000">
        <w:tblPrEx>
          <w:tblCellMar>
            <w:top w:w="0" w:type="dxa"/>
            <w:left w:w="0" w:type="dxa"/>
            <w:bottom w:w="0" w:type="dxa"/>
            <w:right w:w="0" w:type="dxa"/>
          </w:tblCellMar>
        </w:tblPrEx>
        <w:trPr>
          <w:cantSplit/>
        </w:trPr>
        <w:tc>
          <w:tcPr>
            <w:tcW w:w="9116" w:type="dxa"/>
            <w:gridSpan w:val="3"/>
          </w:tcPr>
          <w:p w:rsidR="00000000" w:rsidRDefault="00000000">
            <w:pPr>
              <w:numPr>
                <w:ilvl w:val="0"/>
                <w:numId w:val="510"/>
              </w:num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pPr>
            <w:r>
              <w:tab/>
              <w:t>Composición del Comité para la Eliminación de la Discriminación contra la Mujer</w:t>
            </w:r>
            <w:r>
              <w:rPr>
                <w:spacing w:val="60"/>
                <w:sz w:val="17"/>
              </w:rPr>
              <w:tab/>
            </w:r>
          </w:p>
        </w:tc>
        <w:tc>
          <w:tcPr>
            <w:tcW w:w="792" w:type="dxa"/>
            <w:gridSpan w:val="2"/>
            <w:vAlign w:val="bottom"/>
          </w:tcPr>
          <w:p w:rsidR="00000000" w:rsidRDefault="00000000">
            <w:pPr>
              <w:spacing w:after="120"/>
              <w:ind w:right="40"/>
              <w:jc w:val="right"/>
            </w:pPr>
            <w:r>
              <w:t>130</w:t>
            </w:r>
          </w:p>
        </w:tc>
      </w:tr>
      <w:tr w:rsidR="00000000">
        <w:tblPrEx>
          <w:tblCellMar>
            <w:top w:w="0" w:type="dxa"/>
            <w:left w:w="0" w:type="dxa"/>
            <w:bottom w:w="0" w:type="dxa"/>
            <w:right w:w="0" w:type="dxa"/>
          </w:tblCellMar>
        </w:tblPrEx>
        <w:trPr>
          <w:cantSplit/>
        </w:trPr>
        <w:tc>
          <w:tcPr>
            <w:tcW w:w="9116" w:type="dxa"/>
            <w:gridSpan w:val="3"/>
          </w:tcPr>
          <w:p w:rsidR="00000000" w:rsidRDefault="00000000">
            <w:pPr>
              <w:numPr>
                <w:ilvl w:val="0"/>
                <w:numId w:val="510"/>
              </w:num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pPr>
            <w:r>
              <w:tab/>
              <w:t>Consecuencias para el presupuesto por programas del proyecto de decisión 25/1: exposición presentada por el Secretario General con arreglo al artículo 23 del reglamento del Comité para la Eliminación de la Discriminación contra la Mujer</w:t>
            </w:r>
            <w:r>
              <w:rPr>
                <w:spacing w:val="60"/>
                <w:sz w:val="17"/>
              </w:rPr>
              <w:tab/>
            </w:r>
          </w:p>
        </w:tc>
        <w:tc>
          <w:tcPr>
            <w:tcW w:w="792" w:type="dxa"/>
            <w:gridSpan w:val="2"/>
            <w:vAlign w:val="bottom"/>
          </w:tcPr>
          <w:p w:rsidR="00000000" w:rsidRDefault="00000000">
            <w:pPr>
              <w:spacing w:after="120"/>
              <w:ind w:right="40"/>
              <w:jc w:val="right"/>
            </w:pPr>
            <w:r>
              <w:t>131</w:t>
            </w:r>
          </w:p>
        </w:tc>
      </w:tr>
      <w:tr w:rsidR="00000000">
        <w:tblPrEx>
          <w:tblCellMar>
            <w:top w:w="0" w:type="dxa"/>
            <w:left w:w="0" w:type="dxa"/>
            <w:bottom w:w="0" w:type="dxa"/>
            <w:right w:w="0" w:type="dxa"/>
          </w:tblCellMar>
        </w:tblPrEx>
        <w:trPr>
          <w:cantSplit/>
        </w:trPr>
        <w:tc>
          <w:tcPr>
            <w:tcW w:w="9116" w:type="dxa"/>
            <w:gridSpan w:val="3"/>
          </w:tcPr>
          <w:p w:rsidR="00000000" w:rsidRDefault="00000000">
            <w:pPr>
              <w:numPr>
                <w:ilvl w:val="0"/>
                <w:numId w:val="510"/>
              </w:numPr>
              <w:tabs>
                <w:tab w:val="right" w:pos="1080"/>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pPr>
            <w:r>
              <w:tab/>
              <w:t>Estado de la presentación y el examen de informes presentados por los Estados partes con arreglo al artículo 18 de la Convención sobre la eliminación de todas las formas de discriminación contra la mujer, al 1° de agosto de 2001</w:t>
            </w:r>
            <w:r>
              <w:rPr>
                <w:spacing w:val="60"/>
                <w:sz w:val="17"/>
              </w:rPr>
              <w:tab/>
            </w:r>
          </w:p>
        </w:tc>
        <w:tc>
          <w:tcPr>
            <w:tcW w:w="792" w:type="dxa"/>
            <w:gridSpan w:val="2"/>
            <w:vAlign w:val="bottom"/>
          </w:tcPr>
          <w:p w:rsidR="00000000" w:rsidRDefault="00000000">
            <w:pPr>
              <w:spacing w:after="120"/>
              <w:ind w:right="40"/>
              <w:jc w:val="right"/>
            </w:pPr>
            <w:r>
              <w:t>134</w:t>
            </w:r>
          </w:p>
        </w:tc>
      </w:tr>
    </w:tbl>
    <w:p w:rsidR="00000000" w:rsidRDefault="00000000">
      <w:pPr>
        <w:pStyle w:val="SingleTxt"/>
      </w:pPr>
    </w:p>
    <w:p w:rsidR="00000000" w:rsidRDefault="00000000"/>
    <w:p w:rsidR="00000000" w:rsidRDefault="00000000">
      <w:pPr>
        <w:sectPr w:rsidR="00000000">
          <w:headerReference w:type="even" r:id="rId10"/>
          <w:headerReference w:type="default" r:id="rId11"/>
          <w:footerReference w:type="even" r:id="rId12"/>
          <w:footerReference w:type="default" r:id="rId13"/>
          <w:endnotePr>
            <w:numFmt w:val="decimal"/>
          </w:endnotePr>
          <w:pgSz w:w="12240" w:h="15840" w:code="1"/>
          <w:pgMar w:top="1742" w:right="1195" w:bottom="1898" w:left="1195" w:header="576" w:footer="1030" w:gutter="0"/>
          <w:pgNumType w:fmt="lowerRoman" w:start="3"/>
          <w:cols w:space="720"/>
          <w:noEndnote/>
        </w:sectPr>
      </w:pPr>
    </w:p>
    <w:p w:rsidR="00000000" w:rsidRDefault="00000000">
      <w:pPr>
        <w:pStyle w:val="HCh"/>
        <w:tabs>
          <w:tab w:val="left" w:pos="475"/>
          <w:tab w:val="left" w:pos="965"/>
          <w:tab w:val="left" w:pos="1440"/>
          <w:tab w:val="left" w:pos="1915"/>
          <w:tab w:val="left" w:pos="2405"/>
          <w:tab w:val="left" w:pos="2880"/>
          <w:tab w:val="left" w:pos="3355"/>
        </w:tabs>
      </w:pPr>
      <w:r>
        <w:tab/>
      </w:r>
      <w:r>
        <w:tab/>
        <w:t>Primera parte</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Ch"/>
        <w:tabs>
          <w:tab w:val="left" w:pos="475"/>
          <w:tab w:val="left" w:pos="965"/>
          <w:tab w:val="left" w:pos="1440"/>
          <w:tab w:val="left" w:pos="1915"/>
          <w:tab w:val="left" w:pos="2405"/>
          <w:tab w:val="left" w:pos="2880"/>
          <w:tab w:val="left" w:pos="3355"/>
        </w:tabs>
        <w:ind w:left="965" w:hanging="965"/>
      </w:pPr>
      <w:r>
        <w:tab/>
      </w:r>
      <w:r>
        <w:tab/>
        <w:t>Informe del Comité para la Eliminación de la Discriminación contra la Mujer sobre la labor realizada en su 24° período de sesiones</w:t>
      </w:r>
    </w:p>
    <w:p w:rsidR="00000000" w:rsidRDefault="00000000">
      <w:pPr>
        <w:spacing w:line="120" w:lineRule="exact"/>
        <w:rPr>
          <w:sz w:val="10"/>
        </w:rPr>
      </w:pPr>
    </w:p>
    <w:p w:rsidR="00000000" w:rsidRDefault="00000000">
      <w:pPr>
        <w:spacing w:line="120" w:lineRule="exact"/>
        <w:rPr>
          <w:sz w:val="10"/>
        </w:rPr>
      </w:pPr>
    </w:p>
    <w:p w:rsidR="00000000" w:rsidRDefault="00000000"/>
    <w:p w:rsidR="00000000" w:rsidRDefault="00000000">
      <w:r>
        <w:br w:type="page"/>
      </w:r>
    </w:p>
    <w:p w:rsidR="00000000" w:rsidRDefault="00000000">
      <w:pPr>
        <w:framePr w:w="5760" w:h="1195" w:hSpace="180" w:wrap="notBeside" w:vAnchor="page" w:hAnchor="page" w:x="2463" w:y="12961" w:anchorLock="1"/>
      </w:pPr>
      <w:r>
        <w:t>Excelentísimo Señor</w:t>
      </w:r>
    </w:p>
    <w:p w:rsidR="00000000" w:rsidRDefault="00000000">
      <w:pPr>
        <w:framePr w:w="5760" w:h="1195" w:hSpace="180" w:wrap="notBeside" w:vAnchor="page" w:hAnchor="page" w:x="2463" w:y="12961" w:anchorLock="1"/>
      </w:pPr>
      <w:r>
        <w:t>Kofi Annan</w:t>
      </w:r>
    </w:p>
    <w:p w:rsidR="00000000" w:rsidRDefault="00000000">
      <w:pPr>
        <w:framePr w:w="5760" w:h="1195" w:hSpace="180" w:wrap="notBeside" w:vAnchor="page" w:hAnchor="page" w:x="2463" w:y="12961" w:anchorLock="1"/>
      </w:pPr>
      <w:r>
        <w:t>Secretario General de las Naciones Unidas</w:t>
      </w:r>
    </w:p>
    <w:p w:rsidR="00000000" w:rsidRDefault="00000000">
      <w:pPr>
        <w:framePr w:w="5760" w:h="1195" w:hSpace="180" w:wrap="notBeside" w:vAnchor="page" w:hAnchor="page" w:x="2463" w:y="12961" w:anchorLock="1"/>
      </w:pPr>
      <w:r>
        <w:t>Nueva York</w:t>
      </w:r>
    </w:p>
    <w:p w:rsidR="00000000" w:rsidRDefault="00000000">
      <w:pPr>
        <w:spacing w:before="1360" w:after="240"/>
        <w:rPr>
          <w:sz w:val="28"/>
        </w:rPr>
      </w:pPr>
      <w:r>
        <w:rPr>
          <w:sz w:val="28"/>
        </w:rPr>
        <w:t>Carta de envío</w:t>
      </w:r>
    </w:p>
    <w:p w:rsidR="00000000" w:rsidRDefault="00000000">
      <w:pPr>
        <w:spacing w:after="240"/>
        <w:ind w:right="1267"/>
        <w:jc w:val="right"/>
      </w:pPr>
      <w:r>
        <w:t>19 de abril de 2001</w:t>
      </w:r>
    </w:p>
    <w:p w:rsidR="00000000" w:rsidRDefault="00000000">
      <w:pPr>
        <w:pStyle w:val="SingleTxt"/>
      </w:pPr>
      <w:r>
        <w:t>Excelentísimo Señor,</w:t>
      </w:r>
    </w:p>
    <w:p w:rsidR="00000000" w:rsidRDefault="00000000">
      <w:pPr>
        <w:pStyle w:val="SingleTxt"/>
      </w:pPr>
      <w:r>
        <w:tab/>
        <w:t>Tengo el honor de referirme al artículo 21 de la Convención sobre la elimin</w:t>
      </w:r>
      <w:r>
        <w:t>a</w:t>
      </w:r>
      <w:r>
        <w:t>ción de todas las formas de discriminación contra la mujer, en virtud del cual el Comité para la Eliminación de la Discriminación contra la Mujer, establecido en cumplimiento de lo dispuesto en la Convención, “informará anualmente a la Asa</w:t>
      </w:r>
      <w:r>
        <w:t>m</w:t>
      </w:r>
      <w:r>
        <w:t>blea General de las Naciones Unidas sobre sus actividades por conducto del Consejo Económico y Social”.</w:t>
      </w:r>
    </w:p>
    <w:p w:rsidR="00000000" w:rsidRDefault="00000000">
      <w:pPr>
        <w:pStyle w:val="SingleTxt"/>
      </w:pPr>
      <w:r>
        <w:tab/>
        <w:t>El Comité para la Eliminación de la Discriminación contra la Mujer celebró su 24° período de sesiones del 15 de enero al 2 de febrero de 2001 en la Sede de las Naciones Unidas. En su 508</w:t>
      </w:r>
      <w:r>
        <w:rPr>
          <w:vertAlign w:val="superscript"/>
        </w:rPr>
        <w:t>a</w:t>
      </w:r>
      <w:r>
        <w:t xml:space="preserve"> sesión, celebrada el 2 de febrero de 2001, el Comité aprobó el informe sobre dicho período de sesiones. Adjunto le envío el informe del Comité para que lo remita a la Asamblea General en su quincuagésimo sexto perí</w:t>
      </w:r>
      <w:r>
        <w:t>o</w:t>
      </w:r>
      <w:r>
        <w:t>do de sesiones.</w:t>
      </w:r>
    </w:p>
    <w:p w:rsidR="00000000" w:rsidRDefault="00000000">
      <w:pPr>
        <w:pStyle w:val="SingleTxt"/>
        <w:spacing w:after="0" w:line="120" w:lineRule="exact"/>
        <w:rPr>
          <w:sz w:val="10"/>
        </w:rPr>
      </w:pPr>
    </w:p>
    <w:p w:rsidR="00000000" w:rsidRDefault="00000000">
      <w:pPr>
        <w:pStyle w:val="SingleTxt"/>
        <w:jc w:val="right"/>
      </w:pPr>
      <w:r>
        <w:t>(</w:t>
      </w:r>
      <w:r>
        <w:rPr>
          <w:i/>
        </w:rPr>
        <w:t>Firmado</w:t>
      </w:r>
      <w:r>
        <w:t>) Charlotte</w:t>
      </w:r>
      <w:r>
        <w:rPr>
          <w:b/>
        </w:rPr>
        <w:t xml:space="preserve"> Abaka</w:t>
      </w:r>
      <w:r>
        <w:rPr>
          <w:b/>
        </w:rPr>
        <w:br/>
      </w:r>
      <w:r>
        <w:t xml:space="preserve">Presidenta del Comité para la Eliminación </w:t>
      </w:r>
      <w:r>
        <w:br/>
        <w:t>de la Discriminación contra la Mujer</w:t>
      </w:r>
    </w:p>
    <w:p w:rsidR="00000000" w:rsidRDefault="00000000">
      <w:pPr>
        <w:pStyle w:val="SingleTxt"/>
      </w:pPr>
    </w:p>
    <w:p w:rsidR="00000000" w:rsidRDefault="00000000">
      <w:pPr>
        <w:pStyle w:val="SingleTxt"/>
        <w:sectPr w:rsidR="00000000">
          <w:headerReference w:type="even" r:id="rId14"/>
          <w:headerReference w:type="default" r:id="rId15"/>
          <w:footerReference w:type="default" r:id="rId16"/>
          <w:endnotePr>
            <w:numFmt w:val="decimal"/>
          </w:endnotePr>
          <w:pgSz w:w="12240" w:h="15840" w:code="1"/>
          <w:pgMar w:top="1742" w:right="1195" w:bottom="1898" w:left="1195" w:header="576" w:footer="1030" w:gutter="0"/>
          <w:pgNumType w:start="1"/>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headerReference w:type="even" r:id="rId17"/>
          <w:headerReference w:type="default" r:id="rId18"/>
          <w:footerReference w:type="even" r:id="rId19"/>
          <w:footerReference w:type="default" r:id="rId20"/>
          <w:endnotePr>
            <w:numFmt w:val="decimal"/>
          </w:endnotePr>
          <w:pgSz w:w="12240" w:h="15840" w:code="1"/>
          <w:pgMar w:top="1742" w:right="1195" w:bottom="1898" w:left="1195" w:header="576" w:footer="1030" w:gutter="0"/>
          <w:pgNumType w:start="3"/>
          <w:cols w:space="720"/>
          <w:noEndnote/>
        </w:sect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I</w:t>
      </w: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Cuestiones que se señalan a la atención de los Estados partes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Decisiones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Decisión 24/I</w:t>
      </w:r>
      <w:r>
        <w:br/>
        <w:t>Reglamento del Comité para la Eliminación de la Discriminación contra la Mujer</w:t>
      </w:r>
    </w:p>
    <w:p w:rsidR="00000000" w:rsidRDefault="00000000">
      <w:pPr>
        <w:pStyle w:val="DualTxt"/>
        <w:spacing w:after="0" w:line="120" w:lineRule="exact"/>
        <w:rPr>
          <w:sz w:val="10"/>
        </w:rPr>
      </w:pPr>
    </w:p>
    <w:p w:rsidR="00000000" w:rsidRDefault="00000000">
      <w:pPr>
        <w:pStyle w:val="DualTxt"/>
        <w:rPr>
          <w:w w:val="100"/>
        </w:rPr>
      </w:pPr>
      <w:r>
        <w:tab/>
      </w:r>
      <w:r>
        <w:rPr>
          <w:w w:val="100"/>
        </w:rPr>
        <w:t>El Comité decidió aprobar su reglamento, que fig</w:t>
      </w:r>
      <w:r>
        <w:rPr>
          <w:w w:val="100"/>
        </w:rPr>
        <w:t>u</w:t>
      </w:r>
      <w:r>
        <w:rPr>
          <w:w w:val="100"/>
        </w:rPr>
        <w:t>ra en el documento CEDAW/C/ROP. El texto del r</w:t>
      </w:r>
      <w:r>
        <w:rPr>
          <w:w w:val="100"/>
        </w:rPr>
        <w:t>e</w:t>
      </w:r>
      <w:r>
        <w:rPr>
          <w:w w:val="100"/>
        </w:rPr>
        <w:t>gla-mento se incorpora como anexo I al presente i</w:t>
      </w:r>
      <w:r>
        <w:rPr>
          <w:w w:val="100"/>
        </w:rPr>
        <w:t>n</w:t>
      </w:r>
      <w:r>
        <w:rPr>
          <w:w w:val="100"/>
        </w:rPr>
        <w:t>forme.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Decisión 24/II</w:t>
      </w:r>
      <w:r>
        <w:br/>
        <w:t>El género y la discriminación racial</w:t>
      </w:r>
    </w:p>
    <w:p w:rsidR="00000000" w:rsidRDefault="00000000">
      <w:pPr>
        <w:pStyle w:val="DualTxt"/>
        <w:spacing w:after="0" w:line="120" w:lineRule="exact"/>
        <w:rPr>
          <w:sz w:val="10"/>
        </w:rPr>
      </w:pPr>
    </w:p>
    <w:p w:rsidR="00000000" w:rsidRDefault="00000000">
      <w:pPr>
        <w:pStyle w:val="DualTxt"/>
      </w:pPr>
      <w:r>
        <w:tab/>
        <w:t>El Comité decidió aprobar una declaración sobre el género y la discriminación racial a fin de presentarla al Comité Preparatorio de la Conferencia Mundial contra el Racismo, la Discriminación Racial, la Xen</w:t>
      </w:r>
      <w:r>
        <w:t>o</w:t>
      </w:r>
      <w:r>
        <w:t>fobia y las Formas Conexas de Intolerancia, en su s</w:t>
      </w:r>
      <w:r>
        <w:t>e</w:t>
      </w:r>
      <w:r>
        <w:t>gundo período de sesiones, que tendría lugar en Gin</w:t>
      </w:r>
      <w:r>
        <w:t>e</w:t>
      </w:r>
      <w:r>
        <w:t xml:space="preserve">bra del 21 de mayo al 1° de junio de 2001 (véase párr. 384 </w:t>
      </w:r>
      <w:r>
        <w:rPr>
          <w:i/>
        </w:rPr>
        <w:t>infra</w:t>
      </w:r>
      <w:r>
        <w:t>). Decidió asimismo, dentro del límite de los recursos existentes, nombrar a la Presidenta y a otros dos miembros del Comité, así como a los dos miembros residentes en Sudáfrica, para que asistieran, en su nombre, a la Conferencia Mundial contra el R</w:t>
      </w:r>
      <w:r>
        <w:t>a</w:t>
      </w:r>
      <w:r>
        <w:t>cismo, la Discriminación Racial, la Xenofobia y las Formas Conexas de Intolerancia, que tendría lugar en Durban (Sudáfrica) del 31 de agosto al 7 de septiembre de 2001.</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Decisión 24/III</w:t>
      </w:r>
      <w:r>
        <w:br/>
        <w:t>Los vínculos con la Comisión de la Condición Jurídica y Social de la Mujer</w:t>
      </w:r>
    </w:p>
    <w:p w:rsidR="00000000" w:rsidRDefault="00000000">
      <w:pPr>
        <w:pStyle w:val="DualTxt"/>
        <w:spacing w:after="0" w:line="120" w:lineRule="exact"/>
        <w:rPr>
          <w:sz w:val="10"/>
        </w:rPr>
      </w:pPr>
    </w:p>
    <w:p w:rsidR="00000000" w:rsidRDefault="00000000">
      <w:pPr>
        <w:pStyle w:val="DualTxt"/>
      </w:pPr>
      <w:r>
        <w:tab/>
        <w:t>El Comité decidió establecer vínculos más estr</w:t>
      </w:r>
      <w:r>
        <w:t>e</w:t>
      </w:r>
      <w:r>
        <w:t>chos con la Comisión de la Condición Jurídica y Social de la Mujer. A ese respecto, señaló a la atención la di</w:t>
      </w:r>
      <w:r>
        <w:t>s</w:t>
      </w:r>
      <w:r>
        <w:t>posición de los miembros del Comité de actuar en c</w:t>
      </w:r>
      <w:r>
        <w:t>a</w:t>
      </w:r>
      <w:r>
        <w:t>rácter de expertos en las reuniones de grupos de e</w:t>
      </w:r>
      <w:r>
        <w:t>x</w:t>
      </w:r>
      <w:r>
        <w:t>pertos convocadas como parte de los preparativos de la labor de la Comisión, así como en calidad de oradores durante los períodos de sesiones de la Comisión.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II</w:t>
      </w: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Cuestiones de organización y otros asuntos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Estados partes en la Convención sobre la eliminación de todas las formas de discriminación contra la mujer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pPr>
      <w:r>
        <w:t>Al 2 de febrero de 2001, fecha de la clausura del 24° período de sesiones del Comité para la Eliminación de la Discriminación contra la Mujer, había 166 Est</w:t>
      </w:r>
      <w:r>
        <w:t>a</w:t>
      </w:r>
      <w:r>
        <w:t>dos partes en la Convención sobre la eliminación de todas las formas de discriminación contra la mujer, aprobada por la Asamblea General en su resolución 34/180, de 18 de diciembre de 1979, y abierta a la fi</w:t>
      </w:r>
      <w:r>
        <w:t>r</w:t>
      </w:r>
      <w:r>
        <w:t>ma, ratificación y adhesión en Nueva York en marzo de 1980. De conformidad con el artículo 27, la Conve</w:t>
      </w:r>
      <w:r>
        <w:t>n</w:t>
      </w:r>
      <w:r>
        <w:t>ción entró en vigor el 3 de septiembre de 1981.</w:t>
      </w: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pPr>
      <w:r>
        <w:t xml:space="preserve">En el anexo II del presente informe </w:t>
      </w:r>
      <w:r>
        <w:rPr>
          <w:highlight w:val="yellow"/>
        </w:rPr>
        <w:t>figura</w:t>
      </w:r>
      <w:r>
        <w:t xml:space="preserve"> la lista de los Estados partes en la Convención. En el anexo III </w:t>
      </w:r>
      <w:r>
        <w:rPr>
          <w:highlight w:val="yellow"/>
        </w:rPr>
        <w:t>figura</w:t>
      </w:r>
      <w:r>
        <w:t xml:space="preserve"> la lista de los Estados partes que han aceptado la enmienda del párrafo 1 del artículo 20 de la Conve</w:t>
      </w:r>
      <w:r>
        <w:t>n</w:t>
      </w:r>
      <w:r>
        <w:t xml:space="preserve">ción. En el anexo IV </w:t>
      </w:r>
      <w:r>
        <w:rPr>
          <w:highlight w:val="yellow"/>
        </w:rPr>
        <w:t>figura</w:t>
      </w:r>
      <w:r>
        <w:t xml:space="preserve"> la lista de los Estados pa</w:t>
      </w:r>
      <w:r>
        <w:t>r</w:t>
      </w:r>
      <w:r>
        <w:t>tes que han firmado o ratificado el Protocolo Facultat</w:t>
      </w:r>
      <w:r>
        <w:t>i</w:t>
      </w:r>
      <w:r>
        <w:t>vo de la Convención o se han adherido a él.</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Apertura del período de sesiones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pPr>
      <w:r>
        <w:t>El Comité celebró su 24° período de sesiones en la Sede de las Naciones Unidas del 15 de enero al 2 de febrero de 2001. El Comité celebró 23 sesiones plen</w:t>
      </w:r>
      <w:r>
        <w:t>a</w:t>
      </w:r>
      <w:r>
        <w:t>rias (486</w:t>
      </w:r>
      <w:r>
        <w:rPr>
          <w:vertAlign w:val="superscript"/>
        </w:rPr>
        <w:t>a</w:t>
      </w:r>
      <w:r>
        <w:t xml:space="preserve"> a 508</w:t>
      </w:r>
      <w:r>
        <w:rPr>
          <w:vertAlign w:val="superscript"/>
        </w:rPr>
        <w:t>a</w:t>
      </w:r>
      <w:r>
        <w:t>) y sus dos grupos de trabajos celebr</w:t>
      </w:r>
      <w:r>
        <w:t>a</w:t>
      </w:r>
      <w:r>
        <w:t>ron 13 sesiones. En la sección A del anexo V del pr</w:t>
      </w:r>
      <w:r>
        <w:t>e</w:t>
      </w:r>
      <w:r>
        <w:t>sente informe figura una lista de los documentos que tuvo a la vista el Comité.</w:t>
      </w: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pPr>
      <w:r>
        <w:t>Declaró abierto el período de sesiones la Pres</w:t>
      </w:r>
      <w:r>
        <w:t>i</w:t>
      </w:r>
      <w:r>
        <w:t>denta del Comité, Aída González Martínez (México), que había sido elegida en el 20° período de sesiones del Comité, celebrado en enero de 1999.</w:t>
      </w: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rPr>
          <w:w w:val="101"/>
        </w:rPr>
      </w:pPr>
      <w:r>
        <w:t>Al hacer uso de la palabra ante el Comité en su 487</w:t>
      </w:r>
      <w:r>
        <w:rPr>
          <w:vertAlign w:val="superscript"/>
        </w:rPr>
        <w:t>a</w:t>
      </w:r>
      <w:r>
        <w:t xml:space="preserve"> sesión, celebrada el 16 de enero de 2001, la Su</w:t>
      </w:r>
      <w:r>
        <w:t>b</w:t>
      </w:r>
      <w:r>
        <w:t>secretaria General y Asesora Especial del Secretario General en Cuestiones de Género y Adelanto de la Mujer dio la bienvenida a los nue</w:t>
      </w:r>
      <w:r>
        <w:rPr>
          <w:w w:val="101"/>
        </w:rPr>
        <w:t>vos miembros del Comité que habían sido elegidos en la 11</w:t>
      </w:r>
      <w:r>
        <w:rPr>
          <w:w w:val="101"/>
          <w:vertAlign w:val="superscript"/>
        </w:rPr>
        <w:t>a</w:t>
      </w:r>
      <w:r>
        <w:rPr>
          <w:w w:val="101"/>
        </w:rPr>
        <w:t xml:space="preserve"> reunión de los Estados partes en la Convención, celebrada el 31 de </w:t>
      </w:r>
      <w:r>
        <w:rPr>
          <w:w w:val="101"/>
        </w:rPr>
        <w:br/>
        <w:t>agosto de 2000, y felicitó a los cuatro miembros que h</w:t>
      </w:r>
      <w:r>
        <w:rPr>
          <w:w w:val="101"/>
        </w:rPr>
        <w:t>a</w:t>
      </w:r>
      <w:r>
        <w:rPr>
          <w:w w:val="101"/>
        </w:rPr>
        <w:t>bían sido reelegidos en esa reunión. También dio la bienvenida al miembro propuesto por su Gobierno y aceptado por el Comité para que prestara servicios hasta la expiración del mandato de un miembro anterior que había dimitido. Manifestó su agradecimiento a los e</w:t>
      </w:r>
      <w:r>
        <w:rPr>
          <w:w w:val="101"/>
        </w:rPr>
        <w:t>x</w:t>
      </w:r>
      <w:r>
        <w:rPr>
          <w:w w:val="101"/>
        </w:rPr>
        <w:t>pertos cuyos mandatos habían finalizado el 31 de d</w:t>
      </w:r>
      <w:r>
        <w:rPr>
          <w:w w:val="101"/>
        </w:rPr>
        <w:t>i</w:t>
      </w:r>
      <w:r>
        <w:rPr>
          <w:w w:val="101"/>
        </w:rPr>
        <w:t>ciembre de 2000.</w:t>
      </w: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pPr>
      <w:r>
        <w:t>La Asesora Especial dijo que el 2000 había sido un año difícil pero interesante y que su Oficina y la D</w:t>
      </w:r>
      <w:r>
        <w:t>i</w:t>
      </w:r>
      <w:r>
        <w:t>visión para el Adelanto de la Mujer habían participado intensamente en los preparativos del vigésimo tercer período extraordinario de sesiones de la Asamblea G</w:t>
      </w:r>
      <w:r>
        <w:t>e</w:t>
      </w:r>
      <w:r>
        <w:t>neral titulado “La mujer en el año 2000: igualdad entre los géneros, desarrollo y paz para el siglo XXI”, así como en el propio período de sesiones, durante el cual los gobiernos habían reafirmado su compromiso con las metas y objetivos de la Plataforma de Acción apr</w:t>
      </w:r>
      <w:r>
        <w:t>o</w:t>
      </w:r>
      <w:r>
        <w:t>bada por la Cuarta Conferencia Mundial sobre la M</w:t>
      </w:r>
      <w:r>
        <w:t>u</w:t>
      </w:r>
      <w:r>
        <w:t>jer</w:t>
      </w:r>
      <w:r>
        <w:rPr>
          <w:vertAlign w:val="superscript"/>
        </w:rPr>
        <w:t>1</w:t>
      </w:r>
      <w:r>
        <w:t xml:space="preserve"> y convenido en tomar más medidas para asegurar su plena apl</w:t>
      </w:r>
      <w:r>
        <w:t>i</w:t>
      </w:r>
      <w:r>
        <w:t>cación.</w:t>
      </w: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pPr>
      <w:r>
        <w:t>La Asesora Especial informó al Comité de que el 22 de diciembre de 2000 había entrado en vigor el Protocolo Facultativo</w:t>
      </w:r>
      <w:r>
        <w:rPr>
          <w:vertAlign w:val="superscript"/>
        </w:rPr>
        <w:t>2</w:t>
      </w:r>
      <w:r>
        <w:t xml:space="preserve"> de la Convención y hasta la f</w:t>
      </w:r>
      <w:r>
        <w:t>e</w:t>
      </w:r>
      <w:r>
        <w:t>cha había 15 Estados partes en el Protocolo Facultativo y 65 Estados signatarios. Iba a haber muchas más rat</w:t>
      </w:r>
      <w:r>
        <w:t>i</w:t>
      </w:r>
      <w:r>
        <w:t>ficaciones del Protocolo Facultativo a medida que se fueran conociendo más sus pr</w:t>
      </w:r>
      <w:r>
        <w:t>o</w:t>
      </w:r>
      <w:r>
        <w:t>cedimientos.</w:t>
      </w: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pPr>
      <w:r>
        <w:t>La Asesora Especial señaló que, al haber entrado en vigor el Protocolo Facultativo, el Comité iba a tener que responder a un gran número de peticiones de ind</w:t>
      </w:r>
      <w:r>
        <w:t>i</w:t>
      </w:r>
      <w:r>
        <w:t>viduos y grupos que denunciarían violaciones de la Convención. Observó que el Comité estaba preparado para asumir sus nuevas responsabilidades con arreglo al Protocolo, sobre todo a raíz de la reunión de expe</w:t>
      </w:r>
      <w:r>
        <w:t>r</w:t>
      </w:r>
      <w:r>
        <w:t>tos que había tenido lugar en Berlín en noviembre de 2000.</w:t>
      </w: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pPr>
      <w:r>
        <w:t>La Asesora Especial informó al Comité de que la Secretaría había adoptado medidas para asegurar el pleno apoyo al Comité en el cumplimiento de su ma</w:t>
      </w:r>
      <w:r>
        <w:t>n</w:t>
      </w:r>
      <w:r>
        <w:t>dato. En su resolución 55/70, de 4 de diciembre de 2000, la Asamblea General había pedido al Secretario General que proporcionara recursos, con inclusión del personal y servicios necesarios para el funcionamiento eficaz del C</w:t>
      </w:r>
      <w:r>
        <w:t>o</w:t>
      </w:r>
      <w:r>
        <w:t>mité.</w:t>
      </w: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pPr>
      <w:r>
        <w:t>La Asesora Especial indicó que el 7 de septie</w:t>
      </w:r>
      <w:r>
        <w:t>m</w:t>
      </w:r>
      <w:r>
        <w:t xml:space="preserve">bre de 2000, la Arabia Saudita había pasado a ser el 166° Estado en ratificar la Convención. Tras señalar que faltaban todavía 26 Estados por ratificar la </w:t>
      </w:r>
      <w:r>
        <w:br/>
        <w:t>Convención o adherirse a ella, subrayó que las activ</w:t>
      </w:r>
      <w:r>
        <w:t>i</w:t>
      </w:r>
      <w:r>
        <w:t>dades para alentar a la ratificación de la Convención y el Protocolo Facultativo, a la presentación de info</w:t>
      </w:r>
      <w:r>
        <w:t>r</w:t>
      </w:r>
      <w:r>
        <w:t>mes y a la aceptación de la enmienda del párrafo 1 del artículo 20 de la Convención, relativo al período de reunión del Comité, habían comprendido reuniones b</w:t>
      </w:r>
      <w:r>
        <w:t>i</w:t>
      </w:r>
      <w:r>
        <w:t>laterales entre ella, así como la Directora de la División para el Adelanto de la Mujer, y representantes de los Estados. Entre las actividades futuras cabía mencionar un seminario que se celebraría en Auckland (Nueva Zelandia) para los Estados de la región del Pacífico, del 13 al 15 de f</w:t>
      </w:r>
      <w:r>
        <w:t>e</w:t>
      </w:r>
      <w:r>
        <w:t>brero de 2001.</w:t>
      </w: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pPr>
      <w:r>
        <w:t>La Asesora Especial indicó que la labor del C</w:t>
      </w:r>
      <w:r>
        <w:t>o</w:t>
      </w:r>
      <w:r>
        <w:t>mité durante el período de sesiones en curso compre</w:t>
      </w:r>
      <w:r>
        <w:t>n</w:t>
      </w:r>
      <w:r>
        <w:t>dería la aprobación del reglamento relativo al Prot</w:t>
      </w:r>
      <w:r>
        <w:t>o</w:t>
      </w:r>
      <w:r>
        <w:t>colo Facultativo, convenido en Berlín, y del proyecto de reglamento revisado relativo al equilibrio de la labor del Comité. Recordó al Comité la Conferencia Mundial contra el Racismo, la Discriminación Racial, la Xen</w:t>
      </w:r>
      <w:r>
        <w:t>o</w:t>
      </w:r>
      <w:r>
        <w:t>fobia y las Formas Conexas de Intolerancia, que se c</w:t>
      </w:r>
      <w:r>
        <w:t>e</w:t>
      </w:r>
      <w:r>
        <w:t>lebraría en Durban (Sudáfrica) del 31 de agosto al 7 de septiembre de 2001. Recordó que el Comité había s</w:t>
      </w:r>
      <w:r>
        <w:t>e</w:t>
      </w:r>
      <w:r>
        <w:t>ñalado a la atención los vínculos existentes entre la discriminación por motivos de sexo y raza y los inco</w:t>
      </w:r>
      <w:r>
        <w:t>n</w:t>
      </w:r>
      <w:r>
        <w:t>venientes particulares con que podían tropezar las m</w:t>
      </w:r>
      <w:r>
        <w:t>u</w:t>
      </w:r>
      <w:r>
        <w:t>jeres afectadas por la discriminación por motivos de raza. Varios órganos creados en virtud de tratados de derechos humanos habían hecho aportaciones al primer período de sesiones del Comité Preparatorio de la Co</w:t>
      </w:r>
      <w:r>
        <w:t>n</w:t>
      </w:r>
      <w:r>
        <w:t>ferencia en el año 2000. Celebró el hecho de que el Comité hubiera decidido preparar una contribución al segundo periodo de sesiones del Comité Preparatorio de la Conferencia, que se iba a celebrar del 21 de mayo al 1° de junio de 2001.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C.</w:t>
      </w:r>
      <w:r>
        <w:tab/>
        <w:t>Asistencia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pPr>
      <w:r>
        <w:t>Todos los miembros del Comité asistieron al 24° período de sesiones. La Sra. Mavivi Myakayaka-Manzini estuvo presente del 17 de enero al 2 de febr</w:t>
      </w:r>
      <w:r>
        <w:t>e</w:t>
      </w:r>
      <w:r>
        <w:t xml:space="preserve">ro; la Sra. Emma Aouij del 15 al 23 de enero; la Sra. Naela Gabr del 15 al 26 de enero; la Sra. Rosario Manalo, del 15 al 19 de enero; y la Sra. Asha Rose Mtengeti-Migiro del 15 al 19 de enero. </w:t>
      </w: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pPr>
      <w:r>
        <w:t xml:space="preserve">En el anexo </w:t>
      </w:r>
      <w:r>
        <w:rPr>
          <w:highlight w:val="yellow"/>
        </w:rPr>
        <w:t>VI</w:t>
      </w:r>
      <w:r>
        <w:t xml:space="preserve"> del presente informe figura la lista de los miembros del Comité con la duración de sus mandatos.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D.</w:t>
      </w:r>
      <w:r>
        <w:tab/>
        <w:t>Declaración solemne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pPr>
      <w:r>
        <w:t>En la sesión de apertura (486</w:t>
      </w:r>
      <w:r>
        <w:rPr>
          <w:vertAlign w:val="superscript"/>
        </w:rPr>
        <w:t>a</w:t>
      </w:r>
      <w:r>
        <w:t>) del 24° período de sesiones del Comité, los miembros elegidos en la 11</w:t>
      </w:r>
      <w:r>
        <w:rPr>
          <w:vertAlign w:val="superscript"/>
        </w:rPr>
        <w:t>a </w:t>
      </w:r>
      <w:r>
        <w:t>reunión de los Estados partes en la Convención, celebrada el 31 de agosto de 2000, antes de asumir sus funciones formularon la declaración solemne conforme a lo dispuesto en el artículo 18 del reglamento del C</w:t>
      </w:r>
      <w:r>
        <w:t>o</w:t>
      </w:r>
      <w:r>
        <w:t>mité. Dichos miembros eran la Sra. Ayse Feride Acar (Turquía), la Sra. Sjamsiah Achmad (Indonesia), la Sra. Yolanda Ferrer Gómez (Cuba), la Sra. Françoise Gaspard (Francia), la Sra. Aída González Martínez (México), la Sra. Fatima Kwaku (Nigeria), la Sra. Göran Melander (Suecia), la Sra. Asha Rose Mtengeti-Migiro (República Unida de Tanzanía), la Sra. Hanna Beate Schöpp-Schilling (Alemania), la Sra. Heisoo Shin (República de Corea) y la Sra. María Regina Tavares da Silva (Portugal). También formuló la declaración solemne la Sra. Frances Livingstone R</w:t>
      </w:r>
      <w:r>
        <w:t>a</w:t>
      </w:r>
      <w:r>
        <w:t>day (Israel), que había sido propuesta por su Gobierno y aceptada por el Comité para que prestara servicios hasta que terminara el ma</w:t>
      </w:r>
      <w:r>
        <w:t>n</w:t>
      </w:r>
      <w:r>
        <w:t xml:space="preserve">dato de la Sra. Carmel </w:t>
      </w:r>
      <w:r>
        <w:br/>
        <w:t>Sh</w:t>
      </w:r>
      <w:r>
        <w:t>a</w:t>
      </w:r>
      <w:r>
        <w:t>lev.</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E.</w:t>
      </w:r>
      <w:r>
        <w:tab/>
        <w:t>Elección de la Mesa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pPr>
      <w:r>
        <w:t>En su 486</w:t>
      </w:r>
      <w:r>
        <w:rPr>
          <w:vertAlign w:val="superscript"/>
        </w:rPr>
        <w:t>a</w:t>
      </w:r>
      <w:r>
        <w:t xml:space="preserve"> sesión, celebrada el 15 de enero de 2001, el Comité eligió por aclamación a los s</w:t>
      </w:r>
      <w:r>
        <w:t>i</w:t>
      </w:r>
      <w:r>
        <w:t>guientes miembros de la Mesa por un período de dos años, del 1° de enero de 2001 al 31 de diciembre de 2002, de conformidad con el artículo 19 de la Conve</w:t>
      </w:r>
      <w:r>
        <w:t>n</w:t>
      </w:r>
      <w:r>
        <w:t>ción: Sra. Charlotte Abaka (Ghana), Presidenta; Sra. Ayse Feride Acar (Turquía), Sra. Rosario Manalo (Filipinas) y Sra. Zelmira Regazzoli (Argentina), Vic</w:t>
      </w:r>
      <w:r>
        <w:t>e</w:t>
      </w:r>
      <w:r>
        <w:t>presidentas; y Sra. Rosalyn Hazelle (St. Kitts y Nevis), Relatora.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F.</w:t>
      </w:r>
      <w:r>
        <w:tab/>
        <w:t>Declaración de la nueva Presidenta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pPr>
      <w:r>
        <w:t>La Presidenta recién elegida declaró que era un gran honor asumir la Presidencia al comienzo del s</w:t>
      </w:r>
      <w:r>
        <w:t>i</w:t>
      </w:r>
      <w:r>
        <w:t>glo XXI. Mujeres y hombres, organizaciones gubern</w:t>
      </w:r>
      <w:r>
        <w:t>a</w:t>
      </w:r>
      <w:r>
        <w:t>mentales y no gubernamentales, académicos y grupos de mujeres se habían esforzado durante más de 20 años para que entrara en vigor esa Convención única de los derechos de la mujer, y los Estados partes la habían utilizado para asegurar que el principio de la igualdad entre los géneros quedara integrado en sus sistemas n</w:t>
      </w:r>
      <w:r>
        <w:t>a</w:t>
      </w:r>
      <w:r>
        <w:t>cionales, incluidas las constituciones. Era importante formular un nuevo compromiso con la Convención. La entrada en vigor del Protocolo Facultativo había sido motivo de orgullo para todos, y felicitaba a todo el Comité por la labor realizada en relación con el Prot</w:t>
      </w:r>
      <w:r>
        <w:t>o</w:t>
      </w:r>
      <w:r>
        <w:t>colo Facultativo, en especial a la Sra. Silvia Cartwright (Nueva Zelandia), miembro del Comité hasta hacía muy poco. La Presidenta encomió también por ese l</w:t>
      </w:r>
      <w:r>
        <w:t>o</w:t>
      </w:r>
      <w:r>
        <w:t>gro a todo el sistema de las Naciones Unidas así como a la sociedad civil, incluidas las organiz</w:t>
      </w:r>
      <w:r>
        <w:t>a</w:t>
      </w:r>
      <w:r>
        <w:t xml:space="preserve">ciones no </w:t>
      </w:r>
      <w:r>
        <w:br/>
        <w:t>gubern</w:t>
      </w:r>
      <w:r>
        <w:t>a</w:t>
      </w:r>
      <w:r>
        <w:t>mentales.</w:t>
      </w:r>
    </w:p>
    <w:p w:rsidR="00000000" w:rsidRDefault="00000000">
      <w:pPr>
        <w:pStyle w:val="DualTxt"/>
        <w:numPr>
          <w:ilvl w:val="0"/>
          <w:numId w:val="107"/>
        </w:numPr>
        <w:tabs>
          <w:tab w:val="clear" w:pos="960"/>
          <w:tab w:val="left" w:pos="475"/>
          <w:tab w:val="left" w:pos="965"/>
        </w:tabs>
      </w:pPr>
      <w:r>
        <w:t>La Presidenta indicó que iba a dar prioridad a v</w:t>
      </w:r>
      <w:r>
        <w:t>a</w:t>
      </w:r>
      <w:r>
        <w:t>rias cuestiones durante su mandato, incluidos los mét</w:t>
      </w:r>
      <w:r>
        <w:t>o</w:t>
      </w:r>
      <w:r>
        <w:t>dos de trabajo del Comité. Le preocupaban mucho a</w:t>
      </w:r>
      <w:r>
        <w:t>l</w:t>
      </w:r>
      <w:r>
        <w:t>gunos problemas sustantivos que se habían puesto de manifiesto durante el período en que había sido mie</w:t>
      </w:r>
      <w:r>
        <w:t>m</w:t>
      </w:r>
      <w:r>
        <w:t>bro del Comité. Entre esos problemas cabía mencionar la alta tasa de mortalidad materna en la mayoría de los Estados partes del mundo en desarrollo, así como en los países en transición en los que se estaba privatiza</w:t>
      </w:r>
      <w:r>
        <w:t>n</w:t>
      </w:r>
      <w:r>
        <w:t>do el sector de la salud; la “invasión” de la pandemia de virus de la inmunodeficiencia humana y el síndrome de la inmunodeficiencia adquirida (VIH/SIDA) en m</w:t>
      </w:r>
      <w:r>
        <w:t>u</w:t>
      </w:r>
      <w:r>
        <w:t>chos países en desarrollo, en particular en el África subsahariana; el hecho de que las mujeres siguieran sin estar suficientemente representadas en el proceso de adopción de decisiones, incluidos los parlamentos n</w:t>
      </w:r>
      <w:r>
        <w:t>a</w:t>
      </w:r>
      <w:r>
        <w:t>cionales; la situación de las mujeres de edad; y el pr</w:t>
      </w:r>
      <w:r>
        <w:t>o</w:t>
      </w:r>
      <w:r>
        <w:t>blema del aumento de la pobreza asociado a los pr</w:t>
      </w:r>
      <w:r>
        <w:t>o</w:t>
      </w:r>
      <w:r>
        <w:t>gramas de ajuste estructural que se habían emprendido en muchos países en des</w:t>
      </w:r>
      <w:r>
        <w:t>a</w:t>
      </w:r>
      <w:r>
        <w:t>rrollo.</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G.</w:t>
      </w:r>
      <w:r>
        <w:tab/>
        <w:t>Aprobación del programa y organización de los trabajos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07"/>
        </w:numPr>
        <w:tabs>
          <w:tab w:val="clear" w:pos="960"/>
          <w:tab w:val="left" w:pos="475"/>
          <w:tab w:val="left" w:pos="965"/>
        </w:tabs>
      </w:pPr>
      <w:r>
        <w:t>El Comité examinó el programa provisional y la organización de los trabajos (CEDAW/C/2001/I/1) en su 486</w:t>
      </w:r>
      <w:r>
        <w:rPr>
          <w:vertAlign w:val="superscript"/>
        </w:rPr>
        <w:t>a</w:t>
      </w:r>
      <w:r>
        <w:t xml:space="preserve"> sesión. Se apr</w:t>
      </w:r>
      <w:r>
        <w:t>o</w:t>
      </w:r>
      <w:r>
        <w:t>bó el siguiente programa:</w:t>
      </w:r>
    </w:p>
    <w:p w:rsidR="00000000" w:rsidRDefault="00000000">
      <w:pPr>
        <w:pStyle w:val="DualTxt"/>
      </w:pPr>
      <w:r>
        <w:tab/>
        <w:t>1.</w:t>
      </w:r>
      <w:r>
        <w:tab/>
        <w:t>Apertura del período de sesiones.</w:t>
      </w:r>
    </w:p>
    <w:p w:rsidR="00000000" w:rsidRDefault="00000000">
      <w:pPr>
        <w:pStyle w:val="DualTxt"/>
        <w:suppressAutoHyphens/>
        <w:ind w:left="960" w:hanging="960"/>
        <w:jc w:val="left"/>
      </w:pPr>
      <w:r>
        <w:tab/>
        <w:t>2.</w:t>
      </w:r>
      <w:r>
        <w:tab/>
        <w:t>Declaración solemne de los nuevos miembros del Comité.</w:t>
      </w:r>
    </w:p>
    <w:p w:rsidR="00000000" w:rsidRDefault="00000000">
      <w:pPr>
        <w:pStyle w:val="DualTxt"/>
        <w:suppressAutoHyphens/>
        <w:jc w:val="left"/>
      </w:pPr>
      <w:r>
        <w:tab/>
        <w:t>3.</w:t>
      </w:r>
      <w:r>
        <w:tab/>
        <w:t>Elección de la Mesa.</w:t>
      </w:r>
    </w:p>
    <w:p w:rsidR="00000000" w:rsidRDefault="00000000">
      <w:pPr>
        <w:pStyle w:val="DualTxt"/>
        <w:suppressAutoHyphens/>
        <w:ind w:left="960" w:hanging="960"/>
        <w:jc w:val="left"/>
      </w:pPr>
      <w:r>
        <w:tab/>
        <w:t>4.</w:t>
      </w:r>
      <w:r>
        <w:tab/>
        <w:t>Aprobación del programa y organización de los trabajos.</w:t>
      </w:r>
    </w:p>
    <w:p w:rsidR="00000000" w:rsidRDefault="00000000">
      <w:pPr>
        <w:pStyle w:val="DualTxt"/>
        <w:suppressAutoHyphens/>
        <w:ind w:left="960" w:hanging="960"/>
        <w:jc w:val="left"/>
      </w:pPr>
      <w:r>
        <w:tab/>
        <w:t>5.</w:t>
      </w:r>
      <w:r>
        <w:tab/>
        <w:t>Informe de la Presidenta sobre las actividades realizadas entre los períodos de sesiones 23° y 24° del Comité.</w:t>
      </w:r>
    </w:p>
    <w:p w:rsidR="00000000" w:rsidRDefault="00000000">
      <w:pPr>
        <w:pStyle w:val="DualTxt"/>
        <w:suppressAutoHyphens/>
        <w:ind w:left="960" w:hanging="960"/>
        <w:jc w:val="left"/>
      </w:pPr>
      <w:r>
        <w:tab/>
        <w:t>6.</w:t>
      </w:r>
      <w:r>
        <w:tab/>
        <w:t>Examen de los informes presentados por los Estados partes con arreglo al artículo 18 de la Convención sobre la eliminación de todas las formas de discriminación contra la mujer.</w:t>
      </w:r>
    </w:p>
    <w:p w:rsidR="00000000" w:rsidRDefault="00000000">
      <w:pPr>
        <w:pStyle w:val="DualTxt"/>
        <w:suppressAutoHyphens/>
        <w:ind w:left="960" w:hanging="960"/>
        <w:jc w:val="left"/>
      </w:pPr>
      <w:r>
        <w:tab/>
        <w:t>7.</w:t>
      </w:r>
      <w:r>
        <w:tab/>
        <w:t>Aplicación del artículo 21 de la Convención sobre la eliminación de todas las formas de discriminación contra la mujer.</w:t>
      </w:r>
    </w:p>
    <w:p w:rsidR="00000000" w:rsidRDefault="00000000">
      <w:pPr>
        <w:pStyle w:val="DualTxt"/>
        <w:suppressAutoHyphens/>
        <w:jc w:val="left"/>
      </w:pPr>
      <w:r>
        <w:tab/>
        <w:t>8.</w:t>
      </w:r>
      <w:r>
        <w:tab/>
        <w:t>Medios de agilizar los trabajos del Comité.</w:t>
      </w:r>
    </w:p>
    <w:p w:rsidR="00000000" w:rsidRDefault="00000000">
      <w:pPr>
        <w:pStyle w:val="DualTxt"/>
        <w:suppressAutoHyphens/>
        <w:ind w:left="960" w:hanging="960"/>
        <w:jc w:val="left"/>
      </w:pPr>
      <w:r>
        <w:tab/>
        <w:t>9.</w:t>
      </w:r>
      <w:r>
        <w:tab/>
        <w:t>Programa provisional del 25° período de sesiones.</w:t>
      </w:r>
    </w:p>
    <w:p w:rsidR="00000000" w:rsidRDefault="00000000">
      <w:pPr>
        <w:pStyle w:val="DualTxt"/>
        <w:suppressAutoHyphens/>
        <w:ind w:left="960" w:hanging="960"/>
        <w:jc w:val="left"/>
      </w:pPr>
      <w:r>
        <w:tab/>
        <w:t>10.</w:t>
      </w:r>
      <w:r>
        <w:tab/>
        <w:t>Aprobación del informe del Comité sobre su 24° período de sesiones.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H.</w:t>
      </w:r>
      <w:r>
        <w:tab/>
        <w:t>Informe del Grupo de Trabajo anterior al p</w:t>
      </w:r>
      <w:r>
        <w:t>e</w:t>
      </w:r>
      <w:r>
        <w:t>ríodo de sesiones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07"/>
        </w:numPr>
        <w:tabs>
          <w:tab w:val="clear" w:pos="960"/>
          <w:tab w:val="left" w:pos="475"/>
          <w:tab w:val="left" w:pos="965"/>
        </w:tabs>
      </w:pPr>
      <w:r>
        <w:t>En su noveno período de sesiones el Comité había decidido convocar un grupo de trabajo anterior al p</w:t>
      </w:r>
      <w:r>
        <w:t>e</w:t>
      </w:r>
      <w:r>
        <w:t>ríodo de sesiones durante cinco días antes de cada p</w:t>
      </w:r>
      <w:r>
        <w:t>e</w:t>
      </w:r>
      <w:r>
        <w:t>ríodo de sesiones para que preparase listas de temas y cuestiones relacionados con los informes periódicos que examinaría el Comité en el período de sesiones s</w:t>
      </w:r>
      <w:r>
        <w:t>i</w:t>
      </w:r>
      <w:r>
        <w:t>guiente. El Grupo de Trabajo anterior al período de s</w:t>
      </w:r>
      <w:r>
        <w:t>e</w:t>
      </w:r>
      <w:r>
        <w:t>siones para el 24° período de sesiones del Comité se reunió del 3 al 7 de julio de 2000.</w:t>
      </w: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rPr>
          <w:spacing w:val="2"/>
        </w:rPr>
      </w:pPr>
      <w:r>
        <w:rPr>
          <w:spacing w:val="2"/>
        </w:rPr>
        <w:t>Participaron en el Grupo de Trabajo los miembros que se indican a continuación, que representaban a dif</w:t>
      </w:r>
      <w:r>
        <w:rPr>
          <w:spacing w:val="2"/>
        </w:rPr>
        <w:t>e</w:t>
      </w:r>
      <w:r>
        <w:rPr>
          <w:spacing w:val="2"/>
        </w:rPr>
        <w:t>rentes grupos regionales: Sra. Mavivi Myakayaka-Manzini (África), Sra. Rosario Manalo (Asia), Sra. Ayse Feride Acar (Europa) y Sra. Yolanda Ferrer Gómez (América Latina y el Caribe).</w:t>
      </w: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pPr>
      <w:r>
        <w:t>El Grupo de Trabajo preparó listas de problemas y cuestiones relacionados con los informes de cuatro Estados partes a saber: Egipto, Finlandia, Jamaica y Mong</w:t>
      </w:r>
      <w:r>
        <w:t>o</w:t>
      </w:r>
      <w:r>
        <w:t>lia.</w:t>
      </w: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rPr>
          <w:spacing w:val="2"/>
        </w:rPr>
      </w:pPr>
      <w:r>
        <w:rPr>
          <w:spacing w:val="2"/>
        </w:rPr>
        <w:t>En su 487ª sesión, la Presidenta del Grupo de Tr</w:t>
      </w:r>
      <w:r>
        <w:rPr>
          <w:spacing w:val="2"/>
        </w:rPr>
        <w:t>a</w:t>
      </w:r>
      <w:r>
        <w:rPr>
          <w:spacing w:val="2"/>
        </w:rPr>
        <w:t>bajo anterior al período de sesiones, la Sra. Rosario M</w:t>
      </w:r>
      <w:r>
        <w:rPr>
          <w:spacing w:val="2"/>
        </w:rPr>
        <w:t>a</w:t>
      </w:r>
      <w:r>
        <w:rPr>
          <w:spacing w:val="2"/>
        </w:rPr>
        <w:t>nalo, presentó el informe del grupo (CEDAW/PSWG/ 2001/I/ CRP.1 y Add.1 a 4).</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pacing w:val="2"/>
          <w:sz w:val="10"/>
        </w:rPr>
      </w:pP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pacing w:val="2"/>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I.</w:t>
      </w:r>
      <w:r>
        <w:tab/>
        <w:t>Organización de los trabajos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07"/>
        </w:numPr>
        <w:tabs>
          <w:tab w:val="clear" w:pos="960"/>
          <w:tab w:val="left" w:pos="475"/>
          <w:tab w:val="left" w:pos="965"/>
        </w:tabs>
      </w:pPr>
      <w:r>
        <w:t>En su 486ª sesión, el Comité decidió examinar cuestiones relacionadas con el tema 7 del programa (Aplicación del artículo 21 de la Convención) y el t</w:t>
      </w:r>
      <w:r>
        <w:t>e</w:t>
      </w:r>
      <w:r>
        <w:t>ma 8 (Medios de agilizar los trabajos del Comité), c</w:t>
      </w:r>
      <w:r>
        <w:t>o</w:t>
      </w:r>
      <w:r>
        <w:t>mo grupo de trabajo del plenario. Las cuestiones que decidió examinar eran el proyecto de reglamento rev</w:t>
      </w:r>
      <w:r>
        <w:t>i</w:t>
      </w:r>
      <w:r>
        <w:t>sado del Comité (CEDAW/C/2001/I/WG.1/WP.1); los métodos de trabajo, incluidos el contenido de las o</w:t>
      </w:r>
      <w:r>
        <w:t>b</w:t>
      </w:r>
      <w:r>
        <w:t>servaciones finales y la función del relator del país, y la contribución del Comité a la Conferencia Mundial contra el Racismo, la Discriminación Racial, la Xen</w:t>
      </w:r>
      <w:r>
        <w:t>o</w:t>
      </w:r>
      <w:r>
        <w:t>fobia y las Formas Conexas de Intolerancia.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Capítulo III</w:t>
      </w: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Informe de la Presidenta sobre las actividades realizadas entre los períodos de sesiones 23° y 24° del Comité</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pPr>
      <w:r>
        <w:t>En la 486ª sesión, la Presidenta del Comité, Sra. Aída González Martínez, señaló a la atención de los miembros la entrada en vigor del Protocolo Facu</w:t>
      </w:r>
      <w:r>
        <w:t>l</w:t>
      </w:r>
      <w:r>
        <w:t>tativo de la Convención el 22 de diciembre de 2000, que entrañaría nuevas responsabilidades para el Com</w:t>
      </w:r>
      <w:r>
        <w:t>i</w:t>
      </w:r>
      <w:r>
        <w:t>té. En junio de 2000 el Comité había iniciado los tr</w:t>
      </w:r>
      <w:r>
        <w:t>a</w:t>
      </w:r>
      <w:r>
        <w:t>bajos sobre los procedimientos que regirían el Prot</w:t>
      </w:r>
      <w:r>
        <w:t>o</w:t>
      </w:r>
      <w:r>
        <w:t>colo Facultativo. La Presidenta señaló que la Sra. Si</w:t>
      </w:r>
      <w:r>
        <w:t>l</w:t>
      </w:r>
      <w:r>
        <w:t>via Cartwright había colaborado con la División para el Adelanto de la Mujer en la preparación del reglamento del Protocolo Facultativo y, con el apoyo financiero del Gobierno de Alemania, el Comité había podido final</w:t>
      </w:r>
      <w:r>
        <w:t>i</w:t>
      </w:r>
      <w:r>
        <w:t>zar ese reglamento durante una reunión de expertos celebrada en Berlín del 27 al 30 de noviembre de 2000.</w:t>
      </w:r>
    </w:p>
    <w:p w:rsidR="00000000" w:rsidRDefault="00000000">
      <w:pPr>
        <w:pStyle w:val="DualTxt"/>
        <w:numPr>
          <w:ilvl w:val="0"/>
          <w:numId w:val="107"/>
        </w:numPr>
        <w:tabs>
          <w:tab w:val="clear" w:pos="960"/>
          <w:tab w:val="left" w:pos="475"/>
          <w:tab w:val="left" w:pos="965"/>
        </w:tabs>
      </w:pPr>
      <w:r>
        <w:t>La Presidenta había asistido a varios actos de i</w:t>
      </w:r>
      <w:r>
        <w:t>m</w:t>
      </w:r>
      <w:r>
        <w:t xml:space="preserve">portancia, incluido un seminario en Chile, organizado por la organización no gubernamental La Morada, la Asociación de Magistradas y la Asociación de Juezas de Chile, sobre la aplicación de la Convención. Había asistido a una reunión de trabajo con los miembros del Congreso chileno sobre la aplicación de la Convención y la posibilidad de que Chile ratificara el Protocolo </w:t>
      </w:r>
      <w:r>
        <w:br/>
        <w:t>Facultat</w:t>
      </w:r>
      <w:r>
        <w:t>i</w:t>
      </w:r>
      <w:r>
        <w:t>vo.</w:t>
      </w: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pPr>
      <w:r>
        <w:t>En octubre de 2000, había participado en el d</w:t>
      </w:r>
      <w:r>
        <w:t>e</w:t>
      </w:r>
      <w:r>
        <w:t>bate general de la Tercera Comisión de la Asamblea General. Muchas delegaciones expresaron apoyo a la Conve</w:t>
      </w:r>
      <w:r>
        <w:t>n</w:t>
      </w:r>
      <w:r>
        <w:t xml:space="preserve">ción y satisfacción por la inminente entrada en </w:t>
      </w:r>
      <w:r>
        <w:br/>
        <w:t>vigor del Protocolo Facultativo. En su declaración h</w:t>
      </w:r>
      <w:r>
        <w:t>a</w:t>
      </w:r>
      <w:r>
        <w:t>bía informado de que el Comité había iniciado los tr</w:t>
      </w:r>
      <w:r>
        <w:t>a</w:t>
      </w:r>
      <w:r>
        <w:t>bajos relativos al reglamento del Protocolo Facultativo y había pedido apoyo y recursos adicionales para que el Comité pudiera desempeñar sus nuevas funciones con eficacia.</w:t>
      </w:r>
    </w:p>
    <w:p w:rsidR="00000000" w:rsidRDefault="00000000">
      <w:pPr>
        <w:pStyle w:val="DualTxt"/>
        <w:numPr>
          <w:ilvl w:val="0"/>
          <w:numId w:val="107"/>
        </w:numPr>
        <w:tabs>
          <w:tab w:val="clear" w:pos="960"/>
          <w:tab w:val="left" w:pos="475"/>
          <w:tab w:val="left" w:pos="965"/>
        </w:tabs>
      </w:pPr>
      <w:r>
        <w:t>En noviembre de 2000 la Presidenta había asist</w:t>
      </w:r>
      <w:r>
        <w:t>i</w:t>
      </w:r>
      <w:r>
        <w:t>do a la inauguración de un curso sobre los derechos de la mujer en Costa Rica, organizado por el Instituto I</w:t>
      </w:r>
      <w:r>
        <w:t>n</w:t>
      </w:r>
      <w:r>
        <w:t>teramericano de Derechos Humanos. Dijo que la Sra. Yolanda Ferrer Gómez había asistido a la Conf</w:t>
      </w:r>
      <w:r>
        <w:t>e</w:t>
      </w:r>
      <w:r>
        <w:t>rencia Regional Latinoamericana, que había tenido l</w:t>
      </w:r>
      <w:r>
        <w:t>u</w:t>
      </w:r>
      <w:r>
        <w:t>gar en Chile en diciembre de 2000. La Sra. Zelmira Regazzoli había asistido a un seminario sobre normas internacionales para la protección de los derechos h</w:t>
      </w:r>
      <w:r>
        <w:t>u</w:t>
      </w:r>
      <w:r>
        <w:t xml:space="preserve">manos de la mujer, celebrado en diciembre de 2000 en </w:t>
      </w:r>
      <w:r>
        <w:rPr>
          <w:spacing w:val="0"/>
        </w:rPr>
        <w:t>Chile y organizado por la Federación Andina de Juri</w:t>
      </w:r>
      <w:r>
        <w:rPr>
          <w:spacing w:val="0"/>
        </w:rPr>
        <w:t>s</w:t>
      </w:r>
      <w:r>
        <w:rPr>
          <w:spacing w:val="0"/>
        </w:rPr>
        <w:t>tas.</w:t>
      </w: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pPr>
      <w:r>
        <w:t>La Presidenta dijo que la habían invitado a part</w:t>
      </w:r>
      <w:r>
        <w:t>i</w:t>
      </w:r>
      <w:r>
        <w:t>cipar en otros actos a los que no había podido asistir, incluida una conferencia internacional sobre estadíst</w:t>
      </w:r>
      <w:r>
        <w:t>i</w:t>
      </w:r>
      <w:r>
        <w:t>cas, desarrollo y derechos humanos celebrada en Mo</w:t>
      </w:r>
      <w:r>
        <w:t>n</w:t>
      </w:r>
      <w:r>
        <w:t xml:space="preserve">treux (Suiza), en septiembre de 2000. Los resultados de </w:t>
      </w:r>
      <w:r>
        <w:rPr>
          <w:spacing w:val="0"/>
        </w:rPr>
        <w:t>esa conferencia tendrían especial interés para el Com</w:t>
      </w:r>
      <w:r>
        <w:rPr>
          <w:spacing w:val="0"/>
        </w:rPr>
        <w:t>i</w:t>
      </w:r>
      <w:r>
        <w:rPr>
          <w:spacing w:val="0"/>
        </w:rPr>
        <w:t>té.</w:t>
      </w:r>
    </w:p>
    <w:p w:rsidR="00000000" w:rsidRDefault="00000000">
      <w:pPr>
        <w:pStyle w:val="DualTxt"/>
        <w:numPr>
          <w:ilvl w:val="0"/>
          <w:numId w:val="107"/>
        </w:numPr>
        <w:tabs>
          <w:tab w:val="clear" w:pos="960"/>
          <w:tab w:val="left" w:pos="475"/>
          <w:tab w:val="left" w:pos="965"/>
          <w:tab w:val="left" w:pos="1440"/>
          <w:tab w:val="left" w:pos="1915"/>
          <w:tab w:val="left" w:pos="2405"/>
          <w:tab w:val="left" w:pos="2880"/>
          <w:tab w:val="left" w:pos="3355"/>
        </w:tabs>
      </w:pPr>
      <w:r>
        <w:t>Por último, la Presidenta dijo que en el 24° perí</w:t>
      </w:r>
      <w:r>
        <w:t>o</w:t>
      </w:r>
      <w:r>
        <w:t>do de sesiones del Comité tendría lugar la aprobación oficial de los reglamentos relativos al Protocolo F</w:t>
      </w:r>
      <w:r>
        <w:t>a</w:t>
      </w:r>
      <w:r>
        <w:t>cultativo y al equilibrio de la labor del Comité. Ta</w:t>
      </w:r>
      <w:r>
        <w:t>m</w:t>
      </w:r>
      <w:r>
        <w:t>bién comenzarían los preparativos de una recomend</w:t>
      </w:r>
      <w:r>
        <w:t>a</w:t>
      </w:r>
      <w:r>
        <w:t>ción general sobre el artículo 4 de la Convención, rel</w:t>
      </w:r>
      <w:r>
        <w:t>a</w:t>
      </w:r>
      <w:r>
        <w:t>tiva a medidas especiales de carácter temporal encam</w:t>
      </w:r>
      <w:r>
        <w:t>i</w:t>
      </w:r>
      <w:r>
        <w:t>nadas a acelerar la igualdad de facto entre el hombre y la m</w:t>
      </w:r>
      <w:r>
        <w:t>u</w:t>
      </w:r>
      <w:r>
        <w:t>jer.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IV</w:t>
      </w: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Examen de los informes presentados por los Estados partes con arreglo al artículo 18 de la Convención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 xml:space="preserve">A. </w:t>
      </w:r>
      <w:r>
        <w:tab/>
        <w:t>Introducción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10"/>
        </w:numPr>
        <w:ind w:left="0"/>
      </w:pPr>
      <w:r>
        <w:t>En su 24° período de sesiones, el Comité examinó los informes de ocho Estados partes presentados con arreglo al artículo 18 de la Convención: los info</w:t>
      </w:r>
      <w:r>
        <w:t>r</w:t>
      </w:r>
      <w:r>
        <w:t>mes iniciales de cuatro Estados partes; los informes p</w:t>
      </w:r>
      <w:r>
        <w:t>e</w:t>
      </w:r>
      <w:r>
        <w:t>riódicos segundo, tercero y cuarto combinados de un Estado parte; los informes periódicos tercero y cua</w:t>
      </w:r>
      <w:r>
        <w:t>r</w:t>
      </w:r>
      <w:r>
        <w:t>to combinados de un Estado parte; los informes peri</w:t>
      </w:r>
      <w:r>
        <w:t>ó</w:t>
      </w:r>
      <w:r>
        <w:t xml:space="preserve">dicos tercero y cuarto de un Estado parte; y el tercer </w:t>
      </w:r>
      <w:r>
        <w:br/>
        <w:t>informe periódico y los informes periódicos cuarto y quinto combinados de un Estado parte.</w:t>
      </w:r>
    </w:p>
    <w:p w:rsidR="00000000" w:rsidRDefault="00000000">
      <w:pPr>
        <w:pStyle w:val="DualTxt"/>
        <w:numPr>
          <w:ilvl w:val="0"/>
          <w:numId w:val="110"/>
        </w:numPr>
        <w:ind w:left="0"/>
      </w:pPr>
      <w:r>
        <w:t>El Comité preparó observaciones finales sobre cada uno de los informes examinados. A continuación figuran las observaciones finales del Comité sobre los informes de los Estados partes, elaboradas por los miembros del Comité, y un resumen de las present</w:t>
      </w:r>
      <w:r>
        <w:t>a</w:t>
      </w:r>
      <w:r>
        <w:t>ciones introductorias de los representantes de los Est</w:t>
      </w:r>
      <w:r>
        <w:t>a</w:t>
      </w:r>
      <w:r>
        <w:t>dos partes.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Examen de los informes de los Estados partes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Informes in</w:t>
      </w:r>
      <w:r>
        <w:t>i</w:t>
      </w:r>
      <w:r>
        <w:t>ciales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Burundi</w:t>
      </w:r>
    </w:p>
    <w:p w:rsidR="00000000" w:rsidRDefault="00000000">
      <w:pPr>
        <w:pStyle w:val="DualTxt"/>
        <w:spacing w:after="0" w:line="120" w:lineRule="exact"/>
        <w:rPr>
          <w:sz w:val="10"/>
        </w:rPr>
      </w:pP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El Comité examinó el informe inicial de Burundi (CEDAW/C/BDI/1) en sus sesiones 488ª, 489ª y 496ª, celebradas los días 17 y 23 de enero de 2001 (véase CEDAW/C/SR.488, 489 y 496).</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Presentación por el Estado parte</w:t>
      </w:r>
    </w:p>
    <w:p w:rsidR="00000000" w:rsidRDefault="00000000">
      <w:pPr>
        <w:pStyle w:val="DualTxt"/>
        <w:spacing w:after="0" w:line="120" w:lineRule="exact"/>
        <w:rPr>
          <w:sz w:val="10"/>
        </w:rPr>
      </w:pP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rPr>
          <w:w w:val="100"/>
        </w:rPr>
      </w:pPr>
      <w:r>
        <w:rPr>
          <w:w w:val="100"/>
        </w:rPr>
        <w:t>Al presentar el informe, la representante de Buru</w:t>
      </w:r>
      <w:r>
        <w:rPr>
          <w:w w:val="100"/>
        </w:rPr>
        <w:t>n</w:t>
      </w:r>
      <w:r>
        <w:rPr>
          <w:w w:val="100"/>
        </w:rPr>
        <w:t>di informó al Comité de que la crisis sociopolítica que había estallado en 1993 y el embargo económico que h</w:t>
      </w:r>
      <w:r>
        <w:rPr>
          <w:w w:val="100"/>
        </w:rPr>
        <w:t>a</w:t>
      </w:r>
      <w:r>
        <w:rPr>
          <w:w w:val="100"/>
        </w:rPr>
        <w:t>bían impuesto los países vecinos de Burundi en 1996 h</w:t>
      </w:r>
      <w:r>
        <w:rPr>
          <w:w w:val="100"/>
        </w:rPr>
        <w:t>a</w:t>
      </w:r>
      <w:r>
        <w:rPr>
          <w:w w:val="100"/>
        </w:rPr>
        <w:t>bían impedido en gran medida el desarrollo del país y, sobre todo, habían afectado la situación de la mujer. Una quinta parte de la población vivía por debajo del umbral de la pobreza, incluidas muchas mujeres jefas de familia que cuidaban a un gran número de hué</w:t>
      </w:r>
      <w:r>
        <w:rPr>
          <w:w w:val="100"/>
        </w:rPr>
        <w:t>r</w:t>
      </w:r>
      <w:r>
        <w:rPr>
          <w:w w:val="100"/>
        </w:rPr>
        <w:t>fanos.</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La representante reiteró el firme empeño del G</w:t>
      </w:r>
      <w:r>
        <w:t>o</w:t>
      </w:r>
      <w:r>
        <w:t>bierno en aplicar la Convención, que se reflejaba en la preparación del informe inicial, a pesar de la persi</w:t>
      </w:r>
      <w:r>
        <w:t>s</w:t>
      </w:r>
      <w:r>
        <w:t>tente crisis sociopolítica del país. El Gobierno de B</w:t>
      </w:r>
      <w:r>
        <w:t>u</w:t>
      </w:r>
      <w:r>
        <w:t>rundi había adoptado algunas medidas para promover el adelanto de la mujer garantizando sus libertades fu</w:t>
      </w:r>
      <w:r>
        <w:t>n</w:t>
      </w:r>
      <w:r>
        <w:t>damentales y sus derechos individuales sobre la base de la igualdad. Asimismo, el Gobierno había alentado el establecimiento de asociaciones de mujeres y la fo</w:t>
      </w:r>
      <w:r>
        <w:t>r</w:t>
      </w:r>
      <w:r>
        <w:t>mulación de proyectos de desarrollo para mujeres. Se había confiado la aplicación de la Convención al M</w:t>
      </w:r>
      <w:r>
        <w:t>i</w:t>
      </w:r>
      <w:r>
        <w:t>nisterio de Acción Social y Promoción de la Mujer y al Ministerio de Derechos de las Personas, Reformas In</w:t>
      </w:r>
      <w:r>
        <w:t>s</w:t>
      </w:r>
      <w:r>
        <w:t>titucionales y R</w:t>
      </w:r>
      <w:r>
        <w:t>e</w:t>
      </w:r>
      <w:r>
        <w:t>laciones con la Asamblea Nacional.</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Después de ratificar la Convención en 1991, el Gobierno había adoptado dos decretos para cambiar la situación jurídica de la mujer. Un decreto ley aprobado en 1993, que modificaba el Código de las Personas y la Familia, contenía varias medidas encaminadas a elim</w:t>
      </w:r>
      <w:r>
        <w:t>i</w:t>
      </w:r>
      <w:r>
        <w:t>nar la discriminación contra la mujer, por ejemplo, la abolición de la poligamia y del repudio unilateral del matrimonio, y además introducía el divorcio legal y r</w:t>
      </w:r>
      <w:r>
        <w:t>e</w:t>
      </w:r>
      <w:r>
        <w:t>glamentaba la edad mínima para contraer matrimonio. En otro decreto ley aprobado en 1993 se revisaba el Código de Trabajo para que prevaleciera la justicia s</w:t>
      </w:r>
      <w:r>
        <w:t>o</w:t>
      </w:r>
      <w:r>
        <w:t>cial y económica. En el capítulo V del Código se ex</w:t>
      </w:r>
      <w:r>
        <w:t>a</w:t>
      </w:r>
      <w:r>
        <w:t>minaba la cuestión de la mujer y el trabajo, inclu</w:t>
      </w:r>
      <w:r>
        <w:t>i</w:t>
      </w:r>
      <w:r>
        <w:t>dos los derechos de la mujer durante el embarazo y la m</w:t>
      </w:r>
      <w:r>
        <w:t>a</w:t>
      </w:r>
      <w:r>
        <w:t>ternidad.</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La representante señaló que la Constitución de Transición promovía el respeto por los derechos y d</w:t>
      </w:r>
      <w:r>
        <w:t>e</w:t>
      </w:r>
      <w:r>
        <w:t>beres proclamados y garantizados en la Declaración Universal de Derechos Humanos y otros instrumentos jurídicos regionales y nacionales pertinentes. En part</w:t>
      </w:r>
      <w:r>
        <w:t>i</w:t>
      </w:r>
      <w:r>
        <w:t>cular, en la Constitución de Transición se declaraba que todas las personas eran iguales ante la ley, indepe</w:t>
      </w:r>
      <w:r>
        <w:t>n</w:t>
      </w:r>
      <w:r>
        <w:t>dientemente de su sexo, origen, grupo étnico, religión u opinión.</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Con respecto a la educación, la representante d</w:t>
      </w:r>
      <w:r>
        <w:t>e</w:t>
      </w:r>
      <w:r>
        <w:t>ploró la elevada tasa de deserción escolar  de las niñas entre la enseñanza primaria y la secundaria, a la que hasta entonces sólo habían tenido acceso el 10% de los niños. Ya no se seguía la práctica establecida en el d</w:t>
      </w:r>
      <w:r>
        <w:t>e</w:t>
      </w:r>
      <w:r>
        <w:t>cenio de 1970 de dar trato preferencial a las niñas en el ingreso a la escuela secundaria aunque tuvieran notas más bajas que los niños por que se creía que fomentaría el complejo de inferioridad entre las alumnas. El G</w:t>
      </w:r>
      <w:r>
        <w:t>o</w:t>
      </w:r>
      <w:r>
        <w:t>bierno sabía que debía adoptar otras medidas correct</w:t>
      </w:r>
      <w:r>
        <w:t>i</w:t>
      </w:r>
      <w:r>
        <w:t>vas en las regiones que tenían unas tasas bajas de e</w:t>
      </w:r>
      <w:r>
        <w:t>s</w:t>
      </w:r>
      <w:r>
        <w:t>colarización, por ejemplo, iniciar campañas de info</w:t>
      </w:r>
      <w:r>
        <w:t>r</w:t>
      </w:r>
      <w:r>
        <w:t>mación pública, dar incentivos y tomar medidas coe</w:t>
      </w:r>
      <w:r>
        <w:t>r</w:t>
      </w:r>
      <w:r>
        <w:t>citivas contra los padres. La representante señaló que, hasta hacía poco, las niñas podían ser expulsadas para siempre de las escuelas si quedaban embarazadas. Sin embargo, en el momento actual, podían reanudar sus estudios en otra institución después de haber dado a luz.</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La representante informó al Comité de que los servicios de salud de Burundi eran insuficientes, sobre todo en las zonas rurales. Más del 66% del personal s</w:t>
      </w:r>
      <w:r>
        <w:t>a</w:t>
      </w:r>
      <w:r>
        <w:t>nitario seguía concentrado en las zonas urbanas, donde sólo vivía el 4% de la población. Las mujeres rurales, que ya soportaban una carga excesiva de trabajo en el hogar, se veían obligadas a viajar grandes distancias para recibir servicios sociales básicos. Por esa razón, el 80% de las mujeres daba a luz en el hogar, a menudo en condiciones sanitarias precarias, y la tasa de mort</w:t>
      </w:r>
      <w:r>
        <w:t>a</w:t>
      </w:r>
      <w:r>
        <w:t>lidad materna era de 826 por 100.000 nacidos vivos. El Gobierno había intentado destinar a personal sanitario a las zonas rurales y establecer un sistema público de servicios de salud. Sin embargo, se encontraba entre una tarea enorme y debía intensificar sus esfuerzos, en particular porque el 30% de la infraestructura de los servicios de salud había sido destruida o dañada d</w:t>
      </w:r>
      <w:r>
        <w:t>u</w:t>
      </w:r>
      <w:r>
        <w:t>rante la crisis. Con ayuda del Fondo de Población de las Naciones Unidas, el Gobierno había iniciado pr</w:t>
      </w:r>
      <w:r>
        <w:t>o</w:t>
      </w:r>
      <w:r>
        <w:t>gramas de salud reproductiva para las mujeres rur</w:t>
      </w:r>
      <w:r>
        <w:t>a</w:t>
      </w:r>
      <w:r>
        <w:t>les.</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Puesto que la mayoría de las mujeres vivían en las zonas rurales, su sustento dependía de los productos agrícolas. El Gobierno había hecho lo posible por r</w:t>
      </w:r>
      <w:r>
        <w:t>e</w:t>
      </w:r>
      <w:r>
        <w:t>mediar su situación ya que, desde el punto de vista económico, las mujeres rurales dependían totalmente de los miembros varones de sus familias, no tenían d</w:t>
      </w:r>
      <w:r>
        <w:t>e</w:t>
      </w:r>
      <w:r>
        <w:t>rechos sucesorios y no ejercían control económico a</w:t>
      </w:r>
      <w:r>
        <w:t>l</w:t>
      </w:r>
      <w:r>
        <w:t>guno de los bienes que producían. El Gobierno prom</w:t>
      </w:r>
      <w:r>
        <w:t>o</w:t>
      </w:r>
      <w:r>
        <w:t>vía programas de lucha contra la pobreza por medio de actividades de generación de ingresos, ejecutados por las asociaciones de mujeres. A partir de 1996, el M</w:t>
      </w:r>
      <w:r>
        <w:t>i</w:t>
      </w:r>
      <w:r>
        <w:t>nisterio de Acción Social y Promoción de la Mujer h</w:t>
      </w:r>
      <w:r>
        <w:t>a</w:t>
      </w:r>
      <w:r>
        <w:t>bía establecido centros de desarrollo de la familia en todo el país, a fin de ayudar a las mujeres a administrar sus propios ingresos.</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La representante observó que, con la creación de la Unión de Mujeres de Burundi y otras medidas, las mujeres se habían dado cuenta del importante papel que podían desempeñar en todos los sectores de la s</w:t>
      </w:r>
      <w:r>
        <w:t>o</w:t>
      </w:r>
      <w:r>
        <w:t>ciedad. Sin embargo, persistían las actitudes tradici</w:t>
      </w:r>
      <w:r>
        <w:t>o</w:t>
      </w:r>
      <w:r>
        <w:t>nales y muy pocas mujeres ocupaban cargos de respo</w:t>
      </w:r>
      <w:r>
        <w:t>n</w:t>
      </w:r>
      <w:r>
        <w:t>sabilidad en la Asamblea Nacional, la magistratura, la administración pública y las instituciones públicas y priv</w:t>
      </w:r>
      <w:r>
        <w:t>a</w:t>
      </w:r>
      <w:r>
        <w:t>das.</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La representante informó al Comité de que, deb</w:t>
      </w:r>
      <w:r>
        <w:t>i</w:t>
      </w:r>
      <w:r>
        <w:t>do a la crisis que atravesaba el país, a la pobreza e</w:t>
      </w:r>
      <w:r>
        <w:t>x</w:t>
      </w:r>
      <w:r>
        <w:t>tremada y a las condiciones de hacinamiento que imp</w:t>
      </w:r>
      <w:r>
        <w:t>e</w:t>
      </w:r>
      <w:r>
        <w:t>raban en los campamentos, había aumentado la prost</w:t>
      </w:r>
      <w:r>
        <w:t>i</w:t>
      </w:r>
      <w:r>
        <w:t>tución. El Gobierno había adoptado medidas jurídicas para sancionar la trata de mujeres, la explotación de la prostitución, los atentados contra las buenas costu</w:t>
      </w:r>
      <w:r>
        <w:t>m</w:t>
      </w:r>
      <w:r>
        <w:t>bres y la vi</w:t>
      </w:r>
      <w:r>
        <w:t>o</w:t>
      </w:r>
      <w:r>
        <w:t>lación.</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rPr>
          <w:w w:val="101"/>
        </w:rPr>
      </w:pPr>
      <w:r>
        <w:t>Las mujeres habían contribuido considerabl</w:t>
      </w:r>
      <w:r>
        <w:t>e</w:t>
      </w:r>
      <w:r>
        <w:t>mente al proceso de paz. Desde el principio, habían o</w:t>
      </w:r>
      <w:r>
        <w:t>r</w:t>
      </w:r>
      <w:r>
        <w:t>ganizado negociaciones en pro de la paz, en las que h</w:t>
      </w:r>
      <w:r>
        <w:t>a</w:t>
      </w:r>
      <w:r>
        <w:t>bían obtenido la condición de observadoras. Los Acuerdos de Arusha, que constituían las bases de la consolidación de la paz permanente en el país, garant</w:t>
      </w:r>
      <w:r>
        <w:t>i</w:t>
      </w:r>
      <w:r>
        <w:t>zaban a las mujeres la misma condición jurídica y s</w:t>
      </w:r>
      <w:r>
        <w:t>o</w:t>
      </w:r>
      <w:r>
        <w:t>cial que los hombres, de conformidad con la Conve</w:t>
      </w:r>
      <w:r>
        <w:t>n</w:t>
      </w:r>
      <w:r>
        <w:t>ción. En los Acuerdos se reconocía la función que d</w:t>
      </w:r>
      <w:r>
        <w:t>e</w:t>
      </w:r>
      <w:r>
        <w:t>sempeñaba la mujer en la reconstrucción y la rehabil</w:t>
      </w:r>
      <w:r>
        <w:t>i</w:t>
      </w:r>
      <w:r>
        <w:t>tación del país y se sugería su inclusión en todas las estructuras administrativas que se encargaban del pr</w:t>
      </w:r>
      <w:r>
        <w:t>o</w:t>
      </w:r>
      <w:r>
        <w:t>ceso de reconstrucción. Asimismo, se proponía la m</w:t>
      </w:r>
      <w:r>
        <w:t>o</w:t>
      </w:r>
      <w:r>
        <w:t>vilización de las mujeres como mediadoras de los pr</w:t>
      </w:r>
      <w:r>
        <w:t>o</w:t>
      </w:r>
      <w:r>
        <w:rPr>
          <w:w w:val="101"/>
        </w:rPr>
        <w:t>cesos de paz para lograr la reconciliación nacional, la aprobación de leyes sobre los derechos sucesorios de la mujer y la reconstrucción de viviendas para las mujeres sin hogar. También se consideraba necesario promover la reinserción de las mujeres víctimas de violencia u obligadas a contraer matrimonio en contra de su volu</w:t>
      </w:r>
      <w:r>
        <w:rPr>
          <w:w w:val="101"/>
        </w:rPr>
        <w:t>n</w:t>
      </w:r>
      <w:r>
        <w:rPr>
          <w:w w:val="101"/>
        </w:rPr>
        <w:t>tad, así como la orientación después de esos tra</w:t>
      </w:r>
      <w:r>
        <w:rPr>
          <w:w w:val="101"/>
        </w:rPr>
        <w:t>u</w:t>
      </w:r>
      <w:r>
        <w:rPr>
          <w:w w:val="101"/>
        </w:rPr>
        <w:t>mas.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Observaciones finales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DualTxt"/>
        <w:spacing w:after="0" w:line="120" w:lineRule="exact"/>
        <w:rPr>
          <w:sz w:val="10"/>
        </w:rPr>
      </w:pP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El Comité encomia al Gobierno de Burundi por haber ratificado la Convención sin reservas en 1991 y por preparar y presentar su informe inicial en un m</w:t>
      </w:r>
      <w:r>
        <w:t>o</w:t>
      </w:r>
      <w:r>
        <w:t>mento de crisis sociopolítica, disturbios civiles y dif</w:t>
      </w:r>
      <w:r>
        <w:t>i</w:t>
      </w:r>
      <w:r>
        <w:t>cultades económicas. Celebra los esfuerzos despleg</w:t>
      </w:r>
      <w:r>
        <w:t>a</w:t>
      </w:r>
      <w:r>
        <w:t>dos por el Gobierno para seguir las directrices establ</w:t>
      </w:r>
      <w:r>
        <w:t>e</w:t>
      </w:r>
      <w:r>
        <w:t>cidas por el Comité con respecto a la presentación de informes.</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rPr>
          <w:w w:val="101"/>
        </w:rPr>
      </w:pPr>
      <w:r>
        <w:rPr>
          <w:w w:val="101"/>
        </w:rPr>
        <w:t>El Comité encomia al Gobierno por haber enviado una delegación de alto nivel presidida por la Ministra encargada de la Situación de la Mujer. Agradece la fra</w:t>
      </w:r>
      <w:r>
        <w:rPr>
          <w:w w:val="101"/>
        </w:rPr>
        <w:t>n</w:t>
      </w:r>
      <w:r>
        <w:rPr>
          <w:w w:val="101"/>
        </w:rPr>
        <w:t>queza con que el Estado parte ha preparado el informe y su sincera presentación, pues gracias a ello el Comité ha podido entablar un diálogo constructivo.</w:t>
      </w:r>
    </w:p>
    <w:p w:rsidR="00000000" w:rsidRDefault="00000000">
      <w:pPr>
        <w:pStyle w:val="DualTxt"/>
        <w:spacing w:after="0" w:line="120" w:lineRule="exact"/>
        <w:rPr>
          <w:w w:val="101"/>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w:t>
      </w:r>
      <w:r>
        <w:t>o</w:t>
      </w:r>
      <w:r>
        <w:t>sitivos</w:t>
      </w:r>
    </w:p>
    <w:p w:rsidR="00000000" w:rsidRDefault="00000000">
      <w:pPr>
        <w:pStyle w:val="DualTxt"/>
        <w:spacing w:after="0" w:line="120" w:lineRule="exact"/>
        <w:rPr>
          <w:sz w:val="10"/>
        </w:rPr>
      </w:pP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El Comité celebra las medidas adoptadas por el Estado parte para aplicar la Convención a pesar de la difícil situación sociopolítica y económica que atravi</w:t>
      </w:r>
      <w:r>
        <w:t>e</w:t>
      </w:r>
      <w:r>
        <w:t>sa. En particular el Comité celebra que se haya form</w:t>
      </w:r>
      <w:r>
        <w:t>u</w:t>
      </w:r>
      <w:r>
        <w:t>lado un plan nacional de acción para dar seguimiento a la Cuarta Conferencia Mundial sobre la Mujer, lo que demuestra la importancia que se atribuye al adelanto de la mujer.</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El Comité celebra el establecimiento del Minist</w:t>
      </w:r>
      <w:r>
        <w:t>e</w:t>
      </w:r>
      <w:r>
        <w:t>rio de Acción Social y Promoción de la Mujer y del Ministerio de Derechos de las Personas, Reformas In</w:t>
      </w:r>
      <w:r>
        <w:t>s</w:t>
      </w:r>
      <w:r>
        <w:t>titucionales y Relaciones con la Asamblea Nacional, responsables conjuntamente de aplicar la Conve</w:t>
      </w:r>
      <w:r>
        <w:t>n</w:t>
      </w:r>
      <w:r>
        <w:t>ción.</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rPr>
          <w:w w:val="101"/>
        </w:rPr>
      </w:pPr>
      <w:r>
        <w:rPr>
          <w:w w:val="101"/>
        </w:rPr>
        <w:t>El Comité encomia al Gobierno por las reformas jurídicas que ha introducido después de ratificar la Co</w:t>
      </w:r>
      <w:r>
        <w:rPr>
          <w:w w:val="101"/>
        </w:rPr>
        <w:t>n</w:t>
      </w:r>
      <w:r>
        <w:rPr>
          <w:w w:val="101"/>
        </w:rPr>
        <w:t>vención en 1991, en particular la reforma del Código de las Personas y la Familia y del Código del Tr</w:t>
      </w:r>
      <w:r>
        <w:rPr>
          <w:w w:val="101"/>
        </w:rPr>
        <w:t>a</w:t>
      </w:r>
      <w:r>
        <w:rPr>
          <w:w w:val="101"/>
        </w:rPr>
        <w:t>bajo.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a la aplicación de la Conve</w:t>
      </w:r>
      <w:r>
        <w:t>n</w:t>
      </w:r>
      <w:r>
        <w:t>ción</w:t>
      </w:r>
    </w:p>
    <w:p w:rsidR="00000000" w:rsidRDefault="00000000">
      <w:pPr>
        <w:pStyle w:val="DualTxt"/>
        <w:spacing w:after="0" w:line="120" w:lineRule="exact"/>
        <w:rPr>
          <w:sz w:val="10"/>
        </w:rPr>
      </w:pP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El Comité reconoce que la guerra civil y la crisis económica en Burundi son dificultades graves para la plena aplicación de la Convención. El Comité también señala que los prejuicios profundamente arraigados en la sociedad y los estereotipos sobre el papel de la m</w:t>
      </w:r>
      <w:r>
        <w:t>u</w:t>
      </w:r>
      <w:r>
        <w:t>jer, así como algunas costumbres y tradiciones, son otros obstáculos para la aplicación de la Convención.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esferas de preocupación y recomendaciones</w:t>
      </w:r>
    </w:p>
    <w:p w:rsidR="00000000" w:rsidRDefault="00000000">
      <w:pPr>
        <w:pStyle w:val="DualTxt"/>
        <w:spacing w:after="0" w:line="120" w:lineRule="exact"/>
        <w:rPr>
          <w:sz w:val="10"/>
        </w:rPr>
      </w:pP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El Comité considera que la falta de paz es el obstáculo más grave para la plena aplicación de la Convención. Asimismo, el Comité expresa su preoc</w:t>
      </w:r>
      <w:r>
        <w:t>u</w:t>
      </w:r>
      <w:r>
        <w:t>pación sobre el número de mujeres víctimas de la vi</w:t>
      </w:r>
      <w:r>
        <w:t>o</w:t>
      </w:r>
      <w:r>
        <w:t>lencia durante el conflicto.</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rPr>
          <w:w w:val="100"/>
        </w:rPr>
      </w:pPr>
      <w:r>
        <w:rPr>
          <w:w w:val="100"/>
        </w:rPr>
        <w:t>El Comité recomienda que, al aplicar los Acuerdos de Arusha y de conformidad con ellos, se haga hincapié en el papel que debe desempeñar la mujer en el proceso de reconstrucción y se integre en todos sus aspectos la rápida consecución de la igualdad de la mujer. El Com</w:t>
      </w:r>
      <w:r>
        <w:rPr>
          <w:w w:val="100"/>
        </w:rPr>
        <w:t>i</w:t>
      </w:r>
      <w:r>
        <w:rPr>
          <w:w w:val="100"/>
        </w:rPr>
        <w:t>té insta a que se desplieguen esfuerzos especiales para incluir a la mujer en las iniciativas nacionales en materia de reconciliación y consolidación de la paz. El Comité recomienda que el Gobierno aliente a las mujeres de t</w:t>
      </w:r>
      <w:r>
        <w:rPr>
          <w:w w:val="100"/>
        </w:rPr>
        <w:t>o</w:t>
      </w:r>
      <w:r>
        <w:rPr>
          <w:w w:val="100"/>
        </w:rPr>
        <w:t>dos los grupos étnicos y a las mujeres víctimas de la violencia y del conflicto armado a que se conviertan en d</w:t>
      </w:r>
      <w:r>
        <w:rPr>
          <w:w w:val="100"/>
        </w:rPr>
        <w:t>e</w:t>
      </w:r>
      <w:r>
        <w:rPr>
          <w:w w:val="100"/>
        </w:rPr>
        <w:t>fensoras de la paz.</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El Comité recomienda que cuando fije cupos para los distintos grupos étnicos el Gobierno estudie la p</w:t>
      </w:r>
      <w:r>
        <w:t>o</w:t>
      </w:r>
      <w:r>
        <w:t>sibilidad de tomar medidas previstas en el párrafo 1 del artículo 4 de la Convención y esbozados en la rec</w:t>
      </w:r>
      <w:r>
        <w:t>o</w:t>
      </w:r>
      <w:r>
        <w:t>mendación 23 del Comité relativa a las mujeres en la vida pública, para aumentar la participación de la m</w:t>
      </w:r>
      <w:r>
        <w:t>u</w:t>
      </w:r>
      <w:r>
        <w:t>jer en los procesos de toma de decisiones en todos los niveles. El Comité destaca la importancia de que se o</w:t>
      </w:r>
      <w:r>
        <w:t>b</w:t>
      </w:r>
      <w:r>
        <w:t>serven estrictamente los principios de igualdad entre los sexos en todos los esfuerzos de recon</w:t>
      </w:r>
      <w:r>
        <w:t>s</w:t>
      </w:r>
      <w:r>
        <w:t>trucción.</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El Comité expresa su preocupación por la situ</w:t>
      </w:r>
      <w:r>
        <w:t>a</w:t>
      </w:r>
      <w:r>
        <w:t>ción de las mujeres y niñas desplazadas, y por sus co</w:t>
      </w:r>
      <w:r>
        <w:t>n</w:t>
      </w:r>
      <w:r>
        <w:t>diciones de vida, incluidas las que se encuentran en los camp</w:t>
      </w:r>
      <w:r>
        <w:t>a</w:t>
      </w:r>
      <w:r>
        <w:t>mentos de refugiados.</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El Comité recomienda que el Gobierno preste una mayor asistencia a las mujeres y niñas refugiadas y desplazadas y aplique una serie de medidas de rehab</w:t>
      </w:r>
      <w:r>
        <w:t>i</w:t>
      </w:r>
      <w:r>
        <w:t>litación destinadas a esas mujeres y niñas. Asimismo, destaca la importancia de integrar una perspectiva de género en todas las políticas y programas de asiste</w:t>
      </w:r>
      <w:r>
        <w:t>n</w:t>
      </w:r>
      <w:r>
        <w:t>cia a las personas desplazadas, de carácter nacional e internacional.</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Asimismo, el Comité recomienda que se presten servicios de asistencia después de traumas para las mujeres víctimas de la violencia por motivo de género, como se dispone en los Acuerdos de Arusha y pide al Gobierno que garantice la formación del personal e</w:t>
      </w:r>
      <w:r>
        <w:t>n</w:t>
      </w:r>
      <w:r>
        <w:t>cargado de prestar dicha asistencia.</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El Comité observa con preocupación la existencia de disposiciones legislativas que discriminan a la m</w:t>
      </w:r>
      <w:r>
        <w:t>u</w:t>
      </w:r>
      <w:r>
        <w:t>jer. Expresa también preocupación por la diferencia entre la situación de derecho y la situación de hecho en lo que respecta a la igua</w:t>
      </w:r>
      <w:r>
        <w:t>l</w:t>
      </w:r>
      <w:r>
        <w:t>dad de las mujeres.</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rPr>
          <w:w w:val="101"/>
        </w:rPr>
      </w:pPr>
      <w:r>
        <w:rPr>
          <w:w w:val="101"/>
        </w:rPr>
        <w:t>El Comité recomienda que el Estado parte tome medidas para revisar las disposiciones jurídicas discr</w:t>
      </w:r>
      <w:r>
        <w:rPr>
          <w:w w:val="101"/>
        </w:rPr>
        <w:t>i</w:t>
      </w:r>
      <w:r>
        <w:rPr>
          <w:w w:val="101"/>
        </w:rPr>
        <w:t>minatorias, incluidas las del Código de las Personas y la Familia y del Código Penal, con arreglo a la Conve</w:t>
      </w:r>
      <w:r>
        <w:rPr>
          <w:w w:val="101"/>
        </w:rPr>
        <w:t>n</w:t>
      </w:r>
      <w:r>
        <w:rPr>
          <w:w w:val="101"/>
        </w:rPr>
        <w:t>ción. También recomienda que se revisen las disposici</w:t>
      </w:r>
      <w:r>
        <w:rPr>
          <w:w w:val="101"/>
        </w:rPr>
        <w:t>o</w:t>
      </w:r>
      <w:r>
        <w:rPr>
          <w:w w:val="101"/>
        </w:rPr>
        <w:t>nes que establezcan edades diferentes para que la mujer y el hombre puedan contraer matrimonio (artículo 88 del Código de las Personas y de la Familia), señalen que el hombre es el cabeza de familia (artículo 122 del Código de las Personas y de la Familia) y establezcan dispos</w:t>
      </w:r>
      <w:r>
        <w:rPr>
          <w:w w:val="101"/>
        </w:rPr>
        <w:t>i</w:t>
      </w:r>
      <w:r>
        <w:rPr>
          <w:w w:val="101"/>
        </w:rPr>
        <w:t>ciones discriminatorias respecto al adulterio (artículo 3 del Código Penal). Además, el Comité alienta al G</w:t>
      </w:r>
      <w:r>
        <w:rPr>
          <w:w w:val="101"/>
        </w:rPr>
        <w:t>o</w:t>
      </w:r>
      <w:r>
        <w:rPr>
          <w:w w:val="101"/>
        </w:rPr>
        <w:t>bierno a que vele por la aplicación de leyes y medidas que garanticen la igualdad de jure y persigan la elimin</w:t>
      </w:r>
      <w:r>
        <w:rPr>
          <w:w w:val="101"/>
        </w:rPr>
        <w:t>a</w:t>
      </w:r>
      <w:r>
        <w:rPr>
          <w:w w:val="101"/>
        </w:rPr>
        <w:t>ción de la discriminación de la mujer. El Comité rec</w:t>
      </w:r>
      <w:r>
        <w:rPr>
          <w:w w:val="101"/>
        </w:rPr>
        <w:t>o</w:t>
      </w:r>
      <w:r>
        <w:rPr>
          <w:w w:val="101"/>
        </w:rPr>
        <w:t>mienda que el Gobierno haga lo necesario para que los encargados de hacer cumplir las leyes y políticas cono</w:t>
      </w:r>
      <w:r>
        <w:rPr>
          <w:w w:val="101"/>
        </w:rPr>
        <w:t>z</w:t>
      </w:r>
      <w:r>
        <w:rPr>
          <w:w w:val="101"/>
        </w:rPr>
        <w:t>can plenamente su contenido y por que se lleven a cabo campañas de información pública y de instrucción jur</w:t>
      </w:r>
      <w:r>
        <w:rPr>
          <w:w w:val="101"/>
        </w:rPr>
        <w:t>í</w:t>
      </w:r>
      <w:r>
        <w:rPr>
          <w:w w:val="101"/>
        </w:rPr>
        <w:t>dica para garantizar una amplia comprensión de la r</w:t>
      </w:r>
      <w:r>
        <w:rPr>
          <w:w w:val="101"/>
        </w:rPr>
        <w:t>e</w:t>
      </w:r>
      <w:r>
        <w:rPr>
          <w:w w:val="101"/>
        </w:rPr>
        <w:t>forma jurídica y política.</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El Comité expresa su preocupación por el elevado porcentaje de analfabetismo entre las mujeres y el bajo porcentaje de escolarización de las niñas, en particular en las zonas rurales. El Comité observa que la ens</w:t>
      </w:r>
      <w:r>
        <w:t>e</w:t>
      </w:r>
      <w:r>
        <w:t>ñanza es una de las claves para la habilitación de la mujer y que el bajo nivel educacional de la mujer sigue siendo uno de los impedimentos más graves para el d</w:t>
      </w:r>
      <w:r>
        <w:t>e</w:t>
      </w:r>
      <w:r>
        <w:t>sarrollo del país.</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El Comité insta al Gobierno a que prosiga sus e</w:t>
      </w:r>
      <w:r>
        <w:t>s</w:t>
      </w:r>
      <w:r>
        <w:t>fuerzos para mejorar el acceso de las niñas a todos los niveles educacionales y prevenir la deserción escolar. El Comité alienta al Gobierno a que adopte medidas correctivas destinadas a todos los interesados, inclusive incentivos para los padres, y a que considere la posib</w:t>
      </w:r>
      <w:r>
        <w:t>i</w:t>
      </w:r>
      <w:r>
        <w:t>lidad de solicitar asistencia internacional para mejorar la educación de las mujeres y de las niñas.</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El Comité considera alarmante el porcentaje cada vez mayor de infección del VIH/SIDA, que ha socav</w:t>
      </w:r>
      <w:r>
        <w:t>a</w:t>
      </w:r>
      <w:r>
        <w:t>do los logros que había conseguido el país. El Comité expresa su preocupación por la falta de instalaciones para atender a las víctimas de esta enfermedad y a otras personas afectadas.</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El Comité insta al Gobierno a que adopte un planteamiento polifacético y global para luchar contra la pandemia del VIH/SIDA, planteamiento que debería incorporar no solamente estrategias educacionales d</w:t>
      </w:r>
      <w:r>
        <w:t>i</w:t>
      </w:r>
      <w:r>
        <w:t>versificadas sino además medidas prácticas de preve</w:t>
      </w:r>
      <w:r>
        <w:t>n</w:t>
      </w:r>
      <w:r>
        <w:t>ción, como un mayor acceso a los preservativos para el hombre y para la mujer. El Comité alienta al Gobierno a que considere la posibilidad de solicitar asistencia internacional para tal fin. El Comité destaca que la r</w:t>
      </w:r>
      <w:r>
        <w:t>e</w:t>
      </w:r>
      <w:r>
        <w:t>copilación de datos fidedignos sobre la incidencia del VIH/SIDA es primordial para tener un mejor conoc</w:t>
      </w:r>
      <w:r>
        <w:t>i</w:t>
      </w:r>
      <w:r>
        <w:t>miento de la pandemia y formular con mayor precisión las pol</w:t>
      </w:r>
      <w:r>
        <w:t>í</w:t>
      </w:r>
      <w:r>
        <w:t>ticas y programas.</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El Comité expresa su preocupación por la alta t</w:t>
      </w:r>
      <w:r>
        <w:t>a</w:t>
      </w:r>
      <w:r>
        <w:t>sa de mortalidad derivada de la maternidad, en part</w:t>
      </w:r>
      <w:r>
        <w:t>i</w:t>
      </w:r>
      <w:r>
        <w:t>cular en las zonas rurales, incluida las muertes que son r</w:t>
      </w:r>
      <w:r>
        <w:t>e</w:t>
      </w:r>
      <w:r>
        <w:t>sultado de los abortos ilegales.</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El Comité recomienda que el Estado parte no e</w:t>
      </w:r>
      <w:r>
        <w:t>s</w:t>
      </w:r>
      <w:r>
        <w:t>catime esfuerzos para aumentar el acceso a las instal</w:t>
      </w:r>
      <w:r>
        <w:t>a</w:t>
      </w:r>
      <w:r>
        <w:t>ciones de atención sanitaria y de asistencia médica a cargo de personal capacitado en todas las zonas, inclu</w:t>
      </w:r>
      <w:r>
        <w:t>i</w:t>
      </w:r>
      <w:r>
        <w:t>das las zonas rurales, a fin de aumentar concretamente el número de nacimientos asistidos por personal esp</w:t>
      </w:r>
      <w:r>
        <w:t>e</w:t>
      </w:r>
      <w:r>
        <w:t>cializado. El Comité recomienda la adopción de med</w:t>
      </w:r>
      <w:r>
        <w:t>i</w:t>
      </w:r>
      <w:r>
        <w:t>das efectivas como campañas de educación e inform</w:t>
      </w:r>
      <w:r>
        <w:t>a</w:t>
      </w:r>
      <w:r>
        <w:t>ción sexual y el suministro de anticonceptivos eficaces, para reducir el número de abortos clandestinos. El C</w:t>
      </w:r>
      <w:r>
        <w:t>o</w:t>
      </w:r>
      <w:r>
        <w:t>mité hace hincapié en que el aborto no debe utilizarse como método de planificación de la familia.</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El Comité expresa su preocupación por la persi</w:t>
      </w:r>
      <w:r>
        <w:t>s</w:t>
      </w:r>
      <w:r>
        <w:t>tencia de estereotipos que constriñan a la mujer y a la niña a desempeñar funciones tradicionales.</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El Comité invita al Gobierno a que tome medidas concretas, incluidas campañas de sensibilización de c</w:t>
      </w:r>
      <w:r>
        <w:t>a</w:t>
      </w:r>
      <w:r>
        <w:t>rácter sectorial y general, para eliminar los prejuicios y estereotipos profundamente arraigados en la sociedad a fin de lograr una igualdad de facto.</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El Comité alienta al Gobierno a que considere la posibilidad de ratificar el Protocolo Facultativo de la Convención y a que acepte la reforma del párrafo 1 del artículo 20 de la Convención relativo al calendario de reuniones del Comité.</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El Comité insta al Gobierno a que responda en su próximo informe periódico a las cuestiones concretas señaladas en las presentes observaciones finales. As</w:t>
      </w:r>
      <w:r>
        <w:t>i</w:t>
      </w:r>
      <w:r>
        <w:t>mismo, el Comité insta al Gobierno a que mejore la l</w:t>
      </w:r>
      <w:r>
        <w:t>a</w:t>
      </w:r>
      <w:r>
        <w:t>bor de recopilación y análisis de datos estadísticos, desglosándolos por género y edad, y a que en su pr</w:t>
      </w:r>
      <w:r>
        <w:t>ó</w:t>
      </w:r>
      <w:r>
        <w:t>ximo informe comunique dichos datos al Comité.</w:t>
      </w: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El Comité pide que se difunda ampliamente el texto de las presentes observaciones finales en Burundi para informar a la opinión pública, en particular a los administradores, funcionarios y políticos, de las med</w:t>
      </w:r>
      <w:r>
        <w:t>i</w:t>
      </w:r>
      <w:r>
        <w:t>das adoptadas para garantizar la igualdad de jure y de facto entre hombres y mujeres y de las nuevas medidas que se adopten en este ámbito. El Comité también insta al Gobierno a que continúe divulgando ampliamente, en particular entre las asociaciones de mujeres y las o</w:t>
      </w:r>
      <w:r>
        <w:t>r</w:t>
      </w:r>
      <w:r>
        <w:t>ganizaciones de derechos humanos, la Convención y su Protocolo Facultativo, las recomendaciones generales del Comité, la Declaración y la Plataforma de Acción de Beijing, así como los resultados del vigésimo tercer período extraordinario de sesiones de la Asamblea G</w:t>
      </w:r>
      <w:r>
        <w:t>e</w:t>
      </w:r>
      <w:r>
        <w:t>neral titulado “La mujer en el año 2000: igualdad entre los géneros, desarrollo y paz para el s</w:t>
      </w:r>
      <w:r>
        <w:t>i</w:t>
      </w:r>
      <w:r>
        <w:t>glo XXI”.</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Kazajstán</w:t>
      </w:r>
    </w:p>
    <w:p w:rsidR="00000000" w:rsidRDefault="00000000">
      <w:pPr>
        <w:pStyle w:val="DualTxt"/>
        <w:spacing w:after="0" w:line="120" w:lineRule="exact"/>
        <w:rPr>
          <w:sz w:val="10"/>
        </w:rPr>
      </w:pP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El Comité examinó el informe inicial de K</w:t>
      </w:r>
      <w:r>
        <w:t>a</w:t>
      </w:r>
      <w:r>
        <w:t>zajstán (CEDAW/C/KAZ/1) en sus sesiones 490ª, 491ª y 497ª, celebradas los días 18 y 23 de enero de 2001 (véase CEDAW/C/SR.490, 491 y 497).</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Presentación por el Estado parte</w:t>
      </w:r>
    </w:p>
    <w:p w:rsidR="00000000" w:rsidRDefault="00000000">
      <w:pPr>
        <w:pStyle w:val="DualTxt"/>
        <w:spacing w:after="0" w:line="120" w:lineRule="exact"/>
        <w:rPr>
          <w:sz w:val="10"/>
        </w:rPr>
      </w:pPr>
    </w:p>
    <w:p w:rsidR="00000000" w:rsidRDefault="00000000">
      <w:pPr>
        <w:pStyle w:val="DualTxt"/>
        <w:numPr>
          <w:ilvl w:val="0"/>
          <w:numId w:val="110"/>
        </w:numPr>
        <w:tabs>
          <w:tab w:val="clear" w:pos="480"/>
          <w:tab w:val="clear" w:pos="960"/>
          <w:tab w:val="left" w:pos="475"/>
          <w:tab w:val="left" w:pos="965"/>
          <w:tab w:val="left" w:pos="1440"/>
          <w:tab w:val="left" w:pos="1915"/>
          <w:tab w:val="left" w:pos="2405"/>
          <w:tab w:val="left" w:pos="2880"/>
          <w:tab w:val="left" w:pos="3355"/>
        </w:tabs>
        <w:ind w:left="0"/>
      </w:pPr>
      <w:r>
        <w:t>Al presentar el informe, la representante de K</w:t>
      </w:r>
      <w:r>
        <w:t>a</w:t>
      </w:r>
      <w:r>
        <w:t>zajstán destacó la reciente evolución política, social y jurídica de Kazajstán y observó que el año 2000 se h</w:t>
      </w:r>
      <w:r>
        <w:t>a</w:t>
      </w:r>
      <w:r>
        <w:t>bía caracterizado por un aumento de la productividad en los principales sectores de la economía que iba a permitir gastar más en las necesidades sociales de la población, sobre todo de las mujeres y los niños. La representante indicó que Kazajstán se había adherido a 30 tratados internacionales de derechos humanos y que la ratificación sin reservas de la Convención de 1998 era un testimonio del compromiso del país con el ad</w:t>
      </w:r>
      <w:r>
        <w:t>e</w:t>
      </w:r>
      <w:r>
        <w:t>lanto de la mujer y los objetivos de la igualdad entre el hombre y la mujer. Hizo notar que el Protocolo Facu</w:t>
      </w:r>
      <w:r>
        <w:t>l</w:t>
      </w:r>
      <w:r>
        <w:t>tativo, que había sido firmado por el Presidente, N. A. Nazarbayev, en septiembre de 2000, estaba ahora en proceso de ratificación en el Pa</w:t>
      </w:r>
      <w:r>
        <w:t>r</w:t>
      </w:r>
      <w:r>
        <w:t>lamento.</w:t>
      </w:r>
    </w:p>
    <w:p w:rsidR="00000000" w:rsidRDefault="00000000">
      <w:pPr>
        <w:pStyle w:val="DualTxt"/>
        <w:numPr>
          <w:ilvl w:val="0"/>
          <w:numId w:val="115"/>
        </w:numPr>
        <w:tabs>
          <w:tab w:val="clear" w:pos="960"/>
          <w:tab w:val="left" w:pos="475"/>
          <w:tab w:val="left" w:pos="965"/>
          <w:tab w:val="left" w:pos="1440"/>
          <w:tab w:val="left" w:pos="1915"/>
          <w:tab w:val="left" w:pos="2405"/>
          <w:tab w:val="left" w:pos="2880"/>
          <w:tab w:val="left" w:pos="3355"/>
        </w:tabs>
      </w:pPr>
      <w:r>
        <w:t>La representante dijo que en la Constitución no se hace referencia a la “discriminación contra la mujer”. Sin embargo, los tratados internacionales ratific</w:t>
      </w:r>
      <w:r>
        <w:t>a</w:t>
      </w:r>
      <w:r>
        <w:t>dos por Kazajstán, incluida la Convención, tienen pri</w:t>
      </w:r>
      <w:r>
        <w:t>o</w:t>
      </w:r>
      <w:r>
        <w:t>ridad sobre la legislación nacional. El principio de igualdad entre el hombre y la mujer es la base sobre la que se asienta la legislación de Kazajstán, así como el proyecto de ley sobre la igualdad de derechos y de oport</w:t>
      </w:r>
      <w:r>
        <w:t>u</w:t>
      </w:r>
      <w:r>
        <w:t>nidades.</w:t>
      </w:r>
    </w:p>
    <w:p w:rsidR="00000000" w:rsidRDefault="00000000">
      <w:pPr>
        <w:pStyle w:val="DualTxt"/>
        <w:numPr>
          <w:ilvl w:val="0"/>
          <w:numId w:val="115"/>
        </w:numPr>
        <w:tabs>
          <w:tab w:val="clear" w:pos="960"/>
          <w:tab w:val="left" w:pos="475"/>
          <w:tab w:val="left" w:pos="965"/>
          <w:tab w:val="left" w:pos="1440"/>
          <w:tab w:val="left" w:pos="1915"/>
          <w:tab w:val="left" w:pos="2405"/>
          <w:tab w:val="left" w:pos="2880"/>
          <w:tab w:val="left" w:pos="3355"/>
        </w:tabs>
      </w:pPr>
      <w:r>
        <w:t>En 1998, por decreto del Presidente, se estableció la Comisión Nacional sobre la Mujer y la Familia, con el objeto de crear las condiciones necesarias para que la mujer participara en la vida política, social, econ</w:t>
      </w:r>
      <w:r>
        <w:t>ó</w:t>
      </w:r>
      <w:r>
        <w:t>mica y cultural del país. De conformidad con las rec</w:t>
      </w:r>
      <w:r>
        <w:t>o</w:t>
      </w:r>
      <w:r>
        <w:t>mendaciones de la Plataforma de Acción de Beijing, la Comisión elaboró un plan de acción nacional para el mejoramiento de la condición jurídica y social de la mujer en Kazajstán. Estaba estrechándose la cooper</w:t>
      </w:r>
      <w:r>
        <w:t>a</w:t>
      </w:r>
      <w:r>
        <w:t>ción entre los órganos oficiales y las organizaciones no gubernamentales para la elaboración de políticas y pr</w:t>
      </w:r>
      <w:r>
        <w:t>o</w:t>
      </w:r>
      <w:r>
        <w:t>gramas para la mujer, y Kazajstán se había beneficiado de la cooperación y la asistencia técnica de las organ</w:t>
      </w:r>
      <w:r>
        <w:t>i</w:t>
      </w:r>
      <w:r>
        <w:t>zaciones internacionales, especialmente el Fondo de Población de las Naciones Unidas, el Fondo de Des</w:t>
      </w:r>
      <w:r>
        <w:t>a</w:t>
      </w:r>
      <w:r>
        <w:t>rrollo de las Naciones Unidas para la Mujer y la Org</w:t>
      </w:r>
      <w:r>
        <w:t>a</w:t>
      </w:r>
      <w:r>
        <w:t>nización para la Seguridad y la Cooperación en Europa.</w:t>
      </w:r>
    </w:p>
    <w:p w:rsidR="00000000" w:rsidRDefault="00000000">
      <w:pPr>
        <w:pStyle w:val="DualTxt"/>
        <w:numPr>
          <w:ilvl w:val="0"/>
          <w:numId w:val="115"/>
        </w:numPr>
        <w:tabs>
          <w:tab w:val="clear" w:pos="960"/>
          <w:tab w:val="left" w:pos="475"/>
          <w:tab w:val="left" w:pos="965"/>
        </w:tabs>
      </w:pPr>
      <w:r>
        <w:t>La representante informó al Comité de que, de</w:t>
      </w:r>
      <w:r>
        <w:t>s</w:t>
      </w:r>
      <w:r>
        <w:t>pués de que se presentó el informe inicial, se había creado un grupo parlamentario especial sobre la fam</w:t>
      </w:r>
      <w:r>
        <w:t>i</w:t>
      </w:r>
      <w:r>
        <w:t>lia, así como un subcomité especial en la cámara b</w:t>
      </w:r>
      <w:r>
        <w:t>a</w:t>
      </w:r>
      <w:r>
        <w:t>ja del Parlamento para las cuestiones relacionadas con la mujer, la familia, los jóvenes, el turismo y el d</w:t>
      </w:r>
      <w:r>
        <w:t>e</w:t>
      </w:r>
      <w:r>
        <w:t>porte. En el plan indicativo para el desarrollo social y económico del país para 2000-2005 se había inclu</w:t>
      </w:r>
      <w:r>
        <w:t>i</w:t>
      </w:r>
      <w:r>
        <w:t>do una sección sobre “La mujer en el desarrollo”. A partir de 2000, la legislación nacional se había somet</w:t>
      </w:r>
      <w:r>
        <w:t>i</w:t>
      </w:r>
      <w:r>
        <w:t>do a un análisis de género y se habían añadido al Cód</w:t>
      </w:r>
      <w:r>
        <w:t>i</w:t>
      </w:r>
      <w:r>
        <w:t>go Penal enmiendas sobre la violencia contra la mujer. Además, el Gobierno había empezado a reunir info</w:t>
      </w:r>
      <w:r>
        <w:t>r</w:t>
      </w:r>
      <w:r>
        <w:t>mación estadística desglosada por sexo y publicado un manual estadístico titulado “El hombre y la mujer en K</w:t>
      </w:r>
      <w:r>
        <w:t>a</w:t>
      </w:r>
      <w:r>
        <w:t>zajstán”.</w:t>
      </w:r>
    </w:p>
    <w:p w:rsidR="00000000" w:rsidRDefault="00000000">
      <w:pPr>
        <w:pStyle w:val="DualTxt"/>
        <w:numPr>
          <w:ilvl w:val="0"/>
          <w:numId w:val="115"/>
        </w:numPr>
        <w:tabs>
          <w:tab w:val="clear" w:pos="960"/>
          <w:tab w:val="left" w:pos="475"/>
          <w:tab w:val="left" w:pos="965"/>
          <w:tab w:val="left" w:pos="1440"/>
          <w:tab w:val="left" w:pos="1915"/>
          <w:tab w:val="left" w:pos="2405"/>
          <w:tab w:val="left" w:pos="2880"/>
          <w:tab w:val="left" w:pos="3355"/>
        </w:tabs>
      </w:pPr>
      <w:r>
        <w:t>La evolución actual de la economía había perj</w:t>
      </w:r>
      <w:r>
        <w:t>u</w:t>
      </w:r>
      <w:r>
        <w:t>dicado la situación de la mujer en el mercado laboral. Las mujeres representaban un tercio de los desemple</w:t>
      </w:r>
      <w:r>
        <w:t>a</w:t>
      </w:r>
      <w:r>
        <w:t>dos y el Gobierno había adoptado recientemente un nuevo programa de lucha contra la pobreza y el dese</w:t>
      </w:r>
      <w:r>
        <w:t>m</w:t>
      </w:r>
      <w:r>
        <w:t>pleo para 2000-2002. El Gobierno tenía previsto red</w:t>
      </w:r>
      <w:r>
        <w:t>u</w:t>
      </w:r>
      <w:r>
        <w:t>cir el nivel de desempleo en un 4,5%, hasta llegar a un 9% aproximadamente en 2002, y crear más de 400.000 nuevos empleos como resultado de este programa. El Gobierno promovía, además, las industrias en que, tr</w:t>
      </w:r>
      <w:r>
        <w:t>a</w:t>
      </w:r>
      <w:r>
        <w:t>dicionalmente, la mujer había estado siempre bien r</w:t>
      </w:r>
      <w:r>
        <w:t>e</w:t>
      </w:r>
      <w:r>
        <w:t>presentada. La Comisión Nacional sobre la Familia y la Mujer había establecido una línea de crédito especial para ayudar a las empresarias que trabajaban en el sector de la produ</w:t>
      </w:r>
      <w:r>
        <w:t>c</w:t>
      </w:r>
      <w:r>
        <w:t>ción. A lo largo del período 2000-2003, se fortalecería el programa estatal de microcr</w:t>
      </w:r>
      <w:r>
        <w:t>é</w:t>
      </w:r>
      <w:r>
        <w:t>dito para la población rural, incluidas las mujeres, in</w:t>
      </w:r>
      <w:r>
        <w:t>i</w:t>
      </w:r>
      <w:r>
        <w:t>ciado con éxito en el período 1998-2000.</w:t>
      </w:r>
    </w:p>
    <w:p w:rsidR="00000000" w:rsidRDefault="00000000">
      <w:pPr>
        <w:pStyle w:val="DualTxt"/>
        <w:numPr>
          <w:ilvl w:val="0"/>
          <w:numId w:val="115"/>
        </w:numPr>
        <w:tabs>
          <w:tab w:val="clear" w:pos="960"/>
          <w:tab w:val="left" w:pos="475"/>
          <w:tab w:val="left" w:pos="965"/>
        </w:tabs>
      </w:pPr>
      <w:r>
        <w:t>La representante hizo hincapié en los logros ed</w:t>
      </w:r>
      <w:r>
        <w:t>u</w:t>
      </w:r>
      <w:r>
        <w:t>cativos de la mujer, particularmente que las mujeres constituían el 62% de los especialistas con una educ</w:t>
      </w:r>
      <w:r>
        <w:t>a</w:t>
      </w:r>
      <w:r>
        <w:t>ción de nivel superior o secundario. En el transcurso de la campaña electoral de 1999, diversas organizaciones no gubernamentales se habían unido y registrado el primer partido de mujeres de Kazajstán, la Alianza P</w:t>
      </w:r>
      <w:r>
        <w:t>o</w:t>
      </w:r>
      <w:r>
        <w:t>lítica de las Organizaciones Femeninas. La particip</w:t>
      </w:r>
      <w:r>
        <w:t>a</w:t>
      </w:r>
      <w:r>
        <w:t>ción de la mujer en la vida pública y política seguía siendo motivo de preocupación, dado que las mujeres constituían tan sólo el 11% de los miembros del Parl</w:t>
      </w:r>
      <w:r>
        <w:t>a</w:t>
      </w:r>
      <w:r>
        <w:t>mento. Kazajstán se proponía aplicar las recomend</w:t>
      </w:r>
      <w:r>
        <w:t>a</w:t>
      </w:r>
      <w:r>
        <w:t>ciones de la Plataforma de Acción de Beijing de rese</w:t>
      </w:r>
      <w:r>
        <w:t>r</w:t>
      </w:r>
      <w:r>
        <w:t>var un 30% de los cargos decis</w:t>
      </w:r>
      <w:r>
        <w:t>o</w:t>
      </w:r>
      <w:r>
        <w:t>rios para la mujer.</w:t>
      </w:r>
    </w:p>
    <w:p w:rsidR="00000000" w:rsidRDefault="00000000">
      <w:pPr>
        <w:pStyle w:val="DualTxt"/>
        <w:numPr>
          <w:ilvl w:val="0"/>
          <w:numId w:val="115"/>
        </w:numPr>
        <w:tabs>
          <w:tab w:val="clear" w:pos="960"/>
          <w:tab w:val="left" w:pos="475"/>
          <w:tab w:val="left" w:pos="965"/>
          <w:tab w:val="left" w:pos="1440"/>
          <w:tab w:val="left" w:pos="1915"/>
          <w:tab w:val="left" w:pos="2405"/>
          <w:tab w:val="left" w:pos="2880"/>
          <w:tab w:val="left" w:pos="3355"/>
        </w:tabs>
      </w:pPr>
      <w:r>
        <w:t>Como parte de la labor realizada para modificar los estereotipos y las actitudes tradicionales con re</w:t>
      </w:r>
      <w:r>
        <w:t>s</w:t>
      </w:r>
      <w:r>
        <w:t>pecto al papel de la mujer en la sociedad, se había pr</w:t>
      </w:r>
      <w:r>
        <w:t>e</w:t>
      </w:r>
      <w:r>
        <w:t>parado un proyecto de ley sobre publicidad por el que se prohibía la explotación sexual de la mujer y, a partir de 2001 se habían incluido estudios de género en la e</w:t>
      </w:r>
      <w:r>
        <w:t>n</w:t>
      </w:r>
      <w:r>
        <w:t>señanza superior y secundaria. La representante info</w:t>
      </w:r>
      <w:r>
        <w:t>r</w:t>
      </w:r>
      <w:r>
        <w:t>mó al Comité de que el Gobierno estaba prestando s</w:t>
      </w:r>
      <w:r>
        <w:t>u</w:t>
      </w:r>
      <w:r>
        <w:t>ma atención a la cuestión de la violencia contra la m</w:t>
      </w:r>
      <w:r>
        <w:t>u</w:t>
      </w:r>
      <w:r>
        <w:t>jer, especialmente la violencia doméstica, y de que las conclusiones y recomendaciones del estudio exhaustivo sobre las cuestiones de violencia contra la mujer se emplearían como marco para preparar un proyecto de ley sobre violencia doméstica. Se habían establecido redes de centros para resolver situaciones de crisis en varias ciudades del país. El Gobierno también había hecho más estrictas la legislación y las medidas contra el tráfico de mujeres y niñas.</w:t>
      </w:r>
    </w:p>
    <w:p w:rsidR="00000000" w:rsidRDefault="00000000">
      <w:pPr>
        <w:pStyle w:val="DualTxt"/>
        <w:numPr>
          <w:ilvl w:val="0"/>
          <w:numId w:val="115"/>
        </w:numPr>
        <w:tabs>
          <w:tab w:val="clear" w:pos="960"/>
          <w:tab w:val="left" w:pos="475"/>
          <w:tab w:val="left" w:pos="965"/>
          <w:tab w:val="left" w:pos="1440"/>
          <w:tab w:val="left" w:pos="1915"/>
          <w:tab w:val="left" w:pos="2405"/>
          <w:tab w:val="left" w:pos="2880"/>
          <w:tab w:val="left" w:pos="3355"/>
        </w:tabs>
      </w:pPr>
      <w:r>
        <w:t>La representante dio que Kazajstán había aplicado el programa “Salud de la población” con el objeto de luchar contra la tuberculosis y otras enfermedades, y mejorar la atención en materia de salud reproductiva y planificación familiar. La mortalidad infantil y materna habían disminuido. El Gobierno se estaba ocupando también de las repercusiones negativas de la degrad</w:t>
      </w:r>
      <w:r>
        <w:t>a</w:t>
      </w:r>
      <w:r>
        <w:t>ción ambiental en la población, especialmente en las m</w:t>
      </w:r>
      <w:r>
        <w:t>u</w:t>
      </w:r>
      <w:r>
        <w:t>jeres y los niños.</w:t>
      </w:r>
    </w:p>
    <w:p w:rsidR="00000000" w:rsidRDefault="00000000">
      <w:pPr>
        <w:pStyle w:val="DualTxt"/>
        <w:numPr>
          <w:ilvl w:val="0"/>
          <w:numId w:val="115"/>
        </w:numPr>
        <w:tabs>
          <w:tab w:val="clear" w:pos="960"/>
          <w:tab w:val="left" w:pos="475"/>
          <w:tab w:val="left" w:pos="965"/>
        </w:tabs>
      </w:pPr>
      <w:r>
        <w:t>Por último, la representante informó al Comité de que su Gobierno comprendía perfectamente que aún hacía falta mucho para lograr la igualdad entre ho</w:t>
      </w:r>
      <w:r>
        <w:t>m</w:t>
      </w:r>
      <w:r>
        <w:t>bres y mujeres. Hizo hincapié en que el Gobierno est</w:t>
      </w:r>
      <w:r>
        <w:t>a</w:t>
      </w:r>
      <w:r>
        <w:t>ba totalmente decidido a proseguir su labor en ese á</w:t>
      </w:r>
      <w:r>
        <w:t>m</w:t>
      </w:r>
      <w:r>
        <w:t>bito y a superar los obstáculos con que seguían trop</w:t>
      </w:r>
      <w:r>
        <w:t>e</w:t>
      </w:r>
      <w:r>
        <w:t>zando las mujeres de Kazajstán.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Observaciones finales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DualTxt"/>
        <w:spacing w:after="0" w:line="120" w:lineRule="exact"/>
        <w:rPr>
          <w:sz w:val="10"/>
        </w:rPr>
      </w:pPr>
    </w:p>
    <w:p w:rsidR="00000000" w:rsidRDefault="00000000">
      <w:pPr>
        <w:pStyle w:val="DualTxt"/>
        <w:numPr>
          <w:ilvl w:val="0"/>
          <w:numId w:val="115"/>
        </w:numPr>
        <w:tabs>
          <w:tab w:val="clear" w:pos="960"/>
          <w:tab w:val="left" w:pos="475"/>
          <w:tab w:val="left" w:pos="965"/>
          <w:tab w:val="left" w:pos="1440"/>
          <w:tab w:val="left" w:pos="1915"/>
          <w:tab w:val="left" w:pos="2405"/>
          <w:tab w:val="left" w:pos="2880"/>
          <w:tab w:val="left" w:pos="3355"/>
        </w:tabs>
        <w:rPr>
          <w:w w:val="102"/>
        </w:rPr>
      </w:pPr>
      <w:r>
        <w:rPr>
          <w:w w:val="102"/>
        </w:rPr>
        <w:t>El Comité expresa su agradecimiento al Gobierno de Kazajstán por haber presentado puntualmente su i</w:t>
      </w:r>
      <w:r>
        <w:rPr>
          <w:w w:val="102"/>
        </w:rPr>
        <w:t>n</w:t>
      </w:r>
      <w:r>
        <w:rPr>
          <w:w w:val="102"/>
        </w:rPr>
        <w:t>forme inicial. Felicita al Gobierno por su exhaustiva presentación oral, en que actualizó la información ace</w:t>
      </w:r>
      <w:r>
        <w:rPr>
          <w:w w:val="102"/>
        </w:rPr>
        <w:t>r</w:t>
      </w:r>
      <w:r>
        <w:rPr>
          <w:w w:val="102"/>
        </w:rPr>
        <w:t>ca de lo acontecido en el país desde que se presentó el informe en diciembre de 1999, y aclaró ulteriormente el estado de aplicación de la Convención. El Comité ac</w:t>
      </w:r>
      <w:r>
        <w:rPr>
          <w:w w:val="102"/>
        </w:rPr>
        <w:t>o</w:t>
      </w:r>
      <w:r>
        <w:rPr>
          <w:w w:val="102"/>
        </w:rPr>
        <w:t>ge con agrado la excelente información estadística de</w:t>
      </w:r>
      <w:r>
        <w:rPr>
          <w:w w:val="102"/>
        </w:rPr>
        <w:t>s</w:t>
      </w:r>
      <w:r>
        <w:rPr>
          <w:w w:val="102"/>
        </w:rPr>
        <w:t>glosada por sexo que se incluyó en el i</w:t>
      </w:r>
      <w:r>
        <w:rPr>
          <w:w w:val="102"/>
        </w:rPr>
        <w:t>n</w:t>
      </w:r>
      <w:r>
        <w:rPr>
          <w:w w:val="102"/>
        </w:rPr>
        <w:t>forme.</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felicita al Gobierno de Kazajstán por haber enviado la delegación de alto nivel encabezada por el Ministro y Presidente de la Comisión Nacional para la Familia y la Mujer, quien proporcionó inform</w:t>
      </w:r>
      <w:r>
        <w:t>a</w:t>
      </w:r>
      <w:r>
        <w:t>ción valiosa y entabló un diálogo constructivo con los miembros del Comité. El Comité aplaude el hecho que el Gobierno de Kazajstán haya elaborado un plan de acción nacional para el adelanto de la mujer.</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se felicita de que Kazajstán haya ratif</w:t>
      </w:r>
      <w:r>
        <w:t>i</w:t>
      </w:r>
      <w:r>
        <w:t>cado sin reservas la Convención y firmado el Protocolo Facultativo, así como que tenga previsto ratificarlo cuanto a</w:t>
      </w:r>
      <w:r>
        <w:t>n</w:t>
      </w:r>
      <w:r>
        <w:t>tes.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spacing w:after="0" w:line="120" w:lineRule="exact"/>
        <w:rPr>
          <w:sz w:val="10"/>
        </w:rPr>
      </w:pP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felicita al Gobierno por su voluntad política de aplicar la Convención. Observa con agrado que se ha avanzado en la preparación de mecanismos nacionales globales para el adelanto de la mujer y en los esfuerzos realizados por el Gobierno para evaluar la legislación desde el punto de vista del género. El C</w:t>
      </w:r>
      <w:r>
        <w:t>o</w:t>
      </w:r>
      <w:r>
        <w:t>mité aplaude los esfuerzos realizados para preparar la ley sobre la igualdad de oportunidades y establecer la oficina del defensor del pueblo.</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también felicita al Gobierno por el alto nivel de educación de las mujeres. El Comité toma nota con agrado de las medidas adoptadas por el Gobierno para conceder crédito a las empresarias.</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acoge favorablemente la creciente c</w:t>
      </w:r>
      <w:r>
        <w:t>o</w:t>
      </w:r>
      <w:r>
        <w:t>operación entre los órganos gubernamentales y las o</w:t>
      </w:r>
      <w:r>
        <w:t>r</w:t>
      </w:r>
      <w:r>
        <w:t>ganizaciones no gubernamentales que se ocupan de las cue</w:t>
      </w:r>
      <w:r>
        <w:t>s</w:t>
      </w:r>
      <w:r>
        <w:t>tiones de la mujer.</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aplaude además la decisión del G</w:t>
      </w:r>
      <w:r>
        <w:t>o</w:t>
      </w:r>
      <w:r>
        <w:t>bierno de difundir extensamente en el país el informe y las o</w:t>
      </w:r>
      <w:r>
        <w:t>b</w:t>
      </w:r>
      <w:r>
        <w:t>servaciones finales.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a la aplicación de la Convención</w:t>
      </w:r>
    </w:p>
    <w:p w:rsidR="00000000" w:rsidRDefault="00000000">
      <w:pPr>
        <w:pStyle w:val="DualTxt"/>
        <w:spacing w:after="0" w:line="120" w:lineRule="exact"/>
        <w:rPr>
          <w:sz w:val="10"/>
        </w:rPr>
      </w:pP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cree que la transformación que sufre actualmente el país ha tenido repercusiones negativas para las mujeres.</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La perpetuación de los estereotipos tradicion</w:t>
      </w:r>
      <w:r>
        <w:t>a</w:t>
      </w:r>
      <w:r>
        <w:t xml:space="preserve">les del hombre y la mujer en la sociedad también es un gran obstáculo para la plena aplicación de la Convención.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Principales esferas de preocupación y recomendaciones </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115"/>
        </w:numPr>
        <w:tabs>
          <w:tab w:val="clear" w:pos="960"/>
          <w:tab w:val="left" w:pos="965"/>
          <w:tab w:val="left" w:pos="1440"/>
          <w:tab w:val="left" w:pos="1915"/>
          <w:tab w:val="left" w:pos="2405"/>
          <w:tab w:val="left" w:pos="2880"/>
          <w:tab w:val="left" w:pos="3355"/>
        </w:tabs>
      </w:pPr>
      <w:r>
        <w:t>Al Comité le preocupa que, aunque la Constit</w:t>
      </w:r>
      <w:r>
        <w:t>u</w:t>
      </w:r>
      <w:r>
        <w:t>ción establece la igualdad de todos los ciudadanos, no figure en ella una definición de discriminación contra la mujer, según lo dispuesto en el artículo 1 de la Co</w:t>
      </w:r>
      <w:r>
        <w:t>n</w:t>
      </w:r>
      <w:r>
        <w:t>vención, que prohíbe la discriminación tanto directa como indirecta. Al Comité también le preocupa la val</w:t>
      </w:r>
      <w:r>
        <w:t>i</w:t>
      </w:r>
      <w:r>
        <w:t>dez jurídica de la Convención y si se pueden invocar directamente sus disposiciones ante los tribunales.</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insta al Gobierno a que apruebe lo a</w:t>
      </w:r>
      <w:r>
        <w:t>n</w:t>
      </w:r>
      <w:r>
        <w:t>tes posible el proyecto de ley de igualdad de oportun</w:t>
      </w:r>
      <w:r>
        <w:t>i</w:t>
      </w:r>
      <w:r>
        <w:t>dades, en el que figura una definición de discrimin</w:t>
      </w:r>
      <w:r>
        <w:t>a</w:t>
      </w:r>
      <w:r>
        <w:t>ción contra la mujer inspirada en el artículo 1 de la Convención. Solicita que en el próximo informe se i</w:t>
      </w:r>
      <w:r>
        <w:t>n</w:t>
      </w:r>
      <w:r>
        <w:t>cluya información sobre la promulgación y aplicación de dicha ley y se proporcione más información sobre los recursos que se ofrecen a la mujer cuando se violan sus derechos, que la Convención protege.</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expresa preocupación por la falta de comprensión clara de las medidas especiales de cará</w:t>
      </w:r>
      <w:r>
        <w:t>c</w:t>
      </w:r>
      <w:r>
        <w:t>ter temporal previstas en el párrafo 1 del artículo 4 de la Convención. También expresa preocupación por el hecho de que las actitudes estereotipadas sobre el papel de la mujer y el hombre en la sociedad se reflejan en la baja representación de la mujer en órganos encargados de adoptar decisiones y en el hecho de que sólo el 11% de los escaños del Parlamento estén ocupados por m</w:t>
      </w:r>
      <w:r>
        <w:t>u</w:t>
      </w:r>
      <w:r>
        <w:t>jeres. Observa que las actitudes tradicionales hacia la mujer se reflejan también en el hecho de que los ho</w:t>
      </w:r>
      <w:r>
        <w:t>m</w:t>
      </w:r>
      <w:r>
        <w:t>bres no comparten las responsabilidades familiares y que la legislación no prevé licencias a los hombres por nacimiento de un hijo. También le preocupa la falta de programas educativos especiales y de campañas en los medios de difusión con vistas a eliminar esos estereot</w:t>
      </w:r>
      <w:r>
        <w:t>i</w:t>
      </w:r>
      <w:r>
        <w:t>pos.</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rPr>
          <w:spacing w:val="2"/>
          <w:w w:val="102"/>
        </w:rPr>
      </w:pPr>
      <w:r>
        <w:rPr>
          <w:spacing w:val="2"/>
          <w:w w:val="102"/>
        </w:rPr>
        <w:t>El Comité recomienda que el Gobierno tome med</w:t>
      </w:r>
      <w:r>
        <w:rPr>
          <w:spacing w:val="2"/>
          <w:w w:val="102"/>
        </w:rPr>
        <w:t>i</w:t>
      </w:r>
      <w:r>
        <w:rPr>
          <w:spacing w:val="2"/>
          <w:w w:val="102"/>
        </w:rPr>
        <w:t>das urgentes para superar los estereotipos tradicionales de la mujer y el hombre en la sociedad y haga lo neces</w:t>
      </w:r>
      <w:r>
        <w:rPr>
          <w:spacing w:val="2"/>
          <w:w w:val="102"/>
        </w:rPr>
        <w:t>a</w:t>
      </w:r>
      <w:r>
        <w:rPr>
          <w:spacing w:val="2"/>
          <w:w w:val="102"/>
        </w:rPr>
        <w:t>rio para que se comprendan las medidas especiales pr</w:t>
      </w:r>
      <w:r>
        <w:rPr>
          <w:spacing w:val="2"/>
          <w:w w:val="102"/>
        </w:rPr>
        <w:t>e</w:t>
      </w:r>
      <w:r>
        <w:rPr>
          <w:spacing w:val="2"/>
          <w:w w:val="102"/>
        </w:rPr>
        <w:t>vistas en el párrafo 1 del artículo 4 de la Convención y aplique esas medidas para aumentar el número de muj</w:t>
      </w:r>
      <w:r>
        <w:rPr>
          <w:spacing w:val="2"/>
          <w:w w:val="102"/>
        </w:rPr>
        <w:t>e</w:t>
      </w:r>
      <w:r>
        <w:rPr>
          <w:spacing w:val="2"/>
          <w:w w:val="102"/>
        </w:rPr>
        <w:t>res en los procesos de adopción de decisiones a todos los niveles y en todas las esferas. Recomienda que el G</w:t>
      </w:r>
      <w:r>
        <w:rPr>
          <w:spacing w:val="2"/>
          <w:w w:val="102"/>
        </w:rPr>
        <w:t>o</w:t>
      </w:r>
      <w:r>
        <w:rPr>
          <w:spacing w:val="2"/>
          <w:w w:val="102"/>
        </w:rPr>
        <w:t>bierno ponga mayor empeño en facilitar el ascenso de la mujer a puestos de poder, organizando programas esp</w:t>
      </w:r>
      <w:r>
        <w:rPr>
          <w:spacing w:val="2"/>
          <w:w w:val="102"/>
        </w:rPr>
        <w:t>e</w:t>
      </w:r>
      <w:r>
        <w:rPr>
          <w:spacing w:val="2"/>
          <w:w w:val="102"/>
        </w:rPr>
        <w:t>ciales de formación para la mujer y llevando a cabo campañas de concienciación sobre la importancia de la participación de la mujer en los procesos de adopción de decisiones a todos los niv</w:t>
      </w:r>
      <w:r>
        <w:rPr>
          <w:spacing w:val="2"/>
          <w:w w:val="102"/>
        </w:rPr>
        <w:t>e</w:t>
      </w:r>
      <w:r>
        <w:rPr>
          <w:spacing w:val="2"/>
          <w:w w:val="102"/>
        </w:rPr>
        <w:t>les.</w:t>
      </w:r>
    </w:p>
    <w:p w:rsidR="00000000" w:rsidRDefault="00000000">
      <w:pPr>
        <w:pStyle w:val="DualTxt"/>
        <w:numPr>
          <w:ilvl w:val="0"/>
          <w:numId w:val="115"/>
        </w:numPr>
        <w:tabs>
          <w:tab w:val="clear" w:pos="960"/>
          <w:tab w:val="left" w:pos="965"/>
        </w:tabs>
      </w:pPr>
      <w:r>
        <w:t>El Comité expresa preocupación por el hecho de que el Gobierno no tenga una política general e int</w:t>
      </w:r>
      <w:r>
        <w:t>e</w:t>
      </w:r>
      <w:r>
        <w:t>grada ni un enfoque institucional para lograr la igua</w:t>
      </w:r>
      <w:r>
        <w:t>l</w:t>
      </w:r>
      <w:r>
        <w:t>dad entre hombres y mujeres, incluidas la incorpor</w:t>
      </w:r>
      <w:r>
        <w:t>a</w:t>
      </w:r>
      <w:r>
        <w:t>ción de una perspectiva de gén</w:t>
      </w:r>
      <w:r>
        <w:t>e</w:t>
      </w:r>
      <w:r>
        <w:t>ro.</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recomienda que el Gobierno incorpore un enfoque integral para promover la igualdad entre el hombre y la mujer en todas sus esferas de actividades. El Comité advierte que para lograr la plena aplicación de la Convención es necesario pasar de una perspectiva que tiene en cuenta a la mujer solamente como esposa y madre a otra que reconozca su individualidad y su papel activo en la sociedad en un pie de igualdad con el hombre. El Comité recomienda que se examine con m</w:t>
      </w:r>
      <w:r>
        <w:t>i</w:t>
      </w:r>
      <w:r>
        <w:t>ras a su modificación el enfoque hacia la mujer basado en las prestaciones sociales a otro basado en los der</w:t>
      </w:r>
      <w:r>
        <w:t>e</w:t>
      </w:r>
      <w:r>
        <w:t>chos humanos, en el que se percibe a la mujer como l</w:t>
      </w:r>
      <w:r>
        <w:t>e</w:t>
      </w:r>
      <w:r>
        <w:t>gítimo sujeto de der</w:t>
      </w:r>
      <w:r>
        <w:t>e</w:t>
      </w:r>
      <w:r>
        <w:t>chos.</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expresa su preocupación por la insuf</w:t>
      </w:r>
      <w:r>
        <w:t>i</w:t>
      </w:r>
      <w:r>
        <w:t>ciencia de los recursos financieros y humanos de los mecanismos nacion</w:t>
      </w:r>
      <w:r>
        <w:t>a</w:t>
      </w:r>
      <w:r>
        <w:t>les para el adelanto de la mujer.</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recomienda que el Gobierno evalúe los recursos de los mecanismos nacionales y dote a éstos de los recursos humanos y financieros necesarios que le permitan desempeñar un papel destacado en la apl</w:t>
      </w:r>
      <w:r>
        <w:t>i</w:t>
      </w:r>
      <w:r>
        <w:t>cación de políticas para el adelanto de la mujer. Rec</w:t>
      </w:r>
      <w:r>
        <w:t>o</w:t>
      </w:r>
      <w:r>
        <w:t>mienda también fortalecer los mecanismos nacionales para la mujer que ya existen a nivel gubernamental, estableciendo puntos de coordinación en cuestiones de género en todos los órganos gubernamentales. Además, recomienda la creación de la oficina del defensor del pueblo, con responsabilidad en temas de adelanto de la mujer e igualdad de gén</w:t>
      </w:r>
      <w:r>
        <w:t>e</w:t>
      </w:r>
      <w:r>
        <w:t>ro.</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expresa preocupación por la incidencia de la violencia contra las mujeres y las niñas, sin olv</w:t>
      </w:r>
      <w:r>
        <w:t>i</w:t>
      </w:r>
      <w:r>
        <w:t>dar la violencia en el hogar.</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insta al Gobierno a que conceda la m</w:t>
      </w:r>
      <w:r>
        <w:t>á</w:t>
      </w:r>
      <w:r>
        <w:t>xima prioridad a la cuestión de la violencia contra la mujer y a que reconozca que dicha violencia, especia</w:t>
      </w:r>
      <w:r>
        <w:t>l</w:t>
      </w:r>
      <w:r>
        <w:t>mente la violencia en el hogar, constituye una violación de los derechos humanos de la mujer consagrados en la Convención. A la luz de su recomendación general 19, el Comité pide al Gobierno que apruebe lo antes pos</w:t>
      </w:r>
      <w:r>
        <w:t>i</w:t>
      </w:r>
      <w:r>
        <w:t>ble leyes relativas a la violencia en el hogar, procura</w:t>
      </w:r>
      <w:r>
        <w:t>n</w:t>
      </w:r>
      <w:r>
        <w:t>do que la violencia contra las mujeres y las niñas sea tipificada como delito y que las mujeres y las niñas víctimas de violencia dispongan de medios inmediatos de reparación y protección. Recomienda que todos los funcionarios públicos, especialmente los encargados de velar por el cumplimiento de la ley y los del poder j</w:t>
      </w:r>
      <w:r>
        <w:t>u</w:t>
      </w:r>
      <w:r>
        <w:t>dicial, así como los empleados del sector de la salud, reciban formación en cuestiones de género y sean ed</w:t>
      </w:r>
      <w:r>
        <w:t>u</w:t>
      </w:r>
      <w:r>
        <w:t>cados en todas las formas de violencia contra las muj</w:t>
      </w:r>
      <w:r>
        <w:t>e</w:t>
      </w:r>
      <w:r>
        <w:t>res y las niñas. El Comité también recomienda que el Gobierno organice campañas de creación de conciencia en los medios de difusión y programas de educación pública para combatir todas las formas de violencia contra las mujeres y las niñas, sin olvidar la violencia en el hogar.</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suppressAutoHyphens/>
      </w:pPr>
      <w:r>
        <w:t>El Comité expresa preocupación por que el Gobierno no haya hecho esfuerzos suficientes para combatir el tráfico de mujeres y niñas.</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pide que en el próximo informe el G</w:t>
      </w:r>
      <w:r>
        <w:t>o</w:t>
      </w:r>
      <w:r>
        <w:t>bierno proporcione información amplia sobre el tráfico de mujeres y niñas, y sobre la emigración femenina. Recomienda la formulación de una estrategia amplia para luchar contra el tráfico de mujeres que incluya el procesamiento y el castigo de los infractores y una m</w:t>
      </w:r>
      <w:r>
        <w:t>a</w:t>
      </w:r>
      <w:r>
        <w:t>yor cooperación internacional, regional y bilateral. También recomienda la introducción de medidas dest</w:t>
      </w:r>
      <w:r>
        <w:t>i</w:t>
      </w:r>
      <w:r>
        <w:t>nadas a mejorar la situación económica de la mujer, con el objeto de reducir su vulnerabilidad a los traf</w:t>
      </w:r>
      <w:r>
        <w:t>i</w:t>
      </w:r>
      <w:r>
        <w:t>cantes, así como medidas de rehabilitación y reintegr</w:t>
      </w:r>
      <w:r>
        <w:t>a</w:t>
      </w:r>
      <w:r>
        <w:t>ción para las mujeres y niñas víctimas de dicho tr</w:t>
      </w:r>
      <w:r>
        <w:t>á</w:t>
      </w:r>
      <w:r>
        <w:t>fico.</w:t>
      </w:r>
    </w:p>
    <w:p w:rsidR="00000000" w:rsidRDefault="00000000">
      <w:pPr>
        <w:pStyle w:val="DualTxt"/>
        <w:numPr>
          <w:ilvl w:val="0"/>
          <w:numId w:val="115"/>
        </w:numPr>
        <w:tabs>
          <w:tab w:val="clear" w:pos="960"/>
          <w:tab w:val="left" w:pos="965"/>
        </w:tabs>
      </w:pPr>
      <w:r>
        <w:t>Aunque toma nota con reconocimiento del alto nivel educativo de la mujer en una gran variedad de disciplinas, el Comité expresa su preocupación por la baja representación de las mujeres en los altos niveles de los procesos de adopción de decisiones, así como en los puestos de mejor paga.</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alienta al Gobierno a analizar la c</w:t>
      </w:r>
      <w:r>
        <w:t>o</w:t>
      </w:r>
      <w:r>
        <w:t>rrelación entre los altos logros educativos de las muj</w:t>
      </w:r>
      <w:r>
        <w:t>e</w:t>
      </w:r>
      <w:r>
        <w:t>res y sus niveles de ingresos. El Comité recomienda la adopción de medidas encaminadas a incrementar la r</w:t>
      </w:r>
      <w:r>
        <w:t>e</w:t>
      </w:r>
      <w:r>
        <w:t>presentación de la mujer en todos los niveles de los procesos de adopción de decisiones. El Comité insta al Gobierno a que ejecute, como está previsto, la reforma de los planes de estudio y la revisión de los libros de texto, con el fin de combatir las actitudes tradicionales hacia la mujer, y ayude a crear condiciones propicias para promover la participación de las mujeres en puestos de alto nivel y bien pagos.</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expresa preocupación por la situación de la mujer en el mercado de trabajo, especialmente la alta tasa de desempleo femenino y la discriminación en contrataciones y despidos. El Comité también e</w:t>
      </w:r>
      <w:r>
        <w:t>x</w:t>
      </w:r>
      <w:r>
        <w:t>presa preocupación por que la actual estructura del sistema de prestaciones sociales y el carácter protector de la legislación laboral del país pudiera crear nuevos obstáculos al empleo de la mujer en el mercado de tr</w:t>
      </w:r>
      <w:r>
        <w:t>a</w:t>
      </w:r>
      <w:r>
        <w:t>bajo, especialmente en el proceso de transición a una ec</w:t>
      </w:r>
      <w:r>
        <w:t>o</w:t>
      </w:r>
      <w:r>
        <w:t>nomía de mercado.</w:t>
      </w:r>
    </w:p>
    <w:p w:rsidR="00000000" w:rsidRDefault="00000000">
      <w:pPr>
        <w:pStyle w:val="DualTxt"/>
        <w:numPr>
          <w:ilvl w:val="0"/>
          <w:numId w:val="115"/>
        </w:numPr>
        <w:tabs>
          <w:tab w:val="clear" w:pos="960"/>
          <w:tab w:val="left" w:pos="965"/>
        </w:tabs>
      </w:pPr>
      <w:r>
        <w:t>El Comité insta al Gobierno a que aplique leyes apropiadas para garantizar la igualdad de oportunid</w:t>
      </w:r>
      <w:r>
        <w:t>a</w:t>
      </w:r>
      <w:r>
        <w:t>des para la mujer y el hombre en el mercado de trabajo de los sectores público y privado. El Comité recomie</w:t>
      </w:r>
      <w:r>
        <w:t>n</w:t>
      </w:r>
      <w:r>
        <w:t>da que el Gobierno revise la estructura del sistema de prestaciones sociales y de la legislación protectora con vistas a reducir las barreras con que tropieza la mujer en el mercado de trabajo. También recomienda que el Gobierno formule y ejecute programas especiales de formación y reeducación profesional para diferentes grupos de mujeres desempleadas, en función de po</w:t>
      </w:r>
      <w:r>
        <w:t>r</w:t>
      </w:r>
      <w:r>
        <w:t>centaje de la población desempleada que representan y de sus aptitudes y educación. Recomienda además a</w:t>
      </w:r>
      <w:r>
        <w:t>u</w:t>
      </w:r>
      <w:r>
        <w:t>mentos salariales en los sectores donde predominan mujeres, con el fin de reducir las diferencias salariales entre éstos y los sectores dominados por hombres.</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rPr>
          <w:spacing w:val="2"/>
        </w:rPr>
      </w:pPr>
      <w:r>
        <w:rPr>
          <w:spacing w:val="2"/>
        </w:rPr>
        <w:t>El Comité expresa preocupación por la alta tasa de pobreza de las mujeres en comparación con los hombres, que afecta en particular a las que son cabeza de familia, a las mujeres de edad y a las de las zonas rurales.</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rPr>
          <w:spacing w:val="2"/>
        </w:rPr>
      </w:pPr>
      <w:r>
        <w:rPr>
          <w:spacing w:val="2"/>
        </w:rPr>
        <w:t>El Comité recomienda que se apliquen programas de alivio de la pobreza especialmente concebidos para las mujeres pobres, en particular las que son cabeza de familia, las mujeres de edad y las de las zonas rurales.</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rPr>
          <w:spacing w:val="2"/>
        </w:rPr>
      </w:pPr>
      <w:r>
        <w:rPr>
          <w:spacing w:val="2"/>
        </w:rPr>
        <w:t>Si bien se observa un descenso en la tasa de mo</w:t>
      </w:r>
      <w:r>
        <w:rPr>
          <w:spacing w:val="2"/>
        </w:rPr>
        <w:t>r</w:t>
      </w:r>
      <w:r>
        <w:rPr>
          <w:spacing w:val="2"/>
        </w:rPr>
        <w:t>talidad femenina, el Comité expresa preocupación por el estado de salud de la mujer, especialmente su salud r</w:t>
      </w:r>
      <w:r>
        <w:rPr>
          <w:spacing w:val="2"/>
        </w:rPr>
        <w:t>e</w:t>
      </w:r>
      <w:r>
        <w:rPr>
          <w:spacing w:val="2"/>
        </w:rPr>
        <w:t>productiva. El Comité considera alarmante que ya no haya servicios gratuitos de atención médica para t</w:t>
      </w:r>
      <w:r>
        <w:rPr>
          <w:spacing w:val="2"/>
        </w:rPr>
        <w:t>o</w:t>
      </w:r>
      <w:r>
        <w:rPr>
          <w:spacing w:val="2"/>
        </w:rPr>
        <w:t>das las mujeres. También expresa preocupación por que el aborto continúe utilizándose como medio de control de la natalidad. El Comité considera alarmante el gran número de mujeres que sufren de anemia y la inc</w:t>
      </w:r>
      <w:r>
        <w:rPr>
          <w:spacing w:val="2"/>
        </w:rPr>
        <w:t>i</w:t>
      </w:r>
      <w:r>
        <w:rPr>
          <w:spacing w:val="2"/>
        </w:rPr>
        <w:t>dencia de enfermedades infecciosas. También expresa preocupación por el aumento del uso de alcohol y tabaco entre las mujeres, así como por el nivel de degradación ambiental del país y sus gravísimas repercusiones en la salud de toda la población, especialmente las mujeres y los niños.</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insta al Gobierno a que mantenga el l</w:t>
      </w:r>
      <w:r>
        <w:t>i</w:t>
      </w:r>
      <w:r>
        <w:t>bre acceso a los servicios adecuados de salud y mejore su política en materia de planificación de la familia y salud reproductiva, especialmente la disponibilidad y la facilidad de acceso a los métodos anticonceptivos m</w:t>
      </w:r>
      <w:r>
        <w:t>o</w:t>
      </w:r>
      <w:r>
        <w:t>dernos. Alienta al Gobierno a fomentar la educación sexual tanto para niñas como para niños, así como pr</w:t>
      </w:r>
      <w:r>
        <w:t>o</w:t>
      </w:r>
      <w:r>
        <w:t>gramas educativos para luchar contra el uso de alcohol y drogas de las mujeres. El Comité también insta al Gobierno a que formule y aplique una política a</w:t>
      </w:r>
      <w:r>
        <w:t>m</w:t>
      </w:r>
      <w:r>
        <w:t>biental responsable, con objeto de proteger la salud de las mujeres y los n</w:t>
      </w:r>
      <w:r>
        <w:t>i</w:t>
      </w:r>
      <w:r>
        <w:t>ños.</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toma nota con preocupación la capac</w:t>
      </w:r>
      <w:r>
        <w:t>i</w:t>
      </w:r>
      <w:r>
        <w:t>dad y la financiación insuficientes que reciben las o</w:t>
      </w:r>
      <w:r>
        <w:t>r</w:t>
      </w:r>
      <w:r>
        <w:t>ganizaciones no gubernamentales de mujeres, lo cual dificulta la ejecución de proyectos y programas en f</w:t>
      </w:r>
      <w:r>
        <w:t>a</w:t>
      </w:r>
      <w:r>
        <w:t>vor de los d</w:t>
      </w:r>
      <w:r>
        <w:t>e</w:t>
      </w:r>
      <w:r>
        <w:t>rechos humanos de la mujer.</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rPr>
          <w:spacing w:val="2"/>
        </w:rPr>
      </w:pPr>
      <w:r>
        <w:rPr>
          <w:spacing w:val="2"/>
        </w:rPr>
        <w:t>El Comité recomienda que el Gobierno preste ap</w:t>
      </w:r>
      <w:r>
        <w:rPr>
          <w:spacing w:val="2"/>
        </w:rPr>
        <w:t>o</w:t>
      </w:r>
      <w:r>
        <w:rPr>
          <w:spacing w:val="2"/>
        </w:rPr>
        <w:t>yo a las organizaciones no gubernamentales, entre otras cosas, alentando una mayor cooperación entre ellas y con los organismos especializados del sistema de las Naciones Unidas y dando mayor información al sector privado y a los particulares sobre la posibilidad de hacer donaciones a las organizaciones de mujeres.</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expresa su preocupación por la situ</w:t>
      </w:r>
      <w:r>
        <w:t>a</w:t>
      </w:r>
      <w:r>
        <w:t>ción de la mujer campesina, especialmente su acceso a los servicios de atención de la salud, la enseñanza y act</w:t>
      </w:r>
      <w:r>
        <w:t>i</w:t>
      </w:r>
      <w:r>
        <w:t>vidades que generan ingresos.</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recomienda que el Gobierno preste mayor atención a la situación de las mujeres de las z</w:t>
      </w:r>
      <w:r>
        <w:t>o</w:t>
      </w:r>
      <w:r>
        <w:t>nas rurales y elabore políticas y programas especiales dirigidos a potenciarlas económicamente y garantice su acceso al capital y a los recursos productivos, así como a los servicios de cuidado de salud y oportunidades educativas y sociales.</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insta al Gobierno a que apruebe la e</w:t>
      </w:r>
      <w:r>
        <w:t>n</w:t>
      </w:r>
      <w:r>
        <w:t>mienda al párrafo 1 del artículo 20 de la Convención, relativa al período de r</w:t>
      </w:r>
      <w:r>
        <w:t>e</w:t>
      </w:r>
      <w:r>
        <w:t>uniones del Comité.</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insta también al Gobierno a que en el próximo informe periódico dé información sobre las cuestiones concretas planteadas en las presentes obse</w:t>
      </w:r>
      <w:r>
        <w:t>r</w:t>
      </w:r>
      <w:r>
        <w:t>vaciones f</w:t>
      </w:r>
      <w:r>
        <w:t>i</w:t>
      </w:r>
      <w:r>
        <w:t>nales.</w:t>
      </w:r>
    </w:p>
    <w:p w:rsidR="00000000" w:rsidRDefault="00000000">
      <w:pPr>
        <w:pStyle w:val="DualTxt"/>
        <w:numPr>
          <w:ilvl w:val="0"/>
          <w:numId w:val="115"/>
        </w:numPr>
        <w:tabs>
          <w:tab w:val="clear" w:pos="960"/>
          <w:tab w:val="left" w:pos="965"/>
          <w:tab w:val="left" w:pos="1440"/>
          <w:tab w:val="left" w:pos="1915"/>
          <w:tab w:val="left" w:pos="2405"/>
          <w:tab w:val="left" w:pos="2880"/>
          <w:tab w:val="left" w:pos="3355"/>
        </w:tabs>
      </w:pPr>
      <w:r>
        <w:t>El Comité solicita que el texto de estas observ</w:t>
      </w:r>
      <w:r>
        <w:t>a</w:t>
      </w:r>
      <w:r>
        <w:t>ciones finales se difunda ampliamente en Kazajstán, con el fin de informar al público, y especialmente a administradores, funcionarios y políticos, de las med</w:t>
      </w:r>
      <w:r>
        <w:t>i</w:t>
      </w:r>
      <w:r>
        <w:t>das tomadas para garantizar la igualdad de jure y de facto</w:t>
      </w:r>
      <w:r>
        <w:rPr>
          <w:i/>
        </w:rPr>
        <w:t xml:space="preserve"> </w:t>
      </w:r>
      <w:r>
        <w:t>entre el hombre y la mujer y de las nuevas med</w:t>
      </w:r>
      <w:r>
        <w:t>i</w:t>
      </w:r>
      <w:r>
        <w:t>das que es necesario adoptar en este ámbito. El Comité insta al Gobierno a que continúe dando amplia public</w:t>
      </w:r>
      <w:r>
        <w:t>i</w:t>
      </w:r>
      <w:r>
        <w:t>dad a la Convención y su Protocolo Facultativo, las r</w:t>
      </w:r>
      <w:r>
        <w:t>e</w:t>
      </w:r>
      <w:r>
        <w:t>comendaciones generales del Comité, la Declaración</w:t>
      </w:r>
      <w:r>
        <w:rPr>
          <w:vertAlign w:val="superscript"/>
        </w:rPr>
        <w:t>3</w:t>
      </w:r>
      <w:r>
        <w:t xml:space="preserve"> y Plataforma de Acción de Beijing y los resultados del vigésimo tercer período extraordinario de sesiones de la Asamblea General titulado “La mujer en el año 2000: igualdad entre los géneros, desarrollo y paz para el siglo XXI”</w:t>
      </w:r>
      <w:r>
        <w:rPr>
          <w:vertAlign w:val="superscript"/>
        </w:rPr>
        <w:t>4</w:t>
      </w:r>
      <w:r>
        <w:t>, especialmente entre grupos de mujeres y asociaciones pro derechos humanos.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Maldivas</w:t>
      </w:r>
    </w:p>
    <w:p w:rsidR="00000000" w:rsidRDefault="00000000">
      <w:pPr>
        <w:pStyle w:val="DualTxt"/>
        <w:spacing w:after="0" w:line="120" w:lineRule="exact"/>
        <w:rPr>
          <w:sz w:val="10"/>
        </w:rPr>
      </w:pP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t>El Comité examinó el informe inicial de Maldivas (CEDAW/C/MDV/1) en sus sesiones 498ª, 499ª y 506ª, celebradas los días 24 y 30 de enero de 2001 (véase CEDAW/C/SR.498, 499 y 506).</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Presentación por el Estado parte</w:t>
      </w:r>
    </w:p>
    <w:p w:rsidR="00000000" w:rsidRDefault="00000000">
      <w:pPr>
        <w:pStyle w:val="DualTxt"/>
        <w:spacing w:after="0" w:line="120" w:lineRule="exact"/>
        <w:rPr>
          <w:sz w:val="10"/>
        </w:rPr>
      </w:pPr>
    </w:p>
    <w:p w:rsidR="00000000" w:rsidRDefault="00000000">
      <w:pPr>
        <w:pStyle w:val="DualTxt"/>
        <w:numPr>
          <w:ilvl w:val="0"/>
          <w:numId w:val="22"/>
        </w:numPr>
        <w:tabs>
          <w:tab w:val="clear" w:pos="960"/>
          <w:tab w:val="left" w:pos="965"/>
        </w:tabs>
      </w:pPr>
      <w:r>
        <w:t>Al presentar el informe, la representante de Ma</w:t>
      </w:r>
      <w:r>
        <w:t>l</w:t>
      </w:r>
      <w:r>
        <w:t>divas informó al Comité de que se habían observado varios adelantos desde la presentación del informe in</w:t>
      </w:r>
      <w:r>
        <w:t>i</w:t>
      </w:r>
      <w:r>
        <w:t>cial de 1998. Señaló que las leyes y políticas vigentes no discriminaban contra la mujer en los ámbitos del a</w:t>
      </w:r>
      <w:r>
        <w:t>c</w:t>
      </w:r>
      <w:r>
        <w:t>ceso a los servicios de salud, la educación y el empleo, pero que había factores socioculturales que restringían el goce efectivo de los derechos de la mujer en esos ámbitos. El período del quinto plan nacional de des</w:t>
      </w:r>
      <w:r>
        <w:t>a</w:t>
      </w:r>
      <w:r>
        <w:t>rrollo estaba a punto de terminar y se estaba prepara</w:t>
      </w:r>
      <w:r>
        <w:t>n</w:t>
      </w:r>
      <w:r>
        <w:t>do el sexto plan, que incorporaría un componente de género con carácter de política intersectorial para g</w:t>
      </w:r>
      <w:r>
        <w:t>a</w:t>
      </w:r>
      <w:r>
        <w:t>rantizar que se tuvieran en cuenta las cuestiones de g</w:t>
      </w:r>
      <w:r>
        <w:t>é</w:t>
      </w:r>
      <w:r>
        <w:t>nero en la planificación del des</w:t>
      </w:r>
      <w:r>
        <w:t>a</w:t>
      </w:r>
      <w:r>
        <w:t>rrollo.</w:t>
      </w: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t>La representante dijo que se habían adoptado m</w:t>
      </w:r>
      <w:r>
        <w:t>e</w:t>
      </w:r>
      <w:r>
        <w:t>didas, como la realización de campañas de información y de actividades de promoción de la educación para la vida en familia, a fin de eliminar las actitudes estere</w:t>
      </w:r>
      <w:r>
        <w:t>o</w:t>
      </w:r>
      <w:r>
        <w:t>típicas tradicionales respecto de la función de la mujer, reforzadas por las imágenes de los libros de texto y los medios de comunicación. Si bien en general la viole</w:t>
      </w:r>
      <w:r>
        <w:t>n</w:t>
      </w:r>
      <w:r>
        <w:t>cia en el hogar seguía considerándose una cuestión pr</w:t>
      </w:r>
      <w:r>
        <w:t>i</w:t>
      </w:r>
      <w:r>
        <w:t>vada, el Gobierno había iniciado campañas de inform</w:t>
      </w:r>
      <w:r>
        <w:t>a</w:t>
      </w:r>
      <w:r>
        <w:t>ción para combatirla. En lo sucesivo, las mujeres ví</w:t>
      </w:r>
      <w:r>
        <w:t>c</w:t>
      </w:r>
      <w:r>
        <w:t>timas de violencia en el hogar podrían denunciarla al Sistema de Seguridad Nacional, que se ocupaba del problema conforme al derecho penal. Por otra parte, a pesar de que la trata de mujeres y niñas no se consid</w:t>
      </w:r>
      <w:r>
        <w:t>e</w:t>
      </w:r>
      <w:r>
        <w:t>raba un problema en Maldivas, en vista del aumento de la población extranjera se creía que con el tiempo haría falta adoptar medidas contra esa práctica. Por último, aunque la prostitución era ilegal y estaba sujeta a sev</w:t>
      </w:r>
      <w:r>
        <w:t>e</w:t>
      </w:r>
      <w:r>
        <w:t>ras sanciones religiosas y sociales, se reconocía su existe</w:t>
      </w:r>
      <w:r>
        <w:t>n</w:t>
      </w:r>
      <w:r>
        <w:t>cia.</w:t>
      </w: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t>La representante informó al Comité de que, si bien la Constitución indicaba que el Jefe de Estado de las Maldivas debería ser varón, se alentaba a la mujer a participar en la política como votante y como candid</w:t>
      </w:r>
      <w:r>
        <w:t>a</w:t>
      </w:r>
      <w:r>
        <w:t>ta. No obstante, a pesar de las campañas de inform</w:t>
      </w:r>
      <w:r>
        <w:t>a</w:t>
      </w:r>
      <w:r>
        <w:t>ción y de capacitación jurídica básica encaminadas a aumentar la participación política de la mujer, pocas candidatas se postulaban en las elecciones, y las muj</w:t>
      </w:r>
      <w:r>
        <w:t>e</w:t>
      </w:r>
      <w:r>
        <w:t>res sólo representaban el 10% del Majlis. En 2000, se había nombrado a dos mujeres jefas adjuntas de isla, segundo cargo de más alta jerarquía, mientras que una había sido nombrada jefa interina de atolón. No había trabas jurídicas que impidieran que la mujer form</w:t>
      </w:r>
      <w:r>
        <w:t>a</w:t>
      </w:r>
      <w:r>
        <w:t>ra parte del cuerpo diplomático o prestara servicios en organizaciones internacionales, aunque sólo había una diplomática destinada en el extranj</w:t>
      </w:r>
      <w:r>
        <w:t>e</w:t>
      </w:r>
      <w:r>
        <w:t>ro.</w:t>
      </w: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t>La representante señaló que no había discrimin</w:t>
      </w:r>
      <w:r>
        <w:t>a</w:t>
      </w:r>
      <w:r>
        <w:t>ción por motivos de nacionalidad y que la mujer tenía los mismos derechos que el hombre de adquirir, retener o cambiar su nacionalidad. El matrimonio con un e</w:t>
      </w:r>
      <w:r>
        <w:t>x</w:t>
      </w:r>
      <w:r>
        <w:t>tranjero no cambiaba la nacionalidad de la mujer, y la Constitución de 1998 había conferido la ciudadanía de Maldivas a los hijos de madres maldivas y padres e</w:t>
      </w:r>
      <w:r>
        <w:t>x</w:t>
      </w:r>
      <w:r>
        <w:t>tranjeros. Las mujeres podían tramitar sus pasaportes y viajar sin tener que obtener el permiso de sus cónyuges u otros p</w:t>
      </w:r>
      <w:r>
        <w:t>a</w:t>
      </w:r>
      <w:r>
        <w:t>rientes varones.</w:t>
      </w:r>
    </w:p>
    <w:p w:rsidR="00000000" w:rsidRDefault="00000000">
      <w:pPr>
        <w:pStyle w:val="DualTxt"/>
        <w:numPr>
          <w:ilvl w:val="0"/>
          <w:numId w:val="119"/>
        </w:numPr>
        <w:tabs>
          <w:tab w:val="clear" w:pos="960"/>
          <w:tab w:val="left" w:pos="475"/>
          <w:tab w:val="left" w:pos="965"/>
          <w:tab w:val="left" w:pos="1440"/>
          <w:tab w:val="left" w:pos="1915"/>
          <w:tab w:val="left" w:pos="2405"/>
          <w:tab w:val="left" w:pos="2880"/>
          <w:tab w:val="left" w:pos="3355"/>
        </w:tabs>
      </w:pPr>
      <w:r>
        <w:t>La representante informó al Comité de que no h</w:t>
      </w:r>
      <w:r>
        <w:t>a</w:t>
      </w:r>
      <w:r>
        <w:t>bía políticas de acción afirmativa para asegurar la igualdad entre los sexos. No había disparidad en la matriculación escolar de niñas y niños hasta el décimo grado, de resultas de lo cual las niñas registraban un alto grado de alfabetización hasta la escuela secund</w:t>
      </w:r>
      <w:r>
        <w:t>a</w:t>
      </w:r>
      <w:r>
        <w:t>ria. Sólo un número limitado de estudiantes accedía a la enseñanza superior, a causa de la falta de una unive</w:t>
      </w:r>
      <w:r>
        <w:t>r</w:t>
      </w:r>
      <w:r>
        <w:t>sidad nacional y de problemas de transporte. No había cupos para becas, ni siquiera en carreras tradiciona</w:t>
      </w:r>
      <w:r>
        <w:t>l</w:t>
      </w:r>
      <w:r>
        <w:t>mente masculinas como la ingeniería y el derecho. Aunque no se discriminaba entre mujeres y hombres en el acceso al empleo o en la remuneración, las prácticas culturales promovían la separación por géneros en el empleo: según las opiniones tradicionales sobre la div</w:t>
      </w:r>
      <w:r>
        <w:t>i</w:t>
      </w:r>
      <w:r>
        <w:t>sión del trabajo, la responsabilidad primordial de la mujer guardaba relación con el cuidado de los niños, el hogar y las actividades agríc</w:t>
      </w:r>
      <w:r>
        <w:t>o</w:t>
      </w:r>
      <w:r>
        <w:t>las.</w:t>
      </w:r>
    </w:p>
    <w:p w:rsidR="00000000" w:rsidRDefault="00000000">
      <w:pPr>
        <w:pStyle w:val="DualTxt"/>
        <w:numPr>
          <w:ilvl w:val="0"/>
          <w:numId w:val="119"/>
        </w:numPr>
        <w:tabs>
          <w:tab w:val="clear" w:pos="960"/>
          <w:tab w:val="left" w:pos="475"/>
          <w:tab w:val="left" w:pos="965"/>
        </w:tabs>
      </w:pPr>
      <w:r>
        <w:t>La representante observó que mujeres y hombres tenían igual acceso a la atención de la salud y que la situación general en ese ámbito había mejorado como consecuencia del mejoramiento del acceso a los serv</w:t>
      </w:r>
      <w:r>
        <w:t>i</w:t>
      </w:r>
      <w:r>
        <w:t>cios médicos y de salud. No había disparidad en las condiciones de salud de niñas y niños, ni diferencias sustanciales en las tasas de mortalidad o de crecimie</w:t>
      </w:r>
      <w:r>
        <w:t>n</w:t>
      </w:r>
      <w:r>
        <w:t>to. El Gobierno había puesto en marcha varias iniciat</w:t>
      </w:r>
      <w:r>
        <w:t>i</w:t>
      </w:r>
      <w:r>
        <w:t>vas para encarar las diferencias persistentes entre muj</w:t>
      </w:r>
      <w:r>
        <w:t>e</w:t>
      </w:r>
      <w:r>
        <w:t>res y hombres en cuanto al estado de salud y nutrición durante los años reproductivos, y los medios de info</w:t>
      </w:r>
      <w:r>
        <w:t>r</w:t>
      </w:r>
      <w:r>
        <w:t>mación habían emprendido campañas de divulgación sobre la salud reprodu</w:t>
      </w:r>
      <w:r>
        <w:t>c</w:t>
      </w:r>
      <w:r>
        <w:t>tiva.</w:t>
      </w:r>
    </w:p>
    <w:p w:rsidR="00000000" w:rsidRDefault="00000000">
      <w:pPr>
        <w:pStyle w:val="DualTxt"/>
        <w:numPr>
          <w:ilvl w:val="0"/>
          <w:numId w:val="119"/>
        </w:numPr>
        <w:tabs>
          <w:tab w:val="clear" w:pos="960"/>
          <w:tab w:val="left" w:pos="475"/>
          <w:tab w:val="left" w:pos="965"/>
        </w:tabs>
      </w:pPr>
      <w:r>
        <w:t>La representante señaló que los majlis habían sancionado una nueva ley sobre la familia en diciembre de 2000 que entraría en vigor en julio de 2001. Esta ley que incluiría disposiciones sobre las condiciones rel</w:t>
      </w:r>
      <w:r>
        <w:t>a</w:t>
      </w:r>
      <w:r>
        <w:t>tivas a los acuerdos prematrimoniales, la poligamia y el divorcio. En la nueva ley se eliminaría el derecho del marido al divorcio unilateral extrajudicial, al hacer n</w:t>
      </w:r>
      <w:r>
        <w:t>e</w:t>
      </w:r>
      <w:r>
        <w:t>cesario un proceso judicial. También quedarían gara</w:t>
      </w:r>
      <w:r>
        <w:t>n</w:t>
      </w:r>
      <w:r>
        <w:t>tizadas la distribución equitativa de los bienes gana</w:t>
      </w:r>
      <w:r>
        <w:t>n</w:t>
      </w:r>
      <w:r>
        <w:t>ciales en caso de divorcio y las obligaciones financi</w:t>
      </w:r>
      <w:r>
        <w:t>e</w:t>
      </w:r>
      <w:r>
        <w:t>ras del ex marido con respecto a sus hijos y ex mujeres. La edad mínima para contraer matrimonio se establec</w:t>
      </w:r>
      <w:r>
        <w:t>e</w:t>
      </w:r>
      <w:r>
        <w:t>ría en los 18 años para mujeres y hombres, a menos que el funcionario ante el cual se celebrase el matrimonio determinara que existían circunstancias especiales, a pesar de que la ley cherámica establecía que las pers</w:t>
      </w:r>
      <w:r>
        <w:t>o</w:t>
      </w:r>
      <w:r>
        <w:t>nas podían contraer matrimonio al alcanzar la pubertad. A ese respecto, el Gobierno había aplicado un progr</w:t>
      </w:r>
      <w:r>
        <w:t>a</w:t>
      </w:r>
      <w:r>
        <w:t>ma para desalentar y prevenir el matrimonio prematuro.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Observaciones finales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DualTxt"/>
        <w:spacing w:after="0" w:line="120" w:lineRule="exact"/>
        <w:rPr>
          <w:sz w:val="10"/>
        </w:rPr>
      </w:pPr>
    </w:p>
    <w:p w:rsidR="00000000" w:rsidRDefault="00000000">
      <w:pPr>
        <w:pStyle w:val="DualTxt"/>
        <w:numPr>
          <w:ilvl w:val="0"/>
          <w:numId w:val="119"/>
        </w:numPr>
        <w:tabs>
          <w:tab w:val="clear" w:pos="960"/>
          <w:tab w:val="left" w:pos="475"/>
          <w:tab w:val="left" w:pos="965"/>
          <w:tab w:val="left" w:pos="1440"/>
          <w:tab w:val="left" w:pos="1915"/>
          <w:tab w:val="left" w:pos="2405"/>
          <w:tab w:val="left" w:pos="2880"/>
          <w:tab w:val="left" w:pos="3355"/>
        </w:tabs>
      </w:pPr>
      <w:r>
        <w:t>El Comité expresa su satisfacción ante la prese</w:t>
      </w:r>
      <w:r>
        <w:t>n</w:t>
      </w:r>
      <w:r>
        <w:t>tación del informe inicial del Gobierno de Maldivas y el diálogo franco y constructivo entablado con la del</w:t>
      </w:r>
      <w:r>
        <w:t>e</w:t>
      </w:r>
      <w:r>
        <w:t>gación. El Comité observa que en el informe no figur</w:t>
      </w:r>
      <w:r>
        <w:t>a</w:t>
      </w:r>
      <w:r>
        <w:t>ba información concreta suficiente sobre los planes y las leyes nacionales conforme a las directrices del Comité, pero expresa su reconocimiento por la i</w:t>
      </w:r>
      <w:r>
        <w:t>n</w:t>
      </w:r>
      <w:r>
        <w:t>formación adicional proporcionada en los documentos escritos durante el período de sesiones y las respuestas orales.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spacing w:after="0" w:line="120" w:lineRule="exact"/>
        <w:rPr>
          <w:sz w:val="10"/>
        </w:rPr>
      </w:pP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encomia la voluntad política expresada por Maldivas en el proyecto “Visión 20/20” de prom</w:t>
      </w:r>
      <w:r>
        <w:t>o</w:t>
      </w:r>
      <w:r>
        <w:t>ver los derechos humanos de la mujer como dimensión integral del desarrollo nacional. Acoge con beneplácito los esfuerzos hechos por incorporar una perspectiva de género en el plan de acción nacional y en el plan n</w:t>
      </w:r>
      <w:r>
        <w:t>a</w:t>
      </w:r>
      <w:r>
        <w:t>cional de desarr</w:t>
      </w:r>
      <w:r>
        <w:t>o</w:t>
      </w:r>
      <w:r>
        <w:t>llo.</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también celebra las medidas adoptadas recientemente para aumentar la participación de la mujer en calidad de jefe de atolón y de miembro de los comités de mujeres de las islas y los comités de des</w:t>
      </w:r>
      <w:r>
        <w:t>a</w:t>
      </w:r>
      <w:r>
        <w:t>rrollo de los atol</w:t>
      </w:r>
      <w:r>
        <w:t>o</w:t>
      </w:r>
      <w:r>
        <w:t>nes.</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acoge con beneplácito los adelantos a</w:t>
      </w:r>
      <w:r>
        <w:t>l</w:t>
      </w:r>
      <w:r>
        <w:t>canzados, evidenciados en la muy alta tasa de alfabet</w:t>
      </w:r>
      <w:r>
        <w:t>i</w:t>
      </w:r>
      <w:r>
        <w:t>zación de las mujeres y en la paridad entre niños y n</w:t>
      </w:r>
      <w:r>
        <w:t>i</w:t>
      </w:r>
      <w:r>
        <w:t>ñas en la enseñanza primaria y secundaria. Asimismo, encomia el mejoramiento de los indicadores relativos a la esperanza de vida de la mujer.</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encomia los esfuerzos encaminados a determinar si las leyes discriminan contra las mujeres. En particular, celebra los esfuerzos en curso por ajustar las leyes sobre relaciones familiares a la Convención mediante la adopción de nuevas leyes en el ámbito del derecho de la f</w:t>
      </w:r>
      <w:r>
        <w:t>a</w:t>
      </w:r>
      <w:r>
        <w:t>milia.</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felicita al Gobierno por haber enme</w:t>
      </w:r>
      <w:r>
        <w:t>n</w:t>
      </w:r>
      <w:r>
        <w:t>dado su ley de nacionalidad otorgando a la mujer los mismos derechos que al hombre de adquirir, cambiar o retener su nacionalidad y de transf</w:t>
      </w:r>
      <w:r>
        <w:t>e</w:t>
      </w:r>
      <w:r>
        <w:t>rirla a sus hijos.</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felicita al Gobierno por el desarrollo progresivo de los mecanismos nacionales y el establ</w:t>
      </w:r>
      <w:r>
        <w:t>e</w:t>
      </w:r>
      <w:r>
        <w:t>cimiento en 1998 del Ministerio de Asuntos de la M</w:t>
      </w:r>
      <w:r>
        <w:t>u</w:t>
      </w:r>
      <w:r>
        <w:t>jer y de Seguridad Social. Acoge con beneplácito la iniciativa de reconstituir el Consejo Nacional de la Mujer como Consejo de la Igualdad entre los Géneros, bajo la d</w:t>
      </w:r>
      <w:r>
        <w:t>i</w:t>
      </w:r>
      <w:r>
        <w:t>rección del Presidente de Maldivas.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a la aplicación de la Convención</w:t>
      </w:r>
    </w:p>
    <w:p w:rsidR="00000000" w:rsidRDefault="00000000">
      <w:pPr>
        <w:pStyle w:val="DualTxt"/>
        <w:spacing w:after="0" w:line="120" w:lineRule="exact"/>
        <w:rPr>
          <w:sz w:val="10"/>
        </w:rPr>
      </w:pP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observa que las distancias geográf</w:t>
      </w:r>
      <w:r>
        <w:t>i</w:t>
      </w:r>
      <w:r>
        <w:t>cas entre las islas y los atolones y los estereotipos constituyen obstáculos para la plena aplicación de la Co</w:t>
      </w:r>
      <w:r>
        <w:t>n</w:t>
      </w:r>
      <w:r>
        <w:t>vención.</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esferas de preocupación y recomendaciones</w:t>
      </w:r>
    </w:p>
    <w:p w:rsidR="00000000" w:rsidRDefault="00000000">
      <w:pPr>
        <w:pStyle w:val="DualTxt"/>
        <w:spacing w:after="0" w:line="120" w:lineRule="exact"/>
        <w:rPr>
          <w:sz w:val="10"/>
        </w:rPr>
      </w:pP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expresa preocupación por las reservas formuladas por el Estado parte en relación con el párr</w:t>
      </w:r>
      <w:r>
        <w:t>a</w:t>
      </w:r>
      <w:r>
        <w:t>fo a) del artículo 7 y el artículo 16 de la Convención y por el hecho de que la reserva al párrafo a) del artíc</w:t>
      </w:r>
      <w:r>
        <w:t>u</w:t>
      </w:r>
      <w:r>
        <w:t>lo 7 relativo a la participación política apoya el mant</w:t>
      </w:r>
      <w:r>
        <w:t>e</w:t>
      </w:r>
      <w:r>
        <w:t xml:space="preserve">nimiento de las disposiciones legislativas que excluyen a las mujeres de la Presidencia y Vicepresidencia del país. </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insta al Gobierno a que retire esas r</w:t>
      </w:r>
      <w:r>
        <w:t>e</w:t>
      </w:r>
      <w:r>
        <w:t>servas y derogue las leyes que limitan la participación de la mujer en la vida pública.</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lamenta que no exista un mecanismo efectivo para garantizar el ejercicio de esos derechos reconocidos por la Constitución y exigir reparación. El Comité expresa preocupación por que las disposiciones constitucionales sobre los derechos fundamentales no incluyan la no discriminación por mot</w:t>
      </w:r>
      <w:r>
        <w:t>i</w:t>
      </w:r>
      <w:r>
        <w:t>vos de sexo.</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exhorta al Gobierno a incorporar en la Constitución una disposición contra la discriminación por motivos de sexo y a garantizar el goce efectivo de los derechos fundame</w:t>
      </w:r>
      <w:r>
        <w:t>n</w:t>
      </w:r>
      <w:r>
        <w:t>tales.</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observa que el Gobierno aún no ha adoptado medidas especiales de carácter temporal con arreglo al párrafo 1 del artículo 4 de la Convención p</w:t>
      </w:r>
      <w:r>
        <w:t>a</w:t>
      </w:r>
      <w:r>
        <w:t>para mejorar el acceso de la mujer a la enseñanza sup</w:t>
      </w:r>
      <w:r>
        <w:t>e</w:t>
      </w:r>
      <w:r>
        <w:t>rior, los cargos en que se adoptan decisiones y los ó</w:t>
      </w:r>
      <w:r>
        <w:t>r</w:t>
      </w:r>
      <w:r>
        <w:t>ganos legislativos nacionales y locales.</w:t>
      </w:r>
    </w:p>
    <w:p w:rsidR="00000000" w:rsidRDefault="00000000">
      <w:pPr>
        <w:pStyle w:val="DualTxt"/>
        <w:numPr>
          <w:ilvl w:val="0"/>
          <w:numId w:val="119"/>
        </w:numPr>
        <w:tabs>
          <w:tab w:val="clear" w:pos="960"/>
          <w:tab w:val="left" w:pos="965"/>
        </w:tabs>
      </w:pPr>
      <w:r>
        <w:t>El Comité exhorta al Gobierno a aplicar medidas especiales de carácter temporal a corto y a largo plazo. Pide al Gobierno que combine esas medidas con pr</w:t>
      </w:r>
      <w:r>
        <w:t>o</w:t>
      </w:r>
      <w:r>
        <w:t>gramas de divulgación y de capacitación jurídica básica en que se cuestionen los estereotipos sexuales y se r</w:t>
      </w:r>
      <w:r>
        <w:t>e</w:t>
      </w:r>
      <w:r>
        <w:t>conozca el derecho de la mujer a la igualdad. El C</w:t>
      </w:r>
      <w:r>
        <w:t>o</w:t>
      </w:r>
      <w:r>
        <w:t>mité insta al Gobierno a dar prioridad a la preparación de esos programas para las zonas del país que registran altas tasas de a</w:t>
      </w:r>
      <w:r>
        <w:t>l</w:t>
      </w:r>
      <w:r>
        <w:t>fabetización.</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toma nota con preocupación de que el matrimonio prematuro y las obligaciones domésticas contribuyen al aumento de las tasas de abandono esc</w:t>
      </w:r>
      <w:r>
        <w:t>o</w:t>
      </w:r>
      <w:r>
        <w:t>lar de las jóvenes. El Comité insta al Gobierno a intr</w:t>
      </w:r>
      <w:r>
        <w:t>o</w:t>
      </w:r>
      <w:r>
        <w:t>ducir leyes relativas a la edad mínima para contraer matrimonio y otros programas para evitar el matrim</w:t>
      </w:r>
      <w:r>
        <w:t>o</w:t>
      </w:r>
      <w:r>
        <w:t>nio prematuro conforme a las obligaciones impuestas por la Co</w:t>
      </w:r>
      <w:r>
        <w:t>n</w:t>
      </w:r>
      <w:r>
        <w:t>vención.</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toma nota con preocupación de que no se denuncian todos los casos de violencia contra la mujer, incluida la violencia en el hogar, de que no hay leyes eficaces ni se imponen efectivamente las leyes vigentes y de que tampoco existe un sistema de apoyo para las mujeres que son víctimas de la violencia. El Comité expresa particular preocupación por que en la comunidad y en el sistema jurídico la violencia contra la mujer no se considere una violación de los derechos humanos y de la Co</w:t>
      </w:r>
      <w:r>
        <w:t>n</w:t>
      </w:r>
      <w:r>
        <w:t>vención sino una cuestión privada.</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insta al Gobierno a adoptar medidas para hacer cumplir la ley, promulgar leyes sobre la violencia en el hogar, incluida la violación por el mar</w:t>
      </w:r>
      <w:r>
        <w:t>i</w:t>
      </w:r>
      <w:r>
        <w:t>do, con arreglo a la recomendación general 19 relativa a la violencia contra las mujeres</w:t>
      </w:r>
      <w:r>
        <w:rPr>
          <w:vertAlign w:val="superscript"/>
        </w:rPr>
        <w:t>5</w:t>
      </w:r>
      <w:r>
        <w:t>, y colaborar con gr</w:t>
      </w:r>
      <w:r>
        <w:t>u</w:t>
      </w:r>
      <w:r>
        <w:t>pos de mujeres para obtener datos fiables y socorrer a las víctimas de la violencia. El Comité pide al Gobie</w:t>
      </w:r>
      <w:r>
        <w:t>r</w:t>
      </w:r>
      <w:r>
        <w:t>no que dé respuesta al problema en los planes naci</w:t>
      </w:r>
      <w:r>
        <w:t>o</w:t>
      </w:r>
      <w:r>
        <w:t>nales, sobre la base de la Plataforma de Acción de Be</w:t>
      </w:r>
      <w:r>
        <w:t>i</w:t>
      </w:r>
      <w:r>
        <w:t>jing y el Plan de Acción del Commonwealth sobre G</w:t>
      </w:r>
      <w:r>
        <w:t>é</w:t>
      </w:r>
      <w:r>
        <w:t>nero y Desarrollo. Insta al Gobierno a concienciar a la población acerca de la violencia contra la mujer como violación de los derechos humanos que entraña graves costos sociales para toda la comun</w:t>
      </w:r>
      <w:r>
        <w:t>i</w:t>
      </w:r>
      <w:r>
        <w:t>dad.</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expresa preocupación por que en las leyes de la familia se discrimine contra la mujer, y t</w:t>
      </w:r>
      <w:r>
        <w:t>o</w:t>
      </w:r>
      <w:r>
        <w:t>ma nota con preocupación de las altas tasas de divo</w:t>
      </w:r>
      <w:r>
        <w:t>r</w:t>
      </w:r>
      <w:r>
        <w:t>cio, cuyos efectos son perjudiciales para las mujeres y los niños.</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insta al Gobierno a aplicar el nuevo código de derecho de la familia, en el que se procura encarar el problema, y a seguir esforzándose por r</w:t>
      </w:r>
      <w:r>
        <w:t>e</w:t>
      </w:r>
      <w:r>
        <w:t xml:space="preserve">formar todos los ámbitos del derecho de la familia para proteger los derechos humanos de la mujer. </w:t>
      </w:r>
    </w:p>
    <w:p w:rsidR="00000000" w:rsidRDefault="00000000">
      <w:pPr>
        <w:pStyle w:val="DualTxt"/>
        <w:numPr>
          <w:ilvl w:val="0"/>
          <w:numId w:val="119"/>
        </w:numPr>
        <w:tabs>
          <w:tab w:val="clear" w:pos="960"/>
          <w:tab w:val="left" w:pos="965"/>
        </w:tabs>
      </w:pPr>
      <w:r>
        <w:t>El Comité insta al Gobierno a obtener inform</w:t>
      </w:r>
      <w:r>
        <w:t>a</w:t>
      </w:r>
      <w:r>
        <w:t>ción sobre jurisprudencia comparativa en que se trate de interpretar el derecho islámico de forma armónica con las normas internacionales de derechos humanos y la Plataforma de A</w:t>
      </w:r>
      <w:r>
        <w:t>c</w:t>
      </w:r>
      <w:r>
        <w:t xml:space="preserve">ción de Beijing. </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toma nota con preocupación de que el estado de salud y nutrición de las niñas se resiente de</w:t>
      </w:r>
      <w:r>
        <w:t>s</w:t>
      </w:r>
      <w:r>
        <w:t>pués de la pubertad y que los niveles de las tasas de mortalidad y morbilidad maternas y de mortalidad de niñas menores de 5 años siguen siendo insatisfactorios. Preocupa también al Comité la forma negativa en que las actitudes patriarcales y estereotípicas inciden en la salud y la nutr</w:t>
      </w:r>
      <w:r>
        <w:t>i</w:t>
      </w:r>
      <w:r>
        <w:t>ción de la mujer.</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insta al Gobierno a obtener inform</w:t>
      </w:r>
      <w:r>
        <w:t>a</w:t>
      </w:r>
      <w:r>
        <w:t>ción sobre las causas de la mortalidad, la malnutrición y la morbilidad maternas y sobre las tasas de mortal</w:t>
      </w:r>
      <w:r>
        <w:t>i</w:t>
      </w:r>
      <w:r>
        <w:t>dad de las niñas menores de 5 años, así como a form</w:t>
      </w:r>
      <w:r>
        <w:t>u</w:t>
      </w:r>
      <w:r>
        <w:t>lar programas para encarar esos pr</w:t>
      </w:r>
      <w:r>
        <w:t>o</w:t>
      </w:r>
      <w:r>
        <w:t>blemas.</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insta al Gobierno a firmar y ratificar el Protocolo Facultativo de la Convención y a depositar cuanto antes su instrumento de aceptación de la e</w:t>
      </w:r>
      <w:r>
        <w:t>n</w:t>
      </w:r>
      <w:r>
        <w:t>mienda del párrafo 1 del artículo 20 de la Conve</w:t>
      </w:r>
      <w:r>
        <w:t>n</w:t>
      </w:r>
      <w:r>
        <w:t>ción, relativo a la frecuencia con que ha de reunirse el C</w:t>
      </w:r>
      <w:r>
        <w:t>o</w:t>
      </w:r>
      <w:r>
        <w:t>mité.</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pide al Gobierno que responda en su próximo informe periódico a las cuestiones concretas planteadas en estas observaciones finales. Pide asimi</w:t>
      </w:r>
      <w:r>
        <w:t>s</w:t>
      </w:r>
      <w:r>
        <w:t>mo al Gobierno que presente en su próximo informe una evaluación de los efectos de las medidas que se hayan adoptado para aplicar la Convención.</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pide que se difundan ampliamente en Maldivas las presentes observaciones finales para que su pueblo, en particular los funcionarios del Gobierno y los políticos, tomen conciencia de las medidas que se hayan adoptado en relación con la igualdad de jure y de facto de la mujer y de las medidas que aún quedan por adoptar en ese sentido. También pide al Gobierno que siga difundiendo ampliamente, en particular en las o</w:t>
      </w:r>
      <w:r>
        <w:t>r</w:t>
      </w:r>
      <w:r>
        <w:t>ganizaciones de mujeres y de derechos humanos, la Convención y su Protocolo Facultativo, las recomend</w:t>
      </w:r>
      <w:r>
        <w:t>a</w:t>
      </w:r>
      <w:r>
        <w:t>ciones generales del Comité, la Declaración y Plat</w:t>
      </w:r>
      <w:r>
        <w:t>a</w:t>
      </w:r>
      <w:r>
        <w:t>forma de Acción de Beijing y los resultados del vig</w:t>
      </w:r>
      <w:r>
        <w:t>é</w:t>
      </w:r>
      <w:r>
        <w:t>simo tercer período extraordinario de sesiones de la Asamblea General, titulado “La mujer en el año 2000: igualdad entre los géneros, desarrollo y paz para el s</w:t>
      </w:r>
      <w:r>
        <w:t>i</w:t>
      </w:r>
      <w:r>
        <w:t>glo XXI”.</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Uzbekistán</w:t>
      </w:r>
    </w:p>
    <w:p w:rsidR="00000000" w:rsidRDefault="00000000">
      <w:pPr>
        <w:pStyle w:val="DualTxt"/>
        <w:spacing w:after="0" w:line="120" w:lineRule="exact"/>
        <w:rPr>
          <w:sz w:val="10"/>
        </w:rPr>
      </w:pP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examinó el informe inicial de U</w:t>
      </w:r>
      <w:r>
        <w:t>z</w:t>
      </w:r>
      <w:r>
        <w:t>bekistán (CEDAW/C/UZB/1) en sus sesiones 500ª, 501ª y 507ª, celebradas el 25 y el 30 de enero de 2001 (véase CEDAW/C/SR.500, 501 y 507).</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Presentación por el Estado parte</w:t>
      </w:r>
    </w:p>
    <w:p w:rsidR="00000000" w:rsidRDefault="00000000">
      <w:pPr>
        <w:pStyle w:val="DualTxt"/>
        <w:spacing w:after="0" w:line="120" w:lineRule="exact"/>
        <w:rPr>
          <w:sz w:val="10"/>
        </w:rPr>
      </w:pP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Al presentar el informe el representante de U</w:t>
      </w:r>
      <w:r>
        <w:t>z</w:t>
      </w:r>
      <w:r>
        <w:t>bekistán destacó los cambios políticos, sociales y jur</w:t>
      </w:r>
      <w:r>
        <w:t>í</w:t>
      </w:r>
      <w:r>
        <w:t>dicos que se habían producido recientemente en el país, y señaló que el adelanto de la mujer figuraba entre las máximas prioridades del Gobierno y del Presidente. I</w:t>
      </w:r>
      <w:r>
        <w:t>n</w:t>
      </w:r>
      <w:r>
        <w:t>dicó que la ratificación de la Convención sin reservas en 1995, así como la ratificación de otros instrumentos internacionales de derechos humanos, era la manifest</w:t>
      </w:r>
      <w:r>
        <w:t>a</w:t>
      </w:r>
      <w:r>
        <w:t>ción del compromiso del país en favor del adelanto de la mujer y del logro de la meta de la igualdad entre los géneros. Insistió en que el Gobierno de Uzbekistán e</w:t>
      </w:r>
      <w:r>
        <w:t>s</w:t>
      </w:r>
      <w:r>
        <w:t>taba también examinando seriamente la conveniencia de firmar y ratificar el Protocolo Facult</w:t>
      </w:r>
      <w:r>
        <w:t>a</w:t>
      </w:r>
      <w:r>
        <w:t>tivo.</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representante dijo que la Constitución no co</w:t>
      </w:r>
      <w:r>
        <w:t>n</w:t>
      </w:r>
      <w:r>
        <w:t>tenía una referencia a la “discriminación contra las mujeres”. Sin embargo, el principio de igualdad entre los hombres y las mujeres constituía el fundamento de la Constitución de la República de Uzbekistán, aprob</w:t>
      </w:r>
      <w:r>
        <w:t>a</w:t>
      </w:r>
      <w:r>
        <w:t>da en 1992.</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representante dijo que el Gobierno había d</w:t>
      </w:r>
      <w:r>
        <w:t>e</w:t>
      </w:r>
      <w:r>
        <w:t>terminado seis orientaciones principales de la labor r</w:t>
      </w:r>
      <w:r>
        <w:t>e</w:t>
      </w:r>
      <w:r>
        <w:t>lativa al adelanto de la mujer. La primera era la cre</w:t>
      </w:r>
      <w:r>
        <w:t>a</w:t>
      </w:r>
      <w:r>
        <w:t>ción de un sistema sensible a los problemas de género de las leyes y los reglamentos con miras a garantizar las condiciones necesarias para la participación de las mujeres en la vida política, social, económica y cultural del país. El Gobierno había publicado una recopilación que incluía alrededor de 70 leyes y reglamentos dire</w:t>
      </w:r>
      <w:r>
        <w:t>c</w:t>
      </w:r>
      <w:r>
        <w:t>tamente dedicados a la situación de la m</w:t>
      </w:r>
      <w:r>
        <w:t>u</w:t>
      </w:r>
      <w:r>
        <w:t>jer.</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La segunda tarea consistió en el establecimiento de mecanismos nacionales para el adelanto de la mujer. El Comité Parlamentario de Asuntos Sociales y de E</w:t>
      </w:r>
      <w:r>
        <w:t>m</w:t>
      </w:r>
      <w:r>
        <w:t>pleo y la Comisión Especial encargada de las cuesti</w:t>
      </w:r>
      <w:r>
        <w:t>o</w:t>
      </w:r>
      <w:r>
        <w:t>nes de las mujeres y la familia asumieron la respons</w:t>
      </w:r>
      <w:r>
        <w:t>a</w:t>
      </w:r>
      <w:r>
        <w:t>bilidad de elaborar una nueva legislación que protegi</w:t>
      </w:r>
      <w:r>
        <w:t>e</w:t>
      </w:r>
      <w:r>
        <w:t>ra los intereses de las mujeres en diversas esferas y de llevar a cabo unas evaluaciones por género de las no</w:t>
      </w:r>
      <w:r>
        <w:t>r</w:t>
      </w:r>
      <w:r>
        <w:t>mas y los reglamentos vigentes. Tanto el Comité como la Comisión se ocuparon de vigilar la aplicación de las políticas y los programas estatales destinados a mejorar la situación de la mujer en la sociedad y a aplicar la Convención sobre la eliminación de todas las formas de discriminación contra la mujer. El representante com</w:t>
      </w:r>
      <w:r>
        <w:t>u</w:t>
      </w:r>
      <w:r>
        <w:t>nicó asimismo al Comité que se había creado un nuevo puesto de Viceprimer Ministro, Ministro de los asuntos de protección social de la familia, la maternidad y la infancia. En el plano local se habían establecido los cargos corre</w:t>
      </w:r>
      <w:r>
        <w:t>s</w:t>
      </w:r>
      <w:r>
        <w:t>pondientes.</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representante informó al Comité acerca del establecimiento de una amplia red de instituciones n</w:t>
      </w:r>
      <w:r>
        <w:t>a</w:t>
      </w:r>
      <w:r>
        <w:t>cionales de derechos humanos, entre ellas la Oficina del Ombudsman, el Instituto de Vigilancia de la Legi</w:t>
      </w:r>
      <w:r>
        <w:t>s</w:t>
      </w:r>
      <w:r>
        <w:t>lación Aplicada y el Centro Nacional de Derechos H</w:t>
      </w:r>
      <w:r>
        <w:t>u</w:t>
      </w:r>
      <w:r>
        <w:t>manos. Con el fin de establecer políticas y programas para mejorar la situación de la mujer, el Gobierno e instituciones de derechos humanos no gubernamentales efectuaron un examen y análisis de las leyes vigentes en 1999 y 2000 concentrándose en los artículos que prescribían directamente la protección jurídica de las mujeres y velaban por sus intereses en una serie de amplias esf</w:t>
      </w:r>
      <w:r>
        <w:t>e</w:t>
      </w:r>
      <w:r>
        <w:t>ras.</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representante informó al Comité del consid</w:t>
      </w:r>
      <w:r>
        <w:t>e</w:t>
      </w:r>
      <w:r>
        <w:t>rable aumento del número de organizaciones no gube</w:t>
      </w:r>
      <w:r>
        <w:t>r</w:t>
      </w:r>
      <w:r>
        <w:t>namentales interesados en asuntos de la mujer. A pri</w:t>
      </w:r>
      <w:r>
        <w:t>n</w:t>
      </w:r>
      <w:r>
        <w:t>cipios del 2001 había más de 100. La cooperación entre los órganos estatales y las organizaciones no gubern</w:t>
      </w:r>
      <w:r>
        <w:t>a</w:t>
      </w:r>
      <w:r>
        <w:t>mentales en la elaboración de políticas y programas en favor de la mujer está intensificándose y Uzbekistán se había beneficiado de la cooperación con organizaciones internacionales, especialmente el Fondo de Desarrollo de las Naciones Unidas para la Mujer y el Programa de las Naciones Unidas para el Desarrollo, así como de su asistencia técnica. Con ayuda de este último, el Comité de la Mujer Uzbeka había organizado en 1997 la Ofic</w:t>
      </w:r>
      <w:r>
        <w:t>i</w:t>
      </w:r>
      <w:r>
        <w:t>na relativa al “género en el desarrollo” con el fin de elaborar y aplicar programas destinados a otorgar un poder económico a las mujeres en la transición del país hacia la economía de mercado. Las organizaciones no gubernamentales nacionales de mujeres habían establ</w:t>
      </w:r>
      <w:r>
        <w:t>e</w:t>
      </w:r>
      <w:r>
        <w:t>cido estrechos contactos con organizaciones similares de otros países. En asociación con varias organizaci</w:t>
      </w:r>
      <w:r>
        <w:t>o</w:t>
      </w:r>
      <w:r>
        <w:t>nes estadounidenses habían establecido una red de centros de información sobre los asuntos de la m</w:t>
      </w:r>
      <w:r>
        <w:t>u</w:t>
      </w:r>
      <w:r>
        <w:t>jer.</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representante comunicó al Comité que, de co</w:t>
      </w:r>
      <w:r>
        <w:t>n</w:t>
      </w:r>
      <w:r>
        <w:t>formidad con las recomendaciones del Decenio de las Naciones Unidas para la Educación en la Esfera de los Derechos Humanos, el Gobierno había elaborado un programa nacional de acción en la esfera de los der</w:t>
      </w:r>
      <w:r>
        <w:t>e</w:t>
      </w:r>
      <w:r>
        <w:t>chos humanos, con inclusión de los derechos humanos de las mujeres. En el marco de ese programa de acción se habían incorporado a las escuelas y universidades cursos especiales sobre los derechos humanos. Ad</w:t>
      </w:r>
      <w:r>
        <w:t>e</w:t>
      </w:r>
      <w:r>
        <w:t>más, como resultado de las recomendaciones de la Plataforma de Acción de Beijing se habían organizado 36.000 seminarios, en los que participaron 1,5 mill</w:t>
      </w:r>
      <w:r>
        <w:t>o</w:t>
      </w:r>
      <w:r>
        <w:t>nes de mujeres, para abordar diversas cuestiones rel</w:t>
      </w:r>
      <w:r>
        <w:t>a</w:t>
      </w:r>
      <w:r>
        <w:t>cionadas con el adelanto de la mujer y la igualdad entre g</w:t>
      </w:r>
      <w:r>
        <w:t>é</w:t>
      </w:r>
      <w:r>
        <w:t>neros.</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representante destacó los logros educativos de las mujeres, que entre otras cosas representaban el 37% de los estudiantes de enseñanza superior. Casi el 50% de las mujeres económicamente activas estaban empleadas en la economía nacional. La mayoría de las trabajadoras estaban colocadas en la industria (48%), la agricultura (40%), la salud y la seguridad social (70%), la educación y la ciencia (47% a 60%) y el comercio y los servicios públicos de restauración y sociales (50% a 52%). Según las estimaciones, en el año 2000 alrededor del 70% de las mujeres estaban empleadas en el sector pr</w:t>
      </w:r>
      <w:r>
        <w:t>i</w:t>
      </w:r>
      <w:r>
        <w:t>vado.</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Los cambios que se estaban produciendo actua</w:t>
      </w:r>
      <w:r>
        <w:t>l</w:t>
      </w:r>
      <w:r>
        <w:t>mente en la economía tenían una repercusión negativa en la situación de las mujeres en el mercado de trabajo, especialmente un aumento del desempleo que las afe</w:t>
      </w:r>
      <w:r>
        <w:t>c</w:t>
      </w:r>
      <w:r>
        <w:t>taba. Para reducir el nivel de desempleo, el Gobierno ha venido creando todos los años de 280.000 a 300.000 nuevos puestos de trabajo, el 40% de los cuales eran para mujeres. El Gobierno, conjuntamente con las o</w:t>
      </w:r>
      <w:r>
        <w:t>r</w:t>
      </w:r>
      <w:r>
        <w:t>ganizaciones empresariales, estaba asimismo prom</w:t>
      </w:r>
      <w:r>
        <w:t>o</w:t>
      </w:r>
      <w:r>
        <w:t>viendo el espíritu empresarial entre las mujeres. De los 64.000 empresarios que se calcula existían, 20.000 eran muj</w:t>
      </w:r>
      <w:r>
        <w:t>e</w:t>
      </w:r>
      <w:r>
        <w:t>res.</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representante informó al Comité de que el G</w:t>
      </w:r>
      <w:r>
        <w:t>o</w:t>
      </w:r>
      <w:r>
        <w:t>bierno y el Presidente estaban prestando seria atención a la cuestión de la salud de la población, en particular con relación a las mujeres y los niños. Teniendo en cuenta la elevada tasa de natalidad del país, el Gobie</w:t>
      </w:r>
      <w:r>
        <w:t>r</w:t>
      </w:r>
      <w:r>
        <w:t>no había concebido un conjunto de programas estatales para mejorar la salud reproductiva de las mujeres y r</w:t>
      </w:r>
      <w:r>
        <w:t>e</w:t>
      </w:r>
      <w:r>
        <w:t>ducir la mortalidad maternoinfantil.</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Para terminar, el representante comunicó al C</w:t>
      </w:r>
      <w:r>
        <w:t>o</w:t>
      </w:r>
      <w:r>
        <w:t>mité que su Gobierno tenía pleno conocimiento de que era preciso hacer mucho más de lo que se estaba h</w:t>
      </w:r>
      <w:r>
        <w:t>a</w:t>
      </w:r>
      <w:r>
        <w:t>ciendo para lograr la igualdad entre mujeres y hombres. Hizo hincapié en que el Gobierno estaba totalmente d</w:t>
      </w:r>
      <w:r>
        <w:t>e</w:t>
      </w:r>
      <w:r>
        <w:t>cidido a proseguir su labor a este respecto y a superar los obstáculos que las mujeres de Uzbekistán seguían enco</w:t>
      </w:r>
      <w:r>
        <w:t>n</w:t>
      </w:r>
      <w:r>
        <w:t>trando.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Observaciones finales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DualTxt"/>
        <w:spacing w:after="0" w:line="120" w:lineRule="exact"/>
        <w:rPr>
          <w:sz w:val="10"/>
        </w:rPr>
      </w:pPr>
    </w:p>
    <w:p w:rsidR="00000000" w:rsidRDefault="00000000">
      <w:pPr>
        <w:pStyle w:val="DualTxt"/>
        <w:numPr>
          <w:ilvl w:val="0"/>
          <w:numId w:val="119"/>
        </w:numPr>
        <w:tabs>
          <w:tab w:val="clear" w:pos="960"/>
          <w:tab w:val="left" w:pos="965"/>
        </w:tabs>
      </w:pPr>
      <w:r>
        <w:t>El Comité expresa su reconocimiento al Gobierno de Uzbekistán por la presentación de su informe in</w:t>
      </w:r>
      <w:r>
        <w:t>i</w:t>
      </w:r>
      <w:r>
        <w:t>cial. Encomia al Gobierno por su instructiva present</w:t>
      </w:r>
      <w:r>
        <w:t>a</w:t>
      </w:r>
      <w:r>
        <w:t>ción oral, en la que actualizó los acontecimientos que se habían producido en el país desde la presentación del informe a principios de 2000, dado que aportaba nuevos datos y más aclaraciones sobre la situación a</w:t>
      </w:r>
      <w:r>
        <w:t>c</w:t>
      </w:r>
      <w:r>
        <w:t>tual de la aplicación de la Convención. El Comité toma nota con reconocimiento de que el informe contiene datos est</w:t>
      </w:r>
      <w:r>
        <w:t>a</w:t>
      </w:r>
      <w:r>
        <w:t>dísticos desglosados por sexo.</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encomia al Gobierno de Uzbekistán por el envío de una delegación que entabló un diálogo franco y constructivo con los miembros del Comité. El Comité se complace de la voluntad política y de los e</w:t>
      </w:r>
      <w:r>
        <w:t>s</w:t>
      </w:r>
      <w:r>
        <w:t>fuerzos del Gobierno de Uzbekistán por aplicar las r</w:t>
      </w:r>
      <w:r>
        <w:t>e</w:t>
      </w:r>
      <w:r>
        <w:t>comendaciones de la Plataforma de Acción de Beijing y los artículos de la Conve</w:t>
      </w:r>
      <w:r>
        <w:t>n</w:t>
      </w:r>
      <w:r>
        <w:t>ción.</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rPr>
          <w:w w:val="101"/>
        </w:rPr>
      </w:pPr>
      <w:r>
        <w:rPr>
          <w:w w:val="101"/>
        </w:rPr>
        <w:t>El Comité se felicita de que Uzbekistán haya rat</w:t>
      </w:r>
      <w:r>
        <w:rPr>
          <w:w w:val="101"/>
        </w:rPr>
        <w:t>i</w:t>
      </w:r>
      <w:r>
        <w:rPr>
          <w:w w:val="101"/>
        </w:rPr>
        <w:t>ficado la Convención sin reservas y que esté examina</w:t>
      </w:r>
      <w:r>
        <w:rPr>
          <w:w w:val="101"/>
        </w:rPr>
        <w:t>n</w:t>
      </w:r>
      <w:r>
        <w:rPr>
          <w:w w:val="101"/>
        </w:rPr>
        <w:t>do la conveniencia de firmar su Protocolo Facultativo.</w:t>
      </w:r>
    </w:p>
    <w:p w:rsidR="00000000" w:rsidRDefault="00000000">
      <w:pPr>
        <w:pStyle w:val="DualTxt"/>
        <w:spacing w:after="0" w:line="120" w:lineRule="exact"/>
        <w:rPr>
          <w:w w:val="101"/>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spacing w:after="0" w:line="120" w:lineRule="exact"/>
        <w:rPr>
          <w:sz w:val="10"/>
        </w:rPr>
      </w:pPr>
    </w:p>
    <w:p w:rsidR="00000000" w:rsidRDefault="00000000">
      <w:pPr>
        <w:pStyle w:val="DualTxt"/>
        <w:numPr>
          <w:ilvl w:val="0"/>
          <w:numId w:val="119"/>
        </w:numPr>
        <w:tabs>
          <w:tab w:val="clear" w:pos="960"/>
          <w:tab w:val="left" w:pos="965"/>
        </w:tabs>
      </w:pPr>
      <w:r>
        <w:t>El Comité encomia al Gobierno por su voluntad política de aplicar la Convención. Toma nota con rec</w:t>
      </w:r>
      <w:r>
        <w:t>o</w:t>
      </w:r>
      <w:r>
        <w:t>nocimiento de la creación de mecanismos nacionales para la vigilancia de la protección de los derechos h</w:t>
      </w:r>
      <w:r>
        <w:t>u</w:t>
      </w:r>
      <w:r>
        <w:t>manos, entre ellos los derechos humanos de las muj</w:t>
      </w:r>
      <w:r>
        <w:t>e</w:t>
      </w:r>
      <w:r>
        <w:t>res. Acoge con satisfacción los esfuerzos del Gobierno por establecer un mecanismo nacional para el adela</w:t>
      </w:r>
      <w:r>
        <w:t>n</w:t>
      </w:r>
      <w:r>
        <w:t>to de la mujer y realizar un examen de su legislación, especialmente de las leyes que tratan directamente de la situación jurídica y social de las mujeres en diversas esferas. Al Comité le complace el establecimiento de la Oficina del Ombudsman en el marco del Pa</w:t>
      </w:r>
      <w:r>
        <w:t>r</w:t>
      </w:r>
      <w:r>
        <w:t>lamento.</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encomia al Gobierno por sus esfuerzos por mantener unos altos niveles de educación y por sus políticas de empleo con respecto a las mujeres. El C</w:t>
      </w:r>
      <w:r>
        <w:t>o</w:t>
      </w:r>
      <w:r>
        <w:t>mité toma nota con reconocimiento de las medidas adoptadas por el Gobierno para promover a las mujeres e</w:t>
      </w:r>
      <w:r>
        <w:t>m</w:t>
      </w:r>
      <w:r>
        <w:t>presarias.</w:t>
      </w: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Al Comité le complace la colaboración de los o</w:t>
      </w:r>
      <w:r>
        <w:t>r</w:t>
      </w:r>
      <w:r>
        <w:t>ganismos gubernamentales con las organizaciones no gubernamentales para las mujeres para promover los derechos humanos de las mujeres y celebra la cre</w:t>
      </w:r>
      <w:r>
        <w:t>a</w:t>
      </w:r>
      <w:r>
        <w:t>ción de organizaciones no gubernamentales para las muj</w:t>
      </w:r>
      <w:r>
        <w:t>e</w:t>
      </w:r>
      <w:r>
        <w:t>res.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a la aplicación de la Convención</w:t>
      </w:r>
    </w:p>
    <w:p w:rsidR="00000000" w:rsidRDefault="00000000">
      <w:pPr>
        <w:pStyle w:val="DualTxt"/>
        <w:spacing w:after="0" w:line="120" w:lineRule="exact"/>
        <w:rPr>
          <w:sz w:val="10"/>
        </w:rPr>
      </w:pPr>
    </w:p>
    <w:p w:rsidR="00000000" w:rsidRDefault="00000000">
      <w:pPr>
        <w:pStyle w:val="DualTxt"/>
        <w:numPr>
          <w:ilvl w:val="0"/>
          <w:numId w:val="119"/>
        </w:numPr>
        <w:tabs>
          <w:tab w:val="clear" w:pos="960"/>
          <w:tab w:val="left" w:pos="965"/>
          <w:tab w:val="left" w:pos="1440"/>
          <w:tab w:val="left" w:pos="1915"/>
          <w:tab w:val="left" w:pos="2405"/>
          <w:tab w:val="left" w:pos="2880"/>
          <w:tab w:val="left" w:pos="3355"/>
        </w:tabs>
      </w:pPr>
      <w:r>
        <w:t>El Comité considera que los efectos negativos de la transformación económica y política en curso y la degradación ecológica del país son obstáculos impo</w:t>
      </w:r>
      <w:r>
        <w:t>r</w:t>
      </w:r>
      <w:r>
        <w:t>tantes para la plena aplicación de la Convención.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esferas de preocupación y recomendaciones</w:t>
      </w:r>
    </w:p>
    <w:p w:rsidR="00000000" w:rsidRDefault="00000000">
      <w:pPr>
        <w:pStyle w:val="DualTxt"/>
        <w:spacing w:after="0" w:line="120" w:lineRule="exact"/>
        <w:rPr>
          <w:sz w:val="10"/>
        </w:rPr>
      </w:pPr>
    </w:p>
    <w:p w:rsidR="00000000" w:rsidRDefault="00000000">
      <w:pPr>
        <w:pStyle w:val="DualTxt"/>
        <w:numPr>
          <w:ilvl w:val="0"/>
          <w:numId w:val="121"/>
        </w:numPr>
        <w:tabs>
          <w:tab w:val="clear" w:pos="960"/>
          <w:tab w:val="left" w:pos="965"/>
        </w:tabs>
      </w:pPr>
      <w:r>
        <w:t>El Comité expresa su preocupación por que si bien la Constitución y las leyes nacionales estipulan la igualdad de todos los ciudadanos, no contienen una d</w:t>
      </w:r>
      <w:r>
        <w:t>e</w:t>
      </w:r>
      <w:r>
        <w:t>finición de discriminación contra la mujer basada en el artículo 1 de la Convención, que prohíbe la discrimin</w:t>
      </w:r>
      <w:r>
        <w:t>a</w:t>
      </w:r>
      <w:r>
        <w:t>ción ya sea directa o indirecta. El Comité también e</w:t>
      </w:r>
      <w:r>
        <w:t>x</w:t>
      </w:r>
      <w:r>
        <w:t>presa preocupación por la situación de la Convención y si sus disposiciones pueden invocarse directamente ante los tribunales.</w:t>
      </w:r>
    </w:p>
    <w:p w:rsidR="00000000" w:rsidRDefault="00000000">
      <w:pPr>
        <w:pStyle w:val="DualTxt"/>
        <w:numPr>
          <w:ilvl w:val="0"/>
          <w:numId w:val="121"/>
        </w:numPr>
        <w:tabs>
          <w:tab w:val="clear" w:pos="960"/>
          <w:tab w:val="left" w:pos="965"/>
          <w:tab w:val="left" w:pos="1440"/>
          <w:tab w:val="left" w:pos="1915"/>
          <w:tab w:val="left" w:pos="2405"/>
          <w:tab w:val="left" w:pos="2880"/>
          <w:tab w:val="left" w:pos="3355"/>
        </w:tabs>
      </w:pPr>
      <w:r>
        <w:t>El Comité insta al Gobierno a que en su legisl</w:t>
      </w:r>
      <w:r>
        <w:t>a</w:t>
      </w:r>
      <w:r>
        <w:t>ción constitucional incluya la definición de discrimin</w:t>
      </w:r>
      <w:r>
        <w:t>a</w:t>
      </w:r>
      <w:r>
        <w:t>ción contra la mujer del artículo 1 de la Convención. También le recomienda que elabore una ley sobre igualdad de oportunidades para hombres y mujeres, que incluya disposiciones para permitir la adopción de m</w:t>
      </w:r>
      <w:r>
        <w:t>e</w:t>
      </w:r>
      <w:r>
        <w:t>didas especiales de carácter temporal de conformidad con el párrafo 1 del artículo 4 de la Convención. El Comité pide al Gobierno que en su próximo informe proporcione toda la información correspondiente a esta ley e información acerca de las vías judiciales de que disponen las mujeres para reparar las violaciones de sus derechos protegidos en virtud de la Convención y la Constitución.</w:t>
      </w:r>
    </w:p>
    <w:p w:rsidR="00000000" w:rsidRDefault="00000000">
      <w:pPr>
        <w:pStyle w:val="DualTxt"/>
        <w:numPr>
          <w:ilvl w:val="0"/>
          <w:numId w:val="121"/>
        </w:numPr>
        <w:tabs>
          <w:tab w:val="clear" w:pos="960"/>
          <w:tab w:val="left" w:pos="965"/>
          <w:tab w:val="left" w:pos="1440"/>
          <w:tab w:val="left" w:pos="1915"/>
          <w:tab w:val="left" w:pos="2405"/>
          <w:tab w:val="left" w:pos="2880"/>
          <w:tab w:val="left" w:pos="3355"/>
        </w:tabs>
      </w:pPr>
      <w:r>
        <w:t>El Comité expresa preocupación por la marcada presencia de actitudes y considerable reaparición de comportamientos patriarcales. Esas actitudes tradici</w:t>
      </w:r>
      <w:r>
        <w:t>o</w:t>
      </w:r>
      <w:r>
        <w:t>nales hacia la mujer se reflejan en el hecho de que los hombres no comparten la responsabilidad del trabajo en el hogar y la familia. El Comité también expresa preocupación por la falta de programas de educación sobre el tema de revisión de planes de estudios y libros de textos y de campañas de medios de difusión de m</w:t>
      </w:r>
      <w:r>
        <w:t>a</w:t>
      </w:r>
      <w:r>
        <w:t>sas con miras a eliminar esos estereotipos.</w:t>
      </w:r>
    </w:p>
    <w:p w:rsidR="00000000" w:rsidRDefault="00000000">
      <w:pPr>
        <w:pStyle w:val="DualTxt"/>
        <w:numPr>
          <w:ilvl w:val="0"/>
          <w:numId w:val="121"/>
        </w:numPr>
        <w:tabs>
          <w:tab w:val="clear" w:pos="960"/>
          <w:tab w:val="left" w:pos="965"/>
          <w:tab w:val="left" w:pos="1440"/>
          <w:tab w:val="left" w:pos="1915"/>
          <w:tab w:val="left" w:pos="2405"/>
          <w:tab w:val="left" w:pos="2880"/>
          <w:tab w:val="left" w:pos="3355"/>
        </w:tabs>
      </w:pPr>
      <w:r>
        <w:t>El Comité recomienda que el Gobierno adopte medidas urgentes para eliminar los estereotipos trad</w:t>
      </w:r>
      <w:r>
        <w:t>i</w:t>
      </w:r>
      <w:r>
        <w:t>cionales con respecto al papel de la mujer y el hombre en la sociedad. El Comité subraya que la aplicación de políticas de igualdad entre los sexos con arreglo a la Convención requerirá una nueva conceptualización del papel de la mujer en la sociedad que tenga en cuenta que ésta no es sólo madre y esposa, exclusivamente responsable de los hijos y la familia, sino también un individuo independiente y un sujeto social. Recomie</w:t>
      </w:r>
      <w:r>
        <w:t>n</w:t>
      </w:r>
      <w:r>
        <w:t>da que se aumente el número de mujeres en los órganos de adopción de decisiones a todos los niveles y en t</w:t>
      </w:r>
      <w:r>
        <w:t>o</w:t>
      </w:r>
      <w:r>
        <w:t>das las esferas. También recomienda que el Gobierno redoble sus esfuerzos con miras a organizar programas de capacitación especiales para la mujer y a efectuar sistemáticamente campañas de información en este sentido.</w:t>
      </w:r>
    </w:p>
    <w:p w:rsidR="00000000" w:rsidRDefault="00000000">
      <w:pPr>
        <w:pStyle w:val="DualTxt"/>
        <w:numPr>
          <w:ilvl w:val="0"/>
          <w:numId w:val="121"/>
        </w:numPr>
        <w:tabs>
          <w:tab w:val="clear" w:pos="960"/>
          <w:tab w:val="left" w:pos="965"/>
          <w:tab w:val="left" w:pos="1440"/>
          <w:tab w:val="left" w:pos="1915"/>
          <w:tab w:val="left" w:pos="2405"/>
          <w:tab w:val="left" w:pos="2880"/>
          <w:tab w:val="left" w:pos="3355"/>
        </w:tabs>
      </w:pPr>
      <w:r>
        <w:t>El Comité expresa preocupación por la escasa r</w:t>
      </w:r>
      <w:r>
        <w:t>e</w:t>
      </w:r>
      <w:r>
        <w:t>presentación de las mujeres en los órganos encargados de la adopción de decisiones, debido a varios factores, entre los que se encuentra la visión tradicional de los papeles de ambos sexos.</w:t>
      </w:r>
    </w:p>
    <w:p w:rsidR="00000000" w:rsidRDefault="00000000">
      <w:pPr>
        <w:pStyle w:val="DualTxt"/>
        <w:numPr>
          <w:ilvl w:val="0"/>
          <w:numId w:val="121"/>
        </w:numPr>
        <w:tabs>
          <w:tab w:val="clear" w:pos="960"/>
          <w:tab w:val="left" w:pos="965"/>
          <w:tab w:val="left" w:pos="1440"/>
          <w:tab w:val="left" w:pos="1915"/>
          <w:tab w:val="left" w:pos="2405"/>
          <w:tab w:val="left" w:pos="2880"/>
          <w:tab w:val="left" w:pos="3355"/>
        </w:tabs>
      </w:pPr>
      <w:r>
        <w:t>El Comité recomienda que el Gobierno aplique medidas especiales de carácter temporal conforme al párrafo 1 del artículo 4 de la Convención, para aume</w:t>
      </w:r>
      <w:r>
        <w:t>n</w:t>
      </w:r>
      <w:r>
        <w:t>tar el número de mujeres en los niveles de adopción de decisiones, los órganos gubernamentales, la admini</w:t>
      </w:r>
      <w:r>
        <w:t>s</w:t>
      </w:r>
      <w:r>
        <w:t>tración pública y las empresas del Estado.</w:t>
      </w:r>
    </w:p>
    <w:p w:rsidR="00000000" w:rsidRDefault="00000000">
      <w:pPr>
        <w:pStyle w:val="DualTxt"/>
        <w:numPr>
          <w:ilvl w:val="0"/>
          <w:numId w:val="121"/>
        </w:numPr>
        <w:tabs>
          <w:tab w:val="clear" w:pos="960"/>
          <w:tab w:val="left" w:pos="965"/>
          <w:tab w:val="left" w:pos="1440"/>
          <w:tab w:val="left" w:pos="1915"/>
          <w:tab w:val="left" w:pos="2405"/>
          <w:tab w:val="left" w:pos="2880"/>
          <w:tab w:val="left" w:pos="3355"/>
        </w:tabs>
      </w:pPr>
      <w:r>
        <w:t>El Comité observa con preocupación el hecho de que el Gobierno no haya tomado las medidas neces</w:t>
      </w:r>
      <w:r>
        <w:t>a</w:t>
      </w:r>
      <w:r>
        <w:t>rias para lograr la igualdad de derecho entre hombres y mujeres y considera que debe hacerlo con toda urge</w:t>
      </w:r>
      <w:r>
        <w:t>n</w:t>
      </w:r>
      <w:r>
        <w:t>cia, en vista de la desigualdad cada vez mayor que se observa en la práctica.</w:t>
      </w:r>
    </w:p>
    <w:p w:rsidR="00000000" w:rsidRDefault="00000000">
      <w:pPr>
        <w:pStyle w:val="DualTxt"/>
        <w:numPr>
          <w:ilvl w:val="0"/>
          <w:numId w:val="121"/>
        </w:numPr>
        <w:tabs>
          <w:tab w:val="clear" w:pos="960"/>
          <w:tab w:val="left" w:pos="965"/>
          <w:tab w:val="left" w:pos="1440"/>
          <w:tab w:val="left" w:pos="1915"/>
          <w:tab w:val="left" w:pos="2405"/>
          <w:tab w:val="left" w:pos="2880"/>
          <w:tab w:val="left" w:pos="3355"/>
        </w:tabs>
      </w:pPr>
      <w:r>
        <w:t>El Comité recomienda que el Gobierno adopte un enfoque global e integrado para promover la igualdad entre el hombre y la mujer en todas las esferas, es d</w:t>
      </w:r>
      <w:r>
        <w:t>e</w:t>
      </w:r>
      <w:r>
        <w:t>cir, en los planos económico, social, político, cultural y familiar. También recomienda que abandone el enfoque de bienestar social hacia la mujer en favor de un enf</w:t>
      </w:r>
      <w:r>
        <w:t>o</w:t>
      </w:r>
      <w:r>
        <w:t>que de derechos humanos en el que la mujer pueda r</w:t>
      </w:r>
      <w:r>
        <w:t>e</w:t>
      </w:r>
      <w:r>
        <w:t>clamar sus derechos.</w:t>
      </w:r>
    </w:p>
    <w:p w:rsidR="00000000" w:rsidRDefault="00000000">
      <w:pPr>
        <w:pStyle w:val="DualTxt"/>
        <w:numPr>
          <w:ilvl w:val="0"/>
          <w:numId w:val="121"/>
        </w:numPr>
        <w:tabs>
          <w:tab w:val="clear" w:pos="960"/>
          <w:tab w:val="left" w:pos="965"/>
          <w:tab w:val="left" w:pos="1440"/>
          <w:tab w:val="left" w:pos="1915"/>
          <w:tab w:val="left" w:pos="2405"/>
          <w:tab w:val="left" w:pos="2880"/>
          <w:tab w:val="left" w:pos="3355"/>
        </w:tabs>
      </w:pPr>
      <w:r>
        <w:t>El Comité expresa su preocupación por que el mecanismo nacional existente para el adelanto de la mujer no tenga suficiente fuerza ni visibilidad, ni ta</w:t>
      </w:r>
      <w:r>
        <w:t>m</w:t>
      </w:r>
      <w:r>
        <w:t>poco fondos, para promover con eficacia el adelanto de la mujer y la igualdad de género. Además, el Comité también expresa preocupación por la falta de una pol</w:t>
      </w:r>
      <w:r>
        <w:t>í</w:t>
      </w:r>
      <w:r>
        <w:t>tica general e integrada encaminada a incluir la per</w:t>
      </w:r>
      <w:r>
        <w:t>s</w:t>
      </w:r>
      <w:r>
        <w:t>pectiva de género.</w:t>
      </w:r>
    </w:p>
    <w:p w:rsidR="00000000" w:rsidRDefault="00000000">
      <w:pPr>
        <w:pStyle w:val="DualTxt"/>
        <w:numPr>
          <w:ilvl w:val="0"/>
          <w:numId w:val="121"/>
        </w:numPr>
        <w:tabs>
          <w:tab w:val="clear" w:pos="960"/>
          <w:tab w:val="left" w:pos="965"/>
          <w:tab w:val="left" w:pos="1440"/>
          <w:tab w:val="left" w:pos="1915"/>
          <w:tab w:val="left" w:pos="2405"/>
          <w:tab w:val="left" w:pos="2880"/>
          <w:tab w:val="left" w:pos="3355"/>
        </w:tabs>
      </w:pPr>
      <w:r>
        <w:t>El Comité recomienda que el Gobierno reestru</w:t>
      </w:r>
      <w:r>
        <w:t>c</w:t>
      </w:r>
      <w:r>
        <w:t>ture los mecanismos nacionales existentes a fin de darles mayor visibilidad y fuerza, y que revise su ma</w:t>
      </w:r>
      <w:r>
        <w:t>n</w:t>
      </w:r>
      <w:r>
        <w:t>dato para llevar a cabo efectivamente la incorporación de la perspectiva de género en todas las políticas y pr</w:t>
      </w:r>
      <w:r>
        <w:t>o</w:t>
      </w:r>
      <w:r>
        <w:t>gramas y para promover el adelanto de la mujer. R</w:t>
      </w:r>
      <w:r>
        <w:t>e</w:t>
      </w:r>
      <w:r>
        <w:t>comienda igualmente que el Gobierno evalúe la cap</w:t>
      </w:r>
      <w:r>
        <w:t>a</w:t>
      </w:r>
      <w:r>
        <w:t>cidad del mecanismo nacional y le facilite los recursos humanos y financieros necesarios, y que fortalezca los mecanismos nacionales gubernamentales existentes p</w:t>
      </w:r>
      <w:r>
        <w:t>a</w:t>
      </w:r>
      <w:r>
        <w:t>ra la promoción de la mujer a todos los niveles. El C</w:t>
      </w:r>
      <w:r>
        <w:t>o</w:t>
      </w:r>
      <w:r>
        <w:t>mité insta al Gobierno a que considere la posibilidad de fomentar una coordinación más eficaz entre los mec</w:t>
      </w:r>
      <w:r>
        <w:t>a</w:t>
      </w:r>
      <w:r>
        <w:t>nismos existentes en lo tocante a las cuestiones rel</w:t>
      </w:r>
      <w:r>
        <w:t>a</w:t>
      </w:r>
      <w:r>
        <w:t>cionadas con la mujer y la igualdad de género y a que vele por que esos mecanismos cuenten con los recursos financieros y humanos suficientes.</w:t>
      </w:r>
    </w:p>
    <w:p w:rsidR="00000000" w:rsidRDefault="00000000">
      <w:pPr>
        <w:pStyle w:val="DualTxt"/>
        <w:numPr>
          <w:ilvl w:val="0"/>
          <w:numId w:val="121"/>
        </w:numPr>
        <w:tabs>
          <w:tab w:val="clear" w:pos="960"/>
          <w:tab w:val="left" w:pos="965"/>
          <w:tab w:val="left" w:pos="1440"/>
          <w:tab w:val="left" w:pos="1915"/>
          <w:tab w:val="left" w:pos="2405"/>
          <w:tab w:val="left" w:pos="2880"/>
          <w:tab w:val="left" w:pos="3355"/>
        </w:tabs>
      </w:pPr>
      <w:r>
        <w:t>El Comité expresa preocupación por la frecuencia de todo tipo de violencia contra la mujer, incluida la violencia en el hogar.</w:t>
      </w:r>
    </w:p>
    <w:p w:rsidR="00000000" w:rsidRDefault="00000000">
      <w:pPr>
        <w:pStyle w:val="DualTxt"/>
        <w:numPr>
          <w:ilvl w:val="0"/>
          <w:numId w:val="121"/>
        </w:numPr>
        <w:tabs>
          <w:tab w:val="clear" w:pos="960"/>
          <w:tab w:val="left" w:pos="965"/>
          <w:tab w:val="left" w:pos="1440"/>
          <w:tab w:val="left" w:pos="1915"/>
          <w:tab w:val="left" w:pos="2405"/>
          <w:tab w:val="left" w:pos="2880"/>
          <w:tab w:val="left" w:pos="3355"/>
        </w:tabs>
      </w:pPr>
      <w:r>
        <w:t>El Comité solicita al Gobierno que promulgue lo antes posible una ley contra la violencia, en especial contra la violencia en el hogar incluida la violación por el marido, y a que vele por que la violencia contra la mujer y la niña se tipifique como delito penado co</w:t>
      </w:r>
      <w:r>
        <w:t>n</w:t>
      </w:r>
      <w:r>
        <w:t>forme al derecho penal y que las mujeres y niñas ví</w:t>
      </w:r>
      <w:r>
        <w:t>c</w:t>
      </w:r>
      <w:r>
        <w:t>timas de violencia tengan vías judiciales inmediatas de reparación y protección. Recomienda que el Gobierno organice la capacitación sobre cuestiones de género p</w:t>
      </w:r>
      <w:r>
        <w:t>a</w:t>
      </w:r>
      <w:r>
        <w:t>ra todos los funcionarios públicos, en particular los funcionarios encargados de hacer cumplir la ley y el poder judicial, así como para los miembros de las oficinas de los khokims a todos los niveles y los mahalas locales, con miras a concientizarlos acerca de todas las formas de violencia contra la mujer y la niña</w:t>
      </w:r>
      <w:r>
        <w:rPr>
          <w:vertAlign w:val="superscript"/>
        </w:rPr>
        <w:t>5</w:t>
      </w:r>
      <w:r>
        <w:t>. El Comité también recomienda que el Gobierno org</w:t>
      </w:r>
      <w:r>
        <w:t>a</w:t>
      </w:r>
      <w:r>
        <w:t>nice campañas de información para encarar todas las formas de violencia contra la mujer y la niña, incluida la vi</w:t>
      </w:r>
      <w:r>
        <w:t>o</w:t>
      </w:r>
      <w:r>
        <w:t>lencia en el hogar.</w:t>
      </w:r>
    </w:p>
    <w:p w:rsidR="00000000" w:rsidRDefault="00000000">
      <w:pPr>
        <w:pStyle w:val="DualTxt"/>
        <w:numPr>
          <w:ilvl w:val="0"/>
          <w:numId w:val="121"/>
        </w:numPr>
        <w:tabs>
          <w:tab w:val="clear" w:pos="960"/>
          <w:tab w:val="left" w:pos="965"/>
          <w:tab w:val="left" w:pos="1440"/>
          <w:tab w:val="left" w:pos="1915"/>
          <w:tab w:val="left" w:pos="2405"/>
          <w:tab w:val="left" w:pos="2880"/>
          <w:tab w:val="left" w:pos="3355"/>
        </w:tabs>
      </w:pPr>
      <w:r>
        <w:t>El Comité reconoce los esfuerzos realizados por el Gobierno para hacer frente a la cuestión de la trata de mujeres y niñas que ha aumentado en la región a raíz de la apertura de las fronteras. El Comité señ</w:t>
      </w:r>
      <w:r>
        <w:t>a</w:t>
      </w:r>
      <w:r>
        <w:t>la que aún no hay suficiente información sobre el t</w:t>
      </w:r>
      <w:r>
        <w:t>e</w:t>
      </w:r>
      <w:r>
        <w:t>ma ni políticas generales para resolver efectivamente el probl</w:t>
      </w:r>
      <w:r>
        <w:t>e</w:t>
      </w:r>
      <w:r>
        <w:t>ma.</w:t>
      </w:r>
    </w:p>
    <w:p w:rsidR="00000000" w:rsidRDefault="00000000">
      <w:pPr>
        <w:pStyle w:val="DualTxt"/>
        <w:numPr>
          <w:ilvl w:val="0"/>
          <w:numId w:val="121"/>
        </w:numPr>
        <w:tabs>
          <w:tab w:val="clear" w:pos="960"/>
          <w:tab w:val="left" w:pos="965"/>
          <w:tab w:val="left" w:pos="1440"/>
          <w:tab w:val="left" w:pos="1915"/>
          <w:tab w:val="left" w:pos="2405"/>
          <w:tab w:val="left" w:pos="2880"/>
          <w:tab w:val="left" w:pos="3355"/>
        </w:tabs>
      </w:pPr>
      <w:r>
        <w:t>El Comité insta al Gobierno a que incluya en su siguiente informe mayor información y datos sobre la situación de la trata de mujeres y niñas y sobre los pr</w:t>
      </w:r>
      <w:r>
        <w:t>o</w:t>
      </w:r>
      <w:r>
        <w:t>gresos alcanzados en esa esfera. El Comité considera que deben formularse y aplicarse medidas globales p</w:t>
      </w:r>
      <w:r>
        <w:t>a</w:t>
      </w:r>
      <w:r>
        <w:t>ra hacer frente en forma efectiva al problema, incluidos los aspectos de prevención, reinserción y enjuici</w:t>
      </w:r>
      <w:r>
        <w:t>a</w:t>
      </w:r>
      <w:r>
        <w:t>miento de los autores de la trata.</w:t>
      </w:r>
    </w:p>
    <w:p w:rsidR="00000000" w:rsidRDefault="00000000">
      <w:pPr>
        <w:pStyle w:val="DualTxt"/>
        <w:numPr>
          <w:ilvl w:val="0"/>
          <w:numId w:val="121"/>
        </w:numPr>
        <w:tabs>
          <w:tab w:val="clear" w:pos="960"/>
          <w:tab w:val="left" w:pos="965"/>
          <w:tab w:val="left" w:pos="1440"/>
          <w:tab w:val="left" w:pos="1915"/>
          <w:tab w:val="left" w:pos="2405"/>
          <w:tab w:val="left" w:pos="2880"/>
          <w:tab w:val="left" w:pos="3355"/>
        </w:tabs>
      </w:pPr>
      <w:r>
        <w:t>Si bien el Comité observa con satisfacción el el</w:t>
      </w:r>
      <w:r>
        <w:t>e</w:t>
      </w:r>
      <w:r>
        <w:t>vado nivel de educación entre las mujeres, le preoc</w:t>
      </w:r>
      <w:r>
        <w:t>u</w:t>
      </w:r>
      <w:r>
        <w:t>pa el descenso reciente del número total de mujeres est</w:t>
      </w:r>
      <w:r>
        <w:t>u</w:t>
      </w:r>
      <w:r>
        <w:t>diantes.</w:t>
      </w:r>
    </w:p>
    <w:p w:rsidR="00000000" w:rsidRDefault="00000000">
      <w:pPr>
        <w:pStyle w:val="DualTxt"/>
        <w:numPr>
          <w:ilvl w:val="0"/>
          <w:numId w:val="121"/>
        </w:numPr>
        <w:tabs>
          <w:tab w:val="clear" w:pos="960"/>
          <w:tab w:val="left" w:pos="965"/>
          <w:tab w:val="left" w:pos="1440"/>
          <w:tab w:val="left" w:pos="1915"/>
          <w:tab w:val="left" w:pos="2405"/>
          <w:tab w:val="left" w:pos="2880"/>
          <w:tab w:val="left" w:pos="3355"/>
        </w:tabs>
      </w:pPr>
      <w:r>
        <w:t>El Comité insta al Gobierno a que aplique med</w:t>
      </w:r>
      <w:r>
        <w:t>i</w:t>
      </w:r>
      <w:r>
        <w:t>das urgentes para prevenir la disminución del número de mujeres en la enseñanza superior. El Comité rec</w:t>
      </w:r>
      <w:r>
        <w:t>o</w:t>
      </w:r>
      <w:r>
        <w:t>mienda que se difunda información y se instituyan i</w:t>
      </w:r>
      <w:r>
        <w:t>n</w:t>
      </w:r>
      <w:r>
        <w:t>centivos para alentar a las jóvenes a seguir carreras t</w:t>
      </w:r>
      <w:r>
        <w:t>í</w:t>
      </w:r>
      <w:r>
        <w:t>picamente masculinas.</w:t>
      </w:r>
    </w:p>
    <w:p w:rsidR="00000000" w:rsidRDefault="00000000">
      <w:pPr>
        <w:pStyle w:val="DualTxt"/>
        <w:numPr>
          <w:ilvl w:val="0"/>
          <w:numId w:val="121"/>
        </w:numPr>
        <w:tabs>
          <w:tab w:val="clear" w:pos="960"/>
          <w:tab w:val="left" w:pos="965"/>
          <w:tab w:val="left" w:pos="1440"/>
          <w:tab w:val="left" w:pos="1915"/>
          <w:tab w:val="left" w:pos="2405"/>
          <w:tab w:val="left" w:pos="2880"/>
          <w:tab w:val="left" w:pos="3355"/>
        </w:tabs>
      </w:pPr>
      <w:r>
        <w:t>Si bien el Comité reconoce los esfuerzos del G</w:t>
      </w:r>
      <w:r>
        <w:t>o</w:t>
      </w:r>
      <w:r>
        <w:t>bierno por mantener a las mujeres en el mercado de trabajo, observa con preocupación la segregación en el empleo existente en el mercado de trabajo y la difere</w:t>
      </w:r>
      <w:r>
        <w:t>n</w:t>
      </w:r>
      <w:r>
        <w:t>cia considerable de remuneración entre el hombre y la mujer, especialmente la disparidad entre los sectores de empleo dominados por las mujeres y por los hombres. También expresa preocupación enorme por el elevado nivel de desempleo. También considera preocupante la discriminación indirecta en la contratación, el ascenso y el despido de mujeres. El Comité observa con pre</w:t>
      </w:r>
      <w:r>
        <w:t>o</w:t>
      </w:r>
      <w:r>
        <w:t>cupación la falta de datos estadísticos sobre salarios desgl</w:t>
      </w:r>
      <w:r>
        <w:t>o</w:t>
      </w:r>
      <w:r>
        <w:t>sados por sexo.</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insta al Gobierno a que garantice iguales oportunidades para la mujer y el hombre en el mercado de trabajo, incluso aplicando medidas esp</w:t>
      </w:r>
      <w:r>
        <w:t>e</w:t>
      </w:r>
      <w:r>
        <w:t>ciales de carácter temporal. El Comité recomienda que el Gobierno revise sistemáticamente la legislación con miras a reducir las barreras contra la mujer en el me</w:t>
      </w:r>
      <w:r>
        <w:t>r</w:t>
      </w:r>
      <w:r>
        <w:t>cado de trabajo. El Comité también recomienda que el Gobierno elabore y ejecute programas especiales de capacitación y readiestramiento para diferentes grupos de mujeres desempleadas.</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insta al Gobierno a que resuelva el problema de la segregación en el trabajo y empiece a aplicar el principio de paga igual por trabajo de igual valor. El Comité pide al Gobierno que reúna datos de</w:t>
      </w:r>
      <w:r>
        <w:t>s</w:t>
      </w:r>
      <w:r>
        <w:t>glosados por sexo y sector de la economía y los incluya en el próximo informe.</w:t>
      </w:r>
    </w:p>
    <w:p w:rsidR="00000000" w:rsidRDefault="00000000">
      <w:pPr>
        <w:pStyle w:val="DualTxt"/>
        <w:numPr>
          <w:ilvl w:val="0"/>
          <w:numId w:val="122"/>
        </w:numPr>
        <w:tabs>
          <w:tab w:val="clear" w:pos="960"/>
          <w:tab w:val="left" w:pos="965"/>
        </w:tabs>
      </w:pPr>
      <w:r>
        <w:t>Si bien el Comité observa un descenso en la tasa de mortalidad materna, expresa preocupación por la situación de la salud de la mujer, en especial su salud reproductiva, y la elevada tasa de natalidad. También expresa preocupación por que el aborto siga siendo un medio fundamental de control de la natalidad, así como el uso cada vez mayor del tabaco por las mujeres. El Comité expresa preocupación por el nivel de degrad</w:t>
      </w:r>
      <w:r>
        <w:t>a</w:t>
      </w:r>
      <w:r>
        <w:t>ción del medio ambiente en el país y su efecto extr</w:t>
      </w:r>
      <w:r>
        <w:t>e</w:t>
      </w:r>
      <w:r>
        <w:t>madamente negativo sobre la salud de toda la pobl</w:t>
      </w:r>
      <w:r>
        <w:t>a</w:t>
      </w:r>
      <w:r>
        <w:t>ción y en particular de la mujer y el niño.</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insta al Gobierno a que mantenga el acceso gratuito a la atención básica de la salud y a que mejore su política de planificación de la familia y de salud reproductiva, incluso la disponibilidad y acces</w:t>
      </w:r>
      <w:r>
        <w:t>i</w:t>
      </w:r>
      <w:r>
        <w:t>bilidad de medios anticonceptivos modernos. El C</w:t>
      </w:r>
      <w:r>
        <w:t>o</w:t>
      </w:r>
      <w:r>
        <w:t>mité exhorta al Gobierno a que promueva la educación sexual durante los años de enseñanza obligatoria. El Comité insta al Gobierno a que elabore y aplique una política del medio ambiente racional encaminada a proteger la salud de la mujer y el niño.</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expresa preocupación por las elevadas tasas de suicidio entre las mujeres. También considera preocupantes los casos de poligamia.</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recomienda que el Gobierno establezca estructuras encaminadas a resolver los problemas de salud mental que encaran las mujeres. Recomienda asimismo que se adopten medidas para eliminar la p</w:t>
      </w:r>
      <w:r>
        <w:t>o</w:t>
      </w:r>
      <w:r>
        <w:t>ligamia y los matrimonios a edad temprana.</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expresa preocupación por la situación de las mujeres de las zonas rurales, que representan el 60% de las mujeres de Uzbekistán, incluido su acceso a los servicios de atención de la salud, la educación y las actividades que generan ingresos.</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recomienda que el Gobierno preste más atención a la situación de la mujer de la zonas r</w:t>
      </w:r>
      <w:r>
        <w:t>u</w:t>
      </w:r>
      <w:r>
        <w:t>rales y que elabore estrategias, políticas y programas especiales encaminados a la potenciación económica de la mujer de las zonas rurales para garantizar su acceso al capital y a recursos productivos así como a los serv</w:t>
      </w:r>
      <w:r>
        <w:t>i</w:t>
      </w:r>
      <w:r>
        <w:t>cios de atención de la salud y a oportunidades educ</w:t>
      </w:r>
      <w:r>
        <w:t>a</w:t>
      </w:r>
      <w:r>
        <w:t>cionales y sociales. El Comité pide que en el siguiente informe se presenten más datos cuantitativos y cualit</w:t>
      </w:r>
      <w:r>
        <w:t>a</w:t>
      </w:r>
      <w:r>
        <w:t>tivos sobre este tema.</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insta al Gobierno a que apruebe la e</w:t>
      </w:r>
      <w:r>
        <w:t>n</w:t>
      </w:r>
      <w:r>
        <w:t>mienda del párrafo 1 del artículo 20 de la Convención relativo al momento en que se celebrarán las reuniones del Comité.</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insta también al Gobierno a que ratif</w:t>
      </w:r>
      <w:r>
        <w:t>i</w:t>
      </w:r>
      <w:r>
        <w:t>que el Protocolo Facultativo de la Convención.</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pide al Gobierno que responda en su siguiente informe periódico a las cuestiones específicas planteadas en las presentes observaciones finales.</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pide que en Uzbekistán se divulguen ampliamente estas observaciones finales a fin de que el pueblo de Uzbekistán, en particular los funcionarios públicos y políticos, conozcan las medidas que se han adoptado para garantizar la igualdad de jure y de facto del hombre y la mujer y las futuras medidas que se r</w:t>
      </w:r>
      <w:r>
        <w:t>e</w:t>
      </w:r>
      <w:r>
        <w:t>quieren en ese sentido.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 xml:space="preserve">Informes periódicos segundo, tercero y cuarto combinados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Jamaica</w:t>
      </w:r>
    </w:p>
    <w:p w:rsidR="00000000" w:rsidRDefault="00000000">
      <w:pPr>
        <w:pStyle w:val="DualTxt"/>
        <w:spacing w:after="0" w:line="120" w:lineRule="exact"/>
        <w:rPr>
          <w:sz w:val="10"/>
        </w:rPr>
      </w:pP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examinó los informes periódicos s</w:t>
      </w:r>
      <w:r>
        <w:t>e</w:t>
      </w:r>
      <w:r>
        <w:t>gundo, tercero y cuarto combinados de Jamaica (CEDAW/C/JAM/2-4) en su sus sesiones 502</w:t>
      </w:r>
      <w:r>
        <w:rPr>
          <w:vertAlign w:val="superscript"/>
        </w:rPr>
        <w:t>a</w:t>
      </w:r>
      <w:r>
        <w:t xml:space="preserve"> y 503</w:t>
      </w:r>
      <w:r>
        <w:rPr>
          <w:vertAlign w:val="superscript"/>
        </w:rPr>
        <w:t>a</w:t>
      </w:r>
      <w:r>
        <w:t>, celebradas el 26 de enero de 2001 (véase CEDAW/C/ SR.502 y 503).</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Presentación del Estado parte</w:t>
      </w:r>
    </w:p>
    <w:p w:rsidR="00000000" w:rsidRDefault="00000000">
      <w:pPr>
        <w:pStyle w:val="DualTxt"/>
        <w:spacing w:after="0" w:line="120" w:lineRule="exact"/>
        <w:rPr>
          <w:sz w:val="10"/>
        </w:rPr>
      </w:pPr>
    </w:p>
    <w:p w:rsidR="00000000" w:rsidRDefault="00000000">
      <w:pPr>
        <w:pStyle w:val="DualTxt"/>
        <w:numPr>
          <w:ilvl w:val="0"/>
          <w:numId w:val="122"/>
        </w:numPr>
        <w:tabs>
          <w:tab w:val="clear" w:pos="960"/>
          <w:tab w:val="left" w:pos="965"/>
        </w:tabs>
      </w:pPr>
      <w:r>
        <w:t>Al presentar el informe, la representante de J</w:t>
      </w:r>
      <w:r>
        <w:t>a</w:t>
      </w:r>
      <w:r>
        <w:t>maica informó al Comité de algunos retos jurídicos, políticos, sociales y económicos que enfrenta su país en la aplicación de la Convención. Los acontecimientos nacionales y mundiales tienen amplias repercusiones y la situación de la mujer ha sido influida de distintas maneras por las muchas realidades contemporáneas que afectan a la población en conjunto.</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La representante reconoció la importancia de la legislación nacional y de que se protejan los derechos de la mujer y observó que, en relación con la aplic</w:t>
      </w:r>
      <w:r>
        <w:t>a</w:t>
      </w:r>
      <w:r>
        <w:t>ción de esos derechos, en el sistema jurídico de su país funciona ante una realidad de actitudes tradicionales relativas a la mujer. Para superar los estereotipos exi</w:t>
      </w:r>
      <w:r>
        <w:t>s</w:t>
      </w:r>
      <w:r>
        <w:t>tentes, corregir los desequilibrios y las desigualdades y velar por la armonización de la legislación con las normas y estándares internacionales, se ha encargado un amplio examen legislativo de las leyes que afectan a la mujer y al niño.</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A pesar de que muchas mujeres tienen títulos universitarios superiores, en su gran mayoría siguen escasamente representadas en posiciones de influencia, poder y adopción de decisiones. Aunque algunas muj</w:t>
      </w:r>
      <w:r>
        <w:t>e</w:t>
      </w:r>
      <w:r>
        <w:t>res ocupan cargos superiores importantes en el Gobie</w:t>
      </w:r>
      <w:r>
        <w:t>r</w:t>
      </w:r>
      <w:r>
        <w:t>no, todavía no se ha logrado una representación equ</w:t>
      </w:r>
      <w:r>
        <w:t>i</w:t>
      </w:r>
      <w:r>
        <w:t>tativa de la mujer en la política. Igualmente, la mujer tiende a estar escasamente representada en los cargos directivos del sector privado. La representante indicó que la educación era el principal instrumento para m</w:t>
      </w:r>
      <w:r>
        <w:t>o</w:t>
      </w:r>
      <w:r>
        <w:t>dificar las actitudes estereotipadas en relación con la función de los géneros y que había mejorado la tasa de retención de la mujer, en particular en el nivel terciario. Sin embargo, las mujeres todavía siguen teniendo pr</w:t>
      </w:r>
      <w:r>
        <w:t>o</w:t>
      </w:r>
      <w:r>
        <w:t>blemas para conseguir un empleo acorde a sus aptit</w:t>
      </w:r>
      <w:r>
        <w:t>u</w:t>
      </w:r>
      <w:r>
        <w:t>des profesionales.</w:t>
      </w:r>
    </w:p>
    <w:p w:rsidR="00000000" w:rsidRDefault="00000000">
      <w:pPr>
        <w:pStyle w:val="DualTxt"/>
        <w:numPr>
          <w:ilvl w:val="0"/>
          <w:numId w:val="122"/>
        </w:numPr>
        <w:tabs>
          <w:tab w:val="clear" w:pos="960"/>
          <w:tab w:val="left" w:pos="965"/>
        </w:tabs>
      </w:pPr>
      <w:r>
        <w:t>La representante describió los programas de su Gobierno encaminados a encarar la pobreza, la viole</w:t>
      </w:r>
      <w:r>
        <w:t>n</w:t>
      </w:r>
      <w:r>
        <w:t>cia contra la mujer, la prostitución y la difusión del VIH/SIDA, señalando en particular los progresos l</w:t>
      </w:r>
      <w:r>
        <w:t>o</w:t>
      </w:r>
      <w:r>
        <w:t>grados en las esferas de la educación y la salud. Sin embargo, todas esas actividades se ven afectadas por las políticas de ajuste estructural, la mundialización y la creciente carga de la deuda. La oradora dijo que, p</w:t>
      </w:r>
      <w:r>
        <w:t>a</w:t>
      </w:r>
      <w:r>
        <w:t>ra aplicar nuevas políticas, el Gobierno necesita el apoyo de la sociedad civil y observó que un número cada vez mayor de organizaciones no gubernamentales, entre ellas el Comité Político de la Mujer, participan en la vida pública.</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Observando que la pobreza sigue afectando todos los aspectos de la vida de la mujer, la representante s</w:t>
      </w:r>
      <w:r>
        <w:t>e</w:t>
      </w:r>
      <w:r>
        <w:t>ñaló que los programas de erradicación de la pobreza constituyen una prioridad nacional. La Oficina de Asuntos de la Mujer ha puesto en marcha varios pr</w:t>
      </w:r>
      <w:r>
        <w:t>o</w:t>
      </w:r>
      <w:r>
        <w:t>gramas relativos a la mujer de las zonas rurales y de los barrios pobres y las trabajadoras domésticas, a quienes la representante describió como los sectores más ma</w:t>
      </w:r>
      <w:r>
        <w:t>r</w:t>
      </w:r>
      <w:r>
        <w:t>ginados de la economía. El Gobierno está tratando de lograr una mayor integración de la mujer en la esfera del turismo, pero se vigilarán aspectos negativos con</w:t>
      </w:r>
      <w:r>
        <w:t>e</w:t>
      </w:r>
      <w:r>
        <w:t>xos a dicho sector, como el turismo del sexo, la prost</w:t>
      </w:r>
      <w:r>
        <w:t>i</w:t>
      </w:r>
      <w:r>
        <w:t>tución y la explotación sexual de las jóvenes.</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En el sector de la salud, se ha producido una i</w:t>
      </w:r>
      <w:r>
        <w:t>m</w:t>
      </w:r>
      <w:r>
        <w:t>portante reducción de las tasas de mortalidad de las madres e infantil y en la aplicación de políticas de pr</w:t>
      </w:r>
      <w:r>
        <w:t>e</w:t>
      </w:r>
      <w:r>
        <w:t>vención del cáncer. La prevención de las enfermedades de transmisión sexual se ha integrado en los servicios de planificación de la familia y se ha creado una línea telefónica de ayuda a fin de prestar asesoramiento y apoyo. La representante observó que, a pesar de los importantes logros en la esfera de la salud de la mujer, el VIH/SIDA se ha convertido en una cuestión que r</w:t>
      </w:r>
      <w:r>
        <w:t>e</w:t>
      </w:r>
      <w:r>
        <w:t>quiere urgente atención nacional. Las mujeres se están infectando a una tasa más acelerada que los hombres, y aparentemente son los jóvenes quienes afrontan un riesgo mayor.</w:t>
      </w:r>
    </w:p>
    <w:p w:rsidR="00000000" w:rsidRDefault="00000000">
      <w:pPr>
        <w:pStyle w:val="DualTxt"/>
        <w:numPr>
          <w:ilvl w:val="0"/>
          <w:numId w:val="122"/>
        </w:numPr>
        <w:tabs>
          <w:tab w:val="clear" w:pos="960"/>
          <w:tab w:val="left" w:pos="965"/>
        </w:tabs>
      </w:pPr>
      <w:r>
        <w:t>La representante explicó que se habían logrado progresos en las cuestiones relativas a la violencia d</w:t>
      </w:r>
      <w:r>
        <w:t>o</w:t>
      </w:r>
      <w:r>
        <w:t>méstica y otras formas de violencia basado en el gén</w:t>
      </w:r>
      <w:r>
        <w:t>e</w:t>
      </w:r>
      <w:r>
        <w:t>ro. Observó que las estadísticas indican que existe una estrecha relación entre la incidencia de los homicidios y la violencia doméstica. Se han aplicado muchas m</w:t>
      </w:r>
      <w:r>
        <w:t>e</w:t>
      </w:r>
      <w:r>
        <w:t>didas institucionales a fin de contrarrestar la violencia doméstica y otras formas de violencia basadas en el género, entre ellas los malos tratos sexuales y el i</w:t>
      </w:r>
      <w:r>
        <w:t>n</w:t>
      </w:r>
      <w:r>
        <w:t>cesto, y el Gobierno ha otorgado subsidios a las organ</w:t>
      </w:r>
      <w:r>
        <w:t>i</w:t>
      </w:r>
      <w:r>
        <w:t>zaciones no gubernamentales que prestan servicios en dicha esfera. La educación pública y la creación de conciencia se consideran instrumentos vitales para l</w:t>
      </w:r>
      <w:r>
        <w:t>u</w:t>
      </w:r>
      <w:r>
        <w:t>char contra la violencia y se han reexaminado varias leyes y normas relativos a la violencia basada en el g</w:t>
      </w:r>
      <w:r>
        <w:t>é</w:t>
      </w:r>
      <w:r>
        <w:t>nero. Entre ellas se pueden mencionar la ley sobre los malos tratos en el hogar, la ley de los delitos contra la persona y la ley de penalización del incesto. Ad</w:t>
      </w:r>
      <w:r>
        <w:t>e</w:t>
      </w:r>
      <w:r>
        <w:t>más, se está examinando un proyecto de ley sobre ac</w:t>
      </w:r>
      <w:r>
        <w:t>o</w:t>
      </w:r>
      <w:r>
        <w:t>so s</w:t>
      </w:r>
      <w:r>
        <w:t>e</w:t>
      </w:r>
      <w:r>
        <w:t>xual.</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En conclusión, la representante informó al C</w:t>
      </w:r>
      <w:r>
        <w:t>o</w:t>
      </w:r>
      <w:r>
        <w:t>mité de que los acontecimientos en el país siguen afectados por los programas de ajuste estructural, la mundialización y la cada vez mayor carga de la deuda. La meta de lograr la justicia y la equidad afrontan retos debido al desempleo, la falta de crecimiento y la fem</w:t>
      </w:r>
      <w:r>
        <w:t>i</w:t>
      </w:r>
      <w:r>
        <w:t>nización de la pobreza. Para el Gobierno constituye una prioridad atender a las necesidades de las personas más marginadas y pobres de la sociedad, especialmente la mujer y el niño, a fin de que logren su autonomía y tengan posibilidades de elección. La oradora observó que Jamaica se encuentra en un período de transición y está buscando nuevas estrategias para superar los retos actuales. La representante reafirmó el compromiso de su Gobierno de cumplir las obligaciones que le incu</w:t>
      </w:r>
      <w:r>
        <w:t>m</w:t>
      </w:r>
      <w:r>
        <w:t>ben en virtud de la Convención y destacó su intención de ratificar el Protocolo Facultativo.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Observaciones finales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DualTxt"/>
        <w:spacing w:after="0" w:line="120" w:lineRule="exact"/>
        <w:rPr>
          <w:sz w:val="10"/>
        </w:rPr>
      </w:pP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encomia al Gobierno de Jamaica por sus informes periódicos combinados segundo, tercero y cuarto, que se adecuan a las directrices del Comité para la preparación de los informes periódicos. También elogia al Gobierno por las amplias respuestas present</w:t>
      </w:r>
      <w:r>
        <w:t>a</w:t>
      </w:r>
      <w:r>
        <w:t>das por escrito a las preguntas formuladas por el Grupo de trabajo anterior al período de sesiones del Comité y por la presentación oral de la delegación, en que se trató de aclarar la situación actual de la mujer en J</w:t>
      </w:r>
      <w:r>
        <w:t>a</w:t>
      </w:r>
      <w:r>
        <w:t>maica y que brindó información adicional sobre la aplicación de la Convención.</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expresa su reconocimiento por el di</w:t>
      </w:r>
      <w:r>
        <w:t>á</w:t>
      </w:r>
      <w:r>
        <w:t>logo abierto que se celebró entre la delegación y los mie</w:t>
      </w:r>
      <w:r>
        <w:t>m</w:t>
      </w:r>
      <w:r>
        <w:t>bros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spacing w:after="0" w:line="120" w:lineRule="exact"/>
        <w:rPr>
          <w:sz w:val="10"/>
        </w:rPr>
      </w:pP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felicita al Gobierno de Jamaica por su labor con las Naciones Unidas y con las organizaciones regionales y subregionales para definir los planes de acción nacionales e internacionales relativos a la mujer. También acoge complacido la constante voluntad pol</w:t>
      </w:r>
      <w:r>
        <w:t>í</w:t>
      </w:r>
      <w:r>
        <w:t>tica de Jamaica con respecto a la aplicación, tanto en el plano nacional como en el regional de programas para reforzar los planes de acción encaminados a mejorar la s</w:t>
      </w:r>
      <w:r>
        <w:t>i</w:t>
      </w:r>
      <w:r>
        <w:t>tuación de la mujer.</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encomia al Gobierno por su voluntad política declarada de aplicar la Convención. También acoge con beneplácito las actividades del Gobierno e</w:t>
      </w:r>
      <w:r>
        <w:t>n</w:t>
      </w:r>
      <w:r>
        <w:t>caminadas a examinar y enmendar su legislación a fin de cumplir las obligaciones que le incumben en virtud de la Convención.</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felicita al Gobierno por su intención de firmar y ratificar lo antes posible el Protocolo Facult</w:t>
      </w:r>
      <w:r>
        <w:t>a</w:t>
      </w:r>
      <w:r>
        <w:t>tivo de la Convención.</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expresa su agradecimiento por el retiro de la reserva hecha al párrafo 2 del artículo 9 de la Convención al momento de la ratificación.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a la aplicación de la Convención</w:t>
      </w:r>
    </w:p>
    <w:p w:rsidR="00000000" w:rsidRDefault="00000000">
      <w:pPr>
        <w:pStyle w:val="DualTxt"/>
        <w:spacing w:after="0" w:line="120" w:lineRule="exact"/>
        <w:rPr>
          <w:sz w:val="10"/>
        </w:rPr>
      </w:pP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toma nota de que las enraizadas actit</w:t>
      </w:r>
      <w:r>
        <w:t>u</w:t>
      </w:r>
      <w:r>
        <w:t>des estereotipadas en relación con la función del ho</w:t>
      </w:r>
      <w:r>
        <w:t>m</w:t>
      </w:r>
      <w:r>
        <w:t>bre y la mujer y la persistencia en la sociedad de la violencia basada en el género constituyen un obstáculo a la plena aplicación de la Convención.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esferas de preocupación y recomendaciones</w:t>
      </w:r>
    </w:p>
    <w:p w:rsidR="00000000" w:rsidRDefault="00000000">
      <w:pPr>
        <w:pStyle w:val="DualTxt"/>
        <w:spacing w:after="0" w:line="120" w:lineRule="exact"/>
        <w:rPr>
          <w:sz w:val="10"/>
        </w:rPr>
      </w:pP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expresa su preocupación por la lentitud de la reforma jurídica relativa a la legislación en contra de la discriminación. El Comité también expresa pre</w:t>
      </w:r>
      <w:r>
        <w:t>o</w:t>
      </w:r>
      <w:r>
        <w:t>cupación por que, aunque la Constitución establece la igualdad de todos los nacionales, no prevé recursos ni medidas correctivas para las mujeres.</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recomienda que se enmiende la Con</w:t>
      </w:r>
      <w:r>
        <w:t>s</w:t>
      </w:r>
      <w:r>
        <w:t>titución a fin de que la mujer tenga acceso a recursos y medidas correctivas constitucionales. El Comité insta al Gobierno a que promulgue las reformas legislativas necesarias en la Constitución a fin de crear un marco jurídico adecuado para velar por que las leyes se ad</w:t>
      </w:r>
      <w:r>
        <w:t>e</w:t>
      </w:r>
      <w:r>
        <w:t>cuen a las disposiciones de la Convención. El Comité insta al Gobierno a que reforme la legislación existente y a que promulgue nuevas leyes a fin de proteger los derechos laborales, sociales, familiares y patrimoniales de mujeres y hombres.</w:t>
      </w:r>
    </w:p>
    <w:p w:rsidR="00000000" w:rsidRDefault="00000000">
      <w:pPr>
        <w:pStyle w:val="DualTxt"/>
        <w:numPr>
          <w:ilvl w:val="0"/>
          <w:numId w:val="122"/>
        </w:numPr>
        <w:tabs>
          <w:tab w:val="clear" w:pos="960"/>
          <w:tab w:val="left" w:pos="965"/>
        </w:tabs>
      </w:pPr>
      <w:r>
        <w:t>El Comité expresa preocupación por que en la ley de pasaportes de Jamaica se establece que la mujer c</w:t>
      </w:r>
      <w:r>
        <w:t>a</w:t>
      </w:r>
      <w:r>
        <w:t>sada sólo podrá mantener en su pasaporte el apellido de soltera en caso de que insista en ello o por razones pr</w:t>
      </w:r>
      <w:r>
        <w:t>o</w:t>
      </w:r>
      <w:r>
        <w:t>fesionales y que, en dichos casos, se añadirá una nota al pasaporte en que se incluirá el nombre del marido y el hecho de que está casada.</w:t>
      </w:r>
    </w:p>
    <w:p w:rsidR="00000000" w:rsidRDefault="00000000">
      <w:pPr>
        <w:pStyle w:val="DualTxt"/>
        <w:numPr>
          <w:ilvl w:val="0"/>
          <w:numId w:val="122"/>
        </w:numPr>
        <w:tabs>
          <w:tab w:val="clear" w:pos="960"/>
          <w:tab w:val="left" w:pos="965"/>
        </w:tabs>
      </w:pPr>
      <w:r>
        <w:t>El Comité insta al Gobierno a que adecue a la ley de pasaportes al párrafo g) del artículo 16 de la Convención.</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expresa preocupación por que la Ley de licencia paga por maternidad de 1979 no cubra a las empleadas domésticas. También expresa preocupación por el hecho de que el Plan nacional de seguro imponga condiciones de acceso a las prestaciones y prevé pre</w:t>
      </w:r>
      <w:r>
        <w:t>s</w:t>
      </w:r>
      <w:r>
        <w:t>taciones muy distintas para las empleadas domésticas y otras trabajadoras que pueden acogerse a la Ley de l</w:t>
      </w:r>
      <w:r>
        <w:t>i</w:t>
      </w:r>
      <w:r>
        <w:t>cencia paga por maternidad.</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El Comité insta al Estado parte a que revise la Ley de licencia paga por maternidad de 1979 a fin de que, de conformidad con las normas internacionales, todas las madres puedan tomar licencia con goce de sueldo. El Comité insta también al Estado parte a que enmiende la Ley de licencia paga por maternidad y el Plan Nacional de Seguro para eliminar las diferencias en las condiciones que deben reunir las empleadas d</w:t>
      </w:r>
      <w:r>
        <w:t>o</w:t>
      </w:r>
      <w:r>
        <w:t>mésticas y otras trabajadoras para acogerse al plan.</w:t>
      </w:r>
    </w:p>
    <w:p w:rsidR="00000000" w:rsidRDefault="00000000">
      <w:pPr>
        <w:pStyle w:val="DualTxt"/>
        <w:numPr>
          <w:ilvl w:val="0"/>
          <w:numId w:val="130"/>
        </w:numPr>
        <w:tabs>
          <w:tab w:val="clear" w:pos="960"/>
          <w:tab w:val="left" w:pos="475"/>
          <w:tab w:val="left" w:pos="965"/>
          <w:tab w:val="left" w:pos="1440"/>
          <w:tab w:val="left" w:pos="1915"/>
          <w:tab w:val="left" w:pos="2405"/>
          <w:tab w:val="left" w:pos="2880"/>
          <w:tab w:val="left" w:pos="3355"/>
        </w:tabs>
      </w:pPr>
      <w:r>
        <w:t>El Comité expresa preocupación por la persiste</w:t>
      </w:r>
      <w:r>
        <w:t>n</w:t>
      </w:r>
      <w:r>
        <w:t>cia de las actitudes y pautas de conducta estereotipadas en relación con la función de la mujer y el hombre en la familia y en la sociedad.</w:t>
      </w:r>
    </w:p>
    <w:p w:rsidR="00000000" w:rsidRDefault="00000000">
      <w:pPr>
        <w:pStyle w:val="DualTxt"/>
        <w:numPr>
          <w:ilvl w:val="0"/>
          <w:numId w:val="130"/>
        </w:numPr>
        <w:tabs>
          <w:tab w:val="clear" w:pos="960"/>
          <w:tab w:val="left" w:pos="475"/>
          <w:tab w:val="left" w:pos="965"/>
          <w:tab w:val="left" w:pos="1440"/>
          <w:tab w:val="left" w:pos="1915"/>
          <w:tab w:val="left" w:pos="2405"/>
          <w:tab w:val="left" w:pos="2880"/>
          <w:tab w:val="left" w:pos="3355"/>
        </w:tabs>
      </w:pPr>
      <w:r>
        <w:t>El Comité insta al Gobierno a que lance camp</w:t>
      </w:r>
      <w:r>
        <w:t>a</w:t>
      </w:r>
      <w:r>
        <w:t>ñas de información a fin de cambiar las actitudes est</w:t>
      </w:r>
      <w:r>
        <w:t>e</w:t>
      </w:r>
      <w:r>
        <w:t>reotipadas y discriminatorias en relación con la función de las mujeres y las niñas.</w:t>
      </w:r>
    </w:p>
    <w:p w:rsidR="00000000" w:rsidRDefault="00000000">
      <w:pPr>
        <w:pStyle w:val="DualTxt"/>
        <w:numPr>
          <w:ilvl w:val="0"/>
          <w:numId w:val="130"/>
        </w:numPr>
        <w:tabs>
          <w:tab w:val="clear" w:pos="960"/>
          <w:tab w:val="left" w:pos="475"/>
          <w:tab w:val="left" w:pos="965"/>
          <w:tab w:val="left" w:pos="1440"/>
          <w:tab w:val="left" w:pos="1915"/>
          <w:tab w:val="left" w:pos="2405"/>
          <w:tab w:val="left" w:pos="2880"/>
          <w:tab w:val="left" w:pos="3355"/>
        </w:tabs>
      </w:pPr>
      <w:r>
        <w:t>El Comité expresa preocupación por que el G</w:t>
      </w:r>
      <w:r>
        <w:t>o</w:t>
      </w:r>
      <w:r>
        <w:t>bierno no tenga una idea clara de todas las medidas e</w:t>
      </w:r>
      <w:r>
        <w:t>s</w:t>
      </w:r>
      <w:r>
        <w:t>peciales de carácter temporal que se prevén en el párr</w:t>
      </w:r>
      <w:r>
        <w:t>a</w:t>
      </w:r>
      <w:r>
        <w:t xml:space="preserve">fo 1 del artículo 4 de la Convención. </w:t>
      </w:r>
    </w:p>
    <w:p w:rsidR="00000000" w:rsidRDefault="00000000">
      <w:pPr>
        <w:pStyle w:val="DualTxt"/>
        <w:numPr>
          <w:ilvl w:val="0"/>
          <w:numId w:val="130"/>
        </w:numPr>
        <w:tabs>
          <w:tab w:val="clear" w:pos="960"/>
          <w:tab w:val="left" w:pos="475"/>
          <w:tab w:val="left" w:pos="965"/>
          <w:tab w:val="left" w:pos="1440"/>
          <w:tab w:val="left" w:pos="1915"/>
          <w:tab w:val="left" w:pos="2405"/>
          <w:tab w:val="left" w:pos="2880"/>
          <w:tab w:val="left" w:pos="3355"/>
        </w:tabs>
      </w:pPr>
      <w:r>
        <w:t>El Comité insta al Gobierno a que aplique todas las medidas especiales de carácter temporal para a</w:t>
      </w:r>
      <w:r>
        <w:t>u</w:t>
      </w:r>
      <w:r>
        <w:t>mentar el número de mujeres en todos los niveles de la adopción de decisiones, así como en los sectores públ</w:t>
      </w:r>
      <w:r>
        <w:t>i</w:t>
      </w:r>
      <w:r>
        <w:t>co y privado. El Comité recomienda que el Gobierno informe a los colaboradores sociales de la importancia de esas medidas.</w:t>
      </w:r>
    </w:p>
    <w:p w:rsidR="00000000" w:rsidRDefault="00000000">
      <w:pPr>
        <w:pStyle w:val="DualTxt"/>
        <w:numPr>
          <w:ilvl w:val="0"/>
          <w:numId w:val="130"/>
        </w:numPr>
        <w:tabs>
          <w:tab w:val="clear" w:pos="960"/>
          <w:tab w:val="left" w:pos="475"/>
          <w:tab w:val="left" w:pos="965"/>
          <w:tab w:val="left" w:pos="1440"/>
          <w:tab w:val="left" w:pos="1915"/>
          <w:tab w:val="left" w:pos="2405"/>
          <w:tab w:val="left" w:pos="2880"/>
          <w:tab w:val="left" w:pos="3355"/>
        </w:tabs>
      </w:pPr>
      <w:r>
        <w:t>El Comité expresa preocupación por la ineficacia del actual sistema de coordinadores y por la falta de la estructura necesaria para la supervisión de los efectos de las diferencias entre los sexos.</w:t>
      </w:r>
    </w:p>
    <w:p w:rsidR="00000000" w:rsidRDefault="00000000">
      <w:pPr>
        <w:pStyle w:val="DualTxt"/>
        <w:numPr>
          <w:ilvl w:val="0"/>
          <w:numId w:val="130"/>
        </w:numPr>
        <w:tabs>
          <w:tab w:val="clear" w:pos="960"/>
          <w:tab w:val="left" w:pos="475"/>
          <w:tab w:val="left" w:pos="965"/>
          <w:tab w:val="left" w:pos="1440"/>
          <w:tab w:val="left" w:pos="1915"/>
          <w:tab w:val="left" w:pos="2405"/>
          <w:tab w:val="left" w:pos="2880"/>
          <w:tab w:val="left" w:pos="3355"/>
        </w:tabs>
      </w:pPr>
      <w:r>
        <w:t>El Comité insta al Gobierno a que incorpore m</w:t>
      </w:r>
      <w:r>
        <w:t>e</w:t>
      </w:r>
      <w:r>
        <w:t>didas de género en todos los ministerios, instituciones y departamentos de gobierno y toma nota de que la re</w:t>
      </w:r>
      <w:r>
        <w:t>s</w:t>
      </w:r>
      <w:r>
        <w:t>ponsabilidad no debe recaer exclusivamente bajo la competencia de la Oficina de Asuntos de la Mujer. El Comité recomienda que dicha Oficina desempeñe una función de supervisión de la incorporación de las cue</w:t>
      </w:r>
      <w:r>
        <w:t>s</w:t>
      </w:r>
      <w:r>
        <w:t>tiones de género en todas las actividades gubername</w:t>
      </w:r>
      <w:r>
        <w:t>n</w:t>
      </w:r>
      <w:r>
        <w:t>tales. El Comité solicita que en el próximo informe se proporcione más información sobre la lista de s</w:t>
      </w:r>
      <w:r>
        <w:t>u</w:t>
      </w:r>
      <w:r>
        <w:t>perv</w:t>
      </w:r>
      <w:r>
        <w:t>i</w:t>
      </w:r>
      <w:r>
        <w:t>sión de cuestiones de género.</w:t>
      </w:r>
    </w:p>
    <w:p w:rsidR="00000000" w:rsidRDefault="00000000">
      <w:pPr>
        <w:pStyle w:val="DualTxt"/>
        <w:numPr>
          <w:ilvl w:val="0"/>
          <w:numId w:val="130"/>
        </w:numPr>
        <w:tabs>
          <w:tab w:val="clear" w:pos="960"/>
          <w:tab w:val="left" w:pos="475"/>
          <w:tab w:val="left" w:pos="965"/>
          <w:tab w:val="left" w:pos="1440"/>
          <w:tab w:val="left" w:pos="1915"/>
          <w:tab w:val="left" w:pos="2405"/>
          <w:tab w:val="left" w:pos="2880"/>
          <w:tab w:val="left" w:pos="3355"/>
        </w:tabs>
      </w:pPr>
      <w:r>
        <w:t>El Comité expresa preocupación por la alta taza de embarazos de adolescentes.</w:t>
      </w:r>
    </w:p>
    <w:p w:rsidR="00000000" w:rsidRDefault="00000000">
      <w:pPr>
        <w:pStyle w:val="DualTxt"/>
        <w:numPr>
          <w:ilvl w:val="0"/>
          <w:numId w:val="130"/>
        </w:numPr>
        <w:tabs>
          <w:tab w:val="clear" w:pos="960"/>
          <w:tab w:val="left" w:pos="475"/>
          <w:tab w:val="left" w:pos="965"/>
          <w:tab w:val="left" w:pos="1440"/>
          <w:tab w:val="left" w:pos="1915"/>
          <w:tab w:val="left" w:pos="2405"/>
          <w:tab w:val="left" w:pos="2880"/>
          <w:tab w:val="left" w:pos="3355"/>
        </w:tabs>
      </w:pPr>
      <w:r>
        <w:t>El Comité insta al Estado parte a que mejore sus políticas y programas de planificación de la familia y salud reproductiva, incluso la disponibilidad y acces</w:t>
      </w:r>
      <w:r>
        <w:t>i</w:t>
      </w:r>
      <w:r>
        <w:t>bilidad de métodos anticonceptivos económicos y m</w:t>
      </w:r>
      <w:r>
        <w:t>o</w:t>
      </w:r>
      <w:r>
        <w:t>dernos para mujeres y hombres. Alienta al Gobierno a que promueva programas de derechos reproductivos y conducta sexual responsable para mujeres y hombres, en particular entre los jóvenes.</w:t>
      </w:r>
    </w:p>
    <w:p w:rsidR="00000000" w:rsidRDefault="00000000">
      <w:pPr>
        <w:pStyle w:val="DualTxt"/>
        <w:numPr>
          <w:ilvl w:val="0"/>
          <w:numId w:val="130"/>
        </w:numPr>
        <w:tabs>
          <w:tab w:val="clear" w:pos="960"/>
          <w:tab w:val="left" w:pos="475"/>
          <w:tab w:val="left" w:pos="965"/>
          <w:tab w:val="left" w:pos="1440"/>
          <w:tab w:val="left" w:pos="1915"/>
          <w:tab w:val="left" w:pos="2405"/>
          <w:tab w:val="left" w:pos="2880"/>
          <w:tab w:val="left" w:pos="3355"/>
        </w:tabs>
      </w:pPr>
      <w:r>
        <w:t>El Comité expresa preocupación por la persiste</w:t>
      </w:r>
      <w:r>
        <w:t>n</w:t>
      </w:r>
      <w:r>
        <w:t>cia de la violencia basada en el género y la violencia doméstica, incluso la violación por el marido. El C</w:t>
      </w:r>
      <w:r>
        <w:t>o</w:t>
      </w:r>
      <w:r>
        <w:t>mité también expresa preocupación por el gran número de casos de incesto y violación y que el Gobierno no cuente con una estrategia holística para identificar y erradicar la violencia por motivos de sexo.</w:t>
      </w:r>
    </w:p>
    <w:p w:rsidR="00000000" w:rsidRDefault="00000000">
      <w:pPr>
        <w:pStyle w:val="DualTxt"/>
        <w:numPr>
          <w:ilvl w:val="0"/>
          <w:numId w:val="130"/>
        </w:numPr>
        <w:tabs>
          <w:tab w:val="clear" w:pos="960"/>
          <w:tab w:val="left" w:pos="475"/>
          <w:tab w:val="left" w:pos="965"/>
          <w:tab w:val="left" w:pos="1440"/>
          <w:tab w:val="left" w:pos="1915"/>
          <w:tab w:val="left" w:pos="2405"/>
          <w:tab w:val="left" w:pos="2880"/>
          <w:tab w:val="left" w:pos="3355"/>
        </w:tabs>
      </w:pPr>
      <w:r>
        <w:t>El Comité insta al Gobierno a que dé gran prior</w:t>
      </w:r>
      <w:r>
        <w:t>i</w:t>
      </w:r>
      <w:r>
        <w:t>dad a las medidas encaminadas a encarar la violencia contra la mujer en la familia y la sociedad  de confo</w:t>
      </w:r>
      <w:r>
        <w:t>r</w:t>
      </w:r>
      <w:r>
        <w:t>midad con la recomendación general 19 del Comité y la Declaración sobre la eliminación de la violencia contra la mujer. El Comité recomienda al Gobierno que cree conciencia pública sobre la violencia contra la mujer y lo insta a que refuerce sus actividades y pr</w:t>
      </w:r>
      <w:r>
        <w:t>o</w:t>
      </w:r>
      <w:r>
        <w:t>gramas a fin de que tengan en cuenta la violencia s</w:t>
      </w:r>
      <w:r>
        <w:t>e</w:t>
      </w:r>
      <w:r>
        <w:t>xual, los delitos sexuales, el incesto y la prostitución, especialmente la conexa al turismo. El Comité insta al Gobierno a que ratifique la Convención Interamericana para Prevenir, Sancionar y Erradicar la Violencia co</w:t>
      </w:r>
      <w:r>
        <w:t>n</w:t>
      </w:r>
      <w:r>
        <w:t>tra la Mujer, a fin de reforzar los programas del G</w:t>
      </w:r>
      <w:r>
        <w:t>o</w:t>
      </w:r>
      <w:r>
        <w:t>bierno en esa esfera.</w:t>
      </w:r>
    </w:p>
    <w:p w:rsidR="00000000" w:rsidRDefault="00000000">
      <w:pPr>
        <w:pStyle w:val="DualTxt"/>
        <w:numPr>
          <w:ilvl w:val="0"/>
          <w:numId w:val="130"/>
        </w:numPr>
        <w:tabs>
          <w:tab w:val="clear" w:pos="960"/>
          <w:tab w:val="left" w:pos="475"/>
          <w:tab w:val="left" w:pos="965"/>
          <w:tab w:val="left" w:pos="1440"/>
          <w:tab w:val="left" w:pos="1915"/>
          <w:tab w:val="left" w:pos="2405"/>
          <w:tab w:val="left" w:pos="2880"/>
          <w:tab w:val="left" w:pos="3355"/>
        </w:tabs>
      </w:pPr>
      <w:r>
        <w:t>El Comité expresa su preocupación por la gran incidencia de la pobreza entre los distintos grupos de mujeres, en particular en los hogares encabezados por mujeres. El Comité reconoce que dichos hogares han sido afectados negativamente por los programas de ajuste estructural y por el cambio de la situación mu</w:t>
      </w:r>
      <w:r>
        <w:t>n</w:t>
      </w:r>
      <w:r>
        <w:t>dial.</w:t>
      </w:r>
    </w:p>
    <w:p w:rsidR="00000000" w:rsidRDefault="00000000">
      <w:pPr>
        <w:pStyle w:val="DualTxt"/>
        <w:numPr>
          <w:ilvl w:val="0"/>
          <w:numId w:val="130"/>
        </w:numPr>
        <w:tabs>
          <w:tab w:val="clear" w:pos="960"/>
          <w:tab w:val="left" w:pos="475"/>
          <w:tab w:val="left" w:pos="965"/>
        </w:tabs>
      </w:pPr>
      <w:r>
        <w:t>El Comité pide al Gobierno que brinde más i</w:t>
      </w:r>
      <w:r>
        <w:t>n</w:t>
      </w:r>
      <w:r>
        <w:t>formación sobre los programas y proyectos aplicados para luchar contra los efectos negativos del programa de ajuste estructural en las mujeres y para que las pol</w:t>
      </w:r>
      <w:r>
        <w:t>í</w:t>
      </w:r>
      <w:r>
        <w:t>ticas del Gobierno encaminadas a erradicar la pobreza sean continuas y no marginen todavía más a la mujer.</w:t>
      </w:r>
    </w:p>
    <w:p w:rsidR="00000000" w:rsidRDefault="00000000">
      <w:pPr>
        <w:pStyle w:val="DualTxt"/>
        <w:numPr>
          <w:ilvl w:val="0"/>
          <w:numId w:val="130"/>
        </w:numPr>
        <w:tabs>
          <w:tab w:val="clear" w:pos="960"/>
          <w:tab w:val="left" w:pos="475"/>
          <w:tab w:val="left" w:pos="965"/>
        </w:tabs>
      </w:pPr>
      <w:r>
        <w:t>El Comité expresa preocupación por las cond</w:t>
      </w:r>
      <w:r>
        <w:t>i</w:t>
      </w:r>
      <w:r>
        <w:t>ciones de trabajo de las mujeres empleadas en las zonas de libre comercio.</w:t>
      </w:r>
    </w:p>
    <w:p w:rsidR="00000000" w:rsidRDefault="00000000">
      <w:pPr>
        <w:pStyle w:val="DualTxt"/>
        <w:numPr>
          <w:ilvl w:val="0"/>
          <w:numId w:val="130"/>
        </w:numPr>
        <w:tabs>
          <w:tab w:val="clear" w:pos="960"/>
          <w:tab w:val="left" w:pos="475"/>
          <w:tab w:val="left" w:pos="965"/>
        </w:tabs>
      </w:pPr>
      <w:r>
        <w:t>El Comité insta al Gobierno a que promulgue l</w:t>
      </w:r>
      <w:r>
        <w:t>e</w:t>
      </w:r>
      <w:r>
        <w:t xml:space="preserve">gislación encaminada a proteger los derechos laborales de quienes trabajan en las zonas de libre comercio. </w:t>
      </w:r>
    </w:p>
    <w:p w:rsidR="00000000" w:rsidRDefault="00000000">
      <w:pPr>
        <w:pStyle w:val="DualTxt"/>
        <w:numPr>
          <w:ilvl w:val="0"/>
          <w:numId w:val="130"/>
        </w:numPr>
        <w:tabs>
          <w:tab w:val="clear" w:pos="960"/>
          <w:tab w:val="left" w:pos="475"/>
          <w:tab w:val="left" w:pos="965"/>
        </w:tabs>
      </w:pPr>
      <w:r>
        <w:t>El Comité insta también al Gobierno a que firme y ratifique el Protocolo Facultativo de la Convención. También insta al Gobierno a que deposite su instr</w:t>
      </w:r>
      <w:r>
        <w:t>u</w:t>
      </w:r>
      <w:r>
        <w:t>mento de aceptación de la enmienda al párrafo 1 del artículo 20 de la Convención, relativo al período de r</w:t>
      </w:r>
      <w:r>
        <w:t>e</w:t>
      </w:r>
      <w:r>
        <w:t>uniones del Comité.</w:t>
      </w:r>
    </w:p>
    <w:p w:rsidR="00000000" w:rsidRDefault="00000000">
      <w:pPr>
        <w:pStyle w:val="DualTxt"/>
        <w:numPr>
          <w:ilvl w:val="0"/>
          <w:numId w:val="130"/>
        </w:numPr>
        <w:tabs>
          <w:tab w:val="clear" w:pos="960"/>
          <w:tab w:val="left" w:pos="475"/>
          <w:tab w:val="left" w:pos="965"/>
        </w:tabs>
      </w:pPr>
      <w:r>
        <w:t>El Comité pide al Gobierno que en su próximo i</w:t>
      </w:r>
      <w:r>
        <w:t>n</w:t>
      </w:r>
      <w:r>
        <w:t>forme suministre datos, estadísticas e información más detallados sobre todos los aspectos relacionados con la mujer en Jamaica y responda a las preocupaciones e</w:t>
      </w:r>
      <w:r>
        <w:t>x</w:t>
      </w:r>
      <w:r>
        <w:t>presadas en las presentes observaciones finales en su próximo informe periódico presentado en virtud del a</w:t>
      </w:r>
      <w:r>
        <w:t>r</w:t>
      </w:r>
      <w:r>
        <w:t>tículo 18 de la Convención.</w:t>
      </w:r>
    </w:p>
    <w:p w:rsidR="00000000" w:rsidRDefault="00000000">
      <w:pPr>
        <w:pStyle w:val="DualTxt"/>
        <w:numPr>
          <w:ilvl w:val="0"/>
          <w:numId w:val="130"/>
        </w:numPr>
        <w:tabs>
          <w:tab w:val="clear" w:pos="960"/>
          <w:tab w:val="left" w:pos="475"/>
          <w:tab w:val="left" w:pos="965"/>
          <w:tab w:val="left" w:pos="1440"/>
          <w:tab w:val="left" w:pos="1915"/>
          <w:tab w:val="left" w:pos="2405"/>
          <w:tab w:val="left" w:pos="2880"/>
          <w:tab w:val="left" w:pos="3355"/>
        </w:tabs>
      </w:pPr>
      <w:r>
        <w:t>El Comité pide que se difundan ampliamente en Jamaica las presentes observaciones finales, a fin de que el pueblo de Jamaica, en particular los funcionarios y los políticos, tomen conciencia de las medidas que habrán de adoptarse para velar por la igualdad de jure y de facto de la mujer y de las medidas que habrá que adoptar en el futuro al respecto. También pide al G</w:t>
      </w:r>
      <w:r>
        <w:t>o</w:t>
      </w:r>
      <w:r>
        <w:t>bierno que siga difundiendo ampliamente, en particular entre las organizaciones dedicadas a la mujer y a los derechos humanos, la Convención y su Protocolo F</w:t>
      </w:r>
      <w:r>
        <w:t>a</w:t>
      </w:r>
      <w:r>
        <w:t>cultativo,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 xml:space="preserve">Informes periódicos tercero y cuarto combinados </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Mongolia</w:t>
      </w:r>
    </w:p>
    <w:p w:rsidR="00000000" w:rsidRDefault="00000000">
      <w:pPr>
        <w:pStyle w:val="DualTxt"/>
        <w:spacing w:after="0" w:line="120" w:lineRule="exact"/>
        <w:rPr>
          <w:sz w:val="10"/>
        </w:rPr>
      </w:pPr>
    </w:p>
    <w:p w:rsidR="00000000" w:rsidRDefault="00000000">
      <w:pPr>
        <w:pStyle w:val="DualTxt"/>
        <w:numPr>
          <w:ilvl w:val="0"/>
          <w:numId w:val="130"/>
        </w:numPr>
        <w:tabs>
          <w:tab w:val="clear" w:pos="960"/>
          <w:tab w:val="left" w:pos="475"/>
          <w:tab w:val="left" w:pos="965"/>
          <w:tab w:val="left" w:pos="1440"/>
          <w:tab w:val="left" w:pos="1915"/>
          <w:tab w:val="left" w:pos="2405"/>
          <w:tab w:val="left" w:pos="2880"/>
          <w:tab w:val="left" w:pos="3355"/>
        </w:tabs>
        <w:rPr>
          <w:w w:val="100"/>
        </w:rPr>
      </w:pPr>
      <w:r>
        <w:rPr>
          <w:w w:val="100"/>
        </w:rPr>
        <w:t>El Comité examinó los informes periódicos tercero y cuarto combinados de Mongolia (CEDAW/C/MNG/3 y 4) en su sus sesiones 504ª y 505ª, celebradas el 29 de enero de 2001 (véase CEDAW/C/SR.504 y 505).</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Presentación del Estado parte</w:t>
      </w:r>
    </w:p>
    <w:p w:rsidR="00000000" w:rsidRDefault="00000000">
      <w:pPr>
        <w:pStyle w:val="DualTxt"/>
        <w:spacing w:after="0" w:line="120" w:lineRule="exact"/>
        <w:rPr>
          <w:sz w:val="10"/>
        </w:rPr>
      </w:pPr>
    </w:p>
    <w:p w:rsidR="00000000" w:rsidRDefault="00000000">
      <w:pPr>
        <w:pStyle w:val="DualTxt"/>
        <w:numPr>
          <w:ilvl w:val="0"/>
          <w:numId w:val="130"/>
        </w:numPr>
        <w:tabs>
          <w:tab w:val="clear" w:pos="960"/>
          <w:tab w:val="left" w:pos="965"/>
          <w:tab w:val="left" w:pos="1440"/>
          <w:tab w:val="left" w:pos="1915"/>
          <w:tab w:val="left" w:pos="2405"/>
          <w:tab w:val="left" w:pos="2880"/>
          <w:tab w:val="left" w:pos="3355"/>
        </w:tabs>
      </w:pPr>
      <w:r>
        <w:t>Al presentar los informes, la representante de Mongolia informó al Comité de que Mongolia había sido uno de los primeros países en ratificar la Conve</w:t>
      </w:r>
      <w:r>
        <w:t>n</w:t>
      </w:r>
      <w:r>
        <w:t>ción sobre la eliminación de todas las formas de di</w:t>
      </w:r>
      <w:r>
        <w:t>s</w:t>
      </w:r>
      <w:r>
        <w:t>criminación contra la mujer en 1981. Asimismo, i</w:t>
      </w:r>
      <w:r>
        <w:t>n</w:t>
      </w:r>
      <w:r>
        <w:t>formó al Comité de que en 1998, el Parlamento de Mongolia había aceptado la enmienda del párrafo 1 del artículo 20 de la Convención. Mongolia firmó en septiembre de 2000 el Protocolo Facultativo de la Convención, cuya ratificación el Parlamento tramita actualmente.</w:t>
      </w:r>
    </w:p>
    <w:p w:rsidR="00000000" w:rsidRDefault="00000000">
      <w:pPr>
        <w:pStyle w:val="DualTxt"/>
        <w:numPr>
          <w:ilvl w:val="0"/>
          <w:numId w:val="130"/>
        </w:numPr>
        <w:tabs>
          <w:tab w:val="clear" w:pos="960"/>
          <w:tab w:val="left" w:pos="965"/>
          <w:tab w:val="left" w:pos="1440"/>
          <w:tab w:val="left" w:pos="1915"/>
          <w:tab w:val="left" w:pos="2405"/>
          <w:tab w:val="left" w:pos="2880"/>
          <w:tab w:val="left" w:pos="3355"/>
        </w:tabs>
      </w:pPr>
      <w:r>
        <w:t>La representante destacó que durante los 10 años transcurridos desde la presentación de su segundo i</w:t>
      </w:r>
      <w:r>
        <w:t>n</w:t>
      </w:r>
      <w:r>
        <w:t>forme, Mongolia había sufrido cambios profundos en su vida política, económica y social. Mongolia se había convertido en un país en que el gobierno era resultado de la voluntad del Parlamento y disponía de un sistema pluripartidista. Mongolia había pasado a ser parte en 30 tratados internacionales en materia de derechos h</w:t>
      </w:r>
      <w:r>
        <w:t>u</w:t>
      </w:r>
      <w:r>
        <w:t>manos y había adoptado políticas pertinentes y había promulgado o reformado leyes en esta materia en co</w:t>
      </w:r>
      <w:r>
        <w:t>n</w:t>
      </w:r>
      <w:r>
        <w:t>sonancia con las obligaciones contraídas en virtud de esos tratados.</w:t>
      </w:r>
    </w:p>
    <w:p w:rsidR="00000000" w:rsidRDefault="00000000">
      <w:pPr>
        <w:pStyle w:val="DualTxt"/>
        <w:numPr>
          <w:ilvl w:val="0"/>
          <w:numId w:val="130"/>
        </w:numPr>
        <w:tabs>
          <w:tab w:val="clear" w:pos="960"/>
          <w:tab w:val="left" w:pos="965"/>
        </w:tabs>
      </w:pPr>
      <w:r>
        <w:t>La representante de Mongolia informó al Comité de que la Constitución de su país prohibía la discrim</w:t>
      </w:r>
      <w:r>
        <w:t>i</w:t>
      </w:r>
      <w:r>
        <w:t>nación por motivos de sexo y que el derecho de la m</w:t>
      </w:r>
      <w:r>
        <w:t>u</w:t>
      </w:r>
      <w:r>
        <w:t>jer a la educación, al empleo y la participación polít</w:t>
      </w:r>
      <w:r>
        <w:t>i</w:t>
      </w:r>
      <w:r>
        <w:t>ca también estaba amparado por la Constitución y la legislación.</w:t>
      </w:r>
    </w:p>
    <w:p w:rsidR="00000000" w:rsidRDefault="00000000">
      <w:pPr>
        <w:pStyle w:val="DualTxt"/>
        <w:numPr>
          <w:ilvl w:val="0"/>
          <w:numId w:val="130"/>
        </w:numPr>
        <w:tabs>
          <w:tab w:val="clear" w:pos="960"/>
          <w:tab w:val="left" w:pos="965"/>
        </w:tabs>
      </w:pPr>
      <w:r>
        <w:t>Al referirse a las acciones adoptadas en cumpl</w:t>
      </w:r>
      <w:r>
        <w:t>i</w:t>
      </w:r>
      <w:r>
        <w:t>miento de la Convención, informó al Comité de que se habían reformado leyes y se habían promulgado otras nuevas para reflejar los principios básicos de la Co</w:t>
      </w:r>
      <w:r>
        <w:t>n</w:t>
      </w:r>
      <w:r>
        <w:t>vención en el marco jurídico y en las políticas y pr</w:t>
      </w:r>
      <w:r>
        <w:t>o</w:t>
      </w:r>
      <w:r>
        <w:t>gramas públicos. Se habían ejecutado programas n</w:t>
      </w:r>
      <w:r>
        <w:t>a</w:t>
      </w:r>
      <w:r>
        <w:t>cionales para hacer frente a las necesidades concretas de las mujeres rurales y se habían tomado iniciativas para aplicar tecnologías avanzadas y crear mayores oportunid</w:t>
      </w:r>
      <w:r>
        <w:t>a</w:t>
      </w:r>
      <w:r>
        <w:t>des de empleo.</w:t>
      </w:r>
    </w:p>
    <w:p w:rsidR="00000000" w:rsidRDefault="00000000">
      <w:pPr>
        <w:pStyle w:val="DualTxt"/>
        <w:numPr>
          <w:ilvl w:val="0"/>
          <w:numId w:val="130"/>
        </w:numPr>
        <w:tabs>
          <w:tab w:val="clear" w:pos="960"/>
          <w:tab w:val="left" w:pos="475"/>
          <w:tab w:val="left" w:pos="965"/>
          <w:tab w:val="left" w:pos="1440"/>
          <w:tab w:val="left" w:pos="1915"/>
          <w:tab w:val="left" w:pos="2405"/>
          <w:tab w:val="left" w:pos="2880"/>
          <w:tab w:val="left" w:pos="3355"/>
        </w:tabs>
        <w:rPr>
          <w:w w:val="100"/>
        </w:rPr>
      </w:pPr>
      <w:r>
        <w:t>La representante de Mongolia destacó que la Ley relativa a la salud, que había entrado en vigor en 1998, y el nuevo Código del Trabajo contenían disposiciones concretas por las que se prohibía la discriminación en el lugar de trabajo. La Ley de la familia había entrado en vigor en 1999 y en ella se reconocía la igualdad de derechos de la mujer en las herencias, el uso y propi</w:t>
      </w:r>
      <w:r>
        <w:t>e</w:t>
      </w:r>
      <w:r>
        <w:t>dad de la tierra, el ganado y otro tipo de bienes. Dijo que la Gran Hural del Estado (Parlamento) había apr</w:t>
      </w:r>
      <w:r>
        <w:t>o</w:t>
      </w:r>
      <w:r>
        <w:t>bado recientemente la Ley sobre la Comisión Naci</w:t>
      </w:r>
      <w:r>
        <w:t>o</w:t>
      </w:r>
      <w:r>
        <w:t>nal de Derechos Humanos y que, en colaboración con organizaciones internacionales, el Gobierno había in</w:t>
      </w:r>
      <w:r>
        <w:t>i</w:t>
      </w:r>
      <w:r>
        <w:t>ciado un proceso de debate nacional para formular un programa nacional en materia de derechos humanos.</w:t>
      </w:r>
    </w:p>
    <w:p w:rsidR="00000000" w:rsidRDefault="00000000">
      <w:pPr>
        <w:pStyle w:val="DualTxt"/>
        <w:numPr>
          <w:ilvl w:val="0"/>
          <w:numId w:val="130"/>
        </w:numPr>
        <w:tabs>
          <w:tab w:val="clear" w:pos="960"/>
          <w:tab w:val="left" w:pos="475"/>
          <w:tab w:val="left" w:pos="965"/>
          <w:tab w:val="left" w:pos="1440"/>
          <w:tab w:val="left" w:pos="1915"/>
          <w:tab w:val="left" w:pos="2405"/>
          <w:tab w:val="left" w:pos="2880"/>
          <w:tab w:val="left" w:pos="3355"/>
        </w:tabs>
        <w:rPr>
          <w:w w:val="100"/>
        </w:rPr>
      </w:pPr>
      <w:r>
        <w:t>La representante de Mongolia informó al Comité de algunos de los logros conseguidos en la aplicación de la Convención en su país. Entre ellos, destacó la creación de un marco jurídico adecuado, el aumento de la participación de las organizaciones no gubername</w:t>
      </w:r>
      <w:r>
        <w:t>n</w:t>
      </w:r>
      <w:r>
        <w:t>tales, la formulación y aplicación de políticas en mat</w:t>
      </w:r>
      <w:r>
        <w:t>e</w:t>
      </w:r>
      <w:r>
        <w:t>ria de género y el elevado nivel de educación de la mujer. Entre los factores que habían obstaculizado la plena aplicación de la Convención figuraban la falta de un mecanismo nacional específico, la elevada tasa de mortalidad derivada de la maternidad, la baja particip</w:t>
      </w:r>
      <w:r>
        <w:t>a</w:t>
      </w:r>
      <w:r>
        <w:t>ción de la mujer en la adopción de las decisiones pol</w:t>
      </w:r>
      <w:r>
        <w:t>í</w:t>
      </w:r>
      <w:r>
        <w:t>ticas, las discrepancias entre las distintas zonas geogr</w:t>
      </w:r>
      <w:r>
        <w:t>á</w:t>
      </w:r>
      <w:r>
        <w:t>ficas y grupos sociales, el aumento de la violencia en el hogar contra la mujer y la falta de conocimientos jur</w:t>
      </w:r>
      <w:r>
        <w:t>í</w:t>
      </w:r>
      <w:r>
        <w:t>dicos entre las mujeres.</w:t>
      </w:r>
    </w:p>
    <w:p w:rsidR="00000000" w:rsidRDefault="00000000">
      <w:pPr>
        <w:pStyle w:val="DualTxt"/>
        <w:numPr>
          <w:ilvl w:val="0"/>
          <w:numId w:val="135"/>
        </w:numPr>
        <w:tabs>
          <w:tab w:val="clear" w:pos="960"/>
          <w:tab w:val="left" w:pos="475"/>
          <w:tab w:val="left" w:pos="965"/>
          <w:tab w:val="left" w:pos="1440"/>
          <w:tab w:val="left" w:pos="1915"/>
          <w:tab w:val="left" w:pos="2405"/>
          <w:tab w:val="left" w:pos="2880"/>
          <w:tab w:val="left" w:pos="3355"/>
        </w:tabs>
      </w:pPr>
      <w:r>
        <w:t>La representante de Mongolia concluyó info</w:t>
      </w:r>
      <w:r>
        <w:t>r</w:t>
      </w:r>
      <w:r>
        <w:t>mando de las estrategias del Gobierno para la aplic</w:t>
      </w:r>
      <w:r>
        <w:t>a</w:t>
      </w:r>
      <w:r>
        <w:t>ción de la Convención en el futuro. Entre éstas destacó la mejora del mecanismo nacional de coordinación e integración, la creación de una base de datos integrada, el análisis en curso de las leyes vigentes, el examen exhaustivo del sector rural y el fortalecimiento de la cooperación entre los organismos públicos y las org</w:t>
      </w:r>
      <w:r>
        <w:t>a</w:t>
      </w:r>
      <w:r>
        <w:t>nizaciones no gubernamentales para promover los c</w:t>
      </w:r>
      <w:r>
        <w:t>o</w:t>
      </w:r>
      <w:r>
        <w:t>nocimientos j</w:t>
      </w:r>
      <w:r>
        <w:t>u</w:t>
      </w:r>
      <w:r>
        <w:t>rídicos de la mujer.</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Observaciones finales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DualTxt"/>
        <w:spacing w:after="0" w:line="120" w:lineRule="exact"/>
        <w:rPr>
          <w:sz w:val="10"/>
        </w:rPr>
      </w:pP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expresa satisfacción por la present</w:t>
      </w:r>
      <w:r>
        <w:t>a</w:t>
      </w:r>
      <w:r>
        <w:t>ción de los informes periódicos tercero y cuarto de Mongolia y por las respuestas a las preguntas plante</w:t>
      </w:r>
      <w:r>
        <w:t>a</w:t>
      </w:r>
      <w:r>
        <w:t>das por el grupo de trabajo anterior al períodos de s</w:t>
      </w:r>
      <w:r>
        <w:t>e</w:t>
      </w:r>
      <w:r>
        <w:t>siones. El Comité acoge con beneplácito la actualiz</w:t>
      </w:r>
      <w:r>
        <w:t>a</w:t>
      </w:r>
      <w:r>
        <w:t>ción oral de la información, en particular las diversas estrategias previstas para la aplicación futura de la Convención.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spacing w:after="0" w:line="120" w:lineRule="exact"/>
        <w:rPr>
          <w:sz w:val="10"/>
        </w:rPr>
      </w:pP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encomia al Gobierno por ratificar la enmienda del párrafo 1 del artículo 20 de la Conve</w:t>
      </w:r>
      <w:r>
        <w:t>n</w:t>
      </w:r>
      <w:r>
        <w:t>ción y por haber tomado medidas para ratificar el Pr</w:t>
      </w:r>
      <w:r>
        <w:t>o</w:t>
      </w:r>
      <w:r>
        <w:t>tocolo Facultativo.</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observa que se han llevado a cabo a</w:t>
      </w:r>
      <w:r>
        <w:t>l</w:t>
      </w:r>
      <w:r>
        <w:t>gunas reformas legislativas en relación con la mujer; se han adoptado, por ejemplo, disposiciones que prohiben la discriminación en el lugar de trabajo y otras que dan a la mujer igualdad de derechos de herencia, uso de la tierra y propiedad del ganado y otros bienes. El Comité observa que el Gobierno ha reconocido a las organiz</w:t>
      </w:r>
      <w:r>
        <w:t>a</w:t>
      </w:r>
      <w:r>
        <w:t>ciones no g</w:t>
      </w:r>
      <w:r>
        <w:t>u</w:t>
      </w:r>
      <w:r>
        <w:t>bernamentales para las mujeres.</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encomia los progresos realizados para brindar a la mujer el acceso a la educación, así como el logro de elevados índices de participación en el n</w:t>
      </w:r>
      <w:r>
        <w:t>i</w:t>
      </w:r>
      <w:r>
        <w:t>vel te</w:t>
      </w:r>
      <w:r>
        <w:t>r</w:t>
      </w:r>
      <w:r>
        <w:t>ciario.</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acoge con satisfacción los esfuerzos para llevar a cabo un análisis de la situación de la m</w:t>
      </w:r>
      <w:r>
        <w:t>u</w:t>
      </w:r>
      <w:r>
        <w:t>jer en Mongolia y formular un programa de acción n</w:t>
      </w:r>
      <w:r>
        <w:t>a</w:t>
      </w:r>
      <w:r>
        <w:t>cional para el adelanto de la mujer con el apoyo técnico de organismos internacionales.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a la aplicación de la Convención</w:t>
      </w:r>
    </w:p>
    <w:p w:rsidR="00000000" w:rsidRDefault="00000000">
      <w:pPr>
        <w:pStyle w:val="DualTxt"/>
        <w:spacing w:after="0" w:line="120" w:lineRule="exact"/>
        <w:rPr>
          <w:sz w:val="10"/>
        </w:rPr>
      </w:pP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observa que la persistencia de actitudes estereotipadas y patriarcales respecto al papel de la mujer en la familia y la comunidad impide la realiz</w:t>
      </w:r>
      <w:r>
        <w:t>a</w:t>
      </w:r>
      <w:r>
        <w:t>ción de los derechos humanos de la mujer y le niega la oport</w:t>
      </w:r>
      <w:r>
        <w:t>u</w:t>
      </w:r>
      <w:r>
        <w:t>nidad de participar en el desarrollo nacional.</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considera que los efectos negativos de la actual transición del país a la economía de mercado son obstáculos importantes para la plena aplicación de la Convención.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esferas de preocupación y recomendaciones</w:t>
      </w:r>
    </w:p>
    <w:p w:rsidR="00000000" w:rsidRDefault="00000000">
      <w:pPr>
        <w:pStyle w:val="DualTxt"/>
        <w:spacing w:after="0" w:line="120" w:lineRule="exact"/>
        <w:rPr>
          <w:sz w:val="10"/>
        </w:rPr>
      </w:pP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observa con gran preocupación que la situación de la mujer en Mongolia ha empeorado d</w:t>
      </w:r>
      <w:r>
        <w:t>u</w:t>
      </w:r>
      <w:r>
        <w:t>rante el período de transformación económica. En pa</w:t>
      </w:r>
      <w:r>
        <w:t>r</w:t>
      </w:r>
      <w:r>
        <w:t>ticular, expresa preocupación por que el Gobierno no haya podido impedir el menoscabo gradual de los der</w:t>
      </w:r>
      <w:r>
        <w:t>e</w:t>
      </w:r>
      <w:r>
        <w:t>chos de la mujer al desarrollo económico, la salud, la educación, la participación en la vida política y la s</w:t>
      </w:r>
      <w:r>
        <w:t>e</w:t>
      </w:r>
      <w:r>
        <w:t>guridad personal.</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exhorta al Gobierno a que promueva y proteja los derechos humanos de las mujeres y utilice los recursos para el desarrollo y los recursos técnicos que dispone, así como los recursos humanos del país, por ejemplo, la sociedad civil y los grupos de mujeres, a fin de invertir esa tendencia.</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Preocupa al Comité que la pobreza sea un fen</w:t>
      </w:r>
      <w:r>
        <w:t>ó</w:t>
      </w:r>
      <w:r>
        <w:t>meno generalizado entre las mujeres a consecuencia de la privatización y otros factores vinculados a la trans</w:t>
      </w:r>
      <w:r>
        <w:t>i</w:t>
      </w:r>
      <w:r>
        <w:t>ción hacia una economía de mercado.</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exhorta al Gobierno a que reúna datos e información sobre las mujeres que viven en la pobr</w:t>
      </w:r>
      <w:r>
        <w:t>e</w:t>
      </w:r>
      <w:r>
        <w:t>za, desglosados por edad y según vivan en zonas rur</w:t>
      </w:r>
      <w:r>
        <w:t>a</w:t>
      </w:r>
      <w:r>
        <w:t>les o urbanas, a que formule políticas especiales para ayudar a las mujeres, les preste servicios de apoyo, a que haga lo posible por impedir que un mayor número de mujeres viva por debajo del umbral de la pobreza y a que procure remediar, en particular, la situación de las f</w:t>
      </w:r>
      <w:r>
        <w:t>a</w:t>
      </w:r>
      <w:r>
        <w:t>milias encabezadas por mujeres.</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rPr>
          <w:w w:val="100"/>
        </w:rPr>
        <w:t>El Comité expresa preocupación por que, aunque en la Constitución del país se prevé la igualdad de todos los ciudadanos ante la ley, no se refleja la</w:t>
      </w:r>
      <w:r>
        <w:t xml:space="preserve"> definición de discriminación que da el artículo 1 de la Convención, en el que se prohibe la discriminación directa e ind</w:t>
      </w:r>
      <w:r>
        <w:t>i</w:t>
      </w:r>
      <w:r>
        <w:t>recta. También expresa preocupación por que no exi</w:t>
      </w:r>
      <w:r>
        <w:t>s</w:t>
      </w:r>
      <w:r>
        <w:t>tan recursos para que las mujeres puedan obtener rep</w:t>
      </w:r>
      <w:r>
        <w:t>a</w:t>
      </w:r>
      <w:r>
        <w:t>ración por violaciones de sus derechos.</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exhorta al Gobierno a que efectúe las reformas jurídicas necesarias para que la Constitución y las leyes del país se ajusten plenamente al sentido del artículo 1 de la Convención y a que vele por la realiz</w:t>
      </w:r>
      <w:r>
        <w:t>a</w:t>
      </w:r>
      <w:r>
        <w:t>ción de esos derechos constitucionales.</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toma nota de que ya se han promulg</w:t>
      </w:r>
      <w:r>
        <w:t>a</w:t>
      </w:r>
      <w:r>
        <w:t>do varias leyes, pero señala que todavía no se han an</w:t>
      </w:r>
      <w:r>
        <w:t>a</w:t>
      </w:r>
      <w:r>
        <w:t>lizado para determinar sus posibles efectos discrim</w:t>
      </w:r>
      <w:r>
        <w:t>i</w:t>
      </w:r>
      <w:r>
        <w:t>natorios para la mujer. También expresa preocupación por que no se hagan cumplir cabalmente las leyes a fin de que proteger los derechos humanos de la mujer.</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insta al Gobierno a que examine y r</w:t>
      </w:r>
      <w:r>
        <w:t>e</w:t>
      </w:r>
      <w:r>
        <w:t>forme en consulta con grupos profesionales y de muj</w:t>
      </w:r>
      <w:r>
        <w:t>e</w:t>
      </w:r>
      <w:r>
        <w:t>res, todas las leyes que discriminan a la mujer. Insta también al Gobierno a que intensifiquen las actividades de represión de los delitos contra la mujer y a que dé a las mujeres acceso a recursos eficaces en los tribunales. El Comité pide al Gobierno que formule programas p</w:t>
      </w:r>
      <w:r>
        <w:t>a</w:t>
      </w:r>
      <w:r>
        <w:t>ra promover los conocimientos básicos de las leyes e</w:t>
      </w:r>
      <w:r>
        <w:t>n</w:t>
      </w:r>
      <w:r>
        <w:t>tre la comunidad y también programas para sensibilizar a los magistrados y a los oficiales encargados de hacer cumplir la ley acerca de las cuestiones de género.</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observa con preocupación que, Mo</w:t>
      </w:r>
      <w:r>
        <w:t>n</w:t>
      </w:r>
      <w:r>
        <w:t xml:space="preserve">golia aún no ha formulado programas especiales de sensibilización sobre cuestiones de género ni de </w:t>
      </w:r>
      <w:r>
        <w:br/>
        <w:t>información básica sobre las leyes para su gran pobl</w:t>
      </w:r>
      <w:r>
        <w:t>a</w:t>
      </w:r>
      <w:r>
        <w:t>ción de jóvenes.</w:t>
      </w:r>
    </w:p>
    <w:p w:rsidR="00000000" w:rsidRDefault="00000000">
      <w:pPr>
        <w:pStyle w:val="DualTxt"/>
        <w:numPr>
          <w:ilvl w:val="0"/>
          <w:numId w:val="132"/>
        </w:numPr>
        <w:tabs>
          <w:tab w:val="clear" w:pos="960"/>
          <w:tab w:val="left" w:pos="475"/>
          <w:tab w:val="left" w:pos="965"/>
        </w:tabs>
      </w:pPr>
      <w:r>
        <w:t>El Comité exhorta al Gobierno a que amplíe lo antes posible sus programas de enseñanza a distancia para los jóvenes a fin de que incluyan programas rel</w:t>
      </w:r>
      <w:r>
        <w:t>a</w:t>
      </w:r>
      <w:r>
        <w:t>cionados con el género. El Comité considera que los jóvenes pueden contribuir en gran medida a cambiar las actitudes estereotipadas y patriarcales de la soci</w:t>
      </w:r>
      <w:r>
        <w:t>e</w:t>
      </w:r>
      <w:r>
        <w:t>dad.</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expresa preocupación por que los éx</w:t>
      </w:r>
      <w:r>
        <w:t>i</w:t>
      </w:r>
      <w:r>
        <w:t>tos académicos logrados por las mujeres no guarden relación con su participación en los órganos legislat</w:t>
      </w:r>
      <w:r>
        <w:t>i</w:t>
      </w:r>
      <w:r>
        <w:t>vos nacionales ni locales ni con los cargos de respo</w:t>
      </w:r>
      <w:r>
        <w:t>n</w:t>
      </w:r>
      <w:r>
        <w:t>sabilidad que ocupan en la administración.</w:t>
      </w:r>
    </w:p>
    <w:p w:rsidR="00000000" w:rsidRDefault="00000000">
      <w:pPr>
        <w:pStyle w:val="DualTxt"/>
        <w:numPr>
          <w:ilvl w:val="0"/>
          <w:numId w:val="132"/>
        </w:numPr>
        <w:tabs>
          <w:tab w:val="clear" w:pos="960"/>
          <w:tab w:val="left" w:pos="475"/>
          <w:tab w:val="left" w:pos="965"/>
        </w:tabs>
      </w:pPr>
      <w:r>
        <w:t>El Comité insta al Gobierno a que adopte med</w:t>
      </w:r>
      <w:r>
        <w:t>i</w:t>
      </w:r>
      <w:r>
        <w:t>das especiales provisionales, de conformidad con la Convención, y a que ejecute programas de información pública y educación sobre los derechos humanos a fin de promover la participación de la mujer en la vida públ</w:t>
      </w:r>
      <w:r>
        <w:t>i</w:t>
      </w:r>
      <w:r>
        <w:t>ca.</w:t>
      </w:r>
    </w:p>
    <w:p w:rsidR="00000000" w:rsidRDefault="00000000">
      <w:pPr>
        <w:pStyle w:val="DualTxt"/>
        <w:numPr>
          <w:ilvl w:val="0"/>
          <w:numId w:val="132"/>
        </w:numPr>
        <w:tabs>
          <w:tab w:val="clear" w:pos="960"/>
          <w:tab w:val="left" w:pos="475"/>
          <w:tab w:val="left" w:pos="965"/>
        </w:tabs>
      </w:pPr>
      <w:r>
        <w:t>El Comité expresa preocupación por que las l</w:t>
      </w:r>
      <w:r>
        <w:t>e</w:t>
      </w:r>
      <w:r>
        <w:t>yes, las políticas y los programas del país no se ocupen adecuadamente del fenómeno de la violencia contra la mujer. El Comité expresa especial preocupación por que el Gobierno se demore tanto en promulgar la ley propuesta sobre la violencia en el hogar.</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insta al Gobierno a que promulgue la ley propuesta sobre la violencia en el hogar, incluida la violación por el marido, intensifique las actividades que promueven el cumplimiento de la ley y adopte di</w:t>
      </w:r>
      <w:r>
        <w:t>s</w:t>
      </w:r>
      <w:r>
        <w:t>tintas iniciativas integradas para hacer frente a la vi</w:t>
      </w:r>
      <w:r>
        <w:t>o</w:t>
      </w:r>
      <w:r>
        <w:t>lencia contra la mujer, con sujeción a la recomendación general 19 del Comité y a la Declaración sobre elim</w:t>
      </w:r>
      <w:r>
        <w:t>i</w:t>
      </w:r>
      <w:r>
        <w:t>nación de la violencia contra la mujer.</w:t>
      </w:r>
    </w:p>
    <w:p w:rsidR="00000000" w:rsidRDefault="00000000">
      <w:pPr>
        <w:pStyle w:val="DualTxt"/>
        <w:numPr>
          <w:ilvl w:val="0"/>
          <w:numId w:val="132"/>
        </w:numPr>
        <w:tabs>
          <w:tab w:val="clear" w:pos="960"/>
          <w:tab w:val="left" w:pos="475"/>
          <w:tab w:val="left" w:pos="965"/>
        </w:tabs>
      </w:pPr>
      <w:r>
        <w:t>El Comité observa que se han establecido una v</w:t>
      </w:r>
      <w:r>
        <w:t>a</w:t>
      </w:r>
      <w:r>
        <w:t>riedad de instituciones y organismos especiales que se ocupan de las cuestiones de género, aunque éstos no coordinan su labor. El Comité expresa preocupación por que el Gobierno haya reconocido las deficiencias de los mecanismos nacionales pero no haya facilitado información acerca de las iniciativas que ha tomado p</w:t>
      </w:r>
      <w:r>
        <w:t>a</w:t>
      </w:r>
      <w:r>
        <w:t>ra corregir este problema.</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insta al Gobierno a que establezca m</w:t>
      </w:r>
      <w:r>
        <w:t>e</w:t>
      </w:r>
      <w:r>
        <w:t xml:space="preserve">canismos nacionales dinámicos y eficaces para integrar la Convención y la Plataforma de Acción en los planes de desarrollo. Considera que es necesario coordinar y supervisar las actividades encaminadas a incorporar </w:t>
      </w:r>
      <w:r>
        <w:br/>
      </w:r>
      <w:r>
        <w:br/>
        <w:t>las cuestiones relativas al género en esos planes. El Comité recomienda que las cuestiones de género se i</w:t>
      </w:r>
      <w:r>
        <w:t>n</w:t>
      </w:r>
      <w:r>
        <w:t xml:space="preserve">tegren en la labor de la Comisión de Derechos </w:t>
      </w:r>
      <w:r>
        <w:rPr>
          <w:spacing w:val="0"/>
        </w:rPr>
        <w:t>Hum</w:t>
      </w:r>
      <w:r>
        <w:rPr>
          <w:spacing w:val="0"/>
        </w:rPr>
        <w:t>a</w:t>
      </w:r>
      <w:r>
        <w:rPr>
          <w:spacing w:val="0"/>
        </w:rPr>
        <w:t>nos y que se designe a mujeres miembros de este órg</w:t>
      </w:r>
      <w:r>
        <w:rPr>
          <w:spacing w:val="0"/>
        </w:rPr>
        <w:t>a</w:t>
      </w:r>
      <w:r>
        <w:rPr>
          <w:spacing w:val="0"/>
        </w:rPr>
        <w:t>no.</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expresa preocupación por las escasas medidas tomadas para luchar contra la prostitución y la trata de mujeres.</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exhorta al Gobierno a que tome med</w:t>
      </w:r>
      <w:r>
        <w:t>i</w:t>
      </w:r>
      <w:r>
        <w:t>das para enjuiciar a las personas que organizan la pro</w:t>
      </w:r>
      <w:r>
        <w:t>s</w:t>
      </w:r>
      <w:r>
        <w:t>titución y adopten medidas eficaces para luchar contra la trata de mujeres.</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expresa preocupación por que la pr</w:t>
      </w:r>
      <w:r>
        <w:t>i</w:t>
      </w:r>
      <w:r>
        <w:t>vatización ha reducido el acceso de la mujer a los se</w:t>
      </w:r>
      <w:r>
        <w:t>r</w:t>
      </w:r>
      <w:r>
        <w:t>vicios de salud y educación que necesita.</w:t>
      </w:r>
    </w:p>
    <w:p w:rsidR="00000000" w:rsidRDefault="00000000">
      <w:pPr>
        <w:pStyle w:val="DualTxt"/>
        <w:numPr>
          <w:ilvl w:val="0"/>
          <w:numId w:val="132"/>
        </w:numPr>
        <w:tabs>
          <w:tab w:val="clear" w:pos="960"/>
          <w:tab w:val="left" w:pos="475"/>
          <w:tab w:val="left" w:pos="965"/>
        </w:tabs>
      </w:pPr>
      <w:r>
        <w:t>El Comité exhorta al Gobierno a que vele por que no se reduzcan estos servicios y, en particular, por que la privatización no afecte negativamente a las esferas de la salud y la educación.</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expresa preocupación por que Mong</w:t>
      </w:r>
      <w:r>
        <w:t>o</w:t>
      </w:r>
      <w:r>
        <w:t>lia considere a las mujeres únicas responsables de atender a la familia y a los hijos, en particular, en vista de que las políticas demográficas las alientan a tener familias numerosas. El Comité señala que esta situ</w:t>
      </w:r>
      <w:r>
        <w:t>a</w:t>
      </w:r>
      <w:r>
        <w:t>ción contribuye a que las mujeres queden al margen de la economía y aumenta la pobreza.</w:t>
      </w:r>
    </w:p>
    <w:p w:rsidR="00000000" w:rsidRDefault="00000000">
      <w:pPr>
        <w:pStyle w:val="DualTxt"/>
        <w:numPr>
          <w:ilvl w:val="0"/>
          <w:numId w:val="132"/>
        </w:numPr>
        <w:tabs>
          <w:tab w:val="clear" w:pos="960"/>
          <w:tab w:val="left" w:pos="475"/>
          <w:tab w:val="left" w:pos="965"/>
        </w:tabs>
      </w:pPr>
      <w:r>
        <w:t>El Comité insta al Gobierno a que formule leyes, políticas y programas educacionales que apoyen y promuevan la idea de la responsabilidad compartida de los padres e impida que se discrimine a la mujer a ca</w:t>
      </w:r>
      <w:r>
        <w:t>u</w:t>
      </w:r>
      <w:r>
        <w:t>sa de sus responsabilidades familiares.</w:t>
      </w:r>
    </w:p>
    <w:p w:rsidR="00000000" w:rsidRDefault="00000000">
      <w:pPr>
        <w:pStyle w:val="DualTxt"/>
        <w:numPr>
          <w:ilvl w:val="0"/>
          <w:numId w:val="132"/>
        </w:numPr>
        <w:tabs>
          <w:tab w:val="clear" w:pos="960"/>
          <w:tab w:val="left" w:pos="475"/>
          <w:tab w:val="left" w:pos="965"/>
        </w:tabs>
      </w:pPr>
      <w:r>
        <w:t>El Comité expresa preocupación por el gran n</w:t>
      </w:r>
      <w:r>
        <w:t>ú</w:t>
      </w:r>
      <w:r>
        <w:t>mero de mujeres desempleadas del país.</w:t>
      </w:r>
    </w:p>
    <w:p w:rsidR="00000000" w:rsidRDefault="00000000">
      <w:pPr>
        <w:pStyle w:val="DualTxt"/>
        <w:numPr>
          <w:ilvl w:val="0"/>
          <w:numId w:val="132"/>
        </w:numPr>
        <w:tabs>
          <w:tab w:val="clear" w:pos="960"/>
          <w:tab w:val="left" w:pos="475"/>
          <w:tab w:val="left" w:pos="965"/>
        </w:tabs>
      </w:pPr>
      <w:r>
        <w:t>El Comité insta al Gobierno a que establezca una base legislativa que dé a la mujer el mismo acceso al mercado de trabajo que al hombre, así como las mi</w:t>
      </w:r>
      <w:r>
        <w:t>s</w:t>
      </w:r>
      <w:r>
        <w:t>mas oportunidades, a fin de impedir la discriminación directa e indirecta en el empleo. El Comité exhorta al Gobierno a que aplique políticas destinadas a reducir el desempleo entre las mujeres.</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expresa preocupación por la salud de las mujeres de Mongolia durante su ciclo de vida. El Comité también expresa preocupación por las dificu</w:t>
      </w:r>
      <w:r>
        <w:t>l</w:t>
      </w:r>
      <w:r>
        <w:t xml:space="preserve">tades económicas que perjudican la salud reproductiva y mental de la mujer. En particular, el Comité observa con preocupación el grave problema de la mortalidad </w:t>
      </w:r>
      <w:r>
        <w:br/>
      </w:r>
      <w:r>
        <w:br/>
        <w:t>derivada de la maternidad, que se debe en parte a los abortos realizados en condiciones precarias y a la in</w:t>
      </w:r>
      <w:r>
        <w:t>e</w:t>
      </w:r>
      <w:r>
        <w:t>xistencia de servicios de planificación de la familia.</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insta al Gobierno a que mantenga se</w:t>
      </w:r>
      <w:r>
        <w:t>r</w:t>
      </w:r>
      <w:r>
        <w:t>vicios de salud mental y física seguros, adecuados y económicos para las mujeres durante su ciclo de vida. También insta al Gobierno a que facilite el acceso, en particular en las zonas rurales, a los anticonceptivos económicos, tanto para el hombre como para la mujer, y a que proporcione educación sexual a jóvenes de a</w:t>
      </w:r>
      <w:r>
        <w:t>m</w:t>
      </w:r>
      <w:r>
        <w:t>bos sexos.</w:t>
      </w:r>
    </w:p>
    <w:p w:rsidR="00000000" w:rsidRDefault="00000000">
      <w:pPr>
        <w:pStyle w:val="DualTxt"/>
        <w:numPr>
          <w:ilvl w:val="0"/>
          <w:numId w:val="132"/>
        </w:numPr>
        <w:tabs>
          <w:tab w:val="clear" w:pos="960"/>
          <w:tab w:val="left" w:pos="475"/>
          <w:tab w:val="left" w:pos="965"/>
        </w:tabs>
      </w:pPr>
      <w:r>
        <w:t>El Comité expresa preocupación por el hecho de que gran parte de la información proporcionada por e</w:t>
      </w:r>
      <w:r>
        <w:t>s</w:t>
      </w:r>
      <w:r>
        <w:t>crito y oralmente no tiene relación alguna con la situ</w:t>
      </w:r>
      <w:r>
        <w:t>a</w:t>
      </w:r>
      <w:r>
        <w:t>ción actual de la mujer en Mongolia.</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pide al Gobierno que en su próximo i</w:t>
      </w:r>
      <w:r>
        <w:t>n</w:t>
      </w:r>
      <w:r>
        <w:t>forme proporcione datos pertinentes sobre la situación de la mujer, así como información sobre las cuestiones planteadas en las presentes observaciones finales.</w:t>
      </w:r>
    </w:p>
    <w:p w:rsidR="00000000" w:rsidRDefault="00000000">
      <w:pPr>
        <w:pStyle w:val="DualTxt"/>
        <w:numPr>
          <w:ilvl w:val="0"/>
          <w:numId w:val="132"/>
        </w:numPr>
        <w:tabs>
          <w:tab w:val="clear" w:pos="960"/>
          <w:tab w:val="left" w:pos="475"/>
          <w:tab w:val="left" w:pos="965"/>
        </w:tabs>
      </w:pPr>
      <w:r>
        <w:t>El Comité alienta al Gobierno a que ratifique el Protocolo Facultativo de la Convención.</w:t>
      </w:r>
    </w:p>
    <w:p w:rsidR="00000000" w:rsidRDefault="00000000">
      <w:pPr>
        <w:pStyle w:val="DualTxt"/>
        <w:numPr>
          <w:ilvl w:val="0"/>
          <w:numId w:val="132"/>
        </w:numPr>
        <w:tabs>
          <w:tab w:val="clear" w:pos="960"/>
          <w:tab w:val="left" w:pos="475"/>
          <w:tab w:val="left" w:pos="965"/>
        </w:tabs>
      </w:pPr>
      <w:r>
        <w:t>El Comité pide que se difundan ampliamente en Mongolia las presentes observaciones finales, a fin de que la población del país, en particular los funcionarios y los políticos, tomen conciencia de las medidas ado</w:t>
      </w:r>
      <w:r>
        <w:t>p</w:t>
      </w:r>
      <w:r>
        <w:t>tadas para asegurar la igualdad de jure y de facto para la mujer, así como de las medidas que se habrán de adoptar con ese fin. También pide al Gobierno que siga difundiendo ampliamente, en particular entre las org</w:t>
      </w:r>
      <w:r>
        <w:t>a</w:t>
      </w:r>
      <w:r>
        <w:t>nizaciones de mujeres y las organizaciones de derechos humanos, la Convención y su Protocolo Facultativo, las recomendaciones generales del Comité, la Declar</w:t>
      </w:r>
      <w:r>
        <w:t>a</w:t>
      </w:r>
      <w:r>
        <w:t>ción y la Plataforma de Acción de Beijing y los resu</w:t>
      </w:r>
      <w:r>
        <w:t>l</w:t>
      </w:r>
      <w:r>
        <w:t>tados del vigésimo tercer período extraordinario de s</w:t>
      </w:r>
      <w:r>
        <w:t>e</w:t>
      </w:r>
      <w:r>
        <w:t>siones de la Asamblea General titulado “La mujer en el año 2000: igualdad entre los géneros, desarrollo y paz para el siglo XXI”.</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Informes periódicos tercero y cuarto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Finlandia</w:t>
      </w:r>
    </w:p>
    <w:p w:rsidR="00000000" w:rsidRDefault="00000000">
      <w:pPr>
        <w:pStyle w:val="DualTxt"/>
        <w:spacing w:after="0" w:line="120" w:lineRule="exact"/>
        <w:rPr>
          <w:sz w:val="10"/>
        </w:rPr>
      </w:pP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examinó los informes periódicos terc</w:t>
      </w:r>
      <w:r>
        <w:t>e</w:t>
      </w:r>
      <w:r>
        <w:t>ro y cuarto de Finlandia (CEDAW/C/FIN/3 y CEDAW/</w:t>
      </w:r>
      <w:r>
        <w:br/>
        <w:t>C/FIN/4) en sus sesiones 494</w:t>
      </w:r>
      <w:r>
        <w:rPr>
          <w:vertAlign w:val="superscript"/>
        </w:rPr>
        <w:t>a</w:t>
      </w:r>
      <w:r>
        <w:t xml:space="preserve"> y 495</w:t>
      </w:r>
      <w:r>
        <w:rPr>
          <w:vertAlign w:val="superscript"/>
        </w:rPr>
        <w:t>a</w:t>
      </w:r>
      <w:r>
        <w:t xml:space="preserve"> celebradas el 22 de enero de 2001 (véase CEDAW/C/SR.494 y 495).</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Presentación del Estado parte</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132"/>
        </w:numPr>
        <w:tabs>
          <w:tab w:val="clear" w:pos="960"/>
          <w:tab w:val="left" w:pos="965"/>
          <w:tab w:val="left" w:pos="1440"/>
          <w:tab w:val="left" w:pos="1915"/>
          <w:tab w:val="left" w:pos="2405"/>
          <w:tab w:val="left" w:pos="2880"/>
          <w:tab w:val="left" w:pos="3355"/>
        </w:tabs>
      </w:pPr>
      <w:r>
        <w:t>En su presentación de los informes periódicos tercero y cuarto, la representante de Finlandia expresó su agradecimiento a las organizaciones no gubern</w:t>
      </w:r>
      <w:r>
        <w:t>a</w:t>
      </w:r>
      <w:r>
        <w:t>mentales de Finlandia por su contribución a la prepar</w:t>
      </w:r>
      <w:r>
        <w:t>a</w:t>
      </w:r>
      <w:r>
        <w:t>ción de los informes y manifestó el interés del Gobie</w:t>
      </w:r>
      <w:r>
        <w:t>r</w:t>
      </w:r>
      <w:r>
        <w:t>no en mantener un diálogo abierto con las organizaci</w:t>
      </w:r>
      <w:r>
        <w:t>o</w:t>
      </w:r>
      <w:r>
        <w:t>nes no gubernamentales. Informó al Comité de que la Finlandia actual representaba un modelo moderno de equilibrio entre los géneros basado en la igualdad, e h</w:t>
      </w:r>
      <w:r>
        <w:t>i</w:t>
      </w:r>
      <w:r>
        <w:t>zo hincapié en la influencia significativa de la Conve</w:t>
      </w:r>
      <w:r>
        <w:t>n</w:t>
      </w:r>
      <w:r>
        <w:t>ción en el desarrollo de la legislación nacional y la el</w:t>
      </w:r>
      <w:r>
        <w:t>a</w:t>
      </w:r>
      <w:r>
        <w:t>boración de medidas para mejorar la situación de la mujer. Finlandia estaba empeñada en el fortalecimiento de la Convención y, en consecuencia, había firmado su Protocolo Facultativo el 10 de diciembre de 1999, f</w:t>
      </w:r>
      <w:r>
        <w:t>e</w:t>
      </w:r>
      <w:r>
        <w:t>cha en que se había abierto a la firma, y lo había ratif</w:t>
      </w:r>
      <w:r>
        <w:t>i</w:t>
      </w:r>
      <w:r>
        <w:t>cado en diciembre de 2000.</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La representante dijo que Finlandia había sido el primer país del mundo en otorgar derechos políticos plenos a la mujer, es decir, el primer país que le h</w:t>
      </w:r>
      <w:r>
        <w:t>a</w:t>
      </w:r>
      <w:r>
        <w:t>bía dado simultáneamente el derecho a votar y a pr</w:t>
      </w:r>
      <w:r>
        <w:t>e</w:t>
      </w:r>
      <w:r>
        <w:t>sentarse a las elecciones. En la actualidad, la mujer e</w:t>
      </w:r>
      <w:r>
        <w:t>s</w:t>
      </w:r>
      <w:r>
        <w:t>taba presente en todos los niveles de la vida política, con una representación del 37% en el Parlamento y del 34% en las consejerías. Además, por primera vez, una mujer había sido elegida Presidenta del país. Gr</w:t>
      </w:r>
      <w:r>
        <w:t>a</w:t>
      </w:r>
      <w:r>
        <w:t>cias a una disposición legislativa a que se exigía un mínimo del 40% tanto de hombres como de mujeres en los organismos gubernamentales y municipales, la pa</w:t>
      </w:r>
      <w:r>
        <w:t>r</w:t>
      </w:r>
      <w:r>
        <w:t>ticipación de la mujer en esos organismos habría a</w:t>
      </w:r>
      <w:r>
        <w:t>u</w:t>
      </w:r>
      <w:r>
        <w:t>mentado drásticamente, sobre todo en el plano local.</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La representante informó al Comité de que la i</w:t>
      </w:r>
      <w:r>
        <w:t>n</w:t>
      </w:r>
      <w:r>
        <w:t>dependencia económica de la mujer constituía uno de los pilares de la idea nórdica de igualdad, y que la pa</w:t>
      </w:r>
      <w:r>
        <w:t>r</w:t>
      </w:r>
      <w:r>
        <w:t>ticipación de la mujer en el mercado laboral era casi equivalente a la del hombre; las mujeres tenían un alto nivel de educación y, por lo general, estaban emple</w:t>
      </w:r>
      <w:r>
        <w:t>a</w:t>
      </w:r>
      <w:r>
        <w:t>das. La mayoría de los profesionales más destacados en algunos campos, como los medios de comunicación y la biotecnología, eran mujeres, y había también un gran número de profesoras universitarias. No obstante, s</w:t>
      </w:r>
      <w:r>
        <w:t>e</w:t>
      </w:r>
      <w:r>
        <w:t>guía habiendo segregación por géneros en otros ámb</w:t>
      </w:r>
      <w:r>
        <w:t>i</w:t>
      </w:r>
      <w:r>
        <w:t>tos de empleo y sólo un 16% de la población activa trabajaba en ocupaciones en las que existía una partic</w:t>
      </w:r>
      <w:r>
        <w:t>i</w:t>
      </w:r>
      <w:r>
        <w:t>pación equilibrada de hombres y mujeres. Además, el número de mujeres en los puestos más altos del sector público era reducido. Finlandia había puesto en marcha un proyecto estratégico a gran escala a fin de abordar la cuestión de la segregación por géneros en el empleo.</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La representante informó al Comité de que uno de los objetivos del Gobierno era acabar con la desigua</w:t>
      </w:r>
      <w:r>
        <w:t>l</w:t>
      </w:r>
      <w:r>
        <w:t>dad en la remuneración ya que, si bien existían las condiciones necesarias para lograr la igualdad en la v</w:t>
      </w:r>
      <w:r>
        <w:t>i</w:t>
      </w:r>
      <w:r>
        <w:t>da laboral, los sueldos de las mujeres seguían siendo entre un 15% y un 19% inferiores a los de los hombres. Esa diferencia salarial tenía su origen en una segreg</w:t>
      </w:r>
      <w:r>
        <w:t>a</w:t>
      </w:r>
      <w:r>
        <w:t>ción laboral por motivos de género en el mercado de trabajo, ya que los hombres trabajaban la mayor parte de las horas extraordinarias remuneradas, mientras que las mujeres tendían a utilizar en mayor medida la l</w:t>
      </w:r>
      <w:r>
        <w:t>i</w:t>
      </w:r>
      <w:r>
        <w:t>cencia sin sueldo, lo que ocasionaba también una r</w:t>
      </w:r>
      <w:r>
        <w:t>e</w:t>
      </w:r>
      <w:r>
        <w:t>ducción en la antigüedad en el empleo. La represe</w:t>
      </w:r>
      <w:r>
        <w:t>n</w:t>
      </w:r>
      <w:r>
        <w:t>tante indicó que las diferencias salariales por motivo de género se habían reducido en el decenio de 1990, como resultado, entre otras cosas, de la creación y aplicación de sistemas de evaluación laboral en los que se establ</w:t>
      </w:r>
      <w:r>
        <w:t>e</w:t>
      </w:r>
      <w:r>
        <w:t>cían los salarios de forma objetiva teniendo presentes consideraciones de género.</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La representante señaló que la recesión económ</w:t>
      </w:r>
      <w:r>
        <w:t>i</w:t>
      </w:r>
      <w:r>
        <w:t>ca de principios del decenio de 1990 había demostrado la importancia fundamental del sistema de bienestar social nórdico, que había proporcionado una red de s</w:t>
      </w:r>
      <w:r>
        <w:t>e</w:t>
      </w:r>
      <w:r>
        <w:t>guridad así como protección y servicios básicos a los ciudadanos. El sistema de seguridad social, que es ad</w:t>
      </w:r>
      <w:r>
        <w:t>e</w:t>
      </w:r>
      <w:r>
        <w:t>cuado y amplio, mantuvo la cohesión interna de la s</w:t>
      </w:r>
      <w:r>
        <w:t>o</w:t>
      </w:r>
      <w:r>
        <w:t>ciedad durante la difícil situación laboral.</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Respecto de la violencia contra la mujer, descrita como un problema muy grave de derechos humanos, la representante señaló a la atención del Comité las med</w:t>
      </w:r>
      <w:r>
        <w:t>i</w:t>
      </w:r>
      <w:r>
        <w:t>das adoptadas por Finlandia a nivel nacional e intern</w:t>
      </w:r>
      <w:r>
        <w:t>a</w:t>
      </w:r>
      <w:r>
        <w:t>cional para abordar esa cuestión. De conformidad con la Plataforma de Acción de Beijing, Finlandia se había ocupado de ese asunto mediante un proyecto para la prevención de la violencia contra la mujer, una camp</w:t>
      </w:r>
      <w:r>
        <w:t>a</w:t>
      </w:r>
      <w:r>
        <w:t>ña de “ninguna tolerancia” presentada en diferentes medios, y diversos estudios, entre ellos una encuesta amplia sobre las mujeres víctimas de la violencia, un estudio sobre los costos de la violencia contra la mujer en Finlandia y una encuesta sobre la violencia contra las inmigrantes. Además, se habían introducido varias medidas legislativas para intentar solucionar ese pr</w:t>
      </w:r>
      <w:r>
        <w:t>o</w:t>
      </w:r>
      <w:r>
        <w:t>blema. Entre esas medidas cabía destacar la promulg</w:t>
      </w:r>
      <w:r>
        <w:t>a</w:t>
      </w:r>
      <w:r>
        <w:t>ción de la Ley cautelar, que entró en vigor en 1999, y la Ley de enjuiciamiento penal de 1997, en que se est</w:t>
      </w:r>
      <w:r>
        <w:t>a</w:t>
      </w:r>
      <w:r>
        <w:t>blecía el derecho de las víctimas de delitos de violencia sexual o en el hogar a contar con un asistente jurídico o una persona de apoyo, de forma gratuita, durante la i</w:t>
      </w:r>
      <w:r>
        <w:t>n</w:t>
      </w:r>
      <w:r>
        <w:t>vestigación previa al juicio y en el juicio. Se había pr</w:t>
      </w:r>
      <w:r>
        <w:t>o</w:t>
      </w:r>
      <w:r>
        <w:t>puesto la ampliación del alcance de la Ley cautelar p</w:t>
      </w:r>
      <w:r>
        <w:t>a</w:t>
      </w:r>
      <w:r>
        <w:t>ra poder expulsar del domicilio familiar a un miembro de la familia por su comportamiento violento. También se habían tomado medidas para abordar el problema de la trata de mujeres y la prostitución. Se había puesto en marcha un proyecto para la prevención de la prostit</w:t>
      </w:r>
      <w:r>
        <w:t>u</w:t>
      </w:r>
      <w:r>
        <w:t>ción y se había tipificado como delito la compra de servicios sexuales prestados por menores de 18 años. Gracias a una enmienda del Código Penal, ahora era posible procesar a los ciudadanos finlandeses por del</w:t>
      </w:r>
      <w:r>
        <w:t>i</w:t>
      </w:r>
      <w:r>
        <w:t>tos sexuales cometidos en el extranjero y, en diciembre de 2000, Finlandia había firmado el Protocolo para prevenir, reprimir y sancionar la trata de personas, e</w:t>
      </w:r>
      <w:r>
        <w:t>s</w:t>
      </w:r>
      <w:r>
        <w:t>pecialmente mujeres y niños</w:t>
      </w:r>
      <w:r>
        <w:rPr>
          <w:vertAlign w:val="superscript"/>
        </w:rPr>
        <w:t>6</w:t>
      </w:r>
      <w:r>
        <w:t>. Un ejemplo interesante del cambio de actitud positivo que se había producido era el hecho de que el periódico vespertino más antiguo e importante de Finlandia había decidido no publicar anuncios de serv</w:t>
      </w:r>
      <w:r>
        <w:t>i</w:t>
      </w:r>
      <w:r>
        <w:t>cios telefónicos eróticos.</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La representante informó al Comité de que el número de inmigrantes estaba aumentando rápidamente y, en ese sentido, dijo que en 1999 había entrado en v</w:t>
      </w:r>
      <w:r>
        <w:t>i</w:t>
      </w:r>
      <w:r>
        <w:t>gor la Ley de integración de los inmigrantes, en la que se armonizaban las medidas adoptadas por las a</w:t>
      </w:r>
      <w:r>
        <w:t>u</w:t>
      </w:r>
      <w:r>
        <w:t>toridades y se fortalecía la cooperación mutua en t</w:t>
      </w:r>
      <w:r>
        <w:t>o</w:t>
      </w:r>
      <w:r>
        <w:t>dos los niveles, incluido el local, y cuyo objetivo era aumentar y acelerar la integración y el empleo de los inmigra</w:t>
      </w:r>
      <w:r>
        <w:t>n</w:t>
      </w:r>
      <w:r>
        <w:t>tes.</w:t>
      </w:r>
    </w:p>
    <w:p w:rsidR="00000000" w:rsidRDefault="00000000">
      <w:pPr>
        <w:pStyle w:val="DualTxt"/>
        <w:numPr>
          <w:ilvl w:val="0"/>
          <w:numId w:val="132"/>
        </w:numPr>
        <w:tabs>
          <w:tab w:val="clear" w:pos="960"/>
          <w:tab w:val="left" w:pos="965"/>
        </w:tabs>
      </w:pPr>
      <w:r>
        <w:t>La representante subrayó que, para lograr la igualdad entre el hombre y la mujer, era necesario que los hombres participaran en el fomento de la igualdad y el Gobierno deseaba ofrecer a los padres más oportun</w:t>
      </w:r>
      <w:r>
        <w:t>i</w:t>
      </w:r>
      <w:r>
        <w:t>dades para que tomaran licencias para atender a los hijos. En ese sentido, señaló que, en 2000, el Primer Ministro de Finlandia había tomado una licencia de paternidad.</w:t>
      </w:r>
    </w:p>
    <w:p w:rsidR="00000000" w:rsidRDefault="00000000">
      <w:pPr>
        <w:pStyle w:val="DualTxt"/>
        <w:numPr>
          <w:ilvl w:val="0"/>
          <w:numId w:val="132"/>
        </w:numPr>
        <w:tabs>
          <w:tab w:val="clear" w:pos="960"/>
          <w:tab w:val="left" w:pos="965"/>
        </w:tabs>
      </w:pPr>
      <w:r>
        <w:t>Al concluir su presentación, la representante de Finlandia hizo hincapié en que para lograr la igualdad entre los géneros era imprescindible incorporar una perspectiva de género en todas las políticas y progr</w:t>
      </w:r>
      <w:r>
        <w:t>a</w:t>
      </w:r>
      <w:r>
        <w:t>mas, filosofía básica de la Plataforma de Acción de Beijing. Indicó que los instrumentos creados para m</w:t>
      </w:r>
      <w:r>
        <w:t>e</w:t>
      </w:r>
      <w:r>
        <w:t>dir la igualdad, entre ellos las estadísticas comparat</w:t>
      </w:r>
      <w:r>
        <w:t>i</w:t>
      </w:r>
      <w:r>
        <w:t>vas, los indicadores y las referencias, eran esenciales, ya que ofrecían nuevas oportunidades para elegir las normas adecuadas y adoptar las decisiones políticas c</w:t>
      </w:r>
      <w:r>
        <w:t>o</w:t>
      </w:r>
      <w:r>
        <w:t>rrectas. Señaló que la Ley finlandesa de igualdad entre el hombre y la mujer había entrado en vigor hacía poco más de 13 años, y que en la actualidad se estaban ev</w:t>
      </w:r>
      <w:r>
        <w:t>a</w:t>
      </w:r>
      <w:r>
        <w:t>luando sus repercusiones y se estaban formulando pr</w:t>
      </w:r>
      <w:r>
        <w:t>o</w:t>
      </w:r>
      <w:r>
        <w:t>puestas de enmienda. Cabía esperar que esas propue</w:t>
      </w:r>
      <w:r>
        <w:t>s</w:t>
      </w:r>
      <w:r>
        <w:t>tas, entre las que figuraban la inclusión de disposici</w:t>
      </w:r>
      <w:r>
        <w:t>o</w:t>
      </w:r>
      <w:r>
        <w:t>nes para ampliar el concepto de acoso sexual a fin de abarcar también las instituciones educativas, dieran como resultado leyes que permitieran evitar la discr</w:t>
      </w:r>
      <w:r>
        <w:t>i</w:t>
      </w:r>
      <w:r>
        <w:t>minación por motivos de sexo y aportaran soluciones más eficaces y una mayor protección para las personas que habían sufrido ese tipo de discriminación.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 xml:space="preserve">Observaciones finales del Comité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DualTxt"/>
        <w:spacing w:after="0" w:line="120" w:lineRule="exact"/>
        <w:rPr>
          <w:sz w:val="10"/>
        </w:rPr>
      </w:pP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expresa su agradecimiento al Gobierno de Finlandia por los informes periódicos tercero y cuarto, presentados con arreglo a las directrices para la preparación de informes periódicos. El Comité enc</w:t>
      </w:r>
      <w:r>
        <w:t>o</w:t>
      </w:r>
      <w:r>
        <w:t>mia al Gobierno por solicitar la participación de las o</w:t>
      </w:r>
      <w:r>
        <w:t>r</w:t>
      </w:r>
      <w:r>
        <w:t>ganizaciones no gubernamentales en la preparación de los informes. El Comité también expresa su agradec</w:t>
      </w:r>
      <w:r>
        <w:t>i</w:t>
      </w:r>
      <w:r>
        <w:t xml:space="preserve">miento por la amplia información proporcionada en respuesta a las cuestiones planteadas por el grupo de trabajo anterior al período de sesiones del Comité y por la presentación oral. </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destaca la amplia delegación enviada por el Gobierno de Finlandia, lo que ha permitido est</w:t>
      </w:r>
      <w:r>
        <w:t>a</w:t>
      </w:r>
      <w:r>
        <w:t>blecer un diálogo constructivo y sincero con los mie</w:t>
      </w:r>
      <w:r>
        <w:t>m</w:t>
      </w:r>
      <w:r>
        <w:t>bros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spacing w:after="0" w:line="120" w:lineRule="exact"/>
        <w:rPr>
          <w:sz w:val="10"/>
        </w:rPr>
      </w:pP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rPr>
          <w:w w:val="101"/>
        </w:rPr>
      </w:pPr>
      <w:r>
        <w:rPr>
          <w:w w:val="101"/>
        </w:rPr>
        <w:t>El Comité encomia al Gobierno de Finlandia por haber sido uno de los primeros Estados partes en la Convención que firmó y ratificó su Protocolo Facultat</w:t>
      </w:r>
      <w:r>
        <w:rPr>
          <w:w w:val="101"/>
        </w:rPr>
        <w:t>i</w:t>
      </w:r>
      <w:r>
        <w:rPr>
          <w:w w:val="101"/>
        </w:rPr>
        <w:t>vo y que aceptó la enmienda al párrafo 1 del artículo 20.</w:t>
      </w:r>
    </w:p>
    <w:p w:rsidR="00000000" w:rsidRDefault="00000000">
      <w:pPr>
        <w:pStyle w:val="DualTxt"/>
        <w:numPr>
          <w:ilvl w:val="0"/>
          <w:numId w:val="132"/>
        </w:numPr>
        <w:tabs>
          <w:tab w:val="clear" w:pos="960"/>
          <w:tab w:val="left" w:pos="965"/>
        </w:tabs>
      </w:pPr>
      <w:r>
        <w:t>El Comité también encomia al Gobierno por fo</w:t>
      </w:r>
      <w:r>
        <w:t>r</w:t>
      </w:r>
      <w:r>
        <w:t>mular objeciones en relación con las reservas que son incompatibles con el objeto y la finalidad de la Convención.</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felicita al Gobierno de Finlandia por sus importantes logros en la promoción de la igualdad entre hombres y mujeres.</w:t>
      </w:r>
    </w:p>
    <w:p w:rsidR="00000000" w:rsidRDefault="00000000">
      <w:pPr>
        <w:pStyle w:val="DualTxt"/>
        <w:numPr>
          <w:ilvl w:val="0"/>
          <w:numId w:val="132"/>
        </w:numPr>
        <w:tabs>
          <w:tab w:val="clear" w:pos="960"/>
          <w:tab w:val="left" w:pos="965"/>
        </w:tabs>
      </w:pPr>
      <w:r>
        <w:t xml:space="preserve">El Comité encomia al Gobierno de Finlandia por los cambios positivos realizados en la Constitución finlandesa que entraron en vigor el 1° de marzo de 2000, por los que, entre otras cosas, se dispone que, en caso de que exista la legislación contradictoria, </w:t>
      </w:r>
      <w:r>
        <w:br/>
        <w:t>prevalecerán los derechos fundamentales, incluido el derecho de la mujer a la igualdad, y se prevén explíc</w:t>
      </w:r>
      <w:r>
        <w:t>i</w:t>
      </w:r>
      <w:r>
        <w:t>tamente medidas especiales de carácter temporal.</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también encomia al Gobierno por sus esfuerzos en curso por combatir la violencia contra la mujer, en particular la violencia en el hogar. El Comité acoge con beneplácito la Ley de protección, que entró en vigor en 1999.</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a la aplicación de la Convención</w:t>
      </w:r>
    </w:p>
    <w:p w:rsidR="00000000" w:rsidRDefault="00000000">
      <w:pPr>
        <w:pStyle w:val="DualTxt"/>
        <w:spacing w:after="0" w:line="120" w:lineRule="exact"/>
        <w:rPr>
          <w:sz w:val="10"/>
        </w:rPr>
      </w:pPr>
    </w:p>
    <w:p w:rsidR="00000000" w:rsidRDefault="00000000">
      <w:pPr>
        <w:pStyle w:val="DualTxt"/>
        <w:numPr>
          <w:ilvl w:val="0"/>
          <w:numId w:val="132"/>
        </w:numPr>
        <w:tabs>
          <w:tab w:val="clear" w:pos="960"/>
          <w:tab w:val="left" w:pos="965"/>
        </w:tabs>
      </w:pPr>
      <w:r>
        <w:t>El Comité toma nota de que no existen factores o dificultades importantes que impidan la aplicación efectiva de la Convención en Finlandia.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esferas de preocupación y recomendaciones</w:t>
      </w:r>
    </w:p>
    <w:p w:rsidR="00000000" w:rsidRDefault="00000000">
      <w:pPr>
        <w:pStyle w:val="DualTxt"/>
        <w:spacing w:after="0" w:line="120" w:lineRule="exact"/>
        <w:rPr>
          <w:sz w:val="10"/>
        </w:rPr>
      </w:pP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si bien reconoce los esfuerzos despl</w:t>
      </w:r>
      <w:r>
        <w:t>e</w:t>
      </w:r>
      <w:r>
        <w:t>gados por el Gobierno para resolver el problema de la discriminación de la mujer en el lugar de trabajo por conducto de la Ley de la igualdad, expresa su preoc</w:t>
      </w:r>
      <w:r>
        <w:t>u</w:t>
      </w:r>
      <w:r>
        <w:t>pación por la continua discriminación en el empleo. En particular, al Comité le preocupa la diferencia salarial que existe entre hombres y mujeres debida principa</w:t>
      </w:r>
      <w:r>
        <w:t>l</w:t>
      </w:r>
      <w:r>
        <w:t>mente a la segregación “horizontal” y “vertical” por cuestión de género en el mercado de trabajo.</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insta al Gobierno a que aumente sus esfuerzos por eliminar los estereotipos en la educación de la mujer, así como las percepciones sesgadas en las evaluaciones del rendimiento y las remuneraciones en las esferas tradicionales de empleo de la mujer. En pa</w:t>
      </w:r>
      <w:r>
        <w:t>r</w:t>
      </w:r>
      <w:r>
        <w:t>ticular, recomienda que intente promover la formación profesional a hombres y mujeres en esferas típicamente dominadas por el sexo opuesto, y que se aborde la cuestión de los efectos negativos para las mujeres de la política de contratos de plazo fijo. El Comité ta</w:t>
      </w:r>
      <w:r>
        <w:t>m</w:t>
      </w:r>
      <w:r>
        <w:t>bién insta al Gobierno a que aumente los incentivos p</w:t>
      </w:r>
      <w:r>
        <w:t>a</w:t>
      </w:r>
      <w:r>
        <w:t>ra que los hombres usen su derecho a la licencia por paternidad y se establezcan mecanismos de vig</w:t>
      </w:r>
      <w:r>
        <w:t>i</w:t>
      </w:r>
      <w:r>
        <w:t>lancia más firmes para los planes previstos en la ley de igua</w:t>
      </w:r>
      <w:r>
        <w:t>l</w:t>
      </w:r>
      <w:r>
        <w:t>dad.</w:t>
      </w:r>
    </w:p>
    <w:p w:rsidR="00000000" w:rsidRDefault="00000000">
      <w:pPr>
        <w:pStyle w:val="DualTxt"/>
        <w:numPr>
          <w:ilvl w:val="0"/>
          <w:numId w:val="132"/>
        </w:numPr>
        <w:tabs>
          <w:tab w:val="clear" w:pos="960"/>
          <w:tab w:val="left" w:pos="965"/>
        </w:tabs>
      </w:pPr>
      <w:r>
        <w:t>El Comité expresó preocupación por el bajo po</w:t>
      </w:r>
      <w:r>
        <w:t>r</w:t>
      </w:r>
      <w:r>
        <w:t>centaje de mujeres en puestos de alto nivel en muchas esferas, en especial en el mundo académico, donde la presencia de las mujeres se va reduciendo a medida que éstas avanzan en la carrera académica y donde ocupan actualmente sólo el 18,4% de las cátedras. Preocupa al Comité que el sistema actual de nombramiento de profesores por invitación y no mediante concurso po</w:t>
      </w:r>
      <w:r>
        <w:t>n</w:t>
      </w:r>
      <w:r>
        <w:t>ga a las mujeres en situación de desventaja.</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insta al Gobierno a que haga esfuerzos por aumentar el número de mujeres en puestos de alto nivel. Recomienda que se adopten medidas activas para alentar a que más mujeres presenten su candidatura a puestos de alto nivel y que se apliquen medidas esp</w:t>
      </w:r>
      <w:r>
        <w:t>e</w:t>
      </w:r>
      <w:r>
        <w:t>ciales temporales, tales como cuotas, donde sea neces</w:t>
      </w:r>
      <w:r>
        <w:t>a</w:t>
      </w:r>
      <w:r>
        <w:t>rio. El Comité también lo insta a que incorpore los e</w:t>
      </w:r>
      <w:r>
        <w:t>s</w:t>
      </w:r>
      <w:r>
        <w:t>tudios sobre el género en todas las esferas de la educ</w:t>
      </w:r>
      <w:r>
        <w:t>a</w:t>
      </w:r>
      <w:r>
        <w:t>ción para aumentar el conocimiento de los estudiantes de todas las disciplinas sobre las cuestiones de género.</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Además de ello, el Gobierno también debe pr</w:t>
      </w:r>
      <w:r>
        <w:t>o</w:t>
      </w:r>
      <w:r>
        <w:t>mover estudios concretos y programas de investigación sobre género El Comité expresa su preocupación por la elevada incidencia de violencia contra la mujer en Finlandia. Toma nota de que una reciente encuesta re</w:t>
      </w:r>
      <w:r>
        <w:t>a</w:t>
      </w:r>
      <w:r>
        <w:t>lizada por la Oficina Central de Estadísticas, en coop</w:t>
      </w:r>
      <w:r>
        <w:t>e</w:t>
      </w:r>
      <w:r>
        <w:t>ración con el Consejo para la Igualdad, reveló que el 40% de las mujeres había sufrido violencia física o sexual o había recibido amenazas de violencia. El C</w:t>
      </w:r>
      <w:r>
        <w:t>o</w:t>
      </w:r>
      <w:r>
        <w:t>mité también expresa su inquietud por el alto nivel de acoso sexual en el lugar de trabajo.</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insta al Gobierno a que aumente sus esfuerzos por aplicar de manera eficaz las políticas a</w:t>
      </w:r>
      <w:r>
        <w:t>c</w:t>
      </w:r>
      <w:r>
        <w:t>tuales encaminadas a combatir la violencia, a que preste más atención a los esfuerzos de prevención y a que tome medidas para convertir la campaña de “ni</w:t>
      </w:r>
      <w:r>
        <w:t>n</w:t>
      </w:r>
      <w:r>
        <w:t>guna tolerancia” en una política estatal jurídicamente vinculante. El Comité también insta al Gobierno a que aplique todas las medidas necesarias para habilitar a las personas y a las organizaciones no gubernamentales a fin de que tomen medidas respecto al acoso sexual.</w:t>
      </w:r>
    </w:p>
    <w:p w:rsidR="00000000" w:rsidRDefault="00000000">
      <w:pPr>
        <w:pStyle w:val="DualTxt"/>
        <w:numPr>
          <w:ilvl w:val="0"/>
          <w:numId w:val="132"/>
        </w:numPr>
        <w:tabs>
          <w:tab w:val="clear" w:pos="960"/>
          <w:tab w:val="left" w:pos="965"/>
        </w:tabs>
      </w:pPr>
      <w:r>
        <w:t>A pesar de las amplias medidas ya adoptadas por el Gobierno, el Comité expresa su preocupación por el aumento en la incidencia de trata de mujeres y de e</w:t>
      </w:r>
      <w:r>
        <w:t>x</w:t>
      </w:r>
      <w:r>
        <w:t>plotación de la prostitución de la mujer.</w:t>
      </w:r>
    </w:p>
    <w:p w:rsidR="00000000" w:rsidRDefault="00000000">
      <w:pPr>
        <w:pStyle w:val="DualTxt"/>
        <w:numPr>
          <w:ilvl w:val="0"/>
          <w:numId w:val="132"/>
        </w:numPr>
        <w:tabs>
          <w:tab w:val="clear" w:pos="960"/>
          <w:tab w:val="left" w:pos="965"/>
        </w:tabs>
      </w:pPr>
      <w:r>
        <w:t>El Comité insta al Gobierno a que intensifique sus esfuerzos por aumentar la cooperación entre las autoridades nacionales e internacionales, en especial la Federación de Rusia y los Estados del Báltico, a fin de alentar medidas comunes para prevenir y combatir la trata de mujeres y utilizar la Internet para difundir i</w:t>
      </w:r>
      <w:r>
        <w:t>n</w:t>
      </w:r>
      <w:r>
        <w:t>formación sobre las medidas del Gobierno contra esa trata. El Comité también insta al Gobierno a que alie</w:t>
      </w:r>
      <w:r>
        <w:t>n</w:t>
      </w:r>
      <w:r>
        <w:t>te un cambio de actitud positivo en relación con los servicios telefónicos eróticos, ya que son contrarios a los empeños para presentar a la mujer con una imagen positiva, y no como un “objeto sexual”, en los medios de comunicación.</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expresa su preocupación por el hecho de que continúe la discriminación contra las mujeres inmigrantes y pertenecientes a minorías que viven en Finlandia, en especial las romaníes y saami, que pad</w:t>
      </w:r>
      <w:r>
        <w:t>e</w:t>
      </w:r>
      <w:r>
        <w:t>cen una doble discriminación debido a su sexo y a su origen étnico.</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insta al Gobierno a que haga estudios sobre la participación en la sociedad de mujeres pert</w:t>
      </w:r>
      <w:r>
        <w:t>e</w:t>
      </w:r>
      <w:r>
        <w:t>necientes a minorías y tome medidas efectivas para eliminar la discriminación contra ellas y aumentar los esfuerzos por luchar contra el racismo y la xenofobia en Finlandia.</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expresa su preocupación por que la política de descentralización pueda tener efectos más n</w:t>
      </w:r>
      <w:r>
        <w:t>e</w:t>
      </w:r>
      <w:r>
        <w:t>gativos para las mujeres que para los hombres.</w:t>
      </w:r>
    </w:p>
    <w:p w:rsidR="00000000" w:rsidRDefault="00000000">
      <w:pPr>
        <w:pStyle w:val="DualTxt"/>
        <w:numPr>
          <w:ilvl w:val="0"/>
          <w:numId w:val="132"/>
        </w:numPr>
        <w:tabs>
          <w:tab w:val="clear" w:pos="960"/>
          <w:tab w:val="left" w:pos="965"/>
        </w:tabs>
      </w:pPr>
      <w:r>
        <w:t xml:space="preserve">El Comité recomienda que el Gobierno incorpore en todas las medidas de descentralización un análisis de los efectos en el género, así como capacitación que tenga en cuenta las diferencias entre los sexos, y al mismo tiempo fortalezca los vínculos entre la autoridad central y los municipios para que los avances logrados con los programas administrados a nivel central no se pierdan durante la transición hacia la descentralización. </w:t>
      </w:r>
    </w:p>
    <w:p w:rsidR="00000000" w:rsidRDefault="00000000">
      <w:pPr>
        <w:pStyle w:val="DualTxt"/>
        <w:numPr>
          <w:ilvl w:val="0"/>
          <w:numId w:val="132"/>
        </w:numPr>
        <w:tabs>
          <w:tab w:val="clear" w:pos="960"/>
          <w:tab w:val="left" w:pos="965"/>
        </w:tabs>
      </w:pPr>
      <w:r>
        <w:t>El Comité expresa su preocupación por el a</w:t>
      </w:r>
      <w:r>
        <w:t>u</w:t>
      </w:r>
      <w:r>
        <w:t>mento en el uso de drogas y tabaco en la juventud, en especial entre las jóvenes, e insta al Gobierno a que aumente sus esfuerzos por combatir el uso y el sum</w:t>
      </w:r>
      <w:r>
        <w:t>i</w:t>
      </w:r>
      <w:r>
        <w:t>nistro de drogas y tabaco.</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pide al Gobierno que en su próximo i</w:t>
      </w:r>
      <w:r>
        <w:t>n</w:t>
      </w:r>
      <w:r>
        <w:t>forme periódico responda a las cuestiones concretas planteadas en estas observaciones finales.</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también pide al Gobierno que difunda ampliamente estas observaciones finales en Finlandia y apoye que se debatan públicamente, a fin de que los políticos y los funcionarios, las organizaciones no g</w:t>
      </w:r>
      <w:r>
        <w:t>u</w:t>
      </w:r>
      <w:r>
        <w:t>bernamentales dedicadas a la mujer y el público en g</w:t>
      </w:r>
      <w:r>
        <w:t>e</w:t>
      </w:r>
      <w:r>
        <w:t>neral tomen conciencia de las medidas necesarias para garantizar la igualdad de la mujer de jure y de facto. También pide al Gobierno que siga difundiendo a</w:t>
      </w:r>
      <w:r>
        <w:t>m</w:t>
      </w:r>
      <w:r>
        <w:t>pliamente, en particular entre las organizaciones ded</w:t>
      </w:r>
      <w:r>
        <w:t>i</w:t>
      </w:r>
      <w:r>
        <w:t>cadas a la mujer y a los derechos humanos, la Conve</w:t>
      </w:r>
      <w:r>
        <w:t>n</w:t>
      </w:r>
      <w:r>
        <w:t>ción y su Protocolo Facultativo, las recomendaciones generales del Comité, la Declaración y Plataforma de Acción de Beijing, y los resultados del vigés</w:t>
      </w:r>
      <w:r>
        <w:t>i</w:t>
      </w:r>
      <w:r>
        <w:t xml:space="preserve">mo tercer período extraordinario de sesiones de la Asamblea General titulado “La mujer en el año 2000: igualdad entre los géneros, desarrollo y paz para el </w:t>
      </w:r>
      <w:r>
        <w:br/>
        <w:t>s</w:t>
      </w:r>
      <w:r>
        <w:t>i</w:t>
      </w:r>
      <w:r>
        <w:t>glo XXI”.</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5.</w:t>
      </w:r>
      <w:r>
        <w:tab/>
        <w:t>Tercer informe periódico e informes periódicos cuarto y quinto combinados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Egipto</w:t>
      </w:r>
    </w:p>
    <w:p w:rsidR="00000000" w:rsidRDefault="00000000">
      <w:pPr>
        <w:pStyle w:val="DualTxt"/>
        <w:spacing w:after="0" w:line="120" w:lineRule="exact"/>
        <w:rPr>
          <w:sz w:val="10"/>
        </w:rPr>
      </w:pP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El Comité examinó el tercer informe periódico y los informes periódicos cuarto y quinto combinados de la República Árabe de Egipto (CEDAW/C/EGY/3 y CEDAW/C/EGY/4 y 5) en sus sesiones 492</w:t>
      </w:r>
      <w:r>
        <w:rPr>
          <w:vertAlign w:val="superscript"/>
        </w:rPr>
        <w:t>a</w:t>
      </w:r>
      <w:r>
        <w:t xml:space="preserve"> y 493</w:t>
      </w:r>
      <w:r>
        <w:rPr>
          <w:vertAlign w:val="superscript"/>
        </w:rPr>
        <w:t>a</w:t>
      </w:r>
      <w:r>
        <w:t>, celebradas el 19 de enero de 2001 (véase CEDAW/C/ SR.492 y 493).</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Presentación del Estado parte</w:t>
      </w:r>
    </w:p>
    <w:p w:rsidR="00000000" w:rsidRDefault="00000000">
      <w:pPr>
        <w:pStyle w:val="DualTxt"/>
        <w:spacing w:after="0" w:line="120" w:lineRule="exact"/>
        <w:rPr>
          <w:sz w:val="10"/>
        </w:rPr>
      </w:pP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Al presentar los informes, la representante de Egipto destacó los progresos jurídicos, institucionales y prácticos alcanzados en relación con el adelanto de la mujer. En la esfera jurídica, se habían enmendado mú</w:t>
      </w:r>
      <w:r>
        <w:t>l</w:t>
      </w:r>
      <w:r>
        <w:t>tiples leyes, tales como las relativas a la familia, para favorecer a la mujer. El Consejo Nacional de la Mujer, primera institución política dedicada a la plena partic</w:t>
      </w:r>
      <w:r>
        <w:t>i</w:t>
      </w:r>
      <w:r>
        <w:t>pación de la mujer, la supervisión de la aplicación de la Convención y de las leyes y políticas que afectan a la vida de la mujer, se había creado en febrero de 2000 por decreto presidencial. El Consejo depende direct</w:t>
      </w:r>
      <w:r>
        <w:t>a</w:t>
      </w:r>
      <w:r>
        <w:t>mente del Presidente y sus 30 miembros provienen de distintas disciplinas y sectores, incluidos la comunidad académica y las organizaciones no gubernamentales. La representante destacó la importancia de la colabor</w:t>
      </w:r>
      <w:r>
        <w:t>a</w:t>
      </w:r>
      <w:r>
        <w:t>ción entre las organizaciones no gubernamentales y el Consejo, en particular en relación con la ejecución de programas encaminados a la reducción de la pobreza resultante de los programas de privatización y ajuste estructural, sobre todo para las mujeres que son cabeza de familias en zonas rurales o zonas urbanas pobres.</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La representante informó al Comité de que, d</w:t>
      </w:r>
      <w:r>
        <w:t>u</w:t>
      </w:r>
      <w:r>
        <w:t>rante las elecciones de 2000, el Consejo Nacional de la Mujer había prestado apoyo a la participación de muj</w:t>
      </w:r>
      <w:r>
        <w:t>e</w:t>
      </w:r>
      <w:r>
        <w:t xml:space="preserve">res como candidatas y votantes. </w:t>
      </w:r>
      <w:r>
        <w:rPr>
          <w:w w:val="102"/>
        </w:rPr>
        <w:t>Las mujeres son más conscientes de la importancia de su participación polít</w:t>
      </w:r>
      <w:r>
        <w:rPr>
          <w:w w:val="102"/>
        </w:rPr>
        <w:t>i</w:t>
      </w:r>
      <w:r>
        <w:rPr>
          <w:w w:val="102"/>
        </w:rPr>
        <w:t>ca y, por consiguiente, el número de candidatas mujeres aumentó de 87 en 1995 a 120 en 2000; en 2000 fueron elegidas 7 candidatas, en comparación con 5 en 1995.</w:t>
      </w:r>
    </w:p>
    <w:p w:rsidR="00000000" w:rsidRDefault="00000000">
      <w:pPr>
        <w:pStyle w:val="DualTxt"/>
        <w:numPr>
          <w:ilvl w:val="0"/>
          <w:numId w:val="132"/>
        </w:numPr>
        <w:tabs>
          <w:tab w:val="clear" w:pos="960"/>
          <w:tab w:val="left" w:pos="965"/>
        </w:tabs>
      </w:pPr>
      <w:r>
        <w:t>El comité legislativo del Consejo Nacional de la Mujer examinó la actual ley de nacionalidad y rec</w:t>
      </w:r>
      <w:r>
        <w:t>o</w:t>
      </w:r>
      <w:r>
        <w:t xml:space="preserve">mendó que se la enmiende para que las mujeres </w:t>
      </w:r>
      <w:r>
        <w:rPr>
          <w:spacing w:val="0"/>
        </w:rPr>
        <w:t>egi</w:t>
      </w:r>
      <w:r>
        <w:rPr>
          <w:spacing w:val="0"/>
        </w:rPr>
        <w:t>p</w:t>
      </w:r>
      <w:r>
        <w:rPr>
          <w:spacing w:val="0"/>
        </w:rPr>
        <w:t>cias casadas con extranjeros tengan el derecho de conferir</w:t>
      </w:r>
      <w:r>
        <w:t xml:space="preserve"> su nacionalidad a los hijos. También examinó la Ley del trabajo, y recomendó enmiendas para velar por que los beneficios actuales, incluso la licencia por matern</w:t>
      </w:r>
      <w:r>
        <w:t>i</w:t>
      </w:r>
      <w:r>
        <w:t>dad y la licencia para atender a los hijos, sigan benef</w:t>
      </w:r>
      <w:r>
        <w:t>i</w:t>
      </w:r>
      <w:r>
        <w:t>ciando a todas las mujeres trabajadoras, incluso a las que trabajan en el gobierno y en los sectores público o privado. Además, el comité legislativo examinó el pr</w:t>
      </w:r>
      <w:r>
        <w:t>o</w:t>
      </w:r>
      <w:r>
        <w:t>yecto de ley de pasaportes, que se preparó en respuesta a un fallo de la Corte Constitucional Suprema que d</w:t>
      </w:r>
      <w:r>
        <w:t>e</w:t>
      </w:r>
      <w:r>
        <w:t>claró inconstitucional un decreto ministerial que exigía el consentimiento del marido para expedir el pasaporte de la esposa. El comité legislativo que integre el Co</w:t>
      </w:r>
      <w:r>
        <w:t>n</w:t>
      </w:r>
      <w:r>
        <w:t>sejo Nacional para la Mujer comenzará una campaña para crear conciencia sobre dicho proyecto de ley y también formó un comité para preparar un nuevo cód</w:t>
      </w:r>
      <w:r>
        <w:t>i</w:t>
      </w:r>
      <w:r>
        <w:t>go de la familia.</w:t>
      </w:r>
    </w:p>
    <w:p w:rsidR="00000000" w:rsidRDefault="00000000">
      <w:pPr>
        <w:pStyle w:val="DualTxt"/>
        <w:numPr>
          <w:ilvl w:val="0"/>
          <w:numId w:val="132"/>
        </w:numPr>
        <w:tabs>
          <w:tab w:val="clear" w:pos="960"/>
          <w:tab w:val="left" w:pos="965"/>
        </w:tabs>
      </w:pPr>
      <w:r>
        <w:t>La representante informó al Comité sobre las l</w:t>
      </w:r>
      <w:r>
        <w:t>e</w:t>
      </w:r>
      <w:r>
        <w:t>yes y reglamentos recientes en que se trata de eliminar la discriminación entre hombres y mujeres. Entre ellos se puede mencionar la Ley No. 12 de 1996, promulg</w:t>
      </w:r>
      <w:r>
        <w:t>a</w:t>
      </w:r>
      <w:r>
        <w:t>da en cumplimiento de la Convención sobre los Der</w:t>
      </w:r>
      <w:r>
        <w:t>e</w:t>
      </w:r>
      <w:r>
        <w:t>chos del Niño</w:t>
      </w:r>
      <w:r>
        <w:rPr>
          <w:vertAlign w:val="superscript"/>
        </w:rPr>
        <w:t>7</w:t>
      </w:r>
      <w:r>
        <w:t>, que establece medidas de protección para madres e hijos y garantiza el derecho de la mujer como madre y trabajadora, y la Ley No. 1 de 2000, promulgada después de 10 años de consultas. Esto ú</w:t>
      </w:r>
      <w:r>
        <w:t>l</w:t>
      </w:r>
      <w:r>
        <w:t>timo, que entró en vigor el 1° de marzo de 2000, otorga a la mujer el derecho al “khul”, o sea, el divorcio un</w:t>
      </w:r>
      <w:r>
        <w:t>i</w:t>
      </w:r>
      <w:r>
        <w:t>lateral por repudio sin necesidad de probar un daño. Entre los decretos promulgados a resultas de la Ley No. 1 de 2000 se puede mencionar un nuevo contrato de matrimonio, que entró en vigor el 16 de agosto de 2000, en que se establecen medidas de protección, en relación con su situación económica y la poligamia. Además, se eliminó el artículo 291 del Código Penal que preveía que el autor del secuestro y violación podía proponer en su defensa casarse con la víctima.</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La representante observó que, a pesar de los pr</w:t>
      </w:r>
      <w:r>
        <w:t>o</w:t>
      </w:r>
      <w:r>
        <w:t>gresos logrados en la aplicación de la Convención, t</w:t>
      </w:r>
      <w:r>
        <w:t>o</w:t>
      </w:r>
      <w:r>
        <w:t>davía es necesario prestar atención a distintos ámbitos. Entre ellos se incluye la discriminación contra la mujer en relación con la nacionalidad de sus hijos, el escaso número de mujeres en todas las esferas de la adopción de decisiones, incluso el Parlamento, la ausencia de mujeres en el Poder Judicial, los altos niveles de ana</w:t>
      </w:r>
      <w:r>
        <w:t>l</w:t>
      </w:r>
      <w:r>
        <w:t>fabetismo entre las mujeres y las niñas y la violencia contra la mujer. La oradora destacó la importancia de la educación relativa a los derechos humanos. El Consejo Nacional de la Mujer organizaba campañas de sensib</w:t>
      </w:r>
      <w:r>
        <w:t>i</w:t>
      </w:r>
      <w:r>
        <w:t>lización con ayuda de las autoridades pertinentes. Dijo que se había incluido la educación sobre derechos h</w:t>
      </w:r>
      <w:r>
        <w:t>u</w:t>
      </w:r>
      <w:r>
        <w:t>manos en los cursos de derecho que se dictaban en la Academia de Policía. También mencionó la campaña de información sobre derechos humanos y los cursos de capacitación para el personal encargado del cumpl</w:t>
      </w:r>
      <w:r>
        <w:t>i</w:t>
      </w:r>
      <w:r>
        <w:t>miento de la ley y jurídico.</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pPr>
      <w:r>
        <w:t>La representante dijo que el Gobierno preveía mejorar sus actividades en pro del logro de la igualdad entre mujeres y hombres y la eliminación de la discr</w:t>
      </w:r>
      <w:r>
        <w:t>i</w:t>
      </w:r>
      <w:r>
        <w:t>minación contra la mujer. Observó que las limitaciones culturales y las tradiciones en ocasiones impiden el cambio y obstaculizan la aplicación de la ley. En ese contexto, dijo que el Gobierno, por conducto del Co</w:t>
      </w:r>
      <w:r>
        <w:t>n</w:t>
      </w:r>
      <w:r>
        <w:t>sejo Nacional de la Mujer, en colaboración con los i</w:t>
      </w:r>
      <w:r>
        <w:t>n</w:t>
      </w:r>
      <w:r>
        <w:t>telectuales egipcios de ambos sexos, tratará de utilizar fórmulas autóctonas, que estuvieran enraizadas profu</w:t>
      </w:r>
      <w:r>
        <w:t>n</w:t>
      </w:r>
      <w:r>
        <w:t>damente en la cultura egipcia e islámica, que afirmaran la igualdad del hombre y la mujer. El Consejo Nacional de la Mujer, con la ayuda de todos los interesados, el Gobierno y las organizaciones no gubernamentales, participaría en campañas para crear conciencia e inte</w:t>
      </w:r>
      <w:r>
        <w:t>r</w:t>
      </w:r>
      <w:r>
        <w:t>pretar debidamente los conceptos religiosos para acl</w:t>
      </w:r>
      <w:r>
        <w:t>a</w:t>
      </w:r>
      <w:r>
        <w:t>rar interpretaciones erróneas y demostrar que los pri</w:t>
      </w:r>
      <w:r>
        <w:t>n</w:t>
      </w:r>
      <w:r>
        <w:t>cipios de la Ley Cherámica establecen la plena igua</w:t>
      </w:r>
      <w:r>
        <w:t>l</w:t>
      </w:r>
      <w:r>
        <w:t>dad de la mujer con el hombre y el respeto de la dign</w:t>
      </w:r>
      <w:r>
        <w:t>i</w:t>
      </w:r>
      <w:r>
        <w:t>dad humana de la mujer.</w:t>
      </w:r>
    </w:p>
    <w:p w:rsidR="00000000" w:rsidRDefault="00000000">
      <w:pPr>
        <w:pStyle w:val="DualTxt"/>
        <w:numPr>
          <w:ilvl w:val="0"/>
          <w:numId w:val="132"/>
        </w:numPr>
        <w:tabs>
          <w:tab w:val="clear" w:pos="960"/>
          <w:tab w:val="left" w:pos="965"/>
          <w:tab w:val="left" w:pos="1440"/>
          <w:tab w:val="left" w:pos="1915"/>
          <w:tab w:val="left" w:pos="2405"/>
          <w:tab w:val="left" w:pos="2880"/>
          <w:tab w:val="left" w:pos="3355"/>
        </w:tabs>
        <w:rPr>
          <w:w w:val="102"/>
        </w:rPr>
      </w:pPr>
      <w:r>
        <w:rPr>
          <w:w w:val="102"/>
        </w:rPr>
        <w:t>En conclusión, la representante informó al Comité de que se estaba trabajando activamente para encarar las reservas que había formulado el Gobierno de Egipto cuando ratificó la Convención. Había recomendado que se retiren las reservas al artículo 2 de la Convención y actualmente se estaban examinando activamente las r</w:t>
      </w:r>
      <w:r>
        <w:rPr>
          <w:w w:val="102"/>
        </w:rPr>
        <w:t>e</w:t>
      </w:r>
      <w:r>
        <w:rPr>
          <w:w w:val="102"/>
        </w:rPr>
        <w:t>servas al artículo 16 y al párrafo 2 del art</w:t>
      </w:r>
      <w:r>
        <w:rPr>
          <w:w w:val="102"/>
        </w:rPr>
        <w:t>í</w:t>
      </w:r>
      <w:r>
        <w:rPr>
          <w:w w:val="102"/>
        </w:rPr>
        <w:t>culo 9.</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Observaciones finales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DualTxt"/>
        <w:spacing w:after="0" w:line="120" w:lineRule="exact"/>
        <w:rPr>
          <w:sz w:val="10"/>
        </w:rPr>
      </w:pPr>
    </w:p>
    <w:p w:rsidR="00000000" w:rsidRDefault="00000000">
      <w:pPr>
        <w:pStyle w:val="DualTxt"/>
        <w:numPr>
          <w:ilvl w:val="0"/>
          <w:numId w:val="132"/>
        </w:numPr>
      </w:pPr>
      <w:r>
        <w:t>El Comité encomia al Gobierno de Egipto por su tercer informe y el cuarto y quinto informes combin</w:t>
      </w:r>
      <w:r>
        <w:t>a</w:t>
      </w:r>
      <w:r>
        <w:t>dos, que se adecuan a las directrices del Comité para la preparación de informes periódicos. También elogia al Gobierno por las amplias respuestas dadas por escrito a las preguntas hechas por el grupo de trabajo anterior al período de sesiones y por la presentación oral de la delegación, en que se trató de aclarar la situación a</w:t>
      </w:r>
      <w:r>
        <w:t>c</w:t>
      </w:r>
      <w:r>
        <w:t>tual de la mujer en Egipto y que brindó información adicional sobre la aplicación de la Convención.</w:t>
      </w:r>
    </w:p>
    <w:p w:rsidR="00000000" w:rsidRDefault="00000000">
      <w:pPr>
        <w:pStyle w:val="DualTxt"/>
      </w:pP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felicita al Gobierno por haber enviado una gran delegación de alto nivel, encabezada por la Secretaria General del Consejo Nacional de la Mujer. El Comité reconoce el diálogo abierto que se celebró entre la delegación y los mie</w:t>
      </w:r>
      <w:r>
        <w:t>m</w:t>
      </w:r>
      <w:r>
        <w:t>bros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spacing w:after="0" w:line="120" w:lineRule="exact"/>
        <w:rPr>
          <w:sz w:val="10"/>
        </w:rPr>
      </w:pP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acoge complacido el establecimiento del Consejo Nacional de la Mujer, creado por decreto presidencial, que depende directamente del Presidente y cuyo mandato consiste en supervisar las leyes y pol</w:t>
      </w:r>
      <w:r>
        <w:t>í</w:t>
      </w:r>
      <w:r>
        <w:t>ticas que afectan la vida de la mujer, crear conciencia y supervisar la aplicación de la Convención. El Comité considera que la creación del Consejo refleja la enérg</w:t>
      </w:r>
      <w:r>
        <w:t>i</w:t>
      </w:r>
      <w:r>
        <w:t>ca voluntad política y el compromiso del Gobierno de mejorar la situación de la mujer, en cumplimiento de la Convención. El Comité encomia el hecho de que en el Consejo Nacional de la Mujer están representadas las organizaciones no gubernamentales, que también part</w:t>
      </w:r>
      <w:r>
        <w:t>i</w:t>
      </w:r>
      <w:r>
        <w:t>ciparon en la preparación de los info</w:t>
      </w:r>
      <w:r>
        <w:t>r</w:t>
      </w:r>
      <w:r>
        <w:t>mes.</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toma nota de la introducción de refo</w:t>
      </w:r>
      <w:r>
        <w:t>r</w:t>
      </w:r>
      <w:r>
        <w:t>mas jurídicas encaminadas a eliminar la discriminación contra la mujer, en particular la Ley No. 1 de 2000 que, entre otras cosas, da a la mujer el derecho a poner fin al matrimonio unilat</w:t>
      </w:r>
      <w:r>
        <w:t>e</w:t>
      </w:r>
      <w:r>
        <w:t>ralmente (khul).</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toma nota con reconocimiento de la importante reducción del analfabetismo entre las muj</w:t>
      </w:r>
      <w:r>
        <w:t>e</w:t>
      </w:r>
      <w:r>
        <w:t>res que ha logrado Egipto gracias a la ejecución de programas especiales y asignaciones presupuestarias para tal fin.</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a la aplicación de la Convención</w:t>
      </w:r>
    </w:p>
    <w:p w:rsidR="00000000" w:rsidRDefault="00000000">
      <w:pPr>
        <w:pStyle w:val="DualTxt"/>
        <w:spacing w:after="0" w:line="120" w:lineRule="exact"/>
        <w:rPr>
          <w:sz w:val="10"/>
        </w:rPr>
      </w:pP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observa que, si bien la Constitución garantiza la igualdad entre hombres y mujeres y la Convención prevalece sobre la legislación nacional, la persistencia de las actitudes patriarcales y de conductas estereotipadas en relación con la función de la mujer y el hombre en la familia y la sociedad impiden la apl</w:t>
      </w:r>
      <w:r>
        <w:t>i</w:t>
      </w:r>
      <w:r>
        <w:t>cación cabal de la Conve</w:t>
      </w:r>
      <w:r>
        <w:t>n</w:t>
      </w:r>
      <w:r>
        <w:t>ción.</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esferas de preocupación y recomendaciones</w:t>
      </w:r>
    </w:p>
    <w:p w:rsidR="00000000" w:rsidRDefault="00000000">
      <w:pPr>
        <w:pStyle w:val="DualTxt"/>
        <w:spacing w:after="0" w:line="120" w:lineRule="exact"/>
        <w:rPr>
          <w:sz w:val="10"/>
        </w:rPr>
      </w:pP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 xml:space="preserve">El Comité reconoce los esfuerzos del Consejo Nacional de Mujeres por alentar al Gobierno a que </w:t>
      </w:r>
      <w:r>
        <w:rPr>
          <w:spacing w:val="0"/>
        </w:rPr>
        <w:t>ret</w:t>
      </w:r>
      <w:r>
        <w:rPr>
          <w:spacing w:val="0"/>
        </w:rPr>
        <w:t>i</w:t>
      </w:r>
      <w:r>
        <w:rPr>
          <w:spacing w:val="0"/>
        </w:rPr>
        <w:t>re las reservas al artículo 2, al párrafo 2 del artículo 9 y al artículo 16 de la Convención, y expresa su preocupación</w:t>
      </w:r>
      <w:r>
        <w:t xml:space="preserve"> por que el Estado parte siga manteniendo esas reservas, que formuló en el momento de la ratific</w:t>
      </w:r>
      <w:r>
        <w:t>a</w:t>
      </w:r>
      <w:r>
        <w:t>ción.</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insta al Estado parte a que acelere las medidas necesarias para retirar sus reservas y, al re</w:t>
      </w:r>
      <w:r>
        <w:t>s</w:t>
      </w:r>
      <w:r>
        <w:t>pecto, señala a su atención la declaración del Comité sobre las reservas hechas en el informe sobre su 19° período de sesiones</w:t>
      </w:r>
      <w:r>
        <w:rPr>
          <w:vertAlign w:val="superscript"/>
        </w:rPr>
        <w:t>8</w:t>
      </w:r>
      <w:r>
        <w:t xml:space="preserve"> y, en particular, su opinión de que los artículos 2 y 16 son fundamentales para los objet</w:t>
      </w:r>
      <w:r>
        <w:t>i</w:t>
      </w:r>
      <w:r>
        <w:t>vos y los propósitos de la Convención y que, de co</w:t>
      </w:r>
      <w:r>
        <w:t>n</w:t>
      </w:r>
      <w:r>
        <w:t>formidad con el párrafo 2 del artículo 28, las reservas deberán retirarse.</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observa con preocupación que las m</w:t>
      </w:r>
      <w:r>
        <w:t>u</w:t>
      </w:r>
      <w:r>
        <w:t>jeres que solicitan el divorcio solicitando unilatera</w:t>
      </w:r>
      <w:r>
        <w:t>l</w:t>
      </w:r>
      <w:r>
        <w:t>mente la terminación del contrato de matrimonio con arreglo a la Ley No. 1 del 2000 (khul) deben en todos los casos renunciar a sus derechos financieros, incluso la dote.</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recomienda que el Gobierno considere la posibilidad de enmendar la Ley No. 1 del 2000, con miras a eliminar esta forma de discriminación financi</w:t>
      </w:r>
      <w:r>
        <w:t>e</w:t>
      </w:r>
      <w:r>
        <w:t>ra contra la mujer.</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Preocupa al Comité que la ley egipcia sobre n</w:t>
      </w:r>
      <w:r>
        <w:t>a</w:t>
      </w:r>
      <w:r>
        <w:t>cionalidad impida a las mujeres egipcias dar su naci</w:t>
      </w:r>
      <w:r>
        <w:t>o</w:t>
      </w:r>
      <w:r>
        <w:t>nalidad a sus hijos si su esposo no es egipcio, mientras que los varones egipcios casados con mujeres no egi</w:t>
      </w:r>
      <w:r>
        <w:t>p</w:t>
      </w:r>
      <w:r>
        <w:t>cias sí pueden hacerlo. Le preocupan las penurias que afrontan los hijos de mujeres egipcias casadas con v</w:t>
      </w:r>
      <w:r>
        <w:t>a</w:t>
      </w:r>
      <w:r>
        <w:t>rones no egipcios, incluso los problemas financieros relativos a la educación. El Comité considera que dicha limitación a los derechos de la mujer no es coherente con la Co</w:t>
      </w:r>
      <w:r>
        <w:t>n</w:t>
      </w:r>
      <w:r>
        <w:t>vención.</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insta al Estado parte a que revise la l</w:t>
      </w:r>
      <w:r>
        <w:t>e</w:t>
      </w:r>
      <w:r>
        <w:t>gislación que rige la nacionalidad, a fin de adecuarla a las dispos</w:t>
      </w:r>
      <w:r>
        <w:t>i</w:t>
      </w:r>
      <w:r>
        <w:t>ciones de la Convención.</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toma nota con preocupación de que la persistencia de los estereotipos culturales y las actit</w:t>
      </w:r>
      <w:r>
        <w:t>u</w:t>
      </w:r>
      <w:r>
        <w:t>des patriarcales impiden el progreso en la aplicación de la Convención y el pleno goce de los derechos hum</w:t>
      </w:r>
      <w:r>
        <w:t>a</w:t>
      </w:r>
      <w:r>
        <w:t>nos de la mujer. Al respecto, preocupa al Comité que aparentemente el artículo 11 de la Constitución de Egipto, que establece que el Estado permitirá a la m</w:t>
      </w:r>
      <w:r>
        <w:t>u</w:t>
      </w:r>
      <w:r>
        <w:t>jer reconciliar sus obligaciones en relación con la f</w:t>
      </w:r>
      <w:r>
        <w:t>a</w:t>
      </w:r>
      <w:r>
        <w:t>milia y con su trabajo en la sociedad y le garantizará la igualdad con el hombre en la esfera de la vida política, social, cultural y económica, no hace más que profu</w:t>
      </w:r>
      <w:r>
        <w:t>n</w:t>
      </w:r>
      <w:r>
        <w:t>dizar la función primaria de la mujer como madre y ama de c</w:t>
      </w:r>
      <w:r>
        <w:t>a</w:t>
      </w:r>
      <w:r>
        <w:t>sa.</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insta al Gobierno a aumentar sus pr</w:t>
      </w:r>
      <w:r>
        <w:t>o</w:t>
      </w:r>
      <w:r>
        <w:t>gramas de creación de conciencia, incluso los dirigidos completamente a los hombres, así como a adoptar m</w:t>
      </w:r>
      <w:r>
        <w:t>e</w:t>
      </w:r>
      <w:r>
        <w:t>didas para cambiar las actitudes y percepciones est</w:t>
      </w:r>
      <w:r>
        <w:t>e</w:t>
      </w:r>
      <w:r>
        <w:t>reotipadas sobre la función y la responsabilidad de mujeres y hombres.</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expresó preocupación por que en los medios de difusión se siga presentando una imagen e</w:t>
      </w:r>
      <w:r>
        <w:t>s</w:t>
      </w:r>
      <w:r>
        <w:t>tereotipada de la mujer, lo que alienta la discriminación y s</w:t>
      </w:r>
      <w:r>
        <w:t>o</w:t>
      </w:r>
      <w:r>
        <w:t>cava la igualdad entre hombres y mujeres.</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insta al Gobierno, incluso al Comité Nacional de la Mujer, a que respalden la importante función de los medios de difusión en el cambio de las actitudes estereotipadas hacia la mujer y en la prom</w:t>
      </w:r>
      <w:r>
        <w:t>o</w:t>
      </w:r>
      <w:r>
        <w:t>ción de la igualdad entre hombres y mujeres, como se establece en la Constitución y en las normas intern</w:t>
      </w:r>
      <w:r>
        <w:t>a</w:t>
      </w:r>
      <w:r>
        <w:t>cionales. Recomienda la creación de oportunidades p</w:t>
      </w:r>
      <w:r>
        <w:t>a</w:t>
      </w:r>
      <w:r>
        <w:t>ra mostrar imágenes positivas y no tradicionales de la mujer y que aumente el número de mujeres con cargos jerárquicos en los medios de difusión. También rec</w:t>
      </w:r>
      <w:r>
        <w:t>o</w:t>
      </w:r>
      <w:r>
        <w:t>mienda al Gobierno que establezca, dentro del Consejo, un órgano de supervisión de la representación de la mujer en los medios de dif</w:t>
      </w:r>
      <w:r>
        <w:t>u</w:t>
      </w:r>
      <w:r>
        <w:t>sión.</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expresa su preocupación por que el Gobierno sólo haya encarado la cuestión del VIH/SIDA como cuestión sanitaria.</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insta al Gobierno de Egipto a que te</w:t>
      </w:r>
      <w:r>
        <w:t>n</w:t>
      </w:r>
      <w:r>
        <w:t>ga en cuenta la naturaleza multidimensional e inte</w:t>
      </w:r>
      <w:r>
        <w:t>r</w:t>
      </w:r>
      <w:r>
        <w:t>sectorial del VIH/SIDA, incluso en sus dimensiones de derechos humanos, económicas, sociales, de desarrollo y segur</w:t>
      </w:r>
      <w:r>
        <w:t>i</w:t>
      </w:r>
      <w:r>
        <w:t>dad.</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observando el éxito del Gobierno en  la reducción de la tasa de deserción de la escuela pr</w:t>
      </w:r>
      <w:r>
        <w:t>i</w:t>
      </w:r>
      <w:r>
        <w:t>maria, nota con preocupación que sigue habiendo un alto nivel de analfabetismo entre las mujeres y una alta tasa de deserción de niñas y jóvenes en la escuela s</w:t>
      </w:r>
      <w:r>
        <w:t>e</w:t>
      </w:r>
      <w:r>
        <w:t>cundaria y la educación universitaria.</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insta al Gobierno a que continúe red</w:t>
      </w:r>
      <w:r>
        <w:t>o</w:t>
      </w:r>
      <w:r>
        <w:t>blando sus esfuerzos por erradicar el analfabetismo entre las mujeres, en particular en las zonas rurales. El Comité insta al Gobierno a que continúe sus programas para prevenir la deserción de la escuela primaria de los niños y la tasa de deserción de la escuela secund</w:t>
      </w:r>
      <w:r>
        <w:t>a</w:t>
      </w:r>
      <w:r>
        <w:t>ria y la universidad de las niñas y las jóvenes, incluso mediante el uso de incentivos para los padres, a fin de dar a las jóvenes los conocimientos necesarios para participar en el mercado laboral en condiciones de igualdad con el hombre.</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expresa preocupación por que las a</w:t>
      </w:r>
      <w:r>
        <w:t>c</w:t>
      </w:r>
      <w:r>
        <w:t>titudes estereotipadas sobre la función de la mujer y el hombre en la familia y la sociedad se reflejen en el bajo nivel de representación de la mujer en todos los niveles y en todas las esferas de la adopción de dec</w:t>
      </w:r>
      <w:r>
        <w:t>i</w:t>
      </w:r>
      <w:r>
        <w:t>siones. El Comité expresa preocupación por que, au</w:t>
      </w:r>
      <w:r>
        <w:t>n</w:t>
      </w:r>
      <w:r>
        <w:t>que ninguna ley prohíba el nombramiento de mujeres como jueces, ello t</w:t>
      </w:r>
      <w:r>
        <w:t>o</w:t>
      </w:r>
      <w:r>
        <w:t>davía no haya ocurrido.</w:t>
      </w:r>
    </w:p>
    <w:p w:rsidR="00000000" w:rsidRDefault="00000000">
      <w:pPr>
        <w:pStyle w:val="DualTxt"/>
        <w:numPr>
          <w:ilvl w:val="0"/>
          <w:numId w:val="132"/>
        </w:numPr>
        <w:tabs>
          <w:tab w:val="clear" w:pos="960"/>
          <w:tab w:val="left" w:pos="475"/>
          <w:tab w:val="left" w:pos="965"/>
        </w:tabs>
      </w:pPr>
      <w:r>
        <w:t>El Comité insta al Gobierno a que aumente el número de mujeres en todos los niveles de la adopción de decisiones, incluso en el Gobierno y en el Parl</w:t>
      </w:r>
      <w:r>
        <w:t>a</w:t>
      </w:r>
      <w:r>
        <w:t>mento. Insta al Gobierno a que aplique medidas esp</w:t>
      </w:r>
      <w:r>
        <w:t>e</w:t>
      </w:r>
      <w:r>
        <w:t>ciales de carácter temporal, como metas cuantitativas y cupos con plazos para su cumplimiento, de conform</w:t>
      </w:r>
      <w:r>
        <w:t>i</w:t>
      </w:r>
      <w:r>
        <w:t>dad con el párrafo 1 del artículo 4 de la Convención, a fin de aumentar la representación de la mujer en los n</w:t>
      </w:r>
      <w:r>
        <w:t>i</w:t>
      </w:r>
      <w:r>
        <w:t>veles de adopción de decisiones de todas las esferas.</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expresa preocupación por la falta de información sobre la participación de la mujer en el mercado de trabajo y en las condiciones en que lo hace, incluso en el sector privado y el sector no estructurado, y de que se cuenta con muy pocos datos e información sobre las repercusiones de las recientes medidas de pr</w:t>
      </w:r>
      <w:r>
        <w:t>i</w:t>
      </w:r>
      <w:r>
        <w:t>vatización ado</w:t>
      </w:r>
      <w:r>
        <w:t>p</w:t>
      </w:r>
      <w:r>
        <w:t>tadas por el Gobierno.</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rPr>
          <w:spacing w:val="-2"/>
          <w:w w:val="104"/>
        </w:rPr>
      </w:pPr>
      <w:r>
        <w:rPr>
          <w:spacing w:val="-2"/>
          <w:w w:val="104"/>
        </w:rPr>
        <w:t>El Comité insta al Gobierno a que brinde más info</w:t>
      </w:r>
      <w:r>
        <w:rPr>
          <w:spacing w:val="-2"/>
          <w:w w:val="104"/>
        </w:rPr>
        <w:t>r</w:t>
      </w:r>
      <w:r>
        <w:rPr>
          <w:spacing w:val="-2"/>
          <w:w w:val="104"/>
        </w:rPr>
        <w:t>mación sobre esa esfera en su próximo informe p</w:t>
      </w:r>
      <w:r>
        <w:rPr>
          <w:spacing w:val="-2"/>
          <w:w w:val="104"/>
        </w:rPr>
        <w:t>e</w:t>
      </w:r>
      <w:r>
        <w:rPr>
          <w:spacing w:val="-2"/>
          <w:w w:val="104"/>
        </w:rPr>
        <w:t>riódico.</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expresa su preocupación por que, au</w:t>
      </w:r>
      <w:r>
        <w:t>n</w:t>
      </w:r>
      <w:r>
        <w:t>que se han realizado esfuerzos al respecto, no se aplica un enfoque integral a la prevención y eliminación de la violencia contra la mujer, incluso la violencia en el h</w:t>
      </w:r>
      <w:r>
        <w:t>o</w:t>
      </w:r>
      <w:r>
        <w:t>gar, la violación por el marido, la violencia contra la mujer en los centros de detención, los delitos comet</w:t>
      </w:r>
      <w:r>
        <w:t>i</w:t>
      </w:r>
      <w:r>
        <w:t>dos por razones de honor o la sanción de los autores. También preocupa al Comité el gran nivel de violencia contra las adolescentes y las jóv</w:t>
      </w:r>
      <w:r>
        <w:t>e</w:t>
      </w:r>
      <w:r>
        <w:t>nes casadas.</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insta al Gobierno a que realice una e</w:t>
      </w:r>
      <w:r>
        <w:t>n</w:t>
      </w:r>
      <w:r>
        <w:t>cuesta nacional sobre el alcance de la violencia contra la mujer, incluso la mujer de las zonas rurales. Insta al Gobierno a que evalúe las repercusiones de las medidas actuales para encarar las distintas formas de violencia contra la mujer. Recomienda que se tengan en cuenta las causas profundas de la violencia contra la mujer, en especial que se investigue la violencia en el hogar, a fin de mejorar la eficacia de la legislación, las políticas y los programas encaminados a combatir dicha violencia. También recomienda al Gobierno que ponga en práct</w:t>
      </w:r>
      <w:r>
        <w:t>i</w:t>
      </w:r>
      <w:r>
        <w:t>ca programas de capacitación y sensibilización para el poder judicial, los funcionarios encargados del cu</w:t>
      </w:r>
      <w:r>
        <w:t>m</w:t>
      </w:r>
      <w:r>
        <w:t>plimiento de la ley y los integrantes de las profesiones jurídica y sanitaria, así como medidas de creación de conciencia para que en la sociedad no se tolere en a</w:t>
      </w:r>
      <w:r>
        <w:t>b</w:t>
      </w:r>
      <w:r>
        <w:t>soluto la violencia contra la mujer.</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El Comité expresa su preocupación por que varias disposiciones del Código Penal son discriminatorias contra la mujer. En caso de asesinato después de adu</w:t>
      </w:r>
      <w:r>
        <w:t>l</w:t>
      </w:r>
      <w:r>
        <w:t>terio, no se trata en condiciones de igualdad al hombre y la mujer. Además, se penaliza a las prostitutas, pero no a sus clientes.</w:t>
      </w:r>
    </w:p>
    <w:p w:rsidR="00000000" w:rsidRDefault="00000000">
      <w:pPr>
        <w:pStyle w:val="DualTxt"/>
        <w:numPr>
          <w:ilvl w:val="0"/>
          <w:numId w:val="132"/>
        </w:numPr>
        <w:tabs>
          <w:tab w:val="clear" w:pos="960"/>
          <w:tab w:val="left" w:pos="475"/>
          <w:tab w:val="left" w:pos="965"/>
          <w:tab w:val="left" w:pos="1440"/>
          <w:tab w:val="left" w:pos="1915"/>
          <w:tab w:val="left" w:pos="2405"/>
          <w:tab w:val="left" w:pos="2880"/>
          <w:tab w:val="left" w:pos="3355"/>
        </w:tabs>
      </w:pPr>
      <w:r>
        <w:t>La Comisión insta al Gobierno a eliminar todas las disposiciones penales discriminatorias con arreglo a la Con</w:t>
      </w:r>
      <w:r>
        <w:t>s</w:t>
      </w:r>
      <w:r>
        <w:t>titución y la Convención.</w:t>
      </w:r>
    </w:p>
    <w:p w:rsidR="00000000" w:rsidRDefault="00000000">
      <w:pPr>
        <w:pStyle w:val="DualTxt"/>
        <w:numPr>
          <w:ilvl w:val="0"/>
          <w:numId w:val="140"/>
        </w:numPr>
        <w:tabs>
          <w:tab w:val="clear" w:pos="960"/>
          <w:tab w:val="left" w:pos="475"/>
          <w:tab w:val="left" w:pos="965"/>
          <w:tab w:val="left" w:pos="1440"/>
          <w:tab w:val="left" w:pos="1915"/>
          <w:tab w:val="left" w:pos="2405"/>
          <w:tab w:val="left" w:pos="2880"/>
          <w:tab w:val="left" w:pos="3355"/>
        </w:tabs>
      </w:pPr>
      <w:r>
        <w:t>El Comité acoge con satisfacción el decreto de 1996 del Ministro de Salud sobre mutilación genital femenina pero expresa preocupación por la falta de i</w:t>
      </w:r>
      <w:r>
        <w:t>n</w:t>
      </w:r>
      <w:r>
        <w:t>form</w:t>
      </w:r>
      <w:r>
        <w:t>a</w:t>
      </w:r>
      <w:r>
        <w:t>ción sobre la aplicación.</w:t>
      </w:r>
    </w:p>
    <w:p w:rsidR="00000000" w:rsidRDefault="00000000">
      <w:pPr>
        <w:pStyle w:val="DualTxt"/>
        <w:numPr>
          <w:ilvl w:val="0"/>
          <w:numId w:val="140"/>
        </w:numPr>
        <w:tabs>
          <w:tab w:val="clear" w:pos="960"/>
          <w:tab w:val="left" w:pos="475"/>
          <w:tab w:val="left" w:pos="965"/>
          <w:tab w:val="left" w:pos="1440"/>
          <w:tab w:val="left" w:pos="1915"/>
          <w:tab w:val="left" w:pos="2405"/>
          <w:tab w:val="left" w:pos="2880"/>
          <w:tab w:val="left" w:pos="3355"/>
        </w:tabs>
      </w:pPr>
      <w:r>
        <w:t>El Comité pide al Gobierno que en su próximo i</w:t>
      </w:r>
      <w:r>
        <w:t>n</w:t>
      </w:r>
      <w:r>
        <w:t>forme presente detalles de la aplicación de dicho d</w:t>
      </w:r>
      <w:r>
        <w:t>e</w:t>
      </w:r>
      <w:r>
        <w:t>creto, incluso las campañas de creación de conciencia a cargo de todos los agentes (ministerios, Consejo N</w:t>
      </w:r>
      <w:r>
        <w:t>a</w:t>
      </w:r>
      <w:r>
        <w:t>cional de la Mujer y organizaciones no gubernament</w:t>
      </w:r>
      <w:r>
        <w:t>a</w:t>
      </w:r>
      <w:r>
        <w:t>les) y sobre las medidas adoptadas para educar a las personas cuyo modo de vida depende de la realización de dichos proced</w:t>
      </w:r>
      <w:r>
        <w:t>i</w:t>
      </w:r>
      <w:r>
        <w:t>mientos.</w:t>
      </w:r>
    </w:p>
    <w:p w:rsidR="00000000" w:rsidRDefault="00000000">
      <w:pPr>
        <w:pStyle w:val="DualTxt"/>
        <w:numPr>
          <w:ilvl w:val="0"/>
          <w:numId w:val="140"/>
        </w:numPr>
        <w:tabs>
          <w:tab w:val="clear" w:pos="960"/>
          <w:tab w:val="left" w:pos="475"/>
          <w:tab w:val="left" w:pos="965"/>
          <w:tab w:val="left" w:pos="1440"/>
          <w:tab w:val="left" w:pos="1915"/>
          <w:tab w:val="left" w:pos="2405"/>
          <w:tab w:val="left" w:pos="2880"/>
          <w:tab w:val="left" w:pos="3355"/>
        </w:tabs>
      </w:pPr>
      <w:r>
        <w:t>El Comité expresa su preocupación por la falta de información sobre la m</w:t>
      </w:r>
      <w:r>
        <w:t>u</w:t>
      </w:r>
      <w:r>
        <w:t>jer en las zonas rurales, espe-cialmente en el sector no estructurado.</w:t>
      </w:r>
    </w:p>
    <w:p w:rsidR="00000000" w:rsidRDefault="00000000">
      <w:pPr>
        <w:pStyle w:val="DualTxt"/>
        <w:numPr>
          <w:ilvl w:val="0"/>
          <w:numId w:val="140"/>
        </w:numPr>
        <w:tabs>
          <w:tab w:val="clear" w:pos="960"/>
          <w:tab w:val="left" w:pos="475"/>
          <w:tab w:val="left" w:pos="965"/>
          <w:tab w:val="left" w:pos="1440"/>
          <w:tab w:val="left" w:pos="1915"/>
          <w:tab w:val="left" w:pos="2405"/>
          <w:tab w:val="left" w:pos="2880"/>
          <w:tab w:val="left" w:pos="3355"/>
        </w:tabs>
      </w:pPr>
      <w:r>
        <w:t>El Comité pide al Gobierno que, en su próximo informe periódico, brinde un panorama amplio de la situación de la mujer de las zonas rurales, en particular en relación con la educación, la salud y el empleo. El Comité recomienda que el Gobierno supervise los pr</w:t>
      </w:r>
      <w:r>
        <w:t>o</w:t>
      </w:r>
      <w:r>
        <w:t>gramas actuales y elabore nuevas políticas y programas encaminados a la plena participación económica de la mujer de las zonas rurales, velando por que tenga acc</w:t>
      </w:r>
      <w:r>
        <w:t>e</w:t>
      </w:r>
      <w:r>
        <w:t>so a recursos productivos y capital, así como a serv</w:t>
      </w:r>
      <w:r>
        <w:t>i</w:t>
      </w:r>
      <w:r>
        <w:t>cios de atención de la salud y oportunidades sociales y culturales.</w:t>
      </w:r>
    </w:p>
    <w:p w:rsidR="00000000" w:rsidRDefault="00000000">
      <w:pPr>
        <w:pStyle w:val="DualTxt"/>
        <w:numPr>
          <w:ilvl w:val="0"/>
          <w:numId w:val="140"/>
        </w:numPr>
        <w:tabs>
          <w:tab w:val="clear" w:pos="960"/>
          <w:tab w:val="left" w:pos="475"/>
          <w:tab w:val="left" w:pos="965"/>
          <w:tab w:val="left" w:pos="1440"/>
          <w:tab w:val="left" w:pos="1915"/>
          <w:tab w:val="left" w:pos="2405"/>
          <w:tab w:val="left" w:pos="2880"/>
          <w:tab w:val="left" w:pos="3355"/>
        </w:tabs>
      </w:pPr>
      <w:r>
        <w:t>El Comité expresa preocupación por el gran n</w:t>
      </w:r>
      <w:r>
        <w:t>ú</w:t>
      </w:r>
      <w:r>
        <w:t>mero de matrimonios de niñas jóvenes, especialmente en las zonas r</w:t>
      </w:r>
      <w:r>
        <w:t>u</w:t>
      </w:r>
      <w:r>
        <w:t>rales.</w:t>
      </w:r>
    </w:p>
    <w:p w:rsidR="00000000" w:rsidRDefault="00000000">
      <w:pPr>
        <w:pStyle w:val="DualTxt"/>
        <w:numPr>
          <w:ilvl w:val="0"/>
          <w:numId w:val="140"/>
        </w:numPr>
        <w:tabs>
          <w:tab w:val="clear" w:pos="960"/>
          <w:tab w:val="left" w:pos="475"/>
          <w:tab w:val="left" w:pos="965"/>
          <w:tab w:val="left" w:pos="1440"/>
          <w:tab w:val="left" w:pos="1915"/>
          <w:tab w:val="left" w:pos="2405"/>
          <w:tab w:val="left" w:pos="2880"/>
          <w:tab w:val="left" w:pos="3355"/>
        </w:tabs>
      </w:pPr>
      <w:r>
        <w:t>El Comité recomienda al Gobierno que enmiende la ley sobre la edad legal para contraer matrimonio p</w:t>
      </w:r>
      <w:r>
        <w:t>a</w:t>
      </w:r>
      <w:r>
        <w:t>ra impedir los casamientos a edad temprana, de co</w:t>
      </w:r>
      <w:r>
        <w:t>n</w:t>
      </w:r>
      <w:r>
        <w:t>formidad con sus obligaciones en calidad de Estado parte en la Conve</w:t>
      </w:r>
      <w:r>
        <w:t>n</w:t>
      </w:r>
      <w:r>
        <w:t>ción.</w:t>
      </w:r>
    </w:p>
    <w:p w:rsidR="00000000" w:rsidRDefault="00000000">
      <w:pPr>
        <w:pStyle w:val="DualTxt"/>
        <w:numPr>
          <w:ilvl w:val="0"/>
          <w:numId w:val="140"/>
        </w:numPr>
        <w:tabs>
          <w:tab w:val="clear" w:pos="960"/>
          <w:tab w:val="left" w:pos="475"/>
          <w:tab w:val="left" w:pos="965"/>
          <w:tab w:val="left" w:pos="1440"/>
          <w:tab w:val="left" w:pos="1915"/>
          <w:tab w:val="left" w:pos="2405"/>
          <w:tab w:val="left" w:pos="2880"/>
          <w:tab w:val="left" w:pos="3355"/>
        </w:tabs>
      </w:pPr>
      <w:r>
        <w:t>El Comité expresa su preocupación por que la polig</w:t>
      </w:r>
      <w:r>
        <w:t>a</w:t>
      </w:r>
      <w:r>
        <w:t>mia siga siendo legal.</w:t>
      </w:r>
    </w:p>
    <w:p w:rsidR="00000000" w:rsidRDefault="00000000">
      <w:pPr>
        <w:pStyle w:val="DualTxt"/>
        <w:numPr>
          <w:ilvl w:val="0"/>
          <w:numId w:val="140"/>
        </w:numPr>
        <w:tabs>
          <w:tab w:val="clear" w:pos="960"/>
          <w:tab w:val="left" w:pos="475"/>
          <w:tab w:val="left" w:pos="965"/>
          <w:tab w:val="left" w:pos="1440"/>
          <w:tab w:val="left" w:pos="1915"/>
          <w:tab w:val="left" w:pos="2405"/>
          <w:tab w:val="left" w:pos="2880"/>
          <w:tab w:val="left" w:pos="3355"/>
        </w:tabs>
      </w:pPr>
      <w:r>
        <w:t>El Comité insta al Gobierno a que tome las med</w:t>
      </w:r>
      <w:r>
        <w:t>i</w:t>
      </w:r>
      <w:r>
        <w:t>das necesarias para impedir la poligamia, de conform</w:t>
      </w:r>
      <w:r>
        <w:t>i</w:t>
      </w:r>
      <w:r>
        <w:t>dad con las disposiciones de la Convención y la rec</w:t>
      </w:r>
      <w:r>
        <w:t>o</w:t>
      </w:r>
      <w:r>
        <w:t>me</w:t>
      </w:r>
      <w:r>
        <w:t>n</w:t>
      </w:r>
      <w:r>
        <w:t>dación general 21 del Comité</w:t>
      </w:r>
      <w:r>
        <w:rPr>
          <w:vertAlign w:val="superscript"/>
        </w:rPr>
        <w:t>9</w:t>
      </w:r>
      <w:r>
        <w:t>.</w:t>
      </w:r>
    </w:p>
    <w:p w:rsidR="00000000" w:rsidRDefault="00000000">
      <w:pPr>
        <w:pStyle w:val="DualTxt"/>
        <w:numPr>
          <w:ilvl w:val="0"/>
          <w:numId w:val="140"/>
        </w:numPr>
        <w:tabs>
          <w:tab w:val="clear" w:pos="960"/>
          <w:tab w:val="left" w:pos="475"/>
          <w:tab w:val="left" w:pos="965"/>
          <w:tab w:val="left" w:pos="1440"/>
          <w:tab w:val="left" w:pos="1915"/>
          <w:tab w:val="left" w:pos="2405"/>
          <w:tab w:val="left" w:pos="2880"/>
          <w:tab w:val="left" w:pos="3355"/>
        </w:tabs>
      </w:pPr>
      <w:r>
        <w:t>El Comité insta al Gobierno a que firme y ratif</w:t>
      </w:r>
      <w:r>
        <w:t>i</w:t>
      </w:r>
      <w:r>
        <w:t>que el Protocolo Facultativo de la Convención y que lo deposite, lo antes posible, como instrumento de aceptación de la enmienda al párrafo 1 del artículo 20 de la Convención relativa al momento de reunión del Com</w:t>
      </w:r>
      <w:r>
        <w:t>i</w:t>
      </w:r>
      <w:r>
        <w:t>té.</w:t>
      </w:r>
    </w:p>
    <w:p w:rsidR="00000000" w:rsidRDefault="00000000">
      <w:pPr>
        <w:pStyle w:val="DualTxt"/>
        <w:numPr>
          <w:ilvl w:val="0"/>
          <w:numId w:val="140"/>
        </w:numPr>
        <w:tabs>
          <w:tab w:val="clear" w:pos="960"/>
          <w:tab w:val="left" w:pos="475"/>
          <w:tab w:val="left" w:pos="965"/>
          <w:tab w:val="left" w:pos="1440"/>
          <w:tab w:val="left" w:pos="1915"/>
          <w:tab w:val="left" w:pos="2405"/>
          <w:tab w:val="left" w:pos="2880"/>
          <w:tab w:val="left" w:pos="3355"/>
        </w:tabs>
      </w:pPr>
      <w:r>
        <w:t>El Comité pide al Gobierno que responda a las inquietudes expresadas en las presentes observaciones finales en su próximo informe periódico presentado en virtud del artículo 18 de la Conve</w:t>
      </w:r>
      <w:r>
        <w:t>n</w:t>
      </w:r>
      <w:r>
        <w:t>ción.</w:t>
      </w:r>
    </w:p>
    <w:p w:rsidR="00000000" w:rsidRDefault="00000000">
      <w:pPr>
        <w:pStyle w:val="DualTxt"/>
        <w:numPr>
          <w:ilvl w:val="0"/>
          <w:numId w:val="140"/>
        </w:numPr>
        <w:tabs>
          <w:tab w:val="clear" w:pos="960"/>
          <w:tab w:val="left" w:pos="475"/>
          <w:tab w:val="left" w:pos="965"/>
          <w:tab w:val="left" w:pos="1440"/>
          <w:tab w:val="left" w:pos="1915"/>
          <w:tab w:val="left" w:pos="2405"/>
          <w:tab w:val="left" w:pos="2880"/>
          <w:tab w:val="left" w:pos="3355"/>
        </w:tabs>
      </w:pPr>
      <w:r>
        <w:t>El Comité pide que se difundan ampliamente en Egipto las presentes observaciones finales, a fin de que la población de Egipto, en particular funcionarios y políticos, tomen conciencia de las medidas que habrán de adoptarse para velar por la igualdad de jure y de facto para la mujer y de las medidas que habrá que adoptar en el futuro al respecto. También pide al G</w:t>
      </w:r>
      <w:r>
        <w:t>o</w:t>
      </w:r>
      <w:r>
        <w:t>bierno que siga difundiendo ampliamente y, en part</w:t>
      </w:r>
      <w:r>
        <w:t>i</w:t>
      </w:r>
      <w:r>
        <w:t>cular, entre las organizaciones de mujeres y de der</w:t>
      </w:r>
      <w:r>
        <w:t>e</w:t>
      </w:r>
      <w:r>
        <w:t>chos humanos, la Convención y su protocolo facultat</w:t>
      </w:r>
      <w:r>
        <w:t>i</w:t>
      </w:r>
      <w:r>
        <w:t>vo, las recomendaciones generales del Comité, la D</w:t>
      </w:r>
      <w:r>
        <w:t>e</w:t>
      </w:r>
      <w:r>
        <w:t>claración y la Plataforma de Acción de Beijing y los resultados del vigésimo tercer período extraordinario de sesiones de la Asamblea General, titulado “La mujer en el año 2000: igualdad entre los géneros, desarrollo y paz para el s</w:t>
      </w:r>
      <w:r>
        <w:t>i</w:t>
      </w:r>
      <w:r>
        <w:t>glo XXI”.</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V</w:t>
      </w: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Medios de agilizar los trabajos del Comité</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El Comité examinó el tema 8 del programa, sobre los medios de agilizar sus trabajos en sus sesiones 486ª y 508ª, celebradas el 15 de enero y el 2 de febrero de 2001 (véanse CEDAW/C/SR.486 y 508).</w:t>
      </w: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 xml:space="preserve">La Jefa de la Dependencia de los Derechos de la Mujer de la División para el Adelanto de la Mujer presentó el tema y señaló a la atención de los </w:t>
      </w:r>
      <w:r>
        <w:rPr>
          <w:spacing w:val="0"/>
        </w:rPr>
        <w:t>presentes el informe de la Secretaría (CEDAW/C/2001/I/4</w:t>
      </w:r>
      <w:r>
        <w:t xml:space="preserve"> y el reglamento revisado del Comité (CEDAW/C/ 2000/I/WG.I/WP.I).</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Medidas adoptadas por el Comité en relación con el tema 8 del programa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Observaciones finales del Comité</w:t>
      </w:r>
    </w:p>
    <w:p w:rsidR="00000000" w:rsidRDefault="00000000">
      <w:pPr>
        <w:pStyle w:val="DualTxt"/>
        <w:spacing w:after="0" w:line="120" w:lineRule="exact"/>
        <w:rPr>
          <w:sz w:val="10"/>
        </w:rPr>
      </w:pP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En vista del examen de la práctica de formular observaciones finales y de los medios para realizarlo, el Comité pidió a la Secretaría que preparara un anál</w:t>
      </w:r>
      <w:r>
        <w:t>i</w:t>
      </w:r>
      <w:r>
        <w:t>sis de las observaciones finales que había formulado desde la celebración de su 15° período de sesiones, en particular respecto del equilibrio de su extensión y del modo en que se reflejaban las observaciones finales de otros órganos creados en virtud de tratados de derechos humanos, para su examen por el Comité en su 25° p</w:t>
      </w:r>
      <w:r>
        <w:t>e</w:t>
      </w:r>
      <w:r>
        <w:t>ríodo de sesiones. El Comité pidió además a la Secret</w:t>
      </w:r>
      <w:r>
        <w:t>a</w:t>
      </w:r>
      <w:r>
        <w:t>ría que compilara sus observaciones finales y efectuara un índice a fin de que pudiera utilizarse como material de referencia.</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Decisiones sobre los métodos de trabajo</w:t>
      </w:r>
    </w:p>
    <w:p w:rsidR="00000000" w:rsidRDefault="00000000">
      <w:pPr>
        <w:pStyle w:val="DualTxt"/>
        <w:spacing w:after="0" w:line="120" w:lineRule="exact"/>
        <w:rPr>
          <w:sz w:val="10"/>
        </w:rPr>
      </w:pP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El Comité pidió a la Secretaría que compilara las decisiones y sugerencias sobre los métodos de trabajo que hubiese adoptado desde su primer período de s</w:t>
      </w:r>
      <w:r>
        <w:t>e</w:t>
      </w:r>
      <w:r>
        <w:t>siones, en 1982.</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Reservas</w:t>
      </w:r>
    </w:p>
    <w:p w:rsidR="00000000" w:rsidRDefault="00000000">
      <w:pPr>
        <w:pStyle w:val="DualTxt"/>
        <w:spacing w:after="0" w:line="120" w:lineRule="exact"/>
        <w:rPr>
          <w:sz w:val="10"/>
        </w:rPr>
      </w:pP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El Comité pidió a la Secretaría que preparara, p</w:t>
      </w:r>
      <w:r>
        <w:t>a</w:t>
      </w:r>
      <w:r>
        <w:t>ra su examen por el Comité en su 25° período de sesi</w:t>
      </w:r>
      <w:r>
        <w:t>o</w:t>
      </w:r>
      <w:r>
        <w:t>nes, un análisis del enfoque con que otros órganos creados en virtud de tratados de derechos humanos e</w:t>
      </w:r>
      <w:r>
        <w:t>n</w:t>
      </w:r>
      <w:r>
        <w:t>caraban las reservas a los tratados de derechos hum</w:t>
      </w:r>
      <w:r>
        <w:t>a</w:t>
      </w:r>
      <w:r>
        <w:t>nos al examinar los informes y comunicaciones de los Est</w:t>
      </w:r>
      <w:r>
        <w:t>a</w:t>
      </w:r>
      <w:r>
        <w:t>dos partes.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Informes de los Estados partes</w:t>
      </w:r>
    </w:p>
    <w:p w:rsidR="00000000" w:rsidRDefault="00000000">
      <w:pPr>
        <w:pStyle w:val="DualTxt"/>
        <w:spacing w:after="0" w:line="120" w:lineRule="exact"/>
        <w:rPr>
          <w:sz w:val="10"/>
        </w:rPr>
      </w:pP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El Comité pidió a la Presidenta que informara a los Estados partes acerca de su decisión 23/II</w:t>
      </w:r>
      <w:r>
        <w:rPr>
          <w:vertAlign w:val="superscript"/>
        </w:rPr>
        <w:t>10</w:t>
      </w:r>
      <w:r>
        <w:t>, en la que decidió, con carácter excepcional y como medida provisional, invitar a los Estados partes que se hubi</w:t>
      </w:r>
      <w:r>
        <w:t>e</w:t>
      </w:r>
      <w:r>
        <w:t>sen atrasado en la presentación de sus informes a que combinaran los informes pendientes en un documento único. Pidió también a la Presidenta que comunicara dicha decisión a los Estados partes cuyos informes h</w:t>
      </w:r>
      <w:r>
        <w:t>u</w:t>
      </w:r>
      <w:r>
        <w:t>biesen sido examinados por el Comité en la carta por la que transmitiese las observaciones finales sobre los i</w:t>
      </w:r>
      <w:r>
        <w:t>n</w:t>
      </w:r>
      <w:r>
        <w:t>formes pertinentes.</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5.</w:t>
      </w:r>
      <w:r>
        <w:tab/>
        <w:t>Miembros del grupo de trabajo anterior al 25° período de sesiones</w:t>
      </w:r>
    </w:p>
    <w:p w:rsidR="00000000" w:rsidRDefault="00000000">
      <w:pPr>
        <w:pStyle w:val="DualTxt"/>
        <w:spacing w:after="0" w:line="120" w:lineRule="exact"/>
        <w:rPr>
          <w:sz w:val="10"/>
        </w:rPr>
      </w:pP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El Comité decidió nombrar a los siguientes miembros y suplentes del grupo de trabajo anterior al 25° p</w:t>
      </w:r>
      <w:r>
        <w:t>e</w:t>
      </w:r>
      <w:r>
        <w:t>ríodo de sesiones: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Miembros</w:t>
      </w:r>
    </w:p>
    <w:p w:rsidR="00000000" w:rsidRDefault="00000000">
      <w:pPr>
        <w:pStyle w:val="DualTxt"/>
        <w:spacing w:after="0" w:line="120" w:lineRule="exact"/>
        <w:rPr>
          <w:sz w:val="10"/>
        </w:rPr>
      </w:pPr>
    </w:p>
    <w:p w:rsidR="00000000" w:rsidRDefault="00000000">
      <w:pPr>
        <w:pStyle w:val="DualTxt"/>
        <w:jc w:val="left"/>
      </w:pPr>
      <w:r>
        <w:tab/>
        <w:t>Sra. Naela Gabr (África)</w:t>
      </w:r>
      <w:r>
        <w:br/>
      </w:r>
      <w:r>
        <w:tab/>
        <w:t>Sra. Heisoo Shin (Asia)</w:t>
      </w:r>
      <w:r>
        <w:br/>
      </w:r>
      <w:r>
        <w:tab/>
        <w:t>Sra. Frances Livingstone Raday (Europa)</w:t>
      </w:r>
      <w:r>
        <w:br/>
      </w:r>
      <w:r>
        <w:tab/>
        <w:t xml:space="preserve">Sra. Zelmira Regazzoli (América Latina y </w:t>
      </w:r>
      <w:r>
        <w:br/>
      </w:r>
      <w:r>
        <w:tab/>
        <w:t xml:space="preserve">    el Caribe)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Suplentes</w:t>
      </w:r>
    </w:p>
    <w:p w:rsidR="00000000" w:rsidRDefault="00000000">
      <w:pPr>
        <w:pStyle w:val="DualTxt"/>
        <w:spacing w:after="0" w:line="120" w:lineRule="exact"/>
        <w:rPr>
          <w:sz w:val="10"/>
        </w:rPr>
      </w:pPr>
    </w:p>
    <w:p w:rsidR="00000000" w:rsidRDefault="00000000">
      <w:pPr>
        <w:pStyle w:val="DualTxt"/>
        <w:jc w:val="left"/>
      </w:pPr>
      <w:r>
        <w:tab/>
        <w:t>Sra. Mavivi Myakayaka-Manzini (África)</w:t>
      </w:r>
      <w:r>
        <w:br/>
      </w:r>
      <w:r>
        <w:tab/>
        <w:t>Sra. Sjamsiah Achmad (Asia)</w:t>
      </w:r>
      <w:r>
        <w:br/>
      </w:r>
      <w:r>
        <w:tab/>
        <w:t>Sra. Ayse Feride Acar (Europa)</w:t>
      </w:r>
      <w:r>
        <w:br/>
      </w:r>
      <w:r>
        <w:tab/>
        <w:t>Sra. Yolanda Ferrer Gómez (América Latina y</w:t>
      </w:r>
      <w:r>
        <w:br/>
      </w:r>
      <w:r>
        <w:tab/>
        <w:t xml:space="preserve">    el Caribe)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6.</w:t>
      </w:r>
      <w:r>
        <w:tab/>
        <w:t>Miembros del Grupo de Trabajo sobre el Protocolo Facultativo</w:t>
      </w:r>
    </w:p>
    <w:p w:rsidR="00000000" w:rsidRDefault="00000000">
      <w:pPr>
        <w:pStyle w:val="DualTxt"/>
        <w:spacing w:after="0" w:line="120" w:lineRule="exact"/>
        <w:rPr>
          <w:sz w:val="10"/>
        </w:rPr>
      </w:pP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De conformidad con el artículo 62 de su regl</w:t>
      </w:r>
      <w:r>
        <w:t>a</w:t>
      </w:r>
      <w:r>
        <w:t>mento, el Comité decidió establecer un grupo de tr</w:t>
      </w:r>
      <w:r>
        <w:t>a</w:t>
      </w:r>
      <w:r>
        <w:t>bajo sobre Protocolo Facultativo y designó los cinco miembros siguientes del grupo de trabajo: la Sra. Hanna Beate Schöpp-Schilling (Presidenta), la Sra. A</w:t>
      </w:r>
      <w:r>
        <w:t>í</w:t>
      </w:r>
      <w:r>
        <w:t>da González Martínez, la Sra. Savitri Goonesekere, la Sra. Fatima Kwaku y la Sra. Chikako T</w:t>
      </w:r>
      <w:r>
        <w:t>a</w:t>
      </w:r>
      <w:r>
        <w:t>ya.</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7.</w:t>
      </w:r>
      <w:r>
        <w:tab/>
        <w:t>Fechas del 25° período de sesiones del C</w:t>
      </w:r>
      <w:r>
        <w:t>o</w:t>
      </w:r>
      <w:r>
        <w:t>mité</w:t>
      </w:r>
    </w:p>
    <w:p w:rsidR="00000000" w:rsidRDefault="00000000">
      <w:pPr>
        <w:pStyle w:val="DualTxt"/>
        <w:spacing w:after="0" w:line="120" w:lineRule="exact"/>
        <w:rPr>
          <w:sz w:val="10"/>
        </w:rPr>
      </w:pP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rPr>
          <w:spacing w:val="0"/>
        </w:rPr>
      </w:pPr>
      <w:r>
        <w:rPr>
          <w:spacing w:val="0"/>
        </w:rPr>
        <w:t>Con arreglo al calendario de conferencias para el 2001, el 25° período de sesiones del Comité se celebrará del 2 al 20 de julio de 2001. El grupo de trabajo anterior al 26° período de sesiones celebrará reuniones del 23 al 28 de julio de 2001. El Grupo de Trabajo sobre el Prot</w:t>
      </w:r>
      <w:r>
        <w:rPr>
          <w:spacing w:val="0"/>
        </w:rPr>
        <w:t>o</w:t>
      </w:r>
      <w:r>
        <w:rPr>
          <w:spacing w:val="0"/>
        </w:rPr>
        <w:t>colo Facultativo se reunirá del 23 al 28 de julio de 2001.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8.</w:t>
      </w:r>
      <w:r>
        <w:tab/>
        <w:t>Informes que han de examinarse en futuros períodos de sesiones</w:t>
      </w:r>
    </w:p>
    <w:p w:rsidR="00000000" w:rsidRDefault="00000000">
      <w:pPr>
        <w:pStyle w:val="DualTxt"/>
        <w:spacing w:after="0" w:line="120" w:lineRule="exact"/>
        <w:rPr>
          <w:sz w:val="10"/>
        </w:rPr>
      </w:pP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El Comité decidió que examinaría los siguientes informes en sus períodos de sesiones 25°, 26° y 27°:</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25° período de sesiones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Informes iniciales</w:t>
      </w:r>
    </w:p>
    <w:p w:rsidR="00000000" w:rsidRDefault="00000000">
      <w:pPr>
        <w:pStyle w:val="DualTxt"/>
        <w:spacing w:after="0" w:line="120" w:lineRule="exact"/>
        <w:rPr>
          <w:sz w:val="10"/>
        </w:rPr>
      </w:pPr>
    </w:p>
    <w:p w:rsidR="00000000" w:rsidRDefault="00000000">
      <w:pPr>
        <w:pStyle w:val="DualTxt"/>
      </w:pPr>
      <w:r>
        <w:tab/>
        <w:t>Andorra</w:t>
      </w:r>
      <w:r>
        <w:br/>
      </w:r>
      <w:r>
        <w:tab/>
        <w:t>Guinea</w:t>
      </w:r>
      <w:r>
        <w:br/>
      </w:r>
      <w:r>
        <w:tab/>
        <w:t>Singapur</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Segundos informes periódicos</w:t>
      </w:r>
    </w:p>
    <w:p w:rsidR="00000000" w:rsidRDefault="00000000">
      <w:pPr>
        <w:pStyle w:val="DualTxt"/>
        <w:spacing w:after="0" w:line="120" w:lineRule="exact"/>
        <w:rPr>
          <w:sz w:val="10"/>
        </w:rPr>
      </w:pPr>
    </w:p>
    <w:p w:rsidR="00000000" w:rsidRDefault="00000000">
      <w:pPr>
        <w:pStyle w:val="DualTxt"/>
      </w:pPr>
      <w:r>
        <w:tab/>
        <w:t>Guyana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Informes periódicos segundo y tercero</w:t>
      </w:r>
    </w:p>
    <w:p w:rsidR="00000000" w:rsidRDefault="00000000">
      <w:pPr>
        <w:pStyle w:val="DualTxt"/>
        <w:spacing w:after="0" w:line="120" w:lineRule="exact"/>
        <w:rPr>
          <w:sz w:val="10"/>
        </w:rPr>
      </w:pPr>
    </w:p>
    <w:p w:rsidR="00000000" w:rsidRDefault="00000000">
      <w:pPr>
        <w:pStyle w:val="DualTxt"/>
      </w:pPr>
      <w:r>
        <w:tab/>
        <w:t>Países Bajos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Segundos informes periódicos e informes periódicos tercero y cuarto combinados</w:t>
      </w:r>
    </w:p>
    <w:p w:rsidR="00000000" w:rsidRDefault="00000000">
      <w:pPr>
        <w:pStyle w:val="DualTxt"/>
        <w:spacing w:after="0" w:line="120" w:lineRule="exact"/>
        <w:rPr>
          <w:sz w:val="10"/>
        </w:rPr>
      </w:pPr>
    </w:p>
    <w:p w:rsidR="00000000" w:rsidRDefault="00000000">
      <w:pPr>
        <w:pStyle w:val="DualTxt"/>
      </w:pPr>
      <w:r>
        <w:tab/>
        <w:t>Viet Nam</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Informes periódicos cuarto y quinto</w:t>
      </w:r>
    </w:p>
    <w:p w:rsidR="00000000" w:rsidRDefault="00000000">
      <w:pPr>
        <w:pStyle w:val="DualTxt"/>
        <w:spacing w:after="0" w:line="120" w:lineRule="exact"/>
        <w:rPr>
          <w:sz w:val="10"/>
        </w:rPr>
      </w:pPr>
    </w:p>
    <w:p w:rsidR="00000000" w:rsidRDefault="00000000">
      <w:pPr>
        <w:pStyle w:val="DualTxt"/>
      </w:pPr>
      <w:r>
        <w:tab/>
        <w:t>Nicaragua</w:t>
      </w:r>
      <w:r>
        <w:br/>
      </w:r>
      <w:r>
        <w:tab/>
        <w:t>Suecia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26° período de sesiones</w:t>
      </w:r>
    </w:p>
    <w:p w:rsidR="00000000" w:rsidRDefault="00000000">
      <w:pPr>
        <w:pStyle w:val="DualTxt"/>
        <w:spacing w:after="0" w:line="120" w:lineRule="exact"/>
        <w:rPr>
          <w:sz w:val="10"/>
        </w:rPr>
      </w:pPr>
    </w:p>
    <w:p w:rsidR="00000000" w:rsidRDefault="00000000">
      <w:pPr>
        <w:pStyle w:val="DualTxt"/>
      </w:pPr>
      <w:r>
        <w:t>(Con sujeción a la aplicación de la sugerencia 23/I del Comité relativa a la posibilidad de convocar el 26° p</w:t>
      </w:r>
      <w:r>
        <w:t>e</w:t>
      </w:r>
      <w:r>
        <w:t>ríodo de sesiones fuera de la Sede de las Naciones Unidas.)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Informes iniciales</w:t>
      </w:r>
    </w:p>
    <w:p w:rsidR="00000000" w:rsidRDefault="00000000">
      <w:pPr>
        <w:pStyle w:val="DualTxt"/>
        <w:spacing w:after="0" w:line="120" w:lineRule="exact"/>
        <w:rPr>
          <w:sz w:val="10"/>
        </w:rPr>
      </w:pPr>
    </w:p>
    <w:p w:rsidR="00000000" w:rsidRDefault="00000000">
      <w:pPr>
        <w:pStyle w:val="DualTxt"/>
      </w:pPr>
      <w:r>
        <w:tab/>
        <w:t>Trinidad y Tabago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Informes periódicos segundo y tercero combinados</w:t>
      </w:r>
    </w:p>
    <w:p w:rsidR="00000000" w:rsidRDefault="00000000">
      <w:pPr>
        <w:pStyle w:val="DualTxt"/>
        <w:spacing w:after="0" w:line="120" w:lineRule="exact"/>
        <w:rPr>
          <w:sz w:val="10"/>
        </w:rPr>
      </w:pPr>
    </w:p>
    <w:p w:rsidR="00000000" w:rsidRDefault="00000000">
      <w:pPr>
        <w:pStyle w:val="DualTxt"/>
        <w:jc w:val="left"/>
      </w:pPr>
      <w:r>
        <w:tab/>
        <w:t>Guinea Ecuatorial</w:t>
      </w:r>
      <w:r>
        <w:br/>
      </w:r>
      <w:r>
        <w:tab/>
        <w:t>Uruguay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Informes periódicos tercero y cuarto combinados</w:t>
      </w:r>
    </w:p>
    <w:p w:rsidR="00000000" w:rsidRDefault="00000000">
      <w:pPr>
        <w:pStyle w:val="DualTxt"/>
        <w:spacing w:after="0" w:line="120" w:lineRule="exact"/>
        <w:rPr>
          <w:sz w:val="10"/>
        </w:rPr>
      </w:pPr>
    </w:p>
    <w:p w:rsidR="00000000" w:rsidRDefault="00000000">
      <w:pPr>
        <w:pStyle w:val="DualTxt"/>
      </w:pPr>
      <w:r>
        <w:tab/>
        <w:t>Islandia</w:t>
      </w:r>
      <w:r>
        <w:br/>
      </w:r>
      <w:r>
        <w:tab/>
        <w:t>Sri Lanka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r>
        <w:t>Cuarto informe periódico</w:t>
      </w:r>
      <w:r>
        <w:br/>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rPr>
          <w:i w:val="0"/>
        </w:rPr>
        <w:tab/>
      </w:r>
      <w:r>
        <w:rPr>
          <w:i w:val="0"/>
        </w:rPr>
        <w:tab/>
        <w:t>Portugal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Quinto informe periódico</w:t>
      </w:r>
    </w:p>
    <w:p w:rsidR="00000000" w:rsidRDefault="00000000">
      <w:pPr>
        <w:pStyle w:val="DualTxt"/>
        <w:spacing w:after="0" w:line="120" w:lineRule="exact"/>
        <w:rPr>
          <w:sz w:val="10"/>
        </w:rPr>
      </w:pPr>
    </w:p>
    <w:p w:rsidR="00000000" w:rsidRDefault="00000000">
      <w:pPr>
        <w:pStyle w:val="DualTxt"/>
      </w:pPr>
      <w:r>
        <w:tab/>
        <w:t>Federación de Rusia</w:t>
      </w:r>
    </w:p>
    <w:p w:rsidR="00000000" w:rsidRDefault="00000000">
      <w:pPr>
        <w:pStyle w:val="DualTxt"/>
        <w:suppressAutoHyphens/>
      </w:pPr>
      <w:r>
        <w:t xml:space="preserve">En caso de que uno de los Estados partes mencionados no pueda presentar su informe, el Comité examinará </w:t>
      </w:r>
      <w:r>
        <w:br/>
      </w:r>
      <w:r>
        <w:br/>
        <w:t>los informes periódicos tercero y cuarto de Zambia; los informes periódicos cuarto y quinto combinados de Ucrania; o el quinto informe periódico de D</w:t>
      </w:r>
      <w:r>
        <w:t>i</w:t>
      </w:r>
      <w:r>
        <w:t>namarca.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27° período de sesiones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Informes iniciales</w:t>
      </w:r>
    </w:p>
    <w:p w:rsidR="00000000" w:rsidRDefault="00000000">
      <w:pPr>
        <w:pStyle w:val="DualTxt"/>
        <w:spacing w:after="0" w:line="120" w:lineRule="exact"/>
        <w:rPr>
          <w:sz w:val="10"/>
        </w:rPr>
      </w:pPr>
    </w:p>
    <w:p w:rsidR="00000000" w:rsidRDefault="00000000">
      <w:pPr>
        <w:pStyle w:val="DualTxt"/>
      </w:pPr>
      <w:r>
        <w:tab/>
        <w:t>Ninguno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Informes periódicos tercero y cuarto combinados</w:t>
      </w:r>
    </w:p>
    <w:p w:rsidR="00000000" w:rsidRDefault="00000000">
      <w:pPr>
        <w:pStyle w:val="DualTxt"/>
        <w:spacing w:after="0" w:line="120" w:lineRule="exact"/>
        <w:rPr>
          <w:sz w:val="10"/>
        </w:rPr>
      </w:pPr>
    </w:p>
    <w:p w:rsidR="00000000" w:rsidRDefault="00000000">
      <w:pPr>
        <w:pStyle w:val="DualTxt"/>
      </w:pPr>
      <w:r>
        <w:tab/>
        <w:t>Zambia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Cuarto informe periódico</w:t>
      </w:r>
    </w:p>
    <w:p w:rsidR="00000000" w:rsidRDefault="00000000">
      <w:pPr>
        <w:pStyle w:val="DualTxt"/>
        <w:spacing w:after="0" w:line="120" w:lineRule="exact"/>
        <w:rPr>
          <w:sz w:val="10"/>
        </w:rPr>
      </w:pPr>
    </w:p>
    <w:p w:rsidR="00000000" w:rsidRDefault="00000000">
      <w:pPr>
        <w:pStyle w:val="DualTxt"/>
      </w:pPr>
      <w:r>
        <w:tab/>
        <w:t>Japón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Informes periódicos cuarto y quinto combinados</w:t>
      </w:r>
    </w:p>
    <w:p w:rsidR="00000000" w:rsidRDefault="00000000">
      <w:pPr>
        <w:pStyle w:val="DualTxt"/>
        <w:spacing w:after="0" w:line="120" w:lineRule="exact"/>
        <w:rPr>
          <w:sz w:val="10"/>
        </w:rPr>
      </w:pPr>
    </w:p>
    <w:p w:rsidR="00000000" w:rsidRDefault="00000000">
      <w:pPr>
        <w:pStyle w:val="DualTxt"/>
      </w:pPr>
      <w:r>
        <w:tab/>
        <w:t>Ucrania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Informes periódicos cuarto y quinto</w:t>
      </w:r>
    </w:p>
    <w:p w:rsidR="00000000" w:rsidRDefault="00000000">
      <w:pPr>
        <w:pStyle w:val="DualTxt"/>
        <w:spacing w:after="0" w:line="120" w:lineRule="exact"/>
        <w:rPr>
          <w:sz w:val="10"/>
        </w:rPr>
      </w:pPr>
    </w:p>
    <w:p w:rsidR="00000000" w:rsidRDefault="00000000">
      <w:pPr>
        <w:pStyle w:val="DualTxt"/>
      </w:pPr>
      <w:r>
        <w:tab/>
        <w:t>Dinamarca</w:t>
      </w:r>
    </w:p>
    <w:p w:rsidR="00000000" w:rsidRDefault="00000000">
      <w:pPr>
        <w:pStyle w:val="DualTxt"/>
      </w:pPr>
      <w:r>
        <w:t>En caso de que uno de los Estados partes mencionados no pueda presentar su informe, el Comité examinará los informes periódicos tercero y cuarto de Bélgica; los informes periódicos tercero y cuarto de Kenya; o el cuarto informe periódico de Túnez.</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9.</w:t>
      </w:r>
      <w:r>
        <w:tab/>
        <w:t>Reuniones de las Naciones Unidas a las que asistirán la Presidenta o miembros del Comité en el 2001</w:t>
      </w:r>
    </w:p>
    <w:p w:rsidR="00000000" w:rsidRDefault="00000000">
      <w:pPr>
        <w:pStyle w:val="DualTxt"/>
        <w:spacing w:after="0" w:line="120" w:lineRule="exact"/>
        <w:rPr>
          <w:sz w:val="10"/>
        </w:rPr>
      </w:pP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El Comité recomendó que la Presidenta o su s</w:t>
      </w:r>
      <w:r>
        <w:t>u</w:t>
      </w:r>
      <w:r>
        <w:t>plente asistieran a las siguientes reuniones del 2001: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pPr>
      <w:r>
        <w:tab/>
        <w:t>a)</w:t>
      </w:r>
      <w:r>
        <w:tab/>
        <w:t>45° período de sesiones de la Comisión de la Condición Jurídica y Social de la Mujer;</w:t>
      </w:r>
    </w:p>
    <w:p w:rsidR="00000000" w:rsidRDefault="00000000">
      <w:pPr>
        <w:pStyle w:val="DualTxt"/>
      </w:pPr>
      <w:r>
        <w:tab/>
        <w:t>b)</w:t>
      </w:r>
      <w:r>
        <w:tab/>
        <w:t>57° período de sesiones de la Comisión de Derechos Humanos;</w:t>
      </w:r>
    </w:p>
    <w:p w:rsidR="00000000" w:rsidRDefault="00000000">
      <w:pPr>
        <w:pStyle w:val="DualTxt"/>
      </w:pPr>
      <w:r>
        <w:tab/>
        <w:t>c)</w:t>
      </w:r>
      <w:r>
        <w:tab/>
        <w:t>13ª reunión de presidentes de los órganos creados en virtud de tratados de derechos humanos;</w:t>
      </w:r>
    </w:p>
    <w:p w:rsidR="00000000" w:rsidRDefault="00000000">
      <w:pPr>
        <w:pStyle w:val="DualTxt"/>
      </w:pPr>
      <w:r>
        <w:tab/>
        <w:t>d)</w:t>
      </w:r>
      <w:r>
        <w:tab/>
        <w:t>Quincuagésimo sexto período de sesiones de la Asamblea General (Tercera Comisión).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VI</w:t>
      </w:r>
    </w:p>
    <w:p w:rsidR="00000000" w:rsidRDefault="00000000">
      <w:pPr>
        <w:pStyle w:val="DualTxt"/>
        <w:keepNext/>
        <w:keepLines/>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Aplicación del artículo 21 de la Convención</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DualTxt"/>
        <w:keepNext/>
        <w:keepLines/>
        <w:numPr>
          <w:ilvl w:val="0"/>
          <w:numId w:val="142"/>
        </w:numPr>
        <w:tabs>
          <w:tab w:val="clear" w:pos="960"/>
          <w:tab w:val="left" w:pos="965"/>
          <w:tab w:val="left" w:pos="1440"/>
          <w:tab w:val="left" w:pos="1915"/>
          <w:tab w:val="left" w:pos="2405"/>
          <w:tab w:val="left" w:pos="2880"/>
          <w:tab w:val="left" w:pos="3355"/>
        </w:tabs>
      </w:pPr>
      <w:r>
        <w:t>El Comité examinó el tema 7 del programa sobre la aplicación del artículo 21 de la Convención en sus sesiones 486ª y 508ª (véanse CEDAW/C/SR.486 y 508).</w:t>
      </w: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La Jefa de la Dependencia de los Derechos de la Mujer de la División para el Adelanto de la Mujer, Departamento de Asuntos Económicos y Sociales, S</w:t>
      </w:r>
      <w:r>
        <w:t>e</w:t>
      </w:r>
      <w:r>
        <w:t>cretaría de las Naciones Unidas, presentó el tema y s</w:t>
      </w:r>
      <w:r>
        <w:t>e</w:t>
      </w:r>
      <w:r>
        <w:t>ñaló a la atención de los presentes una nota del Secret</w:t>
      </w:r>
      <w:r>
        <w:t>a</w:t>
      </w:r>
      <w:r>
        <w:t>rio General sobre los informes de los organismos esp</w:t>
      </w:r>
      <w:r>
        <w:t>e</w:t>
      </w:r>
      <w:r>
        <w:t xml:space="preserve">cializados (CEDAW/C/2001/I/3), así como los </w:t>
      </w:r>
      <w:r>
        <w:rPr>
          <w:spacing w:val="0"/>
        </w:rPr>
        <w:t>informes de los organismos especializados sobre la aplicación de la Convención en las áreas que corresponden a la esfera de sus actividades (CEDAW/C/2001/I/3/Add.1 a 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Medidas tomadas por el Comité en relación con el tema 7 del programa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Recomendación general sobre el párrafo 1 del artículo 4 de la Convención</w:t>
      </w:r>
    </w:p>
    <w:p w:rsidR="00000000" w:rsidRDefault="00000000">
      <w:pPr>
        <w:pStyle w:val="DualTxt"/>
        <w:spacing w:after="0" w:line="120" w:lineRule="exact"/>
        <w:rPr>
          <w:sz w:val="10"/>
        </w:rPr>
      </w:pP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El Comité comenzó a examinar una recomend</w:t>
      </w:r>
      <w:r>
        <w:t>a</w:t>
      </w:r>
      <w:r>
        <w:t>ción general sobre el párrafo 1 del artículo 4 de la Convención sobre la eliminación de todas las formas de discriminación contra la mujer, relativa a las medidas especiales de carácter temporal tendientes a acelerar la igualdad de facto entre el hombre y la mujer. Pidió a la Secretaría que le presentara en su 25° período de sesi</w:t>
      </w:r>
      <w:r>
        <w:t>o</w:t>
      </w:r>
      <w:r>
        <w:t>nes un análisis del modo en que el Comité encara el p</w:t>
      </w:r>
      <w:r>
        <w:t>á</w:t>
      </w:r>
      <w:r>
        <w:t>rrafo 1 del artículo 4 al examinar los informes de los Estados partes.</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Contribución del Comité al proceso preparatorio y a la Conferencia Mundial contra el Racismo, la Discriminación Racial, la Xenofobia y las Formas Conexas de Intolerancia</w:t>
      </w:r>
    </w:p>
    <w:p w:rsidR="00000000" w:rsidRDefault="00000000">
      <w:pPr>
        <w:pStyle w:val="DualTxt"/>
        <w:spacing w:after="0" w:line="120" w:lineRule="exact"/>
        <w:rPr>
          <w:sz w:val="10"/>
        </w:rPr>
      </w:pP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El Comité reconoce que existe una estrecha rel</w:t>
      </w:r>
      <w:r>
        <w:t>a</w:t>
      </w:r>
      <w:r>
        <w:t>ción entre la discriminación contra la mujer y el raci</w:t>
      </w:r>
      <w:r>
        <w:t>s</w:t>
      </w:r>
      <w:r>
        <w:t>mo, la discriminación racial, la xenofobia y las formas conexas de intolerancia, y hace plenamente suya la r</w:t>
      </w:r>
      <w:r>
        <w:t>e</w:t>
      </w:r>
      <w:r>
        <w:t>solución 52/111 de la Asamblea General, de 12 de d</w:t>
      </w:r>
      <w:r>
        <w:t>i</w:t>
      </w:r>
      <w:r>
        <w:t>ciembre de 1997, en que la Asamblea decidió convocar una Conferencia Mundial sobre dichos temas.</w:t>
      </w: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El Comité acoge con agrado la resolución 54/154 de la Asamblea General, de 17 de diciembre de 1999, y la resolución 1999/78 de la Comisión de Derechos Humanos, de 28 de abril de 1999</w:t>
      </w:r>
      <w:r>
        <w:rPr>
          <w:vertAlign w:val="superscript"/>
        </w:rPr>
        <w:t>11</w:t>
      </w:r>
      <w:r>
        <w:t>, en las que se invita a los órganos y mecanismos de las Naciones Unidas que se ocupan de la cuestión del racismo, de la discr</w:t>
      </w:r>
      <w:r>
        <w:t>i</w:t>
      </w:r>
      <w:r>
        <w:t>minación racial, de la xenofobia y de las formas con</w:t>
      </w:r>
      <w:r>
        <w:t>e</w:t>
      </w:r>
      <w:r>
        <w:t xml:space="preserve">xas de intolerancia, a que participen activamente en el proceso preparatorio de la Conferencia Mundial, así como a realizar exámenes y presentar recomendaciones a ese respecto. </w:t>
      </w: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El Comité y otros órganos, mecanismos y pr</w:t>
      </w:r>
      <w:r>
        <w:t>o</w:t>
      </w:r>
      <w:r>
        <w:t>gramas de las Naciones Unidas, se han dedicado con empeño a promover, respetar y proteger los derechos humanos y las libertades fundamentales de todas las mujeres, independientemente de su raza, descendencia u origen nacional o étnico.</w:t>
      </w: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La Convención sobre la eliminación de todas las formas de discriminación contra la mujer obliga a los Estados partes a trabajar en pos de la realización de los derechos humanos de la mujer en todas las esferas d</w:t>
      </w:r>
      <w:r>
        <w:t>u</w:t>
      </w:r>
      <w:r>
        <w:t>rante su ciclo vital, pues estos derechos son parte in</w:t>
      </w:r>
      <w:r>
        <w:t>a</w:t>
      </w:r>
      <w:r>
        <w:t>lienable, integral e indivisible de los derechos humanos universales. Ello entraña también una participación a</w:t>
      </w:r>
      <w:r>
        <w:t>c</w:t>
      </w:r>
      <w:r>
        <w:t>tiva a fin de evitar todas las formas de discriminación contra la mujer, en particular la prevención de dichas formas de discriminación en el contexto del racismo, la discriminación racial, la xenofobia y las formas con</w:t>
      </w:r>
      <w:r>
        <w:t>e</w:t>
      </w:r>
      <w:r>
        <w:t>xas de intolerancia.</w:t>
      </w: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En los informes presentados al Comité por los Estados partes se pone de manifiesto que las mujeres de todas las regiones del mundo siguen siendo víctimas de múltiples formas de discriminación en razón de su sexo y de otros factores de exclusión social. Esta di</w:t>
      </w:r>
      <w:r>
        <w:t>s</w:t>
      </w:r>
      <w:r>
        <w:t xml:space="preserve">criminación múltiple suele afectar a las trabajadoras migratorias, las mujeres que buscan asilo y las mujeres de diversa raza, origen étnico, casta y nacionalidad. </w:t>
      </w: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Con frecuencia, el Comité ha expresado su pre</w:t>
      </w:r>
      <w:r>
        <w:t>o</w:t>
      </w:r>
      <w:r>
        <w:t>cupación acerca de la situación de la mujer durante los conflictos armados, en particular los conflictos orig</w:t>
      </w:r>
      <w:r>
        <w:t>i</w:t>
      </w:r>
      <w:r>
        <w:t>nados por razones de raza u origen étnico. El Comité ha tomado nota de que la discriminación contra la m</w:t>
      </w:r>
      <w:r>
        <w:t>u</w:t>
      </w:r>
      <w:r>
        <w:t>jer de diverso origen étnico y racial se manifiesta, a menudo, en formas extremas de violencia basada en el género.</w:t>
      </w: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Con demasiada frecuencia, la discriminación contra la mujer redunda en el menoscabo de su aut</w:t>
      </w:r>
      <w:r>
        <w:t>o</w:t>
      </w:r>
      <w:r>
        <w:t>nomía, lo cual se ve exacerbado por el abuso de poder contra las mujeres de diversa identidad racial y de otra identidad, lo que da lugar a la exclusión social. La di</w:t>
      </w:r>
      <w:r>
        <w:t>s</w:t>
      </w:r>
      <w:r>
        <w:t>criminación que afecta a estas mujeres suele ser el r</w:t>
      </w:r>
      <w:r>
        <w:t>e</w:t>
      </w:r>
      <w:r>
        <w:t>sultado de prejuicios tradicionales, patriarcales e hist</w:t>
      </w:r>
      <w:r>
        <w:t>ó</w:t>
      </w:r>
      <w:r>
        <w:t>ricos. Con todo, el Comité también ha tomado nota de que la privación económica y la pobreza hacen a estas mujeres más vulnerables a la explotación.</w:t>
      </w: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Los fenómenos contemporáneos como el neon</w:t>
      </w:r>
      <w:r>
        <w:t>a</w:t>
      </w:r>
      <w:r>
        <w:t>zismo y el neofascismo, el resurgimiento del fund</w:t>
      </w:r>
      <w:r>
        <w:t>a</w:t>
      </w:r>
      <w:r>
        <w:t>mentalismo religioso, las normas de control inmigrat</w:t>
      </w:r>
      <w:r>
        <w:t>o</w:t>
      </w:r>
      <w:r>
        <w:t>rio selectivos y la explotación sexual con fines come</w:t>
      </w:r>
      <w:r>
        <w:t>r</w:t>
      </w:r>
      <w:r>
        <w:t>ciales de las mujeres y las niñas en el contexto del tr</w:t>
      </w:r>
      <w:r>
        <w:t>á</w:t>
      </w:r>
      <w:r>
        <w:t>fico transfronterizo también agravan la discriminación contra la mujer, así como el racismo, la discriminación racial, la xenofobia y las formas conexas de intolera</w:t>
      </w:r>
      <w:r>
        <w:t>n</w:t>
      </w:r>
      <w:r>
        <w:t>cia. La violencia contra la mujer y la negación o lim</w:t>
      </w:r>
      <w:r>
        <w:t>i</w:t>
      </w:r>
      <w:r>
        <w:t>tación de su acceso a los servicios de salud, educación, a las oportunidades económicas y a la participación política son problemas graves en muchos países.</w:t>
      </w: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 xml:space="preserve">Teniendo en cuenta los factores mencionados </w:t>
      </w:r>
      <w:r>
        <w:rPr>
          <w:i/>
        </w:rPr>
        <w:t>s</w:t>
      </w:r>
      <w:r>
        <w:rPr>
          <w:i/>
        </w:rPr>
        <w:t>u</w:t>
      </w:r>
      <w:r>
        <w:rPr>
          <w:i/>
        </w:rPr>
        <w:t>pra</w:t>
      </w:r>
      <w:r>
        <w:t>, el Comité ha solicitado a menudo que se present</w:t>
      </w:r>
      <w:r>
        <w:t>a</w:t>
      </w:r>
      <w:r>
        <w:t>ran datos desglosados por sexo y otros factores a fin de facilitar la formulación y aplicación por los Estados partes de las leyes, las políticas y los programas te</w:t>
      </w:r>
      <w:r>
        <w:t>n</w:t>
      </w:r>
      <w:r>
        <w:t>dientes a eliminar todas las formas de discriminación contra la mujer, según proceda.</w:t>
      </w: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El Comité considera que la realización de la igualdad en materia de género y los derechos humanos de la mujer, consagrada en la Convención, contribuirá en gran medida a eliminar el racismo, la discriminación racial, la xenofobia y las formas conexas de intolera</w:t>
      </w:r>
      <w:r>
        <w:t>n</w:t>
      </w:r>
      <w:r>
        <w:t>cia. En particular, las recomendaciones generales 19, relativa a la violencia contra la mujer</w:t>
      </w:r>
      <w:r>
        <w:rPr>
          <w:vertAlign w:val="superscript"/>
        </w:rPr>
        <w:t>5</w:t>
      </w:r>
      <w:r>
        <w:t>, y 24, relativa a la salud</w:t>
      </w:r>
      <w:r>
        <w:rPr>
          <w:vertAlign w:val="superscript"/>
        </w:rPr>
        <w:t>12</w:t>
      </w:r>
      <w:r>
        <w:t>, constituyen un marco global de acción en los campos jurídico, normativo y de formulación de pr</w:t>
      </w:r>
      <w:r>
        <w:t>o</w:t>
      </w:r>
      <w:r>
        <w:t>gramas. Dicha acción creará un ambiente propicio a la protección de las mujeres víctimas de la discrimin</w:t>
      </w:r>
      <w:r>
        <w:t>a</w:t>
      </w:r>
      <w:r>
        <w:t>ción, proporcionará medidas correctoras y de indemn</w:t>
      </w:r>
      <w:r>
        <w:t>i</w:t>
      </w:r>
      <w:r>
        <w:t>zación eficaces y, a la larga, eliminará todas las formas de discriminación.</w:t>
      </w: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El Comité decidió preparar una recomendación general sobre las medidas especiales provisionales te</w:t>
      </w:r>
      <w:r>
        <w:t>n</w:t>
      </w:r>
      <w:r>
        <w:t>dientes a fomentar la adopción de iniciativas de índole jurídica y política así como la formulación de metas y objetivos dentro de un marco cronológico a fin de el</w:t>
      </w:r>
      <w:r>
        <w:t>i</w:t>
      </w:r>
      <w:r>
        <w:t>minar la discriminación y acelerar el logro de la igua</w:t>
      </w:r>
      <w:r>
        <w:t>l</w:t>
      </w:r>
      <w:r>
        <w:t>dad de facto. En este contexto, el Comité está exam</w:t>
      </w:r>
      <w:r>
        <w:t>i</w:t>
      </w:r>
      <w:r>
        <w:t>nando la posibilidad de analizar la interfase del género y la discriminación racial en un estudio de los informes de los Estados partes con miras a compilar las prácticas más idóneas para reprimir la discriminación racial contra la mujer.</w:t>
      </w: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El Comité propone al Comité Preparatorio y a la Conferencia Mundial contra el Racismo, la Discrim</w:t>
      </w:r>
      <w:r>
        <w:t>i</w:t>
      </w:r>
      <w:r>
        <w:t>nación Racial, la Xenofobia y las Formas Conexas de Intolerancia lo siguiente:</w:t>
      </w:r>
    </w:p>
    <w:p w:rsidR="00000000" w:rsidRDefault="00000000">
      <w:pPr>
        <w:pStyle w:val="DualTxt"/>
      </w:pPr>
      <w:r>
        <w:tab/>
        <w:t>a)</w:t>
      </w:r>
      <w:r>
        <w:tab/>
        <w:t>Integrar una perspectiva de género en todos los temas del programa de la Conferencia;</w:t>
      </w:r>
    </w:p>
    <w:p w:rsidR="00000000" w:rsidRDefault="00000000">
      <w:pPr>
        <w:pStyle w:val="DualTxt"/>
      </w:pPr>
      <w:r>
        <w:tab/>
        <w:t>b)</w:t>
      </w:r>
      <w:r>
        <w:tab/>
        <w:t>Reconocer, en el contexto de la declaración y del plan de acción de la Conferencia, la dimensión de género del racismo, la discriminación racial, la xenof</w:t>
      </w:r>
      <w:r>
        <w:t>o</w:t>
      </w:r>
      <w:r>
        <w:t>bia y las formas conexas de intolerancia y promover la igualdad entre el hombre y la mujer;</w:t>
      </w:r>
    </w:p>
    <w:p w:rsidR="00000000" w:rsidRDefault="00000000">
      <w:pPr>
        <w:pStyle w:val="DualTxt"/>
      </w:pPr>
      <w:r>
        <w:tab/>
        <w:t>c)</w:t>
      </w:r>
      <w:r>
        <w:tab/>
        <w:t>Incluir en el plan de acción de la Confere</w:t>
      </w:r>
      <w:r>
        <w:t>n</w:t>
      </w:r>
      <w:r>
        <w:t>cia medidas especiales para proteger a la mujer y a la niña de todas las formas de discriminación, en especial:</w:t>
      </w:r>
    </w:p>
    <w:p w:rsidR="00000000" w:rsidRDefault="00000000">
      <w:pPr>
        <w:pStyle w:val="DualTxt"/>
        <w:ind w:left="480" w:hanging="480"/>
      </w:pPr>
      <w:r>
        <w:tab/>
        <w:t>i)</w:t>
      </w:r>
      <w:r>
        <w:tab/>
        <w:t>La protección contra la violencia por razón de sexo, la violación en situaciones de conflictos armados, la trata de mujeres y la violencia contra las trab</w:t>
      </w:r>
      <w:r>
        <w:t>a</w:t>
      </w:r>
      <w:r>
        <w:t>jadoras migratorias;</w:t>
      </w:r>
    </w:p>
    <w:p w:rsidR="00000000" w:rsidRDefault="00000000">
      <w:pPr>
        <w:pStyle w:val="DualTxt"/>
        <w:ind w:left="480" w:hanging="480"/>
      </w:pPr>
      <w:r>
        <w:tab/>
        <w:t>ii)</w:t>
      </w:r>
      <w:r>
        <w:tab/>
        <w:t>Proponer actividades orientadas a fortalecer los mecanismos que se ocupan de la aplicación del derecho internacional humanitario con miras a prevenir los actos de violencia y de discrimin</w:t>
      </w:r>
      <w:r>
        <w:t>a</w:t>
      </w:r>
      <w:r>
        <w:t>ción múltiple contra la mujer durante los co</w:t>
      </w:r>
      <w:r>
        <w:t>n</w:t>
      </w:r>
      <w:r>
        <w:t>flictos armados;</w:t>
      </w:r>
    </w:p>
    <w:p w:rsidR="00000000" w:rsidRDefault="00000000">
      <w:pPr>
        <w:pStyle w:val="DualTxt"/>
        <w:ind w:left="480" w:hanging="480"/>
      </w:pPr>
      <w:r>
        <w:tab/>
        <w:t>iii)</w:t>
      </w:r>
      <w:r>
        <w:tab/>
        <w:t>Formular un programa amplio de estudios sobre los derechos humanos para todos los sect</w:t>
      </w:r>
      <w:r>
        <w:t>o</w:t>
      </w:r>
      <w:r>
        <w:t>res de la población en el espíritu de la Conve</w:t>
      </w:r>
      <w:r>
        <w:t>n</w:t>
      </w:r>
      <w:r>
        <w:t>ción sobre la eliminación de todas las formas de discriminación contra la mujer a los efectos de crear un sistema de valores que fomente la igua</w:t>
      </w:r>
      <w:r>
        <w:t>l</w:t>
      </w:r>
      <w:r>
        <w:t>dad entre el hombre y la mujer. La creación de dicho sistema de valores contribuiría indud</w:t>
      </w:r>
      <w:r>
        <w:t>a</w:t>
      </w:r>
      <w:r>
        <w:t>blemente a la resolución pacífica de los confli</w:t>
      </w:r>
      <w:r>
        <w:t>c</w:t>
      </w:r>
      <w:r>
        <w:t>tos y a crear sociedades basadas en la igualdad entre el hombre y la mujer, el respeto de los der</w:t>
      </w:r>
      <w:r>
        <w:t>e</w:t>
      </w:r>
      <w:r>
        <w:t>chos humanos, la tolerancia y la armonía racial y étn</w:t>
      </w:r>
      <w:r>
        <w:t>i</w:t>
      </w:r>
      <w:r>
        <w:t>ca;</w:t>
      </w:r>
    </w:p>
    <w:p w:rsidR="00000000" w:rsidRDefault="00000000">
      <w:pPr>
        <w:pStyle w:val="DualTxt"/>
        <w:ind w:left="480" w:hanging="480"/>
      </w:pPr>
      <w:r>
        <w:tab/>
        <w:t>iv)</w:t>
      </w:r>
      <w:r>
        <w:tab/>
        <w:t>Introducir medidas de apoyo para fortalecer las instituciones y los mecanismos nacionales e</w:t>
      </w:r>
      <w:r>
        <w:t>n</w:t>
      </w:r>
      <w:r>
        <w:rPr>
          <w:spacing w:val="0"/>
        </w:rPr>
        <w:t>cargados de hacer respetar los derechos de la m</w:t>
      </w:r>
      <w:r>
        <w:rPr>
          <w:spacing w:val="0"/>
        </w:rPr>
        <w:t>u</w:t>
      </w:r>
      <w:r>
        <w:rPr>
          <w:spacing w:val="0"/>
        </w:rPr>
        <w:t>jer a fin de fomentar su papel en la lucha contra</w:t>
      </w:r>
      <w:r>
        <w:t xml:space="preserve"> la intolerancia y la creación de condiciones de r</w:t>
      </w:r>
      <w:r>
        <w:t>e</w:t>
      </w:r>
      <w:r>
        <w:t>conciliación racial;</w:t>
      </w:r>
    </w:p>
    <w:p w:rsidR="00000000" w:rsidRDefault="00000000">
      <w:pPr>
        <w:pStyle w:val="DualTxt"/>
        <w:ind w:left="480" w:hanging="480"/>
      </w:pPr>
      <w:r>
        <w:tab/>
        <w:t>v)</w:t>
      </w:r>
      <w:r>
        <w:tab/>
        <w:t>Incorporar una perspectiva de género en las actividades de las instituciones nacionales enca</w:t>
      </w:r>
      <w:r>
        <w:t>r</w:t>
      </w:r>
      <w:r>
        <w:t>gadas de proteger los derechos humanos en su l</w:t>
      </w:r>
      <w:r>
        <w:t>u</w:t>
      </w:r>
      <w:r>
        <w:t>cha contra el racismo, la discriminación racial, la xenofobia y las formas conexas de intolerancia;</w:t>
      </w:r>
    </w:p>
    <w:p w:rsidR="00000000" w:rsidRDefault="00000000">
      <w:pPr>
        <w:pStyle w:val="DualTxt"/>
        <w:ind w:left="480" w:hanging="480"/>
      </w:pPr>
      <w:r>
        <w:tab/>
        <w:t>vi)</w:t>
      </w:r>
      <w:r>
        <w:tab/>
        <w:t>Elaborar programas que promuevan los d</w:t>
      </w:r>
      <w:r>
        <w:t>e</w:t>
      </w:r>
      <w:r>
        <w:t>rechos civiles, culturales, económicos, políticos y sociales de la mujer, independientemente de su raza, de</w:t>
      </w:r>
      <w:r>
        <w:t>s</w:t>
      </w:r>
      <w:r>
        <w:t>cendencia u origen nacional o étnico;</w:t>
      </w:r>
    </w:p>
    <w:p w:rsidR="00000000" w:rsidRDefault="00000000">
      <w:pPr>
        <w:pStyle w:val="DualTxt"/>
        <w:ind w:left="480" w:hanging="480"/>
      </w:pPr>
      <w:r>
        <w:tab/>
        <w:t>vii)</w:t>
      </w:r>
      <w:r>
        <w:tab/>
        <w:t>Adoptar medidas para poner en práctica las recomendaciones formuladas en la reunión del grupo de expertos sobre el género y la discr</w:t>
      </w:r>
      <w:r>
        <w:t>i</w:t>
      </w:r>
      <w:r>
        <w:t>minación racial que tuvo lugar en Zagreb del 21 al 24 de noviembre de 2000, como parte de los preparativos del 45° período de sesiones de la Comisión de la Condición Jurídica y Social de la M</w:t>
      </w:r>
      <w:r>
        <w:t>u</w:t>
      </w:r>
      <w:r>
        <w:t>jer.</w:t>
      </w:r>
    </w:p>
    <w:p w:rsidR="00000000" w:rsidRDefault="00000000">
      <w:pPr>
        <w:pStyle w:val="DualTxt"/>
        <w:numPr>
          <w:ilvl w:val="0"/>
          <w:numId w:val="142"/>
        </w:numPr>
        <w:tabs>
          <w:tab w:val="clear" w:pos="960"/>
          <w:tab w:val="left" w:pos="965"/>
          <w:tab w:val="left" w:pos="1440"/>
          <w:tab w:val="left" w:pos="1915"/>
          <w:tab w:val="left" w:pos="2405"/>
          <w:tab w:val="left" w:pos="2880"/>
          <w:tab w:val="left" w:pos="3355"/>
        </w:tabs>
      </w:pPr>
      <w:r>
        <w:t>El Comité pide la ratificación universal de la Convención y de su Protocolo Facultativo, estrategia indispensable para la eliminación del racismo, de la discriminación racial, la xenofobia y las formas con</w:t>
      </w:r>
      <w:r>
        <w:t>e</w:t>
      </w:r>
      <w:r>
        <w:t>xas de intolerancia, y pide una revisión de las reservas sustantivas a la Convención, con miras a su posible eliminación. La Comisión exhorta a todos los países a que ratifiquen la Convención Internacional sobre la protección de los derechos de todos los trabajadores migratorios y de sus familiares</w:t>
      </w:r>
      <w:r>
        <w:rPr>
          <w:vertAlign w:val="superscript"/>
        </w:rPr>
        <w:t>13</w:t>
      </w:r>
      <w:r>
        <w:t>, el Estatuto de Roma de la Corte Penal Internacional</w:t>
      </w:r>
      <w:r>
        <w:rPr>
          <w:vertAlign w:val="superscript"/>
        </w:rPr>
        <w:t>14</w:t>
      </w:r>
      <w:r>
        <w:t>, la Convención de las Naciones Unidas contra la Delincuencia Organizada Transnacional</w:t>
      </w:r>
      <w:r>
        <w:rPr>
          <w:vertAlign w:val="superscript"/>
        </w:rPr>
        <w:t>15</w:t>
      </w:r>
      <w:r>
        <w:t>, y su Protocolo para prevenir, reprimir y sancionar la trata de personas, especialmente mujeres y niños.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VII</w:t>
      </w: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Programa provisional para el 25° período de sesiones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65"/>
        </w:numPr>
        <w:tabs>
          <w:tab w:val="clear" w:pos="960"/>
          <w:tab w:val="left" w:pos="965"/>
          <w:tab w:val="left" w:pos="1440"/>
          <w:tab w:val="left" w:pos="1915"/>
          <w:tab w:val="left" w:pos="2405"/>
          <w:tab w:val="left" w:pos="2880"/>
          <w:tab w:val="left" w:pos="3355"/>
        </w:tabs>
      </w:pPr>
      <w:r>
        <w:t>En su 508</w:t>
      </w:r>
      <w:r>
        <w:rPr>
          <w:vertAlign w:val="superscript"/>
        </w:rPr>
        <w:t>a</w:t>
      </w:r>
      <w:r>
        <w:t xml:space="preserve"> sesión, el Comité examinó el progr</w:t>
      </w:r>
      <w:r>
        <w:t>a</w:t>
      </w:r>
      <w:r>
        <w:t>ma provisional de su 25° período de sesiones (véase CEDAW/C/SR.508). El Comité aprobó el siguiente programa provisional para el período de s</w:t>
      </w:r>
      <w:r>
        <w:t>e</w:t>
      </w:r>
      <w:r>
        <w:t>siones:</w:t>
      </w:r>
    </w:p>
    <w:p w:rsidR="00000000" w:rsidRDefault="00000000">
      <w:pPr>
        <w:pStyle w:val="DualTxt"/>
        <w:suppressAutoHyphens/>
        <w:jc w:val="left"/>
      </w:pPr>
      <w:r>
        <w:tab/>
        <w:t>1.</w:t>
      </w:r>
      <w:r>
        <w:tab/>
        <w:t>Apertura del período de sesiones.</w:t>
      </w:r>
    </w:p>
    <w:p w:rsidR="00000000" w:rsidRDefault="00000000">
      <w:pPr>
        <w:pStyle w:val="DualTxt"/>
        <w:suppressAutoHyphens/>
        <w:ind w:left="960" w:hanging="960"/>
        <w:jc w:val="left"/>
      </w:pPr>
      <w:r>
        <w:tab/>
        <w:t>2.</w:t>
      </w:r>
      <w:r>
        <w:tab/>
        <w:t>Aprobación del programa y organización de los trabajos.</w:t>
      </w:r>
    </w:p>
    <w:p w:rsidR="00000000" w:rsidRDefault="00000000">
      <w:pPr>
        <w:pStyle w:val="DualTxt"/>
        <w:suppressAutoHyphens/>
        <w:ind w:left="960" w:hanging="960"/>
        <w:jc w:val="left"/>
      </w:pPr>
      <w:r>
        <w:tab/>
        <w:t>3.</w:t>
      </w:r>
      <w:r>
        <w:tab/>
        <w:t>Informe de la Presidenta sobre las actividades realizadas entre los períodos de sesiones 24° y 25°.</w:t>
      </w:r>
    </w:p>
    <w:p w:rsidR="00000000" w:rsidRDefault="00000000">
      <w:pPr>
        <w:pStyle w:val="DualTxt"/>
        <w:suppressAutoHyphens/>
        <w:ind w:left="960" w:hanging="960"/>
        <w:jc w:val="left"/>
      </w:pPr>
      <w:r>
        <w:tab/>
        <w:t>4.</w:t>
      </w:r>
      <w:r>
        <w:tab/>
        <w:t>Examen de los informes presentados por los Estados partes con arreglo al artículo 18 de la Convención sobre la eliminación de todas las formas de discriminación contra la mujer.</w:t>
      </w:r>
    </w:p>
    <w:p w:rsidR="00000000" w:rsidRDefault="00000000">
      <w:pPr>
        <w:pStyle w:val="DualTxt"/>
        <w:suppressAutoHyphens/>
        <w:ind w:left="960" w:hanging="960"/>
        <w:jc w:val="left"/>
      </w:pPr>
      <w:r>
        <w:tab/>
        <w:t>5.</w:t>
      </w:r>
      <w:r>
        <w:tab/>
        <w:t>Aplicación del artículo 21 de la Convención sobre la eliminación de todas las formas de discriminación contra la mujer.</w:t>
      </w:r>
    </w:p>
    <w:p w:rsidR="00000000" w:rsidRDefault="00000000">
      <w:pPr>
        <w:pStyle w:val="DualTxt"/>
        <w:suppressAutoHyphens/>
        <w:jc w:val="left"/>
      </w:pPr>
      <w:r>
        <w:tab/>
        <w:t>6.</w:t>
      </w:r>
      <w:r>
        <w:tab/>
        <w:t>Medios de agilizar los trabajos del Comité.</w:t>
      </w:r>
    </w:p>
    <w:p w:rsidR="00000000" w:rsidRDefault="00000000">
      <w:pPr>
        <w:pStyle w:val="DualTxt"/>
        <w:suppressAutoHyphens/>
        <w:ind w:left="960" w:hanging="960"/>
        <w:jc w:val="left"/>
      </w:pPr>
      <w:r>
        <w:tab/>
        <w:t>7.</w:t>
      </w:r>
      <w:r>
        <w:tab/>
        <w:t xml:space="preserve">Programa provisional del 27° período de </w:t>
      </w:r>
      <w:r>
        <w:br/>
        <w:t>s</w:t>
      </w:r>
      <w:r>
        <w:t>e</w:t>
      </w:r>
      <w:r>
        <w:t>siones.</w:t>
      </w:r>
    </w:p>
    <w:p w:rsidR="00000000" w:rsidRDefault="00000000">
      <w:pPr>
        <w:pStyle w:val="DualTxt"/>
        <w:suppressAutoHyphens/>
        <w:ind w:left="960" w:hanging="960"/>
        <w:jc w:val="left"/>
      </w:pPr>
      <w:r>
        <w:tab/>
        <w:t>8.</w:t>
      </w:r>
      <w:r>
        <w:tab/>
        <w:t>Aprobación del informe del Comité sobre su 25° período de sesiones.</w:t>
      </w:r>
    </w:p>
    <w:p w:rsidR="00000000" w:rsidRDefault="00000000">
      <w:pPr>
        <w:pStyle w:val="DualTxt"/>
        <w:suppressAutoHyphens/>
        <w:spacing w:after="0" w:line="120" w:lineRule="exact"/>
        <w:ind w:left="960" w:hanging="960"/>
        <w:jc w:val="left"/>
        <w:rPr>
          <w:sz w:val="10"/>
        </w:rPr>
      </w:pPr>
    </w:p>
    <w:p w:rsidR="00000000" w:rsidRDefault="00000000">
      <w:pPr>
        <w:pStyle w:val="DualTxt"/>
        <w:suppressAutoHyphens/>
        <w:spacing w:after="0" w:line="120" w:lineRule="exact"/>
        <w:ind w:left="960" w:hanging="960"/>
        <w:jc w:val="lef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VIII</w:t>
      </w: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Aprobación del informe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65"/>
        </w:numPr>
        <w:tabs>
          <w:tab w:val="clear" w:pos="960"/>
          <w:tab w:val="left" w:pos="965"/>
          <w:tab w:val="left" w:pos="1440"/>
          <w:tab w:val="left" w:pos="1915"/>
          <w:tab w:val="left" w:pos="2405"/>
          <w:tab w:val="left" w:pos="2880"/>
          <w:tab w:val="left" w:pos="3355"/>
        </w:tabs>
      </w:pPr>
      <w:r>
        <w:t>En su 508</w:t>
      </w:r>
      <w:r>
        <w:rPr>
          <w:vertAlign w:val="superscript"/>
        </w:rPr>
        <w:t>a</w:t>
      </w:r>
      <w:r>
        <w:t xml:space="preserve"> sesión (véase CEDAW/C/SR.508) el Comité examinó y aprobó el proyecto de informe sobre su 24° período de sesiones (CEDAW/C/2001/I/L.1 y CEDAW/C/2001/I/CRP.3 y Add.1 a 9) en la forma r</w:t>
      </w:r>
      <w:r>
        <w:t>e</w:t>
      </w:r>
      <w:r>
        <w:t>visada durante el debate.</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rPr>
          <w:i/>
        </w:rPr>
      </w:pPr>
      <w:r>
        <w:rPr>
          <w:i/>
        </w:rPr>
        <w:t>Notas</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1</w:t>
      </w:r>
      <w:r>
        <w:tab/>
      </w:r>
      <w:r>
        <w:rPr>
          <w:i/>
        </w:rPr>
        <w:t>Informe de la Cuarta Conferencia Mundial sobre la Mujer, Beijing, 4 a 15 de septiembre de 1995</w:t>
      </w:r>
      <w:r>
        <w:t xml:space="preserve"> (publicación de las Naciones Unidas, número de venta: S.96.IV.13), cap. I, resolución I, anexo II.</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2</w:t>
      </w:r>
      <w:r>
        <w:tab/>
        <w:t>Resolución de la Asamblea General 54/4, anexo.</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3</w:t>
      </w:r>
      <w:r>
        <w:rPr>
          <w:vertAlign w:val="superscript"/>
        </w:rPr>
        <w:tab/>
      </w:r>
      <w:r>
        <w:rPr>
          <w:i/>
        </w:rPr>
        <w:t>Informe de la Cuarta Conferencia Mundial sobre la Mujer</w:t>
      </w:r>
      <w:r>
        <w:t>, anexo I.</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4</w:t>
      </w:r>
      <w:r>
        <w:rPr>
          <w:vertAlign w:val="superscript"/>
        </w:rPr>
        <w:tab/>
      </w:r>
      <w:r>
        <w:t>Resoluciones S-23/2 y S-23/3 de la Asamblea General.</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rPr>
          <w:vertAlign w:val="superscript"/>
        </w:rPr>
      </w:pPr>
      <w:r>
        <w:tab/>
      </w:r>
      <w:r>
        <w:rPr>
          <w:vertAlign w:val="superscript"/>
        </w:rPr>
        <w:t>5</w:t>
      </w:r>
      <w:r>
        <w:rPr>
          <w:vertAlign w:val="superscript"/>
        </w:rPr>
        <w:tab/>
      </w:r>
      <w:r>
        <w:rPr>
          <w:i/>
        </w:rPr>
        <w:t>Documentos Oficiales de la Asamblea General</w:t>
      </w:r>
      <w:r>
        <w:t xml:space="preserve">, </w:t>
      </w:r>
      <w:r>
        <w:rPr>
          <w:i/>
        </w:rPr>
        <w:t>cuadragésimo séptimo período de sesiones, Suplemento No. 38</w:t>
      </w:r>
      <w:r>
        <w:t xml:space="preserve"> (A/47/38), cap. I.</w:t>
      </w:r>
      <w:r>
        <w:rPr>
          <w:i/>
        </w:rPr>
        <w:t xml:space="preserve"> </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6</w:t>
      </w:r>
      <w:r>
        <w:rPr>
          <w:vertAlign w:val="superscript"/>
        </w:rPr>
        <w:tab/>
      </w:r>
      <w:r>
        <w:t>Resolución 55/25 de la Asamblea General, anexo II.</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7</w:t>
      </w:r>
      <w:r>
        <w:rPr>
          <w:vertAlign w:val="superscript"/>
        </w:rPr>
        <w:tab/>
      </w:r>
      <w:r>
        <w:t>Resolución 44/25 de la Asamblea General, anexo.</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8</w:t>
      </w:r>
      <w:r>
        <w:rPr>
          <w:vertAlign w:val="superscript"/>
        </w:rPr>
        <w:tab/>
      </w:r>
      <w:r>
        <w:rPr>
          <w:i/>
        </w:rPr>
        <w:t>Documentos Oficiales de la Asamblea General, quincuagésimo tercer período de sesiones, Suplemento No. 38</w:t>
      </w:r>
      <w:r>
        <w:t xml:space="preserve"> (A/53/38/Rev.1), segunda parte, cap. I.</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9</w:t>
      </w:r>
      <w:r>
        <w:rPr>
          <w:vertAlign w:val="superscript"/>
        </w:rPr>
        <w:tab/>
      </w:r>
      <w:r>
        <w:rPr>
          <w:i/>
        </w:rPr>
        <w:t>Documentos Oficiales de la Asamblea General, cudragésimo noveno período de sesiones</w:t>
      </w:r>
      <w:r>
        <w:t xml:space="preserve">, </w:t>
      </w:r>
      <w:r>
        <w:rPr>
          <w:i/>
        </w:rPr>
        <w:t>Suplemento No. 38</w:t>
      </w:r>
      <w:r>
        <w:t xml:space="preserve"> (A/49/38), cap. I, secc. A.</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rPr>
          <w:vertAlign w:val="superscript"/>
        </w:rPr>
      </w:pPr>
      <w:r>
        <w:tab/>
      </w:r>
      <w:r>
        <w:rPr>
          <w:vertAlign w:val="superscript"/>
        </w:rPr>
        <w:t>10</w:t>
      </w:r>
      <w:r>
        <w:rPr>
          <w:vertAlign w:val="superscript"/>
        </w:rPr>
        <w:tab/>
      </w:r>
      <w:r>
        <w:t xml:space="preserve">Véase Ibíd., </w:t>
      </w:r>
      <w:r>
        <w:rPr>
          <w:i/>
        </w:rPr>
        <w:t>quincuagésimo quinto período de sesiones, Suplemento No. 38</w:t>
      </w:r>
      <w:r>
        <w:t xml:space="preserve"> (A/55/38), segunda parte, cap. I, secc. B.</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11</w:t>
      </w:r>
      <w:r>
        <w:tab/>
        <w:t xml:space="preserve">Véase </w:t>
      </w:r>
      <w:r>
        <w:rPr>
          <w:i/>
        </w:rPr>
        <w:t>Documentos Oficiales del Consejo Económico y Social, 1999, Suplemento No. 3</w:t>
      </w:r>
      <w:r>
        <w:t xml:space="preserve"> (E/1999/23), cap. II, secc. A.</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12</w:t>
      </w:r>
      <w:r>
        <w:rPr>
          <w:vertAlign w:val="superscript"/>
        </w:rPr>
        <w:tab/>
      </w:r>
      <w:r>
        <w:rPr>
          <w:i/>
        </w:rPr>
        <w:t>Documentos Oficiales de la Asamblea General, quincuagésimo cuarto período de sesiones, Suplemento No. 38</w:t>
      </w:r>
      <w:r>
        <w:t xml:space="preserve"> (A/54/38/Rev.1), cap. I, secc. A.</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13</w:t>
      </w:r>
      <w:r>
        <w:rPr>
          <w:vertAlign w:val="superscript"/>
        </w:rPr>
        <w:tab/>
      </w:r>
      <w:r>
        <w:t>Resolución 45/158 de la Asamblea General, anexo.</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14</w:t>
      </w:r>
      <w:r>
        <w:tab/>
        <w:t>A/CONF.183/9.</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15</w:t>
      </w:r>
      <w:r>
        <w:tab/>
        <w:t>Resolución 55/25 de la Asamblea General, anexo I.</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0" w:line="240" w:lineRule="auto"/>
        <w:rPr>
          <w:sz w:val="2"/>
        </w:rPr>
        <w:sectPr w:rsidR="00000000">
          <w:endnotePr>
            <w:numFmt w:val="decimal"/>
          </w:endnotePr>
          <w:type w:val="continuous"/>
          <w:pgSz w:w="12240" w:h="15840" w:code="1"/>
          <w:pgMar w:top="1742" w:right="1195" w:bottom="1898" w:left="1195" w:header="576" w:footer="1030" w:gutter="0"/>
          <w:cols w:num="2" w:space="24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 w:hanging="1267"/>
      </w:pPr>
      <w:r>
        <w:tab/>
      </w:r>
      <w:r>
        <w:tab/>
        <w:t>Segunda parte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3"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 w:hanging="1267"/>
      </w:pPr>
      <w:r>
        <w:tab/>
      </w:r>
      <w:r>
        <w:tab/>
        <w:t>Informe del Comité para la Eliminación de la Discriminación contra la Mujer sobre la labor realizada en su 25° período de sesiones</w:t>
      </w:r>
    </w:p>
    <w:p w:rsidR="00000000" w:rsidRDefault="00000000">
      <w:pPr>
        <w:pStyle w:val="SingleTxt"/>
      </w:pPr>
    </w:p>
    <w:p w:rsidR="00000000" w:rsidRDefault="00000000">
      <w:pPr>
        <w:pStyle w:val="SingleTxt"/>
      </w:pPr>
    </w:p>
    <w:p w:rsidR="00000000" w:rsidRDefault="00000000">
      <w:pPr>
        <w:spacing w:before="1360" w:after="240"/>
      </w:pPr>
      <w:r>
        <w:br w:type="page"/>
      </w:r>
    </w:p>
    <w:p w:rsidR="00000000" w:rsidRDefault="00000000">
      <w:pPr>
        <w:spacing w:before="1360" w:after="240"/>
        <w:rPr>
          <w:sz w:val="28"/>
        </w:rPr>
      </w:pPr>
      <w:r>
        <w:rPr>
          <w:sz w:val="28"/>
        </w:rPr>
        <w:t>Carta de envío</w:t>
      </w:r>
    </w:p>
    <w:p w:rsidR="00000000" w:rsidRDefault="00000000">
      <w:pPr>
        <w:pStyle w:val="H56"/>
        <w:keepNext w:val="0"/>
        <w:keepLines w:val="0"/>
        <w:tabs>
          <w:tab w:val="clear" w:pos="360"/>
        </w:tabs>
        <w:suppressAutoHyphens w:val="0"/>
        <w:spacing w:after="240"/>
        <w:outlineLvl w:val="9"/>
      </w:pPr>
      <w:r>
        <w:tab/>
      </w:r>
      <w:r>
        <w:tab/>
      </w:r>
      <w:r>
        <w:tab/>
      </w:r>
      <w:r>
        <w:tab/>
      </w:r>
      <w:r>
        <w:tab/>
      </w:r>
      <w:r>
        <w:tab/>
      </w:r>
      <w:r>
        <w:tab/>
      </w:r>
      <w:r>
        <w:tab/>
      </w:r>
      <w:r>
        <w:tab/>
      </w:r>
      <w:r>
        <w:tab/>
      </w:r>
      <w:r>
        <w:tab/>
      </w:r>
      <w:r>
        <w:tab/>
      </w:r>
      <w:r>
        <w:tab/>
      </w:r>
      <w:r>
        <w:tab/>
      </w:r>
      <w:r>
        <w:tab/>
      </w:r>
      <w:r>
        <w:tab/>
        <w:t>29 de agosto de 2001</w:t>
      </w:r>
    </w:p>
    <w:p w:rsidR="00000000" w:rsidRDefault="00000000">
      <w:pPr>
        <w:pStyle w:val="SingleTxt"/>
      </w:pPr>
      <w:r>
        <w:t>Excelentísimo Señor,</w:t>
      </w:r>
    </w:p>
    <w:p w:rsidR="00000000" w:rsidRDefault="00000000">
      <w:pPr>
        <w:pStyle w:val="SingleTxt"/>
      </w:pPr>
      <w:r>
        <w:tab/>
        <w:t>Tengo el honor de referirme al artículo 21 de la Convención sobre la elimin</w:t>
      </w:r>
      <w:r>
        <w:t>a</w:t>
      </w:r>
      <w:r>
        <w:t>ción de todas las formas de discriminación contra la mujer, en virtud del cual el Comité para la Eliminación de la Discriminación contra la Mujer, establecido en cumplimiento de lo dispuesto en la Convención, “informará anualmente a la Asa</w:t>
      </w:r>
      <w:r>
        <w:t>m</w:t>
      </w:r>
      <w:r>
        <w:t>blea General de las Naciones Unidas sobre sus actividades por conducto del Consejo Económico y Social”.</w:t>
      </w:r>
    </w:p>
    <w:p w:rsidR="00000000" w:rsidRDefault="00000000">
      <w:pPr>
        <w:pStyle w:val="SingleTxt"/>
      </w:pPr>
      <w:r>
        <w:tab/>
        <w:t>El Comité para la Eliminación de la Discriminación contra la Mujer celebró su 25° período de sesiones del 2 al 20 de junio de 2001 en la Sede de las Naciones Unidas. En su 528</w:t>
      </w:r>
      <w:r>
        <w:rPr>
          <w:vertAlign w:val="superscript"/>
        </w:rPr>
        <w:t>a</w:t>
      </w:r>
      <w:r>
        <w:t xml:space="preserve"> sesión, celebrada el 20 de julio de 2001, el Comité aprobó el i</w:t>
      </w:r>
      <w:r>
        <w:t>n</w:t>
      </w:r>
      <w:r>
        <w:t>forme sobre dicho período de sesiones. Adjunto le envío el informe del Comité para que lo remita a la Asamblea General en su quincuagésimo sexto período de sesi</w:t>
      </w:r>
      <w:r>
        <w:t>o</w:t>
      </w:r>
      <w:r>
        <w:t>nes.</w:t>
      </w:r>
    </w:p>
    <w:p w:rsidR="00000000" w:rsidRDefault="00000000">
      <w:pPr>
        <w:pStyle w:val="SingleTxt"/>
        <w:spacing w:after="0" w:line="120" w:lineRule="exact"/>
        <w:rPr>
          <w:sz w:val="10"/>
        </w:rPr>
      </w:pPr>
    </w:p>
    <w:p w:rsidR="00000000" w:rsidRDefault="00000000">
      <w:pPr>
        <w:pStyle w:val="SingleTxt"/>
        <w:jc w:val="right"/>
      </w:pPr>
      <w:r>
        <w:t>(</w:t>
      </w:r>
      <w:r>
        <w:rPr>
          <w:i/>
        </w:rPr>
        <w:t>Firmado</w:t>
      </w:r>
      <w:r>
        <w:t>) Charlotte</w:t>
      </w:r>
      <w:r>
        <w:rPr>
          <w:b/>
        </w:rPr>
        <w:t xml:space="preserve"> Abaka</w:t>
      </w:r>
      <w:r>
        <w:rPr>
          <w:b/>
        </w:rPr>
        <w:br/>
      </w:r>
      <w:r>
        <w:t>Presidenta del Comité para la Eliminación</w:t>
      </w:r>
      <w:r>
        <w:br/>
        <w:t>de la Discriminación contra la Mujer</w:t>
      </w:r>
    </w:p>
    <w:p w:rsidR="00000000" w:rsidRDefault="00000000"/>
    <w:p w:rsidR="00000000" w:rsidRDefault="00000000">
      <w:pPr>
        <w:framePr w:w="5760" w:h="1195" w:hSpace="180" w:wrap="notBeside" w:vAnchor="page" w:hAnchor="page" w:x="2463" w:y="12961" w:anchorLock="1"/>
      </w:pPr>
      <w:r>
        <w:t>Excelentísimo Señor</w:t>
      </w:r>
      <w:r>
        <w:br/>
        <w:t>Kofi Annan</w:t>
      </w:r>
      <w:r>
        <w:br/>
        <w:t>Secretario General de las Naciones Unidas</w:t>
      </w:r>
      <w:r>
        <w:br/>
        <w:t>Nueva York</w:t>
      </w:r>
    </w:p>
    <w:p w:rsidR="00000000" w:rsidRDefault="00000000">
      <w:pPr>
        <w:pStyle w:val="SingleTxt"/>
        <w:spacing w:after="0" w:line="240" w:lineRule="auto"/>
        <w:rPr>
          <w:sz w:val="2"/>
        </w:rPr>
        <w:sectPr w:rsidR="00000000">
          <w:endnotePr>
            <w:numFmt w:val="decimal"/>
          </w:endnotePr>
          <w:pgSz w:w="12240" w:h="15840" w:code="1"/>
          <w:pgMar w:top="1742" w:right="1195" w:bottom="1898" w:left="1195" w:header="576" w:footer="1030" w:gutter="0"/>
          <w:cols w:space="720"/>
          <w:noEndnote/>
        </w:sectPr>
      </w:pPr>
      <w:r>
        <w:br w:type="page"/>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1</w:t>
      </w: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Cuestiones que se señalan a la atención de los Estados partes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Decisiones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rPr>
          <w:highlight w:val="yellow"/>
        </w:rPr>
        <w:tab/>
      </w:r>
      <w:r>
        <w:rPr>
          <w:highlight w:val="yellow"/>
        </w:rPr>
        <w:tab/>
        <w:t>Decisión 25/I</w:t>
      </w:r>
      <w:r>
        <w:rPr>
          <w:highlight w:val="yellow"/>
        </w:rPr>
        <w:br/>
        <w:t>Propuesta de celebración de un período de sesiones excepcional</w:t>
      </w:r>
      <w:r>
        <w:rPr>
          <w:b w:val="0"/>
          <w:vertAlign w:val="superscript"/>
        </w:rPr>
        <w:t>1</w:t>
      </w:r>
    </w:p>
    <w:p w:rsidR="00000000" w:rsidRDefault="00000000">
      <w:pPr>
        <w:pStyle w:val="DualTxt"/>
        <w:spacing w:after="0" w:line="120" w:lineRule="exact"/>
        <w:rPr>
          <w:sz w:val="10"/>
        </w:rPr>
      </w:pPr>
    </w:p>
    <w:p w:rsidR="00000000" w:rsidRDefault="00000000">
      <w:pPr>
        <w:pStyle w:val="DualTxt"/>
      </w:pPr>
      <w:r>
        <w:tab/>
        <w:t xml:space="preserve">Teniendo en cuenta que, al 20 de julio de 2001, 168 Estados </w:t>
      </w:r>
      <w:r>
        <w:rPr>
          <w:highlight w:val="yellow"/>
        </w:rPr>
        <w:t>habían</w:t>
      </w:r>
      <w:r>
        <w:t xml:space="preserve"> ratificado la Convención sobre la eliminación de todas las formas de discriminación contra la mujer y que 23 Estados partes </w:t>
      </w:r>
      <w:r>
        <w:rPr>
          <w:highlight w:val="yellow"/>
        </w:rPr>
        <w:t>habían</w:t>
      </w:r>
      <w:r>
        <w:t xml:space="preserve"> ratific</w:t>
      </w:r>
      <w:r>
        <w:t>a</w:t>
      </w:r>
      <w:r>
        <w:t>do el Protocolo Facultativo de la Convención o se han adherido a él, y teniendo presente que hay un número apreciable de informes de Estados partes pendientes de examen y que al Comité le preocupa el que la inform</w:t>
      </w:r>
      <w:r>
        <w:t>a</w:t>
      </w:r>
      <w:r>
        <w:t>ción contenida en ellos se quede anticuada, el Comité pide a la Asamblea Gen</w:t>
      </w:r>
      <w:r>
        <w:t>e</w:t>
      </w:r>
      <w:r>
        <w:t>ral:</w:t>
      </w:r>
    </w:p>
    <w:p w:rsidR="00000000" w:rsidRDefault="00000000">
      <w:pPr>
        <w:pStyle w:val="DualTxt"/>
      </w:pPr>
      <w:r>
        <w:tab/>
        <w:t>a)</w:t>
      </w:r>
      <w:r>
        <w:tab/>
        <w:t>Que autorice con carácter excepcional la celebración de un período de sesiones de tres semanas de duración, en agosto de 2002, consistente en 30 s</w:t>
      </w:r>
      <w:r>
        <w:t>e</w:t>
      </w:r>
      <w:r>
        <w:t>siones del Comité que se consagrarían enteramente al examen de informes de Estados partes para reducir la acumulación de info</w:t>
      </w:r>
      <w:r>
        <w:t>r</w:t>
      </w:r>
      <w:r>
        <w:t>mes;</w:t>
      </w:r>
    </w:p>
    <w:p w:rsidR="00000000" w:rsidRDefault="00000000">
      <w:pPr>
        <w:pStyle w:val="DualTxt"/>
      </w:pPr>
      <w:r>
        <w:tab/>
        <w:t>b)</w:t>
      </w:r>
      <w:r>
        <w:tab/>
        <w:t>Que autorice la ampliación de la compos</w:t>
      </w:r>
      <w:r>
        <w:t>i</w:t>
      </w:r>
      <w:r>
        <w:t>ción del grupo de trabajo anterior al período de sesi</w:t>
      </w:r>
      <w:r>
        <w:t>o</w:t>
      </w:r>
      <w:r>
        <w:t>nes que ha de celebrarse del 4 al 8 de febrero de 2002 a fin de preparar las cuestiones y preguntas relacionadas con los informes que habrán de examinarse en el perí</w:t>
      </w:r>
      <w:r>
        <w:t>o</w:t>
      </w:r>
      <w:r>
        <w:t>do de sesiones excepcional del Comité en agosto de 2002.</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Decisión 25/II</w:t>
      </w:r>
      <w:r>
        <w:br/>
      </w:r>
      <w:r>
        <w:rPr>
          <w:highlight w:val="yellow"/>
        </w:rPr>
        <w:t>Grupo de trabajo anterior al período de sesiones</w:t>
      </w:r>
    </w:p>
    <w:p w:rsidR="00000000" w:rsidRDefault="00000000">
      <w:pPr>
        <w:pStyle w:val="DualTxt"/>
        <w:spacing w:after="0" w:line="120" w:lineRule="exact"/>
        <w:rPr>
          <w:sz w:val="10"/>
        </w:rPr>
      </w:pPr>
    </w:p>
    <w:p w:rsidR="00000000" w:rsidRDefault="00000000">
      <w:pPr>
        <w:pStyle w:val="DualTxt"/>
      </w:pPr>
      <w:r>
        <w:rPr>
          <w:b/>
        </w:rPr>
        <w:tab/>
      </w:r>
      <w:r>
        <w:t>Recordando su decisión 22/IV, el Comité decidió que al elaborar la lista de cuestiones y preguntas rel</w:t>
      </w:r>
      <w:r>
        <w:t>a</w:t>
      </w:r>
      <w:r>
        <w:t>cionadas con los informes periódicos, el grupo de tr</w:t>
      </w:r>
      <w:r>
        <w:t>a</w:t>
      </w:r>
      <w:r>
        <w:t>bajo anterior al período de sesiones debería elaborar normalmente una lista corta de cuestiones y preguntas, concentrándose en los temas tratados en la Co</w:t>
      </w:r>
      <w:r>
        <w:t>n</w:t>
      </w:r>
      <w:r>
        <w:t>vención.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Decisión 25/III</w:t>
      </w:r>
      <w:r>
        <w:br/>
        <w:t>P</w:t>
      </w:r>
      <w:r>
        <w:rPr>
          <w:highlight w:val="yellow"/>
        </w:rPr>
        <w:t>eríodo extraordinario de sesiones de la Asamblea General consagrado a la infancia</w:t>
      </w:r>
    </w:p>
    <w:p w:rsidR="00000000" w:rsidRDefault="00000000">
      <w:pPr>
        <w:pStyle w:val="DualTxt"/>
        <w:keepNext/>
        <w:keepLines/>
        <w:spacing w:after="0" w:line="120" w:lineRule="exact"/>
        <w:rPr>
          <w:sz w:val="10"/>
        </w:rPr>
      </w:pPr>
    </w:p>
    <w:p w:rsidR="00000000" w:rsidRDefault="00000000">
      <w:pPr>
        <w:pStyle w:val="DualTxt"/>
        <w:keepNext/>
        <w:keepLines/>
      </w:pPr>
      <w:r>
        <w:rPr>
          <w:b/>
        </w:rPr>
        <w:tab/>
      </w:r>
      <w:r>
        <w:t>El Comité decidió aprobar una declaración que se transmitirá a la Asamblea General en su período e</w:t>
      </w:r>
      <w:r>
        <w:t>x</w:t>
      </w:r>
      <w:r>
        <w:t xml:space="preserve">traordinario de sesiones consagrado a la infancia (véanse párrs. 379 a 391, </w:t>
      </w:r>
      <w:r>
        <w:rPr>
          <w:i/>
        </w:rPr>
        <w:t>infra</w:t>
      </w:r>
      <w:r>
        <w:t>) . Decidió también, con sujeción a la disponibilidad de fondos, nombrar a uno de sus miembros para que participe en su nombre en el período extraordinario de sesi</w:t>
      </w:r>
      <w:r>
        <w:t>o</w:t>
      </w:r>
      <w:r>
        <w:t>nes.</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rPr>
          <w:highlight w:val="yellow"/>
        </w:rPr>
        <w:tab/>
        <w:t>B.</w:t>
      </w:r>
      <w:r>
        <w:tab/>
        <w:t>Sugerencias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Sugerencia 25/1</w:t>
      </w:r>
      <w:r>
        <w:br/>
        <w:t>Comunicaciones presentadas con arreglo al Protocolo Facultativo</w:t>
      </w:r>
    </w:p>
    <w:p w:rsidR="00000000" w:rsidRDefault="00000000">
      <w:pPr>
        <w:pStyle w:val="DualTxt"/>
        <w:spacing w:after="0" w:line="120" w:lineRule="exact"/>
        <w:rPr>
          <w:sz w:val="10"/>
        </w:rPr>
      </w:pPr>
    </w:p>
    <w:p w:rsidR="00000000" w:rsidRDefault="00000000">
      <w:pPr>
        <w:pStyle w:val="DualTxt"/>
        <w:rPr>
          <w:spacing w:val="2"/>
        </w:rPr>
      </w:pPr>
      <w:r>
        <w:tab/>
        <w:t>El Comité sugiere que la División para el Ad</w:t>
      </w:r>
      <w:r>
        <w:t>e</w:t>
      </w:r>
      <w:r>
        <w:t>lanto de la Mujer del Departamento de Asuntos Ec</w:t>
      </w:r>
      <w:r>
        <w:t>o</w:t>
      </w:r>
      <w:r>
        <w:t xml:space="preserve">nómicos y Sociales, Secretaría de las Naciones Unidas, establezca una base electrónica de datos confidenciales para llevar un registro de las comunicaciones </w:t>
      </w:r>
      <w:r>
        <w:rPr>
          <w:spacing w:val="2"/>
        </w:rPr>
        <w:t>present</w:t>
      </w:r>
      <w:r>
        <w:rPr>
          <w:spacing w:val="2"/>
        </w:rPr>
        <w:t>a</w:t>
      </w:r>
      <w:r>
        <w:rPr>
          <w:spacing w:val="2"/>
        </w:rPr>
        <w:t>das con arreglo al Protocolo Facultativo de la Conve</w:t>
      </w:r>
      <w:r>
        <w:rPr>
          <w:spacing w:val="2"/>
        </w:rPr>
        <w:t>n</w:t>
      </w:r>
      <w:r>
        <w:rPr>
          <w:spacing w:val="2"/>
        </w:rPr>
        <w:t>ción parecido al establecido por la Oficina del Alto C</w:t>
      </w:r>
      <w:r>
        <w:rPr>
          <w:spacing w:val="2"/>
        </w:rPr>
        <w:t>o</w:t>
      </w:r>
      <w:r>
        <w:rPr>
          <w:spacing w:val="2"/>
        </w:rPr>
        <w:t>misionado de las Naciones Unidas para los Derechos Humanos y sugiere que se adopten medidas para aseg</w:t>
      </w:r>
      <w:r>
        <w:rPr>
          <w:spacing w:val="2"/>
        </w:rPr>
        <w:t>u</w:t>
      </w:r>
      <w:r>
        <w:rPr>
          <w:spacing w:val="2"/>
        </w:rPr>
        <w:t>rar el intercambio de información entre la base de datos de la División propuesta y la base de datos de la Oficina del Alto Comisionado. El Comité pide a la División que le presente un informe sobre los avances conseguidos en este sentido en su 26° período de s</w:t>
      </w:r>
      <w:r>
        <w:rPr>
          <w:spacing w:val="2"/>
        </w:rPr>
        <w:t>e</w:t>
      </w:r>
      <w:r>
        <w:rPr>
          <w:spacing w:val="2"/>
        </w:rPr>
        <w:t>siones.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highlight w:val="yellow"/>
        </w:rPr>
      </w:pPr>
      <w:r>
        <w:rPr>
          <w:highlight w:val="yellow"/>
        </w:rPr>
        <w:tab/>
      </w:r>
      <w:r>
        <w:rPr>
          <w:highlight w:val="yellow"/>
        </w:rPr>
        <w:tab/>
        <w:t>Sugerencia 25/2</w:t>
      </w:r>
      <w:r>
        <w:rPr>
          <w:highlight w:val="yellow"/>
        </w:rPr>
        <w:br/>
        <w:t>Directrices para la presentación de los informes de los organismos especializados y otros órganos de las Naciones Unidas</w:t>
      </w:r>
    </w:p>
    <w:p w:rsidR="00000000" w:rsidRDefault="00000000">
      <w:pPr>
        <w:pStyle w:val="DualTxt"/>
        <w:spacing w:after="0" w:line="120" w:lineRule="exact"/>
        <w:rPr>
          <w:sz w:val="10"/>
          <w:highlight w:val="yellow"/>
        </w:rPr>
      </w:pPr>
    </w:p>
    <w:p w:rsidR="00000000" w:rsidRDefault="00000000">
      <w:pPr>
        <w:pStyle w:val="DualTxt"/>
      </w:pPr>
      <w:r>
        <w:rPr>
          <w:highlight w:val="yellow"/>
        </w:rPr>
        <w:tab/>
        <w:t>Recordando sus decisiones 18/I y 18/II sobre los informes de los organismos especializados y otros ó</w:t>
      </w:r>
      <w:r>
        <w:rPr>
          <w:highlight w:val="yellow"/>
        </w:rPr>
        <w:t>r</w:t>
      </w:r>
      <w:r>
        <w:rPr>
          <w:highlight w:val="yellow"/>
        </w:rPr>
        <w:t>ganos de las Naciones Unidas sobre los Estados partes cuyos informes están ante el Comité, el Comité hizo hincapié en que estos informes debían suministrar i</w:t>
      </w:r>
      <w:r>
        <w:rPr>
          <w:highlight w:val="yellow"/>
        </w:rPr>
        <w:t>n</w:t>
      </w:r>
      <w:r>
        <w:rPr>
          <w:highlight w:val="yellow"/>
        </w:rPr>
        <w:t>formación concreta acerca del país, así como inform</w:t>
      </w:r>
      <w:r>
        <w:rPr>
          <w:highlight w:val="yellow"/>
        </w:rPr>
        <w:t>a</w:t>
      </w:r>
      <w:r>
        <w:rPr>
          <w:highlight w:val="yellow"/>
        </w:rPr>
        <w:t>ción sobre la labor realizada por el órgano u organi</w:t>
      </w:r>
      <w:r>
        <w:rPr>
          <w:highlight w:val="yellow"/>
        </w:rPr>
        <w:t>s</w:t>
      </w:r>
      <w:r>
        <w:rPr>
          <w:highlight w:val="yellow"/>
        </w:rPr>
        <w:t>mo del caso para promover las disposiciones del Co</w:t>
      </w:r>
      <w:r>
        <w:rPr>
          <w:highlight w:val="yellow"/>
        </w:rPr>
        <w:t>n</w:t>
      </w:r>
      <w:r>
        <w:rPr>
          <w:highlight w:val="yellow"/>
        </w:rPr>
        <w:t>venio en los planos nacional y regional por conducto de sus políticas y programas. Observando que estos i</w:t>
      </w:r>
      <w:r>
        <w:rPr>
          <w:highlight w:val="yellow"/>
        </w:rPr>
        <w:t>n</w:t>
      </w:r>
      <w:r>
        <w:rPr>
          <w:highlight w:val="yellow"/>
        </w:rPr>
        <w:t>formes y el diálogo entre el Comité y los representa</w:t>
      </w:r>
      <w:r>
        <w:rPr>
          <w:highlight w:val="yellow"/>
        </w:rPr>
        <w:t>n</w:t>
      </w:r>
      <w:r>
        <w:rPr>
          <w:highlight w:val="yellow"/>
        </w:rPr>
        <w:t>tes de esas entidades de las Naciones Unidas han co</w:t>
      </w:r>
      <w:r>
        <w:rPr>
          <w:highlight w:val="yellow"/>
        </w:rPr>
        <w:t>n</w:t>
      </w:r>
      <w:r>
        <w:rPr>
          <w:highlight w:val="yellow"/>
        </w:rPr>
        <w:t>tribuido considerablemente a la labor del Comité para la supervisión de la aplicación del Convenio, el Comité adoptó las directrices para los informes de los organi</w:t>
      </w:r>
      <w:r>
        <w:rPr>
          <w:highlight w:val="yellow"/>
        </w:rPr>
        <w:t>s</w:t>
      </w:r>
      <w:r>
        <w:rPr>
          <w:highlight w:val="yellow"/>
        </w:rPr>
        <w:t xml:space="preserve">mos especializados y otros órganos de las Naciones Unidas con miras a mejorar su cooperación con estas entidades (véanse los párrafos 329 a 395 </w:t>
      </w:r>
      <w:r>
        <w:rPr>
          <w:i/>
          <w:highlight w:val="yellow"/>
        </w:rPr>
        <w:t>infra</w:t>
      </w:r>
      <w:r>
        <w:rPr>
          <w:highlight w:val="yellow"/>
        </w:rPr>
        <w:t>).</w:t>
      </w:r>
      <w:r>
        <w:t xml:space="preserve"> </w:t>
      </w:r>
    </w:p>
    <w:p w:rsidR="00000000" w:rsidRDefault="00000000">
      <w:pPr>
        <w:pStyle w:val="SingleTxt"/>
        <w:spacing w:after="0" w:line="120" w:lineRule="exact"/>
        <w:rPr>
          <w:b/>
          <w:sz w:val="10"/>
          <w:highlight w:val="yellow"/>
        </w:rPr>
      </w:pPr>
    </w:p>
    <w:p w:rsidR="00000000" w:rsidRDefault="00000000">
      <w:pPr>
        <w:pStyle w:val="SingleTxt"/>
        <w:spacing w:after="0" w:line="120" w:lineRule="exact"/>
        <w:rPr>
          <w:b/>
          <w:sz w:val="10"/>
          <w:highlight w:val="yellow"/>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rPr>
          <w:highlight w:val="yellow"/>
        </w:rPr>
        <w:tab/>
        <w:t>Capítulo II</w:t>
      </w: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highlight w:val="yellow"/>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 xml:space="preserve">Cuestiones de organización </w:t>
      </w:r>
      <w:r>
        <w:br/>
        <w:t>y otros asuntos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Estados partes en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DualTxt"/>
        <w:numPr>
          <w:ilvl w:val="0"/>
          <w:numId w:val="143"/>
        </w:numPr>
        <w:tabs>
          <w:tab w:val="clear" w:pos="480"/>
          <w:tab w:val="clear" w:pos="960"/>
          <w:tab w:val="left" w:pos="475"/>
          <w:tab w:val="left" w:pos="965"/>
          <w:tab w:val="left" w:pos="1440"/>
          <w:tab w:val="left" w:pos="1915"/>
          <w:tab w:val="left" w:pos="2405"/>
          <w:tab w:val="left" w:pos="2880"/>
          <w:tab w:val="left" w:pos="3355"/>
        </w:tabs>
      </w:pPr>
      <w:r>
        <w:t>El 20 de julio de 2001, fecha de clausura del 25° período de sesiones del Comité para la Eliminación de la Discriminación contra la Mujer, la Convención sobre la eliminación de todas las formas de discriminación contra la mujer, aprobada por la Asamblea General en su resolución 34/180, de 18 de diciembre de 1979, y abierta a la firma, ratificación y adhesión en Nueva York en marzo de 1980, contaba con 168 Estados pa</w:t>
      </w:r>
      <w:r>
        <w:t>r</w:t>
      </w:r>
      <w:r>
        <w:t>tes. De conformidad con su artículo 27, la Convención entró en vigor el 3 de septie</w:t>
      </w:r>
      <w:r>
        <w:t>m</w:t>
      </w:r>
      <w:r>
        <w:t>bre de 1981.</w:t>
      </w:r>
    </w:p>
    <w:p w:rsidR="00000000" w:rsidRDefault="00000000">
      <w:pPr>
        <w:pStyle w:val="DualTxt"/>
        <w:numPr>
          <w:ilvl w:val="0"/>
          <w:numId w:val="143"/>
        </w:numPr>
        <w:tabs>
          <w:tab w:val="clear" w:pos="480"/>
          <w:tab w:val="clear" w:pos="960"/>
          <w:tab w:val="left" w:pos="475"/>
          <w:tab w:val="left" w:pos="965"/>
          <w:tab w:val="left" w:pos="1440"/>
          <w:tab w:val="left" w:pos="1915"/>
          <w:tab w:val="left" w:pos="2405"/>
          <w:tab w:val="left" w:pos="2880"/>
          <w:tab w:val="left" w:pos="3355"/>
        </w:tabs>
      </w:pPr>
      <w:r>
        <w:t>En el anexo II del presente informe figura una lista de los Estados partes en la Convención. En el anexo III figura una lista de los Estados partes que han aceptado la enmienda del párrafo 1 del artículo 20 de la Conve</w:t>
      </w:r>
      <w:r>
        <w:t>n</w:t>
      </w:r>
      <w:r>
        <w:t>ción. En el anexo IV figura una lista de los Estados partes que han firmado o ratificado el Protocolo F</w:t>
      </w:r>
      <w:r>
        <w:t>a</w:t>
      </w:r>
      <w:r>
        <w:t>cultativo de la Convención o que se han adherido a él.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Apertura del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DualTxt"/>
        <w:numPr>
          <w:ilvl w:val="0"/>
          <w:numId w:val="143"/>
        </w:numPr>
        <w:tabs>
          <w:tab w:val="clear" w:pos="480"/>
          <w:tab w:val="clear" w:pos="960"/>
          <w:tab w:val="left" w:pos="475"/>
          <w:tab w:val="left" w:pos="965"/>
          <w:tab w:val="left" w:pos="1440"/>
          <w:tab w:val="left" w:pos="1915"/>
          <w:tab w:val="left" w:pos="2405"/>
          <w:tab w:val="left" w:pos="2880"/>
          <w:tab w:val="left" w:pos="3355"/>
        </w:tabs>
      </w:pPr>
      <w:r>
        <w:t xml:space="preserve">El Comité celebró su 25° período de sesiones en la Sede de las Naciones Unidas, del 2 al 20 de julio de 2001. El Comité celebró </w:t>
      </w:r>
      <w:r>
        <w:rPr>
          <w:highlight w:val="yellow"/>
        </w:rPr>
        <w:t>20</w:t>
      </w:r>
      <w:r>
        <w:t xml:space="preserve"> sesiones plenarias </w:t>
      </w:r>
      <w:r>
        <w:rPr>
          <w:highlight w:val="yellow"/>
        </w:rPr>
        <w:t>(509ª a 528ª)</w:t>
      </w:r>
      <w:r>
        <w:t xml:space="preserve"> y sus dos grupos de trabajo celebraron </w:t>
      </w:r>
      <w:r>
        <w:rPr>
          <w:highlight w:val="yellow"/>
        </w:rPr>
        <w:t>18</w:t>
      </w:r>
      <w:r>
        <w:t xml:space="preserve"> s</w:t>
      </w:r>
      <w:r>
        <w:t>e</w:t>
      </w:r>
      <w:r>
        <w:t xml:space="preserve">siones. </w:t>
      </w:r>
      <w:r>
        <w:rPr>
          <w:highlight w:val="yellow"/>
        </w:rPr>
        <w:t>En la sección B del anexo V del presente i</w:t>
      </w:r>
      <w:r>
        <w:rPr>
          <w:highlight w:val="yellow"/>
        </w:rPr>
        <w:t>n</w:t>
      </w:r>
      <w:r>
        <w:rPr>
          <w:highlight w:val="yellow"/>
        </w:rPr>
        <w:t>forme figura una lista de los documentos que tuvo ante sí el Comité.</w:t>
      </w:r>
    </w:p>
    <w:p w:rsidR="00000000" w:rsidRDefault="00000000">
      <w:pPr>
        <w:pStyle w:val="DualTxt"/>
        <w:numPr>
          <w:ilvl w:val="0"/>
          <w:numId w:val="143"/>
        </w:numPr>
        <w:tabs>
          <w:tab w:val="clear" w:pos="480"/>
          <w:tab w:val="clear" w:pos="960"/>
          <w:tab w:val="left" w:pos="475"/>
          <w:tab w:val="left" w:pos="965"/>
          <w:tab w:val="left" w:pos="1440"/>
          <w:tab w:val="left" w:pos="1915"/>
          <w:tab w:val="left" w:pos="2405"/>
          <w:tab w:val="left" w:pos="2880"/>
          <w:tab w:val="left" w:pos="3355"/>
        </w:tabs>
      </w:pPr>
      <w:r>
        <w:t>Declaró abierto el período de sesiones la Pres</w:t>
      </w:r>
      <w:r>
        <w:t>i</w:t>
      </w:r>
      <w:r>
        <w:t>denta del Comité, Charlotte Abaka (Ghana), que había sido elegida en el 24° período de sesiones del Comité celebr</w:t>
      </w:r>
      <w:r>
        <w:t>a</w:t>
      </w:r>
      <w:r>
        <w:t>do en enero de 2001.</w:t>
      </w:r>
    </w:p>
    <w:p w:rsidR="00000000" w:rsidRDefault="00000000">
      <w:pPr>
        <w:pStyle w:val="DualTxt"/>
        <w:numPr>
          <w:ilvl w:val="0"/>
          <w:numId w:val="143"/>
        </w:numPr>
        <w:tabs>
          <w:tab w:val="clear" w:pos="480"/>
          <w:tab w:val="clear" w:pos="960"/>
          <w:tab w:val="left" w:pos="475"/>
          <w:tab w:val="left" w:pos="965"/>
          <w:tab w:val="left" w:pos="1440"/>
          <w:tab w:val="left" w:pos="1915"/>
          <w:tab w:val="left" w:pos="2405"/>
          <w:tab w:val="left" w:pos="2880"/>
          <w:tab w:val="left" w:pos="3355"/>
        </w:tabs>
      </w:pPr>
      <w:r>
        <w:t>Al dirigirse al Comité en su 509ª sesión, celebrada el 2 de julio de 2001, la Subsecretaria General y Ases</w:t>
      </w:r>
      <w:r>
        <w:t>o</w:t>
      </w:r>
      <w:r>
        <w:t>ra Especial del Secretario General en Cuestiones de Género y Adelanto de la Mujer dio la bienvenida a Nueva York a todos los miembros del Comité e hizo una recapitulación de los acontecimientos ocurridos en las Naciones Unidas desde que se celebrara el 24° p</w:t>
      </w:r>
      <w:r>
        <w:t>e</w:t>
      </w:r>
      <w:r>
        <w:t>ríodo de sesi</w:t>
      </w:r>
      <w:r>
        <w:t>o</w:t>
      </w:r>
      <w:r>
        <w:t>nes.</w:t>
      </w:r>
    </w:p>
    <w:p w:rsidR="00000000" w:rsidRDefault="00000000">
      <w:pPr>
        <w:pStyle w:val="DualTxt"/>
        <w:numPr>
          <w:ilvl w:val="0"/>
          <w:numId w:val="143"/>
        </w:numPr>
        <w:tabs>
          <w:tab w:val="clear" w:pos="480"/>
          <w:tab w:val="clear" w:pos="960"/>
          <w:tab w:val="left" w:pos="475"/>
          <w:tab w:val="left" w:pos="965"/>
          <w:tab w:val="left" w:pos="1440"/>
          <w:tab w:val="left" w:pos="1915"/>
          <w:tab w:val="left" w:pos="2405"/>
          <w:tab w:val="left" w:pos="2880"/>
          <w:tab w:val="left" w:pos="3355"/>
        </w:tabs>
      </w:pPr>
      <w:r>
        <w:t>Informó al Comité de que la Comisión de la Co</w:t>
      </w:r>
      <w:r>
        <w:t>n</w:t>
      </w:r>
      <w:r>
        <w:t>dición Jurídica y Social de la Mujer se había centrado en dos cuestiones temáticas: la mujer, la niña y el VIH/SIDA; y el género y todas las formas de discrim</w:t>
      </w:r>
      <w:r>
        <w:t>i</w:t>
      </w:r>
      <w:r>
        <w:t>nación, en particular el racismo, la discriminación r</w:t>
      </w:r>
      <w:r>
        <w:t>a</w:t>
      </w:r>
      <w:r>
        <w:t>cial, la xenofobia y las formas conexas de intolerancia. Añadió que la Comisión había aprobado dos conjuntos de conclusiones convenidas respecto de esos temas y que la Comisión había examinado la declaración del Comité sobre el racismo, que éste había aprobado en su 24° p</w:t>
      </w:r>
      <w:r>
        <w:t>e</w:t>
      </w:r>
      <w:r>
        <w:t>ríodo de sesiones.</w:t>
      </w:r>
    </w:p>
    <w:p w:rsidR="00000000" w:rsidRDefault="00000000">
      <w:pPr>
        <w:pStyle w:val="DualTxt"/>
        <w:numPr>
          <w:ilvl w:val="0"/>
          <w:numId w:val="143"/>
        </w:numPr>
        <w:tabs>
          <w:tab w:val="clear" w:pos="480"/>
          <w:tab w:val="clear" w:pos="960"/>
          <w:tab w:val="left" w:pos="475"/>
          <w:tab w:val="left" w:pos="965"/>
        </w:tabs>
      </w:pPr>
      <w:r>
        <w:t>La Asesora Especial informó también a los mie</w:t>
      </w:r>
      <w:r>
        <w:t>m</w:t>
      </w:r>
      <w:r>
        <w:t>bros del Comité acerca de sus actividades recientes, entre ellas un seminario sobre fomento de la capacidad para incorporar las cuestiones de género en las estrat</w:t>
      </w:r>
      <w:r>
        <w:t>e</w:t>
      </w:r>
      <w:r>
        <w:t>gias de desarrollo, celebrado en Sudáfrica; la 105ª Co</w:t>
      </w:r>
      <w:r>
        <w:t>n</w:t>
      </w:r>
      <w:r>
        <w:t>ferencia de la Unión Interparlamentaria, celebrada en La Habana; la celebración interinstitucional conjunta de la reunión sobre la mujer y la igualdad entre los g</w:t>
      </w:r>
      <w:r>
        <w:t>é</w:t>
      </w:r>
      <w:r>
        <w:t>neros y del Comité de Asistencia para el Desarrollo de la Organización de Cooperación y Desarrollo Econ</w:t>
      </w:r>
      <w:r>
        <w:t>ó</w:t>
      </w:r>
      <w:r>
        <w:t>micos; un seminario sobre gestión pública, reducción de la pobreza e igualdad entre los géneros, celebrado en Viena; y el Simposio internacional sobre las cons</w:t>
      </w:r>
      <w:r>
        <w:t>e</w:t>
      </w:r>
      <w:r>
        <w:t>cuencias de la capacitación de la mujer en el desarrollo socioeconómico, celebrado en Haifa (Israel). Durante el período extraordinario de sesiones de la Asamblea General celebrado recientemente sobre el VIH/SIDA, participó también en una reunión de mesa redonda d</w:t>
      </w:r>
      <w:r>
        <w:t>e</w:t>
      </w:r>
      <w:r>
        <w:t>dicada a los derechos humanos y el VIH/SIDA.</w:t>
      </w:r>
    </w:p>
    <w:p w:rsidR="00000000" w:rsidRDefault="00000000">
      <w:pPr>
        <w:pStyle w:val="DualTxt"/>
        <w:numPr>
          <w:ilvl w:val="0"/>
          <w:numId w:val="143"/>
        </w:numPr>
        <w:tabs>
          <w:tab w:val="clear" w:pos="480"/>
          <w:tab w:val="clear" w:pos="960"/>
          <w:tab w:val="left" w:pos="475"/>
          <w:tab w:val="left" w:pos="965"/>
          <w:tab w:val="left" w:pos="1440"/>
          <w:tab w:val="left" w:pos="1915"/>
          <w:tab w:val="left" w:pos="2405"/>
          <w:tab w:val="left" w:pos="2880"/>
          <w:tab w:val="left" w:pos="3355"/>
        </w:tabs>
      </w:pPr>
      <w:r>
        <w:t>La Asesora Especial destacó algunas de las activ</w:t>
      </w:r>
      <w:r>
        <w:t>i</w:t>
      </w:r>
      <w:r>
        <w:t>dades organizadas por la División para el Adelanto de la Mujer desde el 24° período de sesiones del Comité, entre ellas un seminario de capacitación subregional celebrado en Auckland (Nueva Zelandia) para apoyar la elaboración de los informes que los Estados partes debían presentar al Comité; una reunión regional para evaluar las necesidades relacionadas con los sistemas nacionales para lograr la igualdad entre los géneros en los países de África, así como una reunión de co</w:t>
      </w:r>
      <w:r>
        <w:t>n</w:t>
      </w:r>
      <w:r>
        <w:t>sulta para aumentar la participación de la mujer en las iniciativas de consolidación de la paz, celebradas a</w:t>
      </w:r>
      <w:r>
        <w:t>m</w:t>
      </w:r>
      <w:r>
        <w:t>bas el mes de abril en Addis Abeba; y la reunión de un grupo de expertos sobre la situación de la mujer de las zonas rurales en el contexto de la mundialización cel</w:t>
      </w:r>
      <w:r>
        <w:t>e</w:t>
      </w:r>
      <w:r>
        <w:t>brada en Ulaanbaatar.</w:t>
      </w:r>
    </w:p>
    <w:p w:rsidR="00000000" w:rsidRDefault="00000000">
      <w:pPr>
        <w:pStyle w:val="DualTxt"/>
        <w:numPr>
          <w:ilvl w:val="0"/>
          <w:numId w:val="143"/>
        </w:numPr>
        <w:tabs>
          <w:tab w:val="clear" w:pos="480"/>
          <w:tab w:val="clear" w:pos="960"/>
          <w:tab w:val="left" w:pos="475"/>
          <w:tab w:val="left" w:pos="965"/>
          <w:tab w:val="left" w:pos="1440"/>
          <w:tab w:val="left" w:pos="1915"/>
          <w:tab w:val="left" w:pos="2405"/>
          <w:tab w:val="left" w:pos="2880"/>
          <w:tab w:val="left" w:pos="3355"/>
        </w:tabs>
      </w:pPr>
      <w:r>
        <w:t>La Asesora Especial informó al Comité de que, desde la clausura del 24° período de sesiones, dos E</w:t>
      </w:r>
      <w:r>
        <w:t>s</w:t>
      </w:r>
      <w:r>
        <w:t>tados más, a saber, la República Popular Democrática de Corea y Mauritania, se habían hecho partes en la Convención los días 27 de febrero y 10 de mayo de 2001, respectivamente, con lo cual el número total de Estados partes en la Convención se elevaba a 168. C</w:t>
      </w:r>
      <w:r>
        <w:t>o</w:t>
      </w:r>
      <w:r>
        <w:t>municó también al Comité que, el 1° de junio de 2001, Azerbaiyán había ratificado el Protocolo Facultativo, elevando así a 22 el número de Estados que habían rat</w:t>
      </w:r>
      <w:r>
        <w:t>i</w:t>
      </w:r>
      <w:r>
        <w:t>ficado o se habían adherido al Protocolo.</w:t>
      </w:r>
    </w:p>
    <w:p w:rsidR="00000000" w:rsidRDefault="00000000">
      <w:pPr>
        <w:pStyle w:val="DualTxt"/>
        <w:numPr>
          <w:ilvl w:val="0"/>
          <w:numId w:val="143"/>
        </w:numPr>
        <w:tabs>
          <w:tab w:val="clear" w:pos="480"/>
          <w:tab w:val="clear" w:pos="960"/>
          <w:tab w:val="left" w:pos="475"/>
          <w:tab w:val="left" w:pos="965"/>
          <w:tab w:val="left" w:pos="1440"/>
          <w:tab w:val="left" w:pos="1915"/>
          <w:tab w:val="left" w:pos="2405"/>
          <w:tab w:val="left" w:pos="2880"/>
          <w:tab w:val="left" w:pos="3355"/>
        </w:tabs>
      </w:pPr>
      <w:r>
        <w:t>La Asesora Especial afirmó que la Directora de la División para el Adelanto de la Mujer y ella habían h</w:t>
      </w:r>
      <w:r>
        <w:t>e</w:t>
      </w:r>
      <w:r>
        <w:t>cho todo lo posible por alentar la ratificación de la Convención y su Protocolo Facultativo, así como la aceptación de la enmienda del párrafo 1 del artículo 20 de la Convención, que únicamente había sido aceptada por 24 Estados. A ese respecto, recordó a todos los miembros que durante la primera semana del período de sesiones, se llevaría a cabo una mesa redonda sobre el tema “Los tratados multilaterales para fomentar los derechos de la mujer y los niños: marco general”, cuya organización corría a cargo de la Oficina de la Asesora Especial sobre Cuestiones de Género y Adelanto de la Mujer, la División para el Adelanto de la Mujer y la Oficina de Asuntos J</w:t>
      </w:r>
      <w:r>
        <w:t>u</w:t>
      </w:r>
      <w:r>
        <w:t>rídicos.</w:t>
      </w:r>
    </w:p>
    <w:p w:rsidR="00000000" w:rsidRDefault="00000000">
      <w:pPr>
        <w:pStyle w:val="DualTxt"/>
        <w:numPr>
          <w:ilvl w:val="0"/>
          <w:numId w:val="143"/>
        </w:numPr>
        <w:tabs>
          <w:tab w:val="clear" w:pos="480"/>
          <w:tab w:val="clear" w:pos="960"/>
          <w:tab w:val="left" w:pos="475"/>
          <w:tab w:val="left" w:pos="965"/>
          <w:tab w:val="left" w:pos="1440"/>
          <w:tab w:val="left" w:pos="1915"/>
          <w:tab w:val="left" w:pos="2405"/>
          <w:tab w:val="left" w:pos="2880"/>
          <w:tab w:val="left" w:pos="3355"/>
        </w:tabs>
      </w:pPr>
      <w:r>
        <w:t>La Asesora Especial señaló que la labor del Comité durante el actual período de sesiones incluiría el ex</w:t>
      </w:r>
      <w:r>
        <w:t>a</w:t>
      </w:r>
      <w:r>
        <w:t>men de los informes de ocho Estados partes; la cont</w:t>
      </w:r>
      <w:r>
        <w:t>i</w:t>
      </w:r>
      <w:r>
        <w:t>nuación del debate sobre la recomendación general del Comité relativa al párrafo 1 del artículo 4 de la Co</w:t>
      </w:r>
      <w:r>
        <w:t>n</w:t>
      </w:r>
      <w:r>
        <w:t>vención, que hace referencia a las medidas especiales de carácter temporal encaminadas a acelerar la igua</w:t>
      </w:r>
      <w:r>
        <w:t>l</w:t>
      </w:r>
      <w:r>
        <w:t>dad de facto entre el hombre y la mujer; y el examen de las cuestiones que fueron objeto de debate durante el 24° período de sesiones, incluida la práctica de los ó</w:t>
      </w:r>
      <w:r>
        <w:t>r</w:t>
      </w:r>
      <w:r>
        <w:t>ganos creados en virtud de tratados de derechos hum</w:t>
      </w:r>
      <w:r>
        <w:t>a</w:t>
      </w:r>
      <w:r>
        <w:t>nos respecto de las reservas y las observaciones finales del Comité. Instó al Comité a que examinara las co</w:t>
      </w:r>
      <w:r>
        <w:t>n</w:t>
      </w:r>
      <w:r>
        <w:t>tribuciones de los miembros que participarían en la Conferencia Mundial contra el Racismo, la Discrim</w:t>
      </w:r>
      <w:r>
        <w:t>i</w:t>
      </w:r>
      <w:r>
        <w:t>nación Racial, la Xenofobia y las Formas Conexas de Intolerancia, que se celebraría próxim</w:t>
      </w:r>
      <w:r>
        <w:t>a</w:t>
      </w:r>
      <w:r>
        <w:t>mente.</w:t>
      </w:r>
    </w:p>
    <w:p w:rsidR="00000000" w:rsidRDefault="00000000">
      <w:pPr>
        <w:pStyle w:val="Single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C.</w:t>
      </w:r>
      <w:r>
        <w:tab/>
        <w:t>Asistencia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DualTxt"/>
        <w:numPr>
          <w:ilvl w:val="0"/>
          <w:numId w:val="143"/>
        </w:numPr>
        <w:tabs>
          <w:tab w:val="clear" w:pos="480"/>
          <w:tab w:val="clear" w:pos="960"/>
          <w:tab w:val="left" w:pos="475"/>
          <w:tab w:val="left" w:pos="965"/>
          <w:tab w:val="left" w:pos="1440"/>
          <w:tab w:val="left" w:pos="1915"/>
          <w:tab w:val="left" w:pos="2405"/>
          <w:tab w:val="left" w:pos="2880"/>
          <w:tab w:val="left" w:pos="3355"/>
        </w:tabs>
      </w:pPr>
      <w:r>
        <w:t xml:space="preserve">Asistieron al 25° período de sesiones 21 miembros del Comité. Emna Aouij participó del 2 al 10 de julio; Göran Melander, del 3 al 9 de julio y del 16 al 20 de julio; y Savitri Goonesekere del 9 al 20 de julio. Asha Rose Mtengeti-Migiro y Regina Tavares da Siliva no asistieron al período de sesiones. </w:t>
      </w:r>
      <w:r>
        <w:rPr>
          <w:highlight w:val="yellow"/>
        </w:rPr>
        <w:t>En el anexo VI del presente informe figura una lista de los miembros del Comité en que se ind</w:t>
      </w:r>
      <w:r>
        <w:rPr>
          <w:highlight w:val="yellow"/>
        </w:rPr>
        <w:t>i</w:t>
      </w:r>
      <w:r>
        <w:rPr>
          <w:highlight w:val="yellow"/>
        </w:rPr>
        <w:t>ca</w:t>
      </w:r>
      <w:r>
        <w:t>n sus mandatos.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 xml:space="preserve">D. </w:t>
      </w:r>
      <w:r>
        <w:tab/>
        <w:t>Aprobación del programa y organización de los trabajos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DualTxt"/>
        <w:numPr>
          <w:ilvl w:val="0"/>
          <w:numId w:val="143"/>
        </w:numPr>
        <w:tabs>
          <w:tab w:val="clear" w:pos="480"/>
          <w:tab w:val="clear" w:pos="960"/>
          <w:tab w:val="left" w:pos="475"/>
          <w:tab w:val="left" w:pos="965"/>
          <w:tab w:val="left" w:pos="1440"/>
          <w:tab w:val="left" w:pos="1915"/>
          <w:tab w:val="left" w:pos="2405"/>
          <w:tab w:val="left" w:pos="2880"/>
          <w:tab w:val="left" w:pos="3355"/>
        </w:tabs>
      </w:pPr>
      <w:r>
        <w:t>El Comité examinó el programa provisional y la organización de los trabajos (CEDAW/C/2001/II/1) en su 509ª sesión y aprobó el siguiente pr</w:t>
      </w:r>
      <w:r>
        <w:t>o</w:t>
      </w:r>
      <w:r>
        <w:t>grama:</w:t>
      </w:r>
    </w:p>
    <w:p w:rsidR="00000000" w:rsidRDefault="00000000">
      <w:pPr>
        <w:pStyle w:val="DualTxt"/>
        <w:suppressAutoHyphens/>
        <w:jc w:val="left"/>
      </w:pPr>
      <w:r>
        <w:tab/>
        <w:t>1.</w:t>
      </w:r>
      <w:r>
        <w:tab/>
        <w:t>Apertura del período de sesiones.</w:t>
      </w:r>
    </w:p>
    <w:p w:rsidR="00000000" w:rsidRDefault="00000000">
      <w:pPr>
        <w:pStyle w:val="DualTxt"/>
        <w:suppressAutoHyphens/>
        <w:ind w:left="960" w:hanging="960"/>
        <w:jc w:val="left"/>
      </w:pPr>
      <w:r>
        <w:tab/>
        <w:t>2.</w:t>
      </w:r>
      <w:r>
        <w:tab/>
        <w:t>Aprobación del programa y organización de los trabajos.</w:t>
      </w:r>
    </w:p>
    <w:p w:rsidR="00000000" w:rsidRDefault="00000000">
      <w:pPr>
        <w:pStyle w:val="DualTxt"/>
        <w:suppressAutoHyphens/>
        <w:ind w:left="960" w:hanging="960"/>
        <w:jc w:val="left"/>
      </w:pPr>
      <w:r>
        <w:tab/>
        <w:t>3.</w:t>
      </w:r>
      <w:r>
        <w:tab/>
        <w:t>Informe de la Presidenta sobre las actividades realizadas entre los períodos de sesiones 24° y 25° del Com</w:t>
      </w:r>
      <w:r>
        <w:t>i</w:t>
      </w:r>
      <w:r>
        <w:t>té.</w:t>
      </w:r>
    </w:p>
    <w:p w:rsidR="00000000" w:rsidRDefault="00000000">
      <w:pPr>
        <w:pStyle w:val="DualTxt"/>
        <w:suppressAutoHyphens/>
        <w:ind w:left="960" w:hanging="960"/>
        <w:jc w:val="left"/>
        <w:rPr>
          <w:spacing w:val="2"/>
        </w:rPr>
      </w:pPr>
      <w:r>
        <w:rPr>
          <w:spacing w:val="2"/>
        </w:rPr>
        <w:tab/>
        <w:t>4.</w:t>
      </w:r>
      <w:r>
        <w:rPr>
          <w:spacing w:val="2"/>
        </w:rPr>
        <w:tab/>
        <w:t>Examen de los informes presentados por los Estados partes con arreglo al artículo 18 de la Convención sobre la eliminación de todas las formas de discriminación contra la m</w:t>
      </w:r>
      <w:r>
        <w:rPr>
          <w:spacing w:val="2"/>
        </w:rPr>
        <w:t>u</w:t>
      </w:r>
      <w:r>
        <w:rPr>
          <w:spacing w:val="2"/>
        </w:rPr>
        <w:t>jer.</w:t>
      </w:r>
    </w:p>
    <w:p w:rsidR="00000000" w:rsidRDefault="00000000">
      <w:pPr>
        <w:pStyle w:val="DualTxt"/>
        <w:suppressAutoHyphens/>
        <w:ind w:left="960" w:hanging="960"/>
        <w:jc w:val="left"/>
      </w:pPr>
      <w:r>
        <w:tab/>
        <w:t>5.</w:t>
      </w:r>
      <w:r>
        <w:tab/>
        <w:t>Aplicación del artículo 21 de la Convención sobre la eliminación de todas las formas de discriminación contra la mujer.</w:t>
      </w:r>
    </w:p>
    <w:p w:rsidR="00000000" w:rsidRDefault="00000000">
      <w:pPr>
        <w:pStyle w:val="DualTxt"/>
        <w:suppressAutoHyphens/>
        <w:jc w:val="left"/>
      </w:pPr>
      <w:r>
        <w:tab/>
        <w:t>6.</w:t>
      </w:r>
      <w:r>
        <w:tab/>
        <w:t>Medios de agilizar los trabajos del Comité.</w:t>
      </w:r>
    </w:p>
    <w:p w:rsidR="00000000" w:rsidRDefault="00000000">
      <w:pPr>
        <w:pStyle w:val="DualTxt"/>
        <w:suppressAutoHyphens/>
        <w:ind w:left="960" w:hanging="960"/>
        <w:jc w:val="left"/>
      </w:pPr>
      <w:r>
        <w:tab/>
        <w:t>7.</w:t>
      </w:r>
      <w:r>
        <w:tab/>
        <w:t>Programa provisional del 26° período de sesiones.</w:t>
      </w:r>
    </w:p>
    <w:p w:rsidR="00000000" w:rsidRDefault="00000000">
      <w:pPr>
        <w:pStyle w:val="DualTxt"/>
        <w:suppressAutoHyphens/>
        <w:ind w:left="960" w:hanging="960"/>
        <w:jc w:val="left"/>
      </w:pPr>
      <w:r>
        <w:tab/>
        <w:t>8.</w:t>
      </w:r>
      <w:r>
        <w:tab/>
        <w:t>Aprobación del informe del Comité sobre su 25°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E.</w:t>
      </w:r>
      <w:r>
        <w:tab/>
        <w:t>Informe del Grupo de Trabajo anterior al período de sesiones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DualTxt"/>
        <w:numPr>
          <w:ilvl w:val="0"/>
          <w:numId w:val="143"/>
        </w:numPr>
        <w:tabs>
          <w:tab w:val="clear" w:pos="480"/>
          <w:tab w:val="clear" w:pos="960"/>
          <w:tab w:val="left" w:pos="475"/>
          <w:tab w:val="left" w:pos="965"/>
          <w:tab w:val="left" w:pos="1440"/>
          <w:tab w:val="left" w:pos="1915"/>
          <w:tab w:val="left" w:pos="2405"/>
          <w:tab w:val="left" w:pos="2880"/>
          <w:tab w:val="left" w:pos="3355"/>
        </w:tabs>
      </w:pPr>
      <w:r>
        <w:t>En su noveno período de sesiones el Comité dec</w:t>
      </w:r>
      <w:r>
        <w:t>i</w:t>
      </w:r>
      <w:r>
        <w:t>dió que antes de cada período de sesiones se reuniera un grupo de trabajo durante cinco días para preparar una lista de cuestiones y preguntas relativas a los i</w:t>
      </w:r>
      <w:r>
        <w:t>n</w:t>
      </w:r>
      <w:r>
        <w:t>formes periódicos que habría de examinar el Comité en su siguiente período de sesiones. El Grupo de Trabajo anterior al 25° período de sesiones del Comité se re</w:t>
      </w:r>
      <w:r>
        <w:t>u</w:t>
      </w:r>
      <w:r>
        <w:t>nió del 5 al 9 de febrero de 2001.</w:t>
      </w:r>
    </w:p>
    <w:p w:rsidR="00000000" w:rsidRDefault="00000000">
      <w:pPr>
        <w:pStyle w:val="DualTxt"/>
        <w:numPr>
          <w:ilvl w:val="0"/>
          <w:numId w:val="143"/>
        </w:numPr>
        <w:tabs>
          <w:tab w:val="clear" w:pos="480"/>
          <w:tab w:val="clear" w:pos="960"/>
          <w:tab w:val="left" w:pos="475"/>
          <w:tab w:val="left" w:pos="965"/>
          <w:tab w:val="left" w:pos="1440"/>
          <w:tab w:val="left" w:pos="1915"/>
          <w:tab w:val="left" w:pos="2405"/>
          <w:tab w:val="left" w:pos="2880"/>
          <w:tab w:val="left" w:pos="3355"/>
        </w:tabs>
      </w:pPr>
      <w:r>
        <w:t>Participaron en el grupo de trabajo los siguientes miembros, en representación de distintos grupos regi</w:t>
      </w:r>
      <w:r>
        <w:t>o</w:t>
      </w:r>
      <w:r>
        <w:t>nales: Charlotte Abaka (África), Savitri Goonesekere (Asia), Ivanka Corti (Europa) y Rosalyn Hazelle (Am</w:t>
      </w:r>
      <w:r>
        <w:t>é</w:t>
      </w:r>
      <w:r>
        <w:t>r</w:t>
      </w:r>
      <w:r>
        <w:t>i</w:t>
      </w:r>
      <w:r>
        <w:t>ca Latina y el Caribe).</w:t>
      </w:r>
    </w:p>
    <w:p w:rsidR="00000000" w:rsidRDefault="00000000">
      <w:pPr>
        <w:pStyle w:val="DualTxt"/>
        <w:numPr>
          <w:ilvl w:val="0"/>
          <w:numId w:val="143"/>
        </w:numPr>
        <w:tabs>
          <w:tab w:val="clear" w:pos="480"/>
          <w:tab w:val="clear" w:pos="960"/>
          <w:tab w:val="left" w:pos="475"/>
          <w:tab w:val="left" w:pos="965"/>
          <w:tab w:val="left" w:pos="1440"/>
          <w:tab w:val="left" w:pos="1915"/>
          <w:tab w:val="left" w:pos="2405"/>
          <w:tab w:val="left" w:pos="2880"/>
          <w:tab w:val="left" w:pos="3355"/>
        </w:tabs>
      </w:pPr>
      <w:r>
        <w:t>El Grupo de Trabajo preparó listas de cuestiones y preguntas relativas a los informes de cinco Estados partes, a saber: Guyana, Nicaragua, los Países Bajos, Su</w:t>
      </w:r>
      <w:r>
        <w:t>e</w:t>
      </w:r>
      <w:r>
        <w:t>cia y Viet Nam.</w:t>
      </w:r>
    </w:p>
    <w:p w:rsidR="00000000" w:rsidRDefault="00000000">
      <w:pPr>
        <w:pStyle w:val="DualTxt"/>
        <w:numPr>
          <w:ilvl w:val="0"/>
          <w:numId w:val="143"/>
        </w:numPr>
        <w:tabs>
          <w:tab w:val="clear" w:pos="480"/>
          <w:tab w:val="clear" w:pos="960"/>
          <w:tab w:val="left" w:pos="475"/>
          <w:tab w:val="left" w:pos="965"/>
          <w:tab w:val="left" w:pos="1440"/>
          <w:tab w:val="left" w:pos="1915"/>
          <w:tab w:val="left" w:pos="2405"/>
          <w:tab w:val="left" w:pos="2880"/>
          <w:tab w:val="left" w:pos="3355"/>
        </w:tabs>
      </w:pPr>
      <w:r>
        <w:t>En su 511ª sesión, celebrada el 5 de julio de 2001, la Presidenta del Grupo de Trabajo anterior al período de sesiones, Ivanka Corti, presentó el informe del Gr</w:t>
      </w:r>
      <w:r>
        <w:t>u</w:t>
      </w:r>
      <w:r>
        <w:t>po (CEDAW/PSWG/2001/1/II/CRP.1 y Add.1 a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F.</w:t>
      </w:r>
      <w:r>
        <w:tab/>
        <w:t>Organización de los trabajos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DualTxt"/>
        <w:numPr>
          <w:ilvl w:val="0"/>
          <w:numId w:val="143"/>
        </w:numPr>
        <w:tabs>
          <w:tab w:val="clear" w:pos="480"/>
          <w:tab w:val="clear" w:pos="960"/>
          <w:tab w:val="left" w:pos="475"/>
          <w:tab w:val="left" w:pos="965"/>
          <w:tab w:val="left" w:pos="1440"/>
          <w:tab w:val="left" w:pos="1915"/>
          <w:tab w:val="left" w:pos="2405"/>
          <w:tab w:val="left" w:pos="2880"/>
          <w:tab w:val="left" w:pos="3355"/>
        </w:tabs>
        <w:rPr>
          <w:spacing w:val="2"/>
        </w:rPr>
      </w:pPr>
      <w:r>
        <w:rPr>
          <w:spacing w:val="2"/>
        </w:rPr>
        <w:t>En su 509ª sesión, el Comité decidió examinar las cuestiones relativas a los temas del programa 5, sobre la aplicación del artículo 21 de la Convención, y 6, sobre los medios de agilizar los trabajos del Comité, constitu</w:t>
      </w:r>
      <w:r>
        <w:rPr>
          <w:spacing w:val="2"/>
        </w:rPr>
        <w:t>i</w:t>
      </w:r>
      <w:r>
        <w:rPr>
          <w:spacing w:val="2"/>
        </w:rPr>
        <w:t>do en grupo de trabajo plenario. El Comité decidió ex</w:t>
      </w:r>
      <w:r>
        <w:rPr>
          <w:spacing w:val="2"/>
        </w:rPr>
        <w:t>a</w:t>
      </w:r>
      <w:r>
        <w:rPr>
          <w:spacing w:val="2"/>
        </w:rPr>
        <w:t xml:space="preserve">minar la cuestión de los métodos de trabajo, </w:t>
      </w:r>
      <w:r>
        <w:rPr>
          <w:spacing w:val="2"/>
          <w:highlight w:val="yellow"/>
        </w:rPr>
        <w:t>incluidas las observaciones finales, los métodos de trabajo del grupo de trabajo anterior al período de sesiones y la contribución del Comité al período extraordinario de s</w:t>
      </w:r>
      <w:r>
        <w:rPr>
          <w:spacing w:val="2"/>
          <w:highlight w:val="yellow"/>
        </w:rPr>
        <w:t>e</w:t>
      </w:r>
      <w:r>
        <w:rPr>
          <w:spacing w:val="2"/>
          <w:highlight w:val="yellow"/>
        </w:rPr>
        <w:t>siones de la Asamblea General consagrado a la i</w:t>
      </w:r>
      <w:r>
        <w:rPr>
          <w:spacing w:val="2"/>
          <w:highlight w:val="yellow"/>
        </w:rPr>
        <w:t>n</w:t>
      </w:r>
      <w:r>
        <w:rPr>
          <w:spacing w:val="2"/>
          <w:highlight w:val="yellow"/>
        </w:rPr>
        <w:t>fancia.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rPr>
          <w:lang w:val="en-US"/>
        </w:rPr>
      </w:pPr>
      <w:r>
        <w:tab/>
        <w:t>Cap</w:t>
      </w:r>
      <w:r>
        <w:rPr>
          <w:lang w:val="en-US"/>
        </w:rPr>
        <w:t>ítulo III</w:t>
      </w: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en-US"/>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Informe de la Presidenta sobre las actividades realizadas entre los períodos de sesiones 24° y 25° del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DualTxt"/>
        <w:numPr>
          <w:ilvl w:val="0"/>
          <w:numId w:val="143"/>
        </w:numPr>
        <w:tabs>
          <w:tab w:val="clear" w:pos="480"/>
          <w:tab w:val="clear" w:pos="960"/>
          <w:tab w:val="left" w:pos="475"/>
          <w:tab w:val="left" w:pos="965"/>
          <w:tab w:val="left" w:pos="1440"/>
          <w:tab w:val="left" w:pos="1915"/>
          <w:tab w:val="left" w:pos="2405"/>
          <w:tab w:val="left" w:pos="2880"/>
          <w:tab w:val="left" w:pos="3355"/>
        </w:tabs>
        <w:rPr>
          <w:w w:val="102"/>
        </w:rPr>
      </w:pPr>
      <w:r>
        <w:rPr>
          <w:w w:val="102"/>
        </w:rPr>
        <w:t>En la 509ª sesión, la Presidenta, Charlotte Abaka, informó al Comité de que ella y otra integrante del C</w:t>
      </w:r>
      <w:r>
        <w:rPr>
          <w:w w:val="102"/>
        </w:rPr>
        <w:t>o</w:t>
      </w:r>
      <w:r>
        <w:rPr>
          <w:w w:val="102"/>
        </w:rPr>
        <w:t>mité, Ivanka Corti, se habían reunido con el Secretario General el 9 de febrero de 2001 para examinar a quién correspondía la responsabilidad de aplicar la Conve</w:t>
      </w:r>
      <w:r>
        <w:rPr>
          <w:w w:val="102"/>
        </w:rPr>
        <w:t>n</w:t>
      </w:r>
      <w:r>
        <w:rPr>
          <w:w w:val="102"/>
        </w:rPr>
        <w:t>ción sobre la eliminación de todas las formas de di</w:t>
      </w:r>
      <w:r>
        <w:rPr>
          <w:w w:val="102"/>
        </w:rPr>
        <w:t>s</w:t>
      </w:r>
      <w:r>
        <w:rPr>
          <w:w w:val="102"/>
        </w:rPr>
        <w:t>criminación contra la mujer. Durante la reunión, había destacado la importancia de los estrechos vínculos entre el Comité y la Comisión de la Condición Jurídica y S</w:t>
      </w:r>
      <w:r>
        <w:rPr>
          <w:w w:val="102"/>
        </w:rPr>
        <w:t>o</w:t>
      </w:r>
      <w:r>
        <w:rPr>
          <w:w w:val="102"/>
        </w:rPr>
        <w:t>cial de la Mujer y del hecho de que la Plataforma de Acción de Beijing hubiera determinado que la División para el Adelanto de la Mujer era la entidad de la S</w:t>
      </w:r>
      <w:r>
        <w:rPr>
          <w:w w:val="102"/>
        </w:rPr>
        <w:t>e</w:t>
      </w:r>
      <w:r>
        <w:rPr>
          <w:w w:val="102"/>
        </w:rPr>
        <w:t>cretaría responsable de prestar servicios al Comité. La Presidenta informó al Comité de que el Secretario G</w:t>
      </w:r>
      <w:r>
        <w:rPr>
          <w:w w:val="102"/>
        </w:rPr>
        <w:t>e</w:t>
      </w:r>
      <w:r>
        <w:rPr>
          <w:w w:val="102"/>
        </w:rPr>
        <w:t>neral le había comunicado por escrito posteriormente su decisión de que el Comité permaneciera en Nueva York y siguiera contando con los servicios de la División p</w:t>
      </w:r>
      <w:r>
        <w:rPr>
          <w:w w:val="102"/>
        </w:rPr>
        <w:t>a</w:t>
      </w:r>
      <w:r>
        <w:rPr>
          <w:w w:val="102"/>
        </w:rPr>
        <w:t>ra el Adelanto de la Mujer. Observando que en la carta del Secretario General se señalaba que su decisión se basaba en las opiniones de los sectores más afectados, incluidos los Estados Miembros y el Comité, además de la Plataforma de Acción de Beijing, la Presidenta e</w:t>
      </w:r>
      <w:r>
        <w:rPr>
          <w:w w:val="102"/>
        </w:rPr>
        <w:t>x</w:t>
      </w:r>
      <w:r>
        <w:rPr>
          <w:w w:val="102"/>
        </w:rPr>
        <w:t>presó su satisfacción ante la decisión adopt</w:t>
      </w:r>
      <w:r>
        <w:rPr>
          <w:w w:val="102"/>
        </w:rPr>
        <w:t>a</w:t>
      </w:r>
      <w:r>
        <w:rPr>
          <w:w w:val="102"/>
        </w:rPr>
        <w:t>da.</w:t>
      </w:r>
    </w:p>
    <w:p w:rsidR="00000000" w:rsidRDefault="00000000">
      <w:pPr>
        <w:pStyle w:val="DualTxt"/>
        <w:numPr>
          <w:ilvl w:val="0"/>
          <w:numId w:val="143"/>
        </w:numPr>
        <w:tabs>
          <w:tab w:val="clear" w:pos="480"/>
          <w:tab w:val="clear" w:pos="960"/>
          <w:tab w:val="left" w:pos="475"/>
          <w:tab w:val="left" w:pos="965"/>
          <w:tab w:val="left" w:pos="1440"/>
          <w:tab w:val="left" w:pos="1915"/>
          <w:tab w:val="left" w:pos="2405"/>
          <w:tab w:val="left" w:pos="2880"/>
          <w:tab w:val="left" w:pos="3355"/>
        </w:tabs>
      </w:pPr>
      <w:r>
        <w:t>La Presidenta informó al Comité de su asistencia a los períodos de sesiones de la Comisión de la Cond</w:t>
      </w:r>
      <w:r>
        <w:t>i</w:t>
      </w:r>
      <w:r>
        <w:t>ción Jurídica y Social de la Mujer y de la Comisión de Derechos Humanos, y se refirió a un debate de mesa redonda organizado por las organizaciones no gube</w:t>
      </w:r>
      <w:r>
        <w:t>r</w:t>
      </w:r>
      <w:r>
        <w:t>namentales como complemento del período de sesiones de la Comisión de Derechos Humanos. Informó además al Comité de que había asistido a una reunión regional de representantes de mecanismos nacionales de África y determinados mecanismos nacionales de otras regi</w:t>
      </w:r>
      <w:r>
        <w:t>o</w:t>
      </w:r>
      <w:r>
        <w:t>nes, celebrada en Addis Abeba del 16 al 18 de abril de 2001. Había llegado directamente desde Ginebra, donde había participado en la reunión entre presidentes de órganos de derechos humanos y en una reunión de mesa redonda sobre la salud reproductiva y sexual de la mujer organizada por el Fondo de Población de las N</w:t>
      </w:r>
      <w:r>
        <w:t>a</w:t>
      </w:r>
      <w:r>
        <w:t>ciones Unidas y la Oficina del Alto Comisionado de las Naciones Unidas para los Derechos Humanos. También indicó que en el transcurso del período de sesiones i</w:t>
      </w:r>
      <w:r>
        <w:t>n</w:t>
      </w:r>
      <w:r>
        <w:t>formaría a los miembros del Comité de las decisiones adoptadas en esas reuniones.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Capítulo IV</w:t>
      </w: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rPr>
          <w:highlight w:val="yellow"/>
        </w:rPr>
      </w:pPr>
      <w:r>
        <w:rPr>
          <w:highlight w:val="yellow"/>
        </w:rPr>
        <w:tab/>
      </w:r>
      <w:r>
        <w:rPr>
          <w:highlight w:val="yellow"/>
        </w:rPr>
        <w:tab/>
        <w:t>Examen de los informes presentados por los Estados partes con arreglo al artículo 18 de la Conve</w:t>
      </w:r>
      <w:r>
        <w:rPr>
          <w:highlight w:val="yellow"/>
        </w:rPr>
        <w:t>n</w:t>
      </w:r>
      <w:r>
        <w:rPr>
          <w:highlight w:val="yellow"/>
        </w:rPr>
        <w:t>ción</w:t>
      </w:r>
    </w:p>
    <w:p w:rsidR="00000000" w:rsidRDefault="00000000">
      <w:pPr>
        <w:pStyle w:val="DualTxt"/>
        <w:spacing w:after="0" w:line="120" w:lineRule="exact"/>
        <w:rPr>
          <w:sz w:val="10"/>
          <w:highlight w:val="yellow"/>
        </w:rPr>
      </w:pPr>
    </w:p>
    <w:p w:rsidR="00000000" w:rsidRDefault="00000000">
      <w:pPr>
        <w:pStyle w:val="DualTxt"/>
        <w:spacing w:after="0" w:line="120" w:lineRule="exact"/>
        <w:rPr>
          <w:sz w:val="10"/>
          <w:highlight w:val="yellow"/>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rPr>
          <w:highlight w:val="yellow"/>
        </w:rPr>
      </w:pPr>
      <w:r>
        <w:rPr>
          <w:highlight w:val="yellow"/>
        </w:rPr>
        <w:tab/>
        <w:t>A.</w:t>
      </w:r>
      <w:r>
        <w:rPr>
          <w:highlight w:val="yellow"/>
        </w:rPr>
        <w:tab/>
        <w:t>Introducción</w:t>
      </w:r>
    </w:p>
    <w:p w:rsidR="00000000" w:rsidRDefault="00000000">
      <w:pPr>
        <w:pStyle w:val="DualTxt"/>
        <w:spacing w:after="0" w:line="120" w:lineRule="exact"/>
        <w:rPr>
          <w:sz w:val="10"/>
          <w:highlight w:val="yellow"/>
        </w:rPr>
      </w:pPr>
    </w:p>
    <w:p w:rsidR="00000000" w:rsidRDefault="00000000">
      <w:pPr>
        <w:pStyle w:val="DualTxt"/>
        <w:spacing w:after="0" w:line="120" w:lineRule="exact"/>
        <w:rPr>
          <w:sz w:val="10"/>
          <w:highlight w:val="yellow"/>
        </w:rPr>
      </w:pPr>
    </w:p>
    <w:p w:rsidR="00000000" w:rsidRDefault="00000000">
      <w:pPr>
        <w:pStyle w:val="DualTxt"/>
        <w:numPr>
          <w:ilvl w:val="0"/>
          <w:numId w:val="143"/>
        </w:numPr>
        <w:tabs>
          <w:tab w:val="clear" w:pos="480"/>
          <w:tab w:val="clear" w:pos="960"/>
          <w:tab w:val="left" w:pos="475"/>
          <w:tab w:val="left" w:pos="965"/>
          <w:tab w:val="left" w:pos="1440"/>
          <w:tab w:val="left" w:pos="1915"/>
          <w:tab w:val="left" w:pos="2405"/>
          <w:tab w:val="left" w:pos="2880"/>
          <w:tab w:val="left" w:pos="3355"/>
        </w:tabs>
        <w:rPr>
          <w:sz w:val="24"/>
        </w:rPr>
      </w:pPr>
      <w:r>
        <w:rPr>
          <w:highlight w:val="yellow"/>
        </w:rPr>
        <w:t>En su 25° período de sesiones, el Comité examinó los informes de ocho Estados partes presentados con arreglo al artículo 18 de la Convención: el informe in</w:t>
      </w:r>
      <w:r>
        <w:rPr>
          <w:highlight w:val="yellow"/>
        </w:rPr>
        <w:t>i</w:t>
      </w:r>
      <w:r>
        <w:rPr>
          <w:highlight w:val="yellow"/>
        </w:rPr>
        <w:t>cial de un Estado parte; el informe inicial y el segu</w:t>
      </w:r>
      <w:r>
        <w:rPr>
          <w:highlight w:val="yellow"/>
        </w:rPr>
        <w:t>n</w:t>
      </w:r>
      <w:r>
        <w:rPr>
          <w:highlight w:val="yellow"/>
        </w:rPr>
        <w:t>do informe periódico de un Estado parte; los informes periódicos inicial, segundo y tercero combinados de un Estado parte; el segundo informe periódico de un Est</w:t>
      </w:r>
      <w:r>
        <w:rPr>
          <w:highlight w:val="yellow"/>
        </w:rPr>
        <w:t>a</w:t>
      </w:r>
      <w:r>
        <w:rPr>
          <w:highlight w:val="yellow"/>
        </w:rPr>
        <w:t>do parte; los informes periódicos segundo y tercero de un Estado parte; el segundo informe periódico y los i</w:t>
      </w:r>
      <w:r>
        <w:rPr>
          <w:highlight w:val="yellow"/>
        </w:rPr>
        <w:t>n</w:t>
      </w:r>
      <w:r>
        <w:rPr>
          <w:highlight w:val="yellow"/>
        </w:rPr>
        <w:t>formes periódicos tercero y cuarto combinados de un Estado parte y los informes periódicos cuarto y quinto de dos Estados partes.</w:t>
      </w:r>
    </w:p>
    <w:p w:rsidR="00000000" w:rsidRDefault="00000000">
      <w:pPr>
        <w:pStyle w:val="DualTxt"/>
        <w:numPr>
          <w:ilvl w:val="0"/>
          <w:numId w:val="144"/>
        </w:numPr>
        <w:tabs>
          <w:tab w:val="clear" w:pos="480"/>
          <w:tab w:val="clear" w:pos="960"/>
          <w:tab w:val="left" w:pos="475"/>
          <w:tab w:val="left" w:pos="965"/>
          <w:tab w:val="left" w:pos="1440"/>
          <w:tab w:val="left" w:pos="1915"/>
          <w:tab w:val="left" w:pos="2405"/>
          <w:tab w:val="left" w:pos="2880"/>
          <w:tab w:val="left" w:pos="3355"/>
        </w:tabs>
      </w:pPr>
      <w:r>
        <w:rPr>
          <w:highlight w:val="yellow"/>
        </w:rPr>
        <w:t>El Comité preparó observaciones finales sobre c</w:t>
      </w:r>
      <w:r>
        <w:rPr>
          <w:highlight w:val="yellow"/>
        </w:rPr>
        <w:t>a</w:t>
      </w:r>
      <w:r>
        <w:rPr>
          <w:highlight w:val="yellow"/>
        </w:rPr>
        <w:t>da uno de los informes examinados. A continuación f</w:t>
      </w:r>
      <w:r>
        <w:rPr>
          <w:highlight w:val="yellow"/>
        </w:rPr>
        <w:t>i</w:t>
      </w:r>
      <w:r>
        <w:rPr>
          <w:highlight w:val="yellow"/>
        </w:rPr>
        <w:t>guran las observaciones finales del Comité y un res</w:t>
      </w:r>
      <w:r>
        <w:rPr>
          <w:highlight w:val="yellow"/>
        </w:rPr>
        <w:t>u</w:t>
      </w:r>
      <w:r>
        <w:rPr>
          <w:highlight w:val="yellow"/>
        </w:rPr>
        <w:t>men de las presentaciones introductorias de los repr</w:t>
      </w:r>
      <w:r>
        <w:rPr>
          <w:highlight w:val="yellow"/>
        </w:rPr>
        <w:t>e</w:t>
      </w:r>
      <w:r>
        <w:rPr>
          <w:highlight w:val="yellow"/>
        </w:rPr>
        <w:t>sentantes de los Est</w:t>
      </w:r>
      <w:r>
        <w:rPr>
          <w:highlight w:val="yellow"/>
        </w:rPr>
        <w:t>a</w:t>
      </w:r>
      <w:r>
        <w:rPr>
          <w:highlight w:val="yellow"/>
        </w:rPr>
        <w:t>dos partes.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Examen de los informes de los Estados partes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Informes iniciales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Andorra</w:t>
      </w:r>
    </w:p>
    <w:p w:rsidR="00000000" w:rsidRDefault="00000000">
      <w:pPr>
        <w:pStyle w:val="DualTxt"/>
        <w:spacing w:after="0" w:line="120" w:lineRule="exact"/>
        <w:rPr>
          <w:sz w:val="10"/>
        </w:rPr>
      </w:pPr>
    </w:p>
    <w:p w:rsidR="00000000" w:rsidRDefault="00000000">
      <w:pPr>
        <w:pStyle w:val="DualTxt"/>
        <w:numPr>
          <w:ilvl w:val="0"/>
          <w:numId w:val="145"/>
        </w:numPr>
      </w:pPr>
      <w:r>
        <w:t>El Comité examinó el informe inicial de Andorra (CEDAW/C/AND/1) en sus sesiones 516ª, 517ª y 523ª, celebradas los días 10 y 13 de julio de 2001 (véase CEDAW/C/SR.516, 517 y 523).</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Presentación por el Estado parte</w:t>
      </w:r>
    </w:p>
    <w:p w:rsidR="00000000" w:rsidRDefault="00000000">
      <w:pPr>
        <w:pStyle w:val="DualTxt"/>
        <w:spacing w:after="0" w:line="120" w:lineRule="exact"/>
        <w:rPr>
          <w:sz w:val="10"/>
        </w:rPr>
      </w:pP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Al presentar el informe, el representante de A</w:t>
      </w:r>
      <w:r>
        <w:t>n</w:t>
      </w:r>
      <w:r>
        <w:t>dorra informó al Comité de que el 9 de julio de 2001 Andorra había firmado el Protocolo Facultativo de la Convención. Reafirmó el compromiso de su país con la Co</w:t>
      </w:r>
      <w:r>
        <w:t>n</w:t>
      </w:r>
      <w:r>
        <w:t>vención, a la que se había adherido en 1997.</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El representante señaló que la transformación de la situación de la mujer en los últimos 50 años en A</w:t>
      </w:r>
      <w:r>
        <w:t>n</w:t>
      </w:r>
      <w:r>
        <w:t>dorra había constituido una revolución pacífica. Con anterioridad la mujer sólo había tenido la facultad de adoptar decisiones dentro de la familia y tradiciona</w:t>
      </w:r>
      <w:r>
        <w:t>l</w:t>
      </w:r>
      <w:r>
        <w:t>mente se la excluía de la vida política. Andorra había aceptado varios tratados internacionales y se había comprometido a aplicar la Plataforma de Acción de Beijing y el documento final del vigésimo tercer perí</w:t>
      </w:r>
      <w:r>
        <w:t>o</w:t>
      </w:r>
      <w:r>
        <w:t>do extraordinario de sesiones de la Asamblea General, titulado “La mujer en el año 2000: igualdad entre los géneros, desarrollo y paz para el siglo XXI”, que con</w:t>
      </w:r>
      <w:r>
        <w:t>s</w:t>
      </w:r>
      <w:r>
        <w:t>tituía el marco para la plena participación de la mujer y la integración de una dimensión de género en la adm</w:t>
      </w:r>
      <w:r>
        <w:t>i</w:t>
      </w:r>
      <w:r>
        <w:t>nistración del Principado.</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Se había creado la Secretaría de Estado de Asu</w:t>
      </w:r>
      <w:r>
        <w:t>n</w:t>
      </w:r>
      <w:r>
        <w:t xml:space="preserve">tos de la Familia a fin de encarar las consecuencias de </w:t>
      </w:r>
      <w:r>
        <w:rPr>
          <w:spacing w:val="0"/>
        </w:rPr>
        <w:t>las presiones sociales, políticas, culturales y económicas</w:t>
      </w:r>
      <w:r>
        <w:t xml:space="preserve"> en la familia y, en particular, sus repercusiones en la mujer. La Constitución de 1993 prohíbe la discrimin</w:t>
      </w:r>
      <w:r>
        <w:t>a</w:t>
      </w:r>
      <w:r>
        <w:t>ción contra la mujer en el goce de los derechos civiles y políticos y no hay discriminación contra la mujer en la legislación de Andorra. Sin embargo, la Ley de M</w:t>
      </w:r>
      <w:r>
        <w:t>a</w:t>
      </w:r>
      <w:r>
        <w:t>trimonio exige a las mujeres viudas y divorciadas esp</w:t>
      </w:r>
      <w:r>
        <w:t>e</w:t>
      </w:r>
      <w:r>
        <w:t>rar 300 días antes de volver a casarse, a fin de proteger los derechos sucesorios de los descendientes. Esta di</w:t>
      </w:r>
      <w:r>
        <w:t>s</w:t>
      </w:r>
      <w:r>
        <w:t>posición estaba siendo estudiada por el Gobierno, con miras a su revisión.</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El representante indicó que, desde que la mujer había ganado el derecho al voto en 1970 y a ser elegida en 1973, había habido un aumento importante en el número de mujeres que ocupaban cargos directivos en el Gobierno, el Parlamento y la administración l</w:t>
      </w:r>
      <w:r>
        <w:t>o</w:t>
      </w:r>
      <w:r>
        <w:t>cal. Tres de los nueve ministros del Gobierno eran mujeres, mientras que en las elecciones municipales más recientes, celebradas en diciembre de 1999, tres mujeres habían sido elegidas alcaldesas y 12 consejeras com</w:t>
      </w:r>
      <w:r>
        <w:t>u</w:t>
      </w:r>
      <w:r>
        <w:t>nales.</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La función que desempeñaba la mujer en la vida económica era también considerable, pero si bien la l</w:t>
      </w:r>
      <w:r>
        <w:t>e</w:t>
      </w:r>
      <w:r>
        <w:t>gislación estableció la igualdad entre hombres y mu-jeres en el empleo, todavía existían desigualdades, en particular porque la mujer se concentraba en sectores como la educación, la atención de la salud, la admini</w:t>
      </w:r>
      <w:r>
        <w:t>s</w:t>
      </w:r>
      <w:r>
        <w:t>tración y el turismo. Se había introducido legislación para impedir el despido con fundamento en el embar</w:t>
      </w:r>
      <w:r>
        <w:t>a</w:t>
      </w:r>
      <w:r>
        <w:t>zo, crear la licencia por maternidad y permitir a la m</w:t>
      </w:r>
      <w:r>
        <w:t>u</w:t>
      </w:r>
      <w:r>
        <w:t>jer reconciliar las obligaciones laborales y familiares. En Andorra el hombre y la mujer tienen igualdad de acceso a la educación y en la educación terciaria hay más mujeres que hombres. Sin embargo, las mujeres predominan en las humanidades y los hombres en las esferas de estudios técnicos.</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La Constitución otorga amplios derechos a la s</w:t>
      </w:r>
      <w:r>
        <w:t>a</w:t>
      </w:r>
      <w:r>
        <w:t>lud y a la seguridad social. Las mujeres están bien i</w:t>
      </w:r>
      <w:r>
        <w:t>n</w:t>
      </w:r>
      <w:r>
        <w:t>form</w:t>
      </w:r>
      <w:r>
        <w:t>a</w:t>
      </w:r>
      <w:r>
        <w:t>das en lo que respecta a los métodos anticon-ceptivos, pero el Código Penal prohíbe el aborto. De</w:t>
      </w:r>
      <w:r>
        <w:t>s</w:t>
      </w:r>
      <w:r>
        <w:t xml:space="preserve">de 1993, el Gobierno ha puesto en práctica programas de información y asesoramiento en relación con el VIH/SIDA. </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El representante indicó que la Constitución afi</w:t>
      </w:r>
      <w:r>
        <w:t>r</w:t>
      </w:r>
      <w:r>
        <w:t>maba el derecho de todas las personas a la integridad física y, en consecuencia, garantizaba la protección contra la violencia basada en el género. Los datos re</w:t>
      </w:r>
      <w:r>
        <w:t>u</w:t>
      </w:r>
      <w:r>
        <w:t xml:space="preserve">nidos en los últimos cuatro años indicaban que los </w:t>
      </w:r>
      <w:r>
        <w:rPr>
          <w:spacing w:val="0"/>
        </w:rPr>
        <w:t>inc</w:t>
      </w:r>
      <w:r>
        <w:rPr>
          <w:spacing w:val="0"/>
        </w:rPr>
        <w:t>i</w:t>
      </w:r>
      <w:r>
        <w:rPr>
          <w:spacing w:val="0"/>
        </w:rPr>
        <w:t>dentes de malos tratos y agresión contra la mujer habían</w:t>
      </w:r>
      <w:r>
        <w:t xml:space="preserve"> aumentado todos los años. El Gobierno estaba exam</w:t>
      </w:r>
      <w:r>
        <w:t>i</w:t>
      </w:r>
      <w:r>
        <w:t>nando la posibilidad de introducir medidas, incluso la creación de refugios para la mujer, a fin de encarar ese problema. Ha firmado un Protocolo de Acción, prep</w:t>
      </w:r>
      <w:r>
        <w:t>a</w:t>
      </w:r>
      <w:r>
        <w:t>rado por el Ministerio de Salud y Bienestar Social, que contiene directrices para mejorar la respuesta de los sectores sociales, de la salud, el mantenimiento del o</w:t>
      </w:r>
      <w:r>
        <w:t>r</w:t>
      </w:r>
      <w:r>
        <w:t>den y judicial frente a las víctimas. Se ha establecido una línea telefónica permanente y el Gobierno está p</w:t>
      </w:r>
      <w:r>
        <w:t>o</w:t>
      </w:r>
      <w:r>
        <w:t>niendo en práctica las medidas convenidas en la Plat</w:t>
      </w:r>
      <w:r>
        <w:t>a</w:t>
      </w:r>
      <w:r>
        <w:t>forma de Acción de Beijing a fin de encarar la viole</w:t>
      </w:r>
      <w:r>
        <w:t>n</w:t>
      </w:r>
      <w:r>
        <w:t>cia contra la mujer.</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Observaciones finales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DualTxt"/>
        <w:spacing w:after="0" w:line="120" w:lineRule="exact"/>
        <w:rPr>
          <w:sz w:val="10"/>
        </w:rPr>
      </w:pP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rPr>
          <w:w w:val="101"/>
        </w:rPr>
      </w:pPr>
      <w:r>
        <w:rPr>
          <w:w w:val="101"/>
        </w:rPr>
        <w:t>El Comité expresa su agradecimiento al Gobierno de Andorra por haber presentado su informe inicial poco después de su adhesión a la Convención en 1997. Ta</w:t>
      </w:r>
      <w:r>
        <w:rPr>
          <w:w w:val="101"/>
        </w:rPr>
        <w:t>m</w:t>
      </w:r>
      <w:r>
        <w:rPr>
          <w:w w:val="101"/>
        </w:rPr>
        <w:t>bién encomia al Estado parte por su franca y sustantiva presentación oral, en que se describen las novedades ocurridas desde la presentación del informe en julio de 2000, se aclara más la situación actual de la mujer en Andorra y se brinda información adicional sobre la s</w:t>
      </w:r>
      <w:r>
        <w:rPr>
          <w:w w:val="101"/>
        </w:rPr>
        <w:t>i</w:t>
      </w:r>
      <w:r>
        <w:rPr>
          <w:w w:val="101"/>
        </w:rPr>
        <w:t>tuación actual de la aplicación de la Co</w:t>
      </w:r>
      <w:r>
        <w:rPr>
          <w:w w:val="101"/>
        </w:rPr>
        <w:t>n</w:t>
      </w:r>
      <w:r>
        <w:rPr>
          <w:w w:val="101"/>
        </w:rPr>
        <w:t>vención.</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El Comité encomia al Estado parte por haber e</w:t>
      </w:r>
      <w:r>
        <w:t>n</w:t>
      </w:r>
      <w:r>
        <w:t>viado una delegación numerosa y de alto nivel, encab</w:t>
      </w:r>
      <w:r>
        <w:t>e</w:t>
      </w:r>
      <w:r>
        <w:t>zada por el Secretario de Estado de Asuntos de la F</w:t>
      </w:r>
      <w:r>
        <w:t>a</w:t>
      </w:r>
      <w:r>
        <w:t>milia, que presentó el informe. El Comité agradece el diálogo franco y abierto celebrado entre la delegación y los miembros del Comité.</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El Comité encomia al Estado parte por su volu</w:t>
      </w:r>
      <w:r>
        <w:t>n</w:t>
      </w:r>
      <w:r>
        <w:t>tad política y los esfuerzos hechos para velar por la aplic</w:t>
      </w:r>
      <w:r>
        <w:t>a</w:t>
      </w:r>
      <w:r>
        <w:t>ción de la Convención y otros instrumentos inter-nacionales de derechos humanos. También encomia al Gobierno por sus esfuerzos por cumplir las recomend</w:t>
      </w:r>
      <w:r>
        <w:t>a</w:t>
      </w:r>
      <w:r>
        <w:t>ciones de la Declaración y la Plataforma de Acción de Beijing y su intención declarada de integrar los result</w:t>
      </w:r>
      <w:r>
        <w:t>a</w:t>
      </w:r>
      <w:r>
        <w:t>dos del vigésimo tercer período extraordinario de s</w:t>
      </w:r>
      <w:r>
        <w:t>e</w:t>
      </w:r>
      <w:r>
        <w:t>siones de la Asamblea General en su política nacional relativa a la mujer.</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spacing w:after="0" w:line="120" w:lineRule="exact"/>
        <w:rPr>
          <w:sz w:val="10"/>
        </w:rPr>
      </w:pP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El Comité acoge complacido el hecho de que los tratados relativos a los derechos humanos sean dire</w:t>
      </w:r>
      <w:r>
        <w:t>c</w:t>
      </w:r>
      <w:r>
        <w:t>tamente aplicables en el sistema jurídico nacional y que los elementos concretos de algunos tratados se hayan reflejado en la legislación.</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rPr>
          <w:w w:val="104"/>
        </w:rPr>
      </w:pPr>
      <w:r>
        <w:rPr>
          <w:w w:val="104"/>
        </w:rPr>
        <w:t>El Comité acoge complacido que Andorra se h</w:t>
      </w:r>
      <w:r>
        <w:rPr>
          <w:w w:val="104"/>
        </w:rPr>
        <w:t>a</w:t>
      </w:r>
      <w:r>
        <w:rPr>
          <w:w w:val="104"/>
        </w:rPr>
        <w:t xml:space="preserve">ya adherido sin reservas a la Convención en 1997 y haya firmado en 2001 el Protocolo Facultativo de la Convención. </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El Comité observa con satisfacción que se ha creado la Secretaría de Asuntos de la Familia como mecanismo para encarar las cuestiones relativas a la mujer y velar por la aplicación de la Plataforma de A</w:t>
      </w:r>
      <w:r>
        <w:t>c</w:t>
      </w:r>
      <w:r>
        <w:t>ción de Beijing. Encomia al Gobierno por su compr</w:t>
      </w:r>
      <w:r>
        <w:t>o</w:t>
      </w:r>
      <w:r>
        <w:t>miso de incluir las recomendaciones del Comité en el próximo programa cuadrienal de la Secretaría de Asuntos de la Familia.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a la aplicación de la Convención</w:t>
      </w:r>
    </w:p>
    <w:p w:rsidR="00000000" w:rsidRDefault="00000000">
      <w:pPr>
        <w:pStyle w:val="DualTxt"/>
        <w:spacing w:after="0" w:line="120" w:lineRule="exact"/>
        <w:rPr>
          <w:sz w:val="10"/>
        </w:rPr>
      </w:pP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El Comité observa que no existen factores ni dif</w:t>
      </w:r>
      <w:r>
        <w:t>i</w:t>
      </w:r>
      <w:r>
        <w:t>cultades importantes que impidan la aplicación efectiva de la Convención en Andorra.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Esferas de especial preocupación y recomendaciones</w:t>
      </w:r>
    </w:p>
    <w:p w:rsidR="00000000" w:rsidRDefault="00000000">
      <w:pPr>
        <w:pStyle w:val="DualTxt"/>
        <w:spacing w:after="0" w:line="120" w:lineRule="exact"/>
        <w:rPr>
          <w:sz w:val="10"/>
        </w:rPr>
      </w:pP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El Comité expresa su preocupación por la persi</w:t>
      </w:r>
      <w:r>
        <w:t>s</w:t>
      </w:r>
      <w:r>
        <w:t>tencia de pautas patriarcales de conducta en Andorra, así como la existencia de estereotipos negativos en r</w:t>
      </w:r>
      <w:r>
        <w:t>e</w:t>
      </w:r>
      <w:r>
        <w:t>lación con las funciones del hombre y la mujer en el hogar, el lugar de trabajo y la sociedad. Preocupa part</w:t>
      </w:r>
      <w:r>
        <w:t>i</w:t>
      </w:r>
      <w:r>
        <w:t>cularmente al Comité que, si bien la mujer se está int</w:t>
      </w:r>
      <w:r>
        <w:t>e</w:t>
      </w:r>
      <w:r>
        <w:t>grando rápidamente al mundo del trabajo remunerado, los hombres no participan en las tareas parentales y domésticas a un ritmo compar</w:t>
      </w:r>
      <w:r>
        <w:t>a</w:t>
      </w:r>
      <w:r>
        <w:t>ble.</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El Comité recomienda que se dé alta prioridad a las actividades encaminadas a erradicar los estereotipos tradicionales que perpetúan, directa e indirectamente, la discriminación contra la mujer. Alienta al Estado parte a que refuerce las medidas educativas, come</w:t>
      </w:r>
      <w:r>
        <w:t>n</w:t>
      </w:r>
      <w:r>
        <w:t>zando a edad muy temprana, y a que aumente la col</w:t>
      </w:r>
      <w:r>
        <w:t>a</w:t>
      </w:r>
      <w:r>
        <w:t>boración con la sociedad de la sociedad civil, los m</w:t>
      </w:r>
      <w:r>
        <w:t>e</w:t>
      </w:r>
      <w:r>
        <w:t>dios de difusión y el sector privado a fin de lograr un mayor equilibrio en las funciones y las obligaciones de hombres y mujeres, en particular en lo relativo a que se compartan las obligaciones familiares.</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Al tiempo que tiene en consideración que la s</w:t>
      </w:r>
      <w:r>
        <w:t>o</w:t>
      </w:r>
      <w:r>
        <w:t>ciedad de Andorra está experimentando importantes cambios económicos, sociales, culturales y demográfi-cos, el Comité alienta al Gobierno a que tenga en cuenta una perspectiva de género en la elaboración de los progr</w:t>
      </w:r>
      <w:r>
        <w:t>a</w:t>
      </w:r>
      <w:r>
        <w:t>mas y las políticas futuras.</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Al tiempo que celebra el compromiso del Estado parte de reunir datos desglosados por sexo, el Comité expresa su preocupación por el hecho de que en el i</w:t>
      </w:r>
      <w:r>
        <w:t>n</w:t>
      </w:r>
      <w:r>
        <w:t>forme y en las respuestas a las preguntas formuladas por el Comité no haya habido información estadística desglosada por sexo en las esferas de incumbencia de la Convención.</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El Comité insta al Gobierno a que reúna datos desglosados por sexo a fin de contar con información sobre la situación de la mujer en las esferas de incu</w:t>
      </w:r>
      <w:r>
        <w:t>m</w:t>
      </w:r>
      <w:r>
        <w:t>bencia de la Convención y sobre los progresos hechos en su aplicación. Esa información constituirá el fund</w:t>
      </w:r>
      <w:r>
        <w:t>a</w:t>
      </w:r>
      <w:r>
        <w:t>mento de la elaboración de políticas y programas ad</w:t>
      </w:r>
      <w:r>
        <w:t>e</w:t>
      </w:r>
      <w:r>
        <w:t>cuados a fin de acelerar el logro de la igualdad.</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Preocupa al Comité la situación de las mujeres migrantes, en particular aquellas que trabajan en el sector del turismo.</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El Comité insta al Estado parte a que en su pr</w:t>
      </w:r>
      <w:r>
        <w:t>ó</w:t>
      </w:r>
      <w:r>
        <w:t>ximo informe brinde detalles plenos sobre la situación de las mujeres migrantes y la manera en que las muje-res que trabajan en el sector del turismo disfrutan de los derechos establecidos por la Convención.</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El Comité expresa su preocupación por la situ</w:t>
      </w:r>
      <w:r>
        <w:t>a</w:t>
      </w:r>
      <w:r>
        <w:t>ción de la mujer en el empleo. Expresa preocupación asimismo por que el mercado laboral está muy segr</w:t>
      </w:r>
      <w:r>
        <w:t>e</w:t>
      </w:r>
      <w:r>
        <w:t>gado, el gran porcentaje de mujeres en empleos de baja remuneración y en la mano de obra familiar no rem</w:t>
      </w:r>
      <w:r>
        <w:t>u</w:t>
      </w:r>
      <w:r>
        <w:t>nerada. Le preocupa también la gran diferencia entre la remuneración de los hombres y la de las mujeres y que quizás la mujer no reciba igual paga que los varones por trabajo de igual valor, así como que no existan normas concretas que, en general, prohíban la discr</w:t>
      </w:r>
      <w:r>
        <w:t>i</w:t>
      </w:r>
      <w:r>
        <w:t>minación en el empleo y, en particular, garanticen igualdad de remuneración por trabajo de igual v</w:t>
      </w:r>
      <w:r>
        <w:t>a</w:t>
      </w:r>
      <w:r>
        <w:t>lor.</w:t>
      </w:r>
    </w:p>
    <w:p w:rsidR="00000000" w:rsidRDefault="00000000">
      <w:pPr>
        <w:pStyle w:val="DualTxt"/>
        <w:numPr>
          <w:ilvl w:val="0"/>
          <w:numId w:val="145"/>
        </w:numPr>
        <w:tabs>
          <w:tab w:val="clear" w:pos="960"/>
          <w:tab w:val="left" w:pos="965"/>
        </w:tabs>
      </w:pPr>
      <w:r>
        <w:t>El Comité insta al Estado parte a que supervise sistemáticamente la situación de la mujer en relación con el empleo remunerado y el trabajo de la familia no remunerado. Recomienda que el Estado parte considere la introducción de legislación sobre igualdad de opo</w:t>
      </w:r>
      <w:r>
        <w:t>r</w:t>
      </w:r>
      <w:r>
        <w:t>tunidades de empleo así como sobre la adopción de medidas positivas como se prevé en el artículo 4.1 de la Convención. Recomienda también que el Estado parte aproveche las investigaciones y la práctica exi</w:t>
      </w:r>
      <w:r>
        <w:t>s</w:t>
      </w:r>
      <w:r>
        <w:t>tentes en lo relativo a igualdad de paga por igualdad de trabajo y valor comparable a fin de superar las des</w:t>
      </w:r>
      <w:r>
        <w:t>i</w:t>
      </w:r>
      <w:r>
        <w:t>gualdades salari</w:t>
      </w:r>
      <w:r>
        <w:t>a</w:t>
      </w:r>
      <w:r>
        <w:t xml:space="preserve">les. </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El Comité expresa su preocupación por la exi</w:t>
      </w:r>
      <w:r>
        <w:t>s</w:t>
      </w:r>
      <w:r>
        <w:t>tencia de varias leyes discriminatorias, entre ellas la disposición de la Ley de Matrimonio que exige a la mujer viuda o divorciada esperar 300 días antes de vo</w:t>
      </w:r>
      <w:r>
        <w:t>l</w:t>
      </w:r>
      <w:r>
        <w:t>ver a casarse. El Comité insta al Estado parte a que r</w:t>
      </w:r>
      <w:r>
        <w:t>e</w:t>
      </w:r>
      <w:r>
        <w:t>vise la legislación existente, incluida la Ley de Matr</w:t>
      </w:r>
      <w:r>
        <w:t>i</w:t>
      </w:r>
      <w:r>
        <w:t>monio, con el fin de ajustarla a las disposiciones de la Convención.</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Preocupan al Comité las leyes punitivas en rel</w:t>
      </w:r>
      <w:r>
        <w:t>a</w:t>
      </w:r>
      <w:r>
        <w:t>ción con el aborto, que podrían llevar a la mujer a re</w:t>
      </w:r>
      <w:r>
        <w:t>a</w:t>
      </w:r>
      <w:r>
        <w:t>lizar abortos inseguros y clandestinos. El Comité su-giere que el Estado parte estudie la posibilidad de rev</w:t>
      </w:r>
      <w:r>
        <w:t>i</w:t>
      </w:r>
      <w:r>
        <w:t>sar dichas leyes punitivas, de conformidad con la r</w:t>
      </w:r>
      <w:r>
        <w:t>e</w:t>
      </w:r>
      <w:r>
        <w:t>comendación general 24 del Comité</w:t>
      </w:r>
      <w:r>
        <w:rPr>
          <w:vertAlign w:val="superscript"/>
        </w:rPr>
        <w:t>2</w:t>
      </w:r>
      <w:r>
        <w:t>.</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Preocupa al Comité que las actividades del Est</w:t>
      </w:r>
      <w:r>
        <w:t>a</w:t>
      </w:r>
      <w:r>
        <w:t>do parte encaminadas a eliminar la desigualdad de jure entre hombres y mujeres no se hayan equiparado con actividades para eliminar las desigualdades de facto.</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El Comité alienta al Estado parte a que supervise cuidadosamente las repercusiones de la legislación, las políticas y los programas encaminados a eliminar la desigualdad entre hombres y mujeres y a que adopte medidas para velar por que exista igualdad de der</w:t>
      </w:r>
      <w:r>
        <w:t>e</w:t>
      </w:r>
      <w:r>
        <w:t>chos de facto. Pide al Estado parte que incluya en su próximo informe información detallada sobre las repe</w:t>
      </w:r>
      <w:r>
        <w:t>r</w:t>
      </w:r>
      <w:r>
        <w:t>cusiones en la vida de la mujer de la legislación, las políticas y los programas encaminados a aplicar la Convención.</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El Comité insta al Estado parte a que ratifique el Protocolo Facultativo de la Convención lo antes p</w:t>
      </w:r>
      <w:r>
        <w:t>o</w:t>
      </w:r>
      <w:r>
        <w:t>sible y presente su instrumento de aceptación del art</w:t>
      </w:r>
      <w:r>
        <w:t>í</w:t>
      </w:r>
      <w:r>
        <w:t>culo 20, párr. 1, acerca del calendario de reuniones del Comité.</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El Comité pide al Estado parte que, en su próx</w:t>
      </w:r>
      <w:r>
        <w:t>i</w:t>
      </w:r>
      <w:r>
        <w:t>mo informe, responda a las preguntas pendientes fo</w:t>
      </w:r>
      <w:r>
        <w:t>r</w:t>
      </w:r>
      <w:r>
        <w:t>muladas por el Comité en el diálogo constructivo, así como a las cuestiones concretas planteadas en estas o</w:t>
      </w:r>
      <w:r>
        <w:t>b</w:t>
      </w:r>
      <w:r>
        <w:t>servaciones finales. También pide al Estado parte que en su próximo informe brinde una evaluación de las r</w:t>
      </w:r>
      <w:r>
        <w:t>e</w:t>
      </w:r>
      <w:r>
        <w:t>percusiones de las medidas adoptadas para aplicar la Convención.</w:t>
      </w: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El Comité pide que en Andorra se difundan a</w:t>
      </w:r>
      <w:r>
        <w:t>m</w:t>
      </w:r>
      <w:r>
        <w:t>pliamente estas observaciones finales, a fin de que el pueblo de Andorra y, en particular los administradores gubernamentales y los políticos, tomen conciencia de las medidas que habrá que adoptar de jure y de facto para lograr la igualdad de la mujer y de las medidas ulteriores necesarias al respecto. También pide al G</w:t>
      </w:r>
      <w:r>
        <w:t>o</w:t>
      </w:r>
      <w:r>
        <w:t>bierno que siga difundiendo ampliamente, en particular entre organizaciones dedicadas a la mujer y los der</w:t>
      </w:r>
      <w:r>
        <w:t>e</w:t>
      </w:r>
      <w:r>
        <w:t>chos humanos, la Convención y su Protocolo Facultat</w:t>
      </w:r>
      <w:r>
        <w:t>i</w:t>
      </w:r>
      <w:r>
        <w:t>vo, las recomendaciones generales del Comité, la D</w:t>
      </w:r>
      <w:r>
        <w:t>e</w:t>
      </w:r>
      <w:r>
        <w:t>claración y Plataforma de Acción de Beijing</w:t>
      </w:r>
      <w:r>
        <w:rPr>
          <w:vertAlign w:val="superscript"/>
        </w:rPr>
        <w:t>3</w:t>
      </w:r>
      <w:r>
        <w:t xml:space="preserve"> y el d</w:t>
      </w:r>
      <w:r>
        <w:t>o</w:t>
      </w:r>
      <w:r>
        <w:t>cumento final del vigésimo tercer período extraordin</w:t>
      </w:r>
      <w:r>
        <w:t>a</w:t>
      </w:r>
      <w:r>
        <w:t>rio de sesiones de la Asamblea General, titulado “La mujer en el año 2000: igualdad entre los géneros, des</w:t>
      </w:r>
      <w:r>
        <w:t>a</w:t>
      </w:r>
      <w:r>
        <w:t>rrollo y paz para el siglo XXI”</w:t>
      </w:r>
      <w:r>
        <w:rPr>
          <w:vertAlign w:val="superscript"/>
        </w:rPr>
        <w:t>4</w:t>
      </w:r>
      <w:r>
        <w:t>.</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Informe inicial y segundo informe periódico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Singapur</w:t>
      </w:r>
    </w:p>
    <w:p w:rsidR="00000000" w:rsidRDefault="00000000">
      <w:pPr>
        <w:pStyle w:val="DualTxt"/>
        <w:spacing w:after="0" w:line="120" w:lineRule="exact"/>
        <w:rPr>
          <w:sz w:val="10"/>
        </w:rPr>
      </w:pP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El Comité examinó el informe inicial y el segu</w:t>
      </w:r>
      <w:r>
        <w:t>n</w:t>
      </w:r>
      <w:r>
        <w:t>do informe periódico de Singapur (CEDAW/C/SGP/1 y CEDAW/C/SGP/2) en sus sesiones 514ª, 515ª y 522ª, celebradas los días 9 y 13 de julio de 2001 (véase CEDAW/C/SR.514, 515 y 522).</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Presentación del Estado parte</w:t>
      </w:r>
    </w:p>
    <w:p w:rsidR="00000000" w:rsidRDefault="00000000">
      <w:pPr>
        <w:pStyle w:val="DualTxt"/>
        <w:spacing w:after="0" w:line="120" w:lineRule="exact"/>
        <w:rPr>
          <w:sz w:val="10"/>
        </w:rPr>
      </w:pPr>
    </w:p>
    <w:p w:rsidR="00000000" w:rsidRDefault="00000000">
      <w:pPr>
        <w:pStyle w:val="DualTxt"/>
        <w:numPr>
          <w:ilvl w:val="0"/>
          <w:numId w:val="145"/>
        </w:numPr>
        <w:tabs>
          <w:tab w:val="clear" w:pos="960"/>
          <w:tab w:val="left" w:pos="965"/>
          <w:tab w:val="left" w:pos="1440"/>
          <w:tab w:val="left" w:pos="1915"/>
          <w:tab w:val="left" w:pos="2405"/>
          <w:tab w:val="left" w:pos="2880"/>
          <w:tab w:val="left" w:pos="3355"/>
        </w:tabs>
      </w:pPr>
      <w:r>
        <w:t>Presentando los informes, la representante de Singapur informó al Comité de que a raíz de la ratific</w:t>
      </w:r>
      <w:r>
        <w:t>a</w:t>
      </w:r>
      <w:r>
        <w:t>ción de la Convención, se había creado un comité i</w:t>
      </w:r>
      <w:r>
        <w:t>n</w:t>
      </w:r>
      <w:r>
        <w:t>terministerial encargado de supervisar el cumplimiento de las obligaciones del país de conformidad con la Convención. Para la preparación del informe, se había mantenido también un diálogo con grupos de mujeres de Singapur.</w:t>
      </w:r>
    </w:p>
    <w:p w:rsidR="00000000" w:rsidRDefault="00000000">
      <w:pPr>
        <w:pStyle w:val="DualTxt"/>
        <w:numPr>
          <w:ilvl w:val="0"/>
          <w:numId w:val="145"/>
        </w:numPr>
        <w:tabs>
          <w:tab w:val="clear" w:pos="960"/>
          <w:tab w:val="left" w:pos="965"/>
        </w:tabs>
      </w:pPr>
      <w:r>
        <w:t>La representante indicó que, en los 36 años tran</w:t>
      </w:r>
      <w:r>
        <w:t>s</w:t>
      </w:r>
      <w:r>
        <w:t>curridos desde su independencia, Singapur había hecho enormes progresos en cuanto a la reducción de la tasa de mortalidad infantil y el aumento de la tasa de alf</w:t>
      </w:r>
      <w:r>
        <w:t>a</w:t>
      </w:r>
      <w:r>
        <w:t>betización de las mujeres y la esperanza de vida de la mujer. A la sazón, las mujeres representaban el 42,4% de la fuerza de trabajo, y el número de nuevas gradu</w:t>
      </w:r>
      <w:r>
        <w:t>a</w:t>
      </w:r>
      <w:r>
        <w:t>das de las universidades del país era superior al de los varones graduados. A pesar de estos progresos, todavía es posible introducir mejoras.</w:t>
      </w:r>
    </w:p>
    <w:p w:rsidR="00000000" w:rsidRDefault="00000000">
      <w:pPr>
        <w:pStyle w:val="DualTxt"/>
        <w:numPr>
          <w:ilvl w:val="0"/>
          <w:numId w:val="145"/>
        </w:numPr>
        <w:tabs>
          <w:tab w:val="clear" w:pos="960"/>
          <w:tab w:val="left" w:pos="965"/>
        </w:tabs>
      </w:pPr>
      <w:r>
        <w:t>Los principios rectores que han configurado la política de Singapur sobre la igualdad de géneros eran los siguientes: recompensar los méritos aplicando la igualdad de oportunidades, la realización de las pers</w:t>
      </w:r>
      <w:r>
        <w:t>o</w:t>
      </w:r>
      <w:r>
        <w:t>nas, la consideración de la mujer como parte del grupo principal y no como un grupo de intereses especiales y la creación de un capital social enfocado principa</w:t>
      </w:r>
      <w:r>
        <w:t>l</w:t>
      </w:r>
      <w:r>
        <w:t>mente en el fortalecimiento de la familia.</w:t>
      </w:r>
    </w:p>
    <w:p w:rsidR="00000000" w:rsidRDefault="00000000">
      <w:pPr>
        <w:pStyle w:val="DualTxt"/>
        <w:numPr>
          <w:ilvl w:val="0"/>
          <w:numId w:val="145"/>
        </w:numPr>
        <w:tabs>
          <w:tab w:val="clear" w:pos="960"/>
          <w:tab w:val="left" w:pos="965"/>
        </w:tabs>
      </w:pPr>
      <w:r>
        <w:t>La representante explicó que si bien no había l</w:t>
      </w:r>
      <w:r>
        <w:t>e</w:t>
      </w:r>
      <w:r>
        <w:t>yes específicas contra la discriminación, la Constit</w:t>
      </w:r>
      <w:r>
        <w:t>u</w:t>
      </w:r>
      <w:r>
        <w:t>ción garantizaba la igualdad de todas las personas ante la ley. La Carta de la Mujer de 1961 era una ley hist</w:t>
      </w:r>
      <w:r>
        <w:t>ó</w:t>
      </w:r>
      <w:r>
        <w:t>rica que salvaguarda los derechos de la mujer en las cuestiones relacionadas con el matrimonio, el divorcio, los bienes matrimoniales y el mantenimiento y la cu</w:t>
      </w:r>
      <w:r>
        <w:t>s</w:t>
      </w:r>
      <w:r>
        <w:t>todia de los hijos. En 1996, se había modificado la Carta de la Mujer incluyendo en ella disposiciones s</w:t>
      </w:r>
      <w:r>
        <w:t>o</w:t>
      </w:r>
      <w:r>
        <w:t>bre la violencia doméstica, la división de los bienes matrimoniales, la ejecución de las órdenes de mant</w:t>
      </w:r>
      <w:r>
        <w:t>e</w:t>
      </w:r>
      <w:r>
        <w:t>nimiento y la validez de los matrimonios. Los tribun</w:t>
      </w:r>
      <w:r>
        <w:t>a</w:t>
      </w:r>
      <w:r>
        <w:t>les trataban a la mujer en plan de igualdad en todas las fases del pr</w:t>
      </w:r>
      <w:r>
        <w:t>o</w:t>
      </w:r>
      <w:r>
        <w:t>cedimiento y se facilitaba asistencia jurí-dica a las que no podían pagar un abogado. En 1995, se habían establecido tribunales de familia que se ocup</w:t>
      </w:r>
      <w:r>
        <w:t>a</w:t>
      </w:r>
      <w:r>
        <w:t>ban de los litigios relacionados con la familia. La Ley de Administración de la Legislación Musulmana reg</w:t>
      </w:r>
      <w:r>
        <w:t>u</w:t>
      </w:r>
      <w:r>
        <w:t>laba las cuestiones relacionadas con los asuntos rel</w:t>
      </w:r>
      <w:r>
        <w:t>i</w:t>
      </w:r>
      <w:r>
        <w:t>giosos de los musulmanes, así como el matrimonio, el divorcio y los bienes de los musulmanes. Con respecto a la violencia en la familia, el Gobierno había adoptado un enfoque multidisciplinario e interinstitucional que incluía un sistema de cooperación a través del país en el que participaban los tribunales, la policía, los hosp</w:t>
      </w:r>
      <w:r>
        <w:t>i</w:t>
      </w:r>
      <w:r>
        <w:t>tales y los organismos de servicio social y comprendía programas de asesoramiento obligatorio y no obligat</w:t>
      </w:r>
      <w:r>
        <w:t>o</w:t>
      </w:r>
      <w:r>
        <w:t>rio de delincuentes y víctimas y programas concertados de educación pública. El Código Penal se aplicaba r</w:t>
      </w:r>
      <w:r>
        <w:t>i</w:t>
      </w:r>
      <w:r>
        <w:t>gurosamente a delitos como la violación y el ultraje a la decencia de la mujer. Además, estaba prohibida la pornografía y los códigos de publicidad prohibían r</w:t>
      </w:r>
      <w:r>
        <w:t>e</w:t>
      </w:r>
      <w:r>
        <w:t>presentar a las mujeres como objetos sexuales.</w:t>
      </w:r>
    </w:p>
    <w:p w:rsidR="00000000" w:rsidRDefault="00000000">
      <w:pPr>
        <w:pStyle w:val="DualTxt"/>
        <w:numPr>
          <w:ilvl w:val="0"/>
          <w:numId w:val="152"/>
        </w:numPr>
        <w:tabs>
          <w:tab w:val="clear" w:pos="960"/>
          <w:tab w:val="left" w:pos="475"/>
          <w:tab w:val="left" w:pos="965"/>
          <w:tab w:val="left" w:pos="1440"/>
          <w:tab w:val="left" w:pos="1915"/>
          <w:tab w:val="left" w:pos="2405"/>
          <w:tab w:val="left" w:pos="2880"/>
          <w:tab w:val="left" w:pos="3355"/>
        </w:tabs>
      </w:pPr>
      <w:r>
        <w:t>La representante observó que había habido gra</w:t>
      </w:r>
      <w:r>
        <w:t>n</w:t>
      </w:r>
      <w:r>
        <w:t>des mejoras de los indicadores de salud, en particular entre las mujeres. En 1999, la tasa de mortalidad m</w:t>
      </w:r>
      <w:r>
        <w:t>a</w:t>
      </w:r>
      <w:r>
        <w:t>terna era de 0,1 por 1.000 nacimientos vivos y abortos, una de las más bajas del mundo. En 1997 se había est</w:t>
      </w:r>
      <w:r>
        <w:t>a</w:t>
      </w:r>
      <w:r>
        <w:t>blecido un Comité Nacional sobre la Salud de la Mujer. La atención de salud de la población envejeciente era una preocupación importante y afectaba en particular a las mujeres por su mayor esperanza de vida.</w:t>
      </w:r>
    </w:p>
    <w:p w:rsidR="00000000" w:rsidRDefault="00000000">
      <w:pPr>
        <w:pStyle w:val="DualTxt"/>
        <w:numPr>
          <w:ilvl w:val="0"/>
          <w:numId w:val="152"/>
        </w:numPr>
        <w:tabs>
          <w:tab w:val="clear" w:pos="960"/>
          <w:tab w:val="left" w:pos="475"/>
          <w:tab w:val="left" w:pos="965"/>
        </w:tabs>
      </w:pPr>
      <w:r>
        <w:rPr>
          <w:w w:val="100"/>
        </w:rPr>
        <w:t>La representante observó que en los 35 años ant</w:t>
      </w:r>
      <w:r>
        <w:rPr>
          <w:w w:val="100"/>
        </w:rPr>
        <w:t>e</w:t>
      </w:r>
      <w:r>
        <w:rPr>
          <w:w w:val="100"/>
        </w:rPr>
        <w:t>riores, los niveles generales de alfabetización habían aumentado en un 20% entre los varones y en un 46% entre las mujeres. Las mujeres constituían más del 50% de los diplomados de las universidades</w:t>
      </w:r>
      <w:r>
        <w:t xml:space="preserve"> del país. La e</w:t>
      </w:r>
      <w:r>
        <w:t>n</w:t>
      </w:r>
      <w:r>
        <w:t>señanza, la capacitación y el aprendizaje a lo largo de la vida eran esenciales para preparar a los ciudadanos de Singapur para una economía basada en el conoc</w:t>
      </w:r>
      <w:r>
        <w:t>i</w:t>
      </w:r>
      <w:r>
        <w:t>miento. Aunque la tasa general de abandono de est</w:t>
      </w:r>
      <w:r>
        <w:t>u</w:t>
      </w:r>
      <w:r>
        <w:t>dios era sólo del 3% en la enseñanza primaria y secu</w:t>
      </w:r>
      <w:r>
        <w:t>n</w:t>
      </w:r>
      <w:r>
        <w:t>daria, constituyendo las mujeres el 45% de este grupo, el Parlamento había aprobado recientemente el pr</w:t>
      </w:r>
      <w:r>
        <w:t>o</w:t>
      </w:r>
      <w:r>
        <w:t>yecto de Ley de Enseñanza Obligatoria que entraría en vigor en enero de 2003, en virtud del cual se hacía obligatoria la enseñanza primaria durante seis años en las escuelas naci</w:t>
      </w:r>
      <w:r>
        <w:t>o</w:t>
      </w:r>
      <w:r>
        <w:t>nales.</w:t>
      </w:r>
    </w:p>
    <w:p w:rsidR="00000000" w:rsidRDefault="00000000">
      <w:pPr>
        <w:pStyle w:val="DualTxt"/>
        <w:numPr>
          <w:ilvl w:val="0"/>
          <w:numId w:val="152"/>
        </w:numPr>
        <w:tabs>
          <w:tab w:val="clear" w:pos="960"/>
          <w:tab w:val="left" w:pos="475"/>
          <w:tab w:val="left" w:pos="965"/>
        </w:tabs>
      </w:pPr>
      <w:r>
        <w:t xml:space="preserve">La participación de la mujer en la fuerza laboral iba en aumento y en el año 2000 la discrepancia entre </w:t>
      </w:r>
      <w:r>
        <w:rPr>
          <w:w w:val="100"/>
        </w:rPr>
        <w:t>sueldos se había reducido al 78%. Singapur se estaba preparando también a ratificar el Convenio No. 100 de la Organización Internacional del Trabajo sobre igualdad de remuner</w:t>
      </w:r>
      <w:r>
        <w:rPr>
          <w:w w:val="100"/>
        </w:rPr>
        <w:t>a</w:t>
      </w:r>
      <w:r>
        <w:rPr>
          <w:w w:val="100"/>
        </w:rPr>
        <w:t>ción</w:t>
      </w:r>
      <w:r>
        <w:t>.</w:t>
      </w:r>
    </w:p>
    <w:p w:rsidR="00000000" w:rsidRDefault="00000000">
      <w:pPr>
        <w:pStyle w:val="DualTxt"/>
        <w:numPr>
          <w:ilvl w:val="0"/>
          <w:numId w:val="152"/>
        </w:numPr>
        <w:tabs>
          <w:tab w:val="clear" w:pos="960"/>
          <w:tab w:val="left" w:pos="475"/>
          <w:tab w:val="left" w:pos="965"/>
          <w:tab w:val="left" w:pos="1440"/>
          <w:tab w:val="left" w:pos="1915"/>
          <w:tab w:val="left" w:pos="2405"/>
          <w:tab w:val="left" w:pos="2880"/>
          <w:tab w:val="left" w:pos="3355"/>
        </w:tabs>
      </w:pPr>
      <w:r>
        <w:t>La representante explicó que el profundo co</w:t>
      </w:r>
      <w:r>
        <w:t>m</w:t>
      </w:r>
      <w:r>
        <w:t>promiso del Gobierno con el principio del mérito era la razón de que no se hubiese introducido una cuota de representantes femeninas en el Parlamento, cuyo po</w:t>
      </w:r>
      <w:r>
        <w:t>r</w:t>
      </w:r>
      <w:r>
        <w:t>centaje seguía siendo bajo, el 6,5%. En la judicatura, el 42% de los jueces de los tribunales inferiores y el 11% de los magistrados del Tribunal Supremo eran mujeres.</w:t>
      </w:r>
    </w:p>
    <w:p w:rsidR="00000000" w:rsidRDefault="00000000">
      <w:pPr>
        <w:pStyle w:val="DualTxt"/>
        <w:numPr>
          <w:ilvl w:val="0"/>
          <w:numId w:val="152"/>
        </w:numPr>
        <w:tabs>
          <w:tab w:val="clear" w:pos="960"/>
          <w:tab w:val="left" w:pos="475"/>
          <w:tab w:val="left" w:pos="965"/>
        </w:tabs>
      </w:pPr>
      <w:r>
        <w:t>La representante destacó el hecho de que en Si</w:t>
      </w:r>
      <w:r>
        <w:t>n</w:t>
      </w:r>
      <w:r>
        <w:t>gapur se valoraba la familia como célula básica de la sociedad y de que, durante el último año, se había in</w:t>
      </w:r>
      <w:r>
        <w:t>s</w:t>
      </w:r>
      <w:r>
        <w:t>taurado y aplicado una serie de medidas en favor de la familia. Para ayudar a las madres trabajadoras, el G</w:t>
      </w:r>
      <w:r>
        <w:t>o</w:t>
      </w:r>
      <w:r>
        <w:t>bierno había establecido incentivos fiscales para las trabajadoras y subvenciones a las guarderías infantiles.</w:t>
      </w:r>
    </w:p>
    <w:p w:rsidR="00000000" w:rsidRDefault="00000000">
      <w:pPr>
        <w:pStyle w:val="DualTxt"/>
        <w:numPr>
          <w:ilvl w:val="0"/>
          <w:numId w:val="152"/>
        </w:numPr>
        <w:tabs>
          <w:tab w:val="clear" w:pos="960"/>
          <w:tab w:val="left" w:pos="475"/>
          <w:tab w:val="left" w:pos="965"/>
          <w:tab w:val="left" w:pos="1440"/>
          <w:tab w:val="left" w:pos="1915"/>
          <w:tab w:val="left" w:pos="2405"/>
          <w:tab w:val="left" w:pos="2880"/>
          <w:tab w:val="left" w:pos="3355"/>
        </w:tabs>
      </w:pPr>
      <w:r>
        <w:t>La representante se refirió a la cuestión de las r</w:t>
      </w:r>
      <w:r>
        <w:t>e</w:t>
      </w:r>
      <w:r>
        <w:t>servas de Singapur a la Convención, que el Gobierno, después de haberlo considerado detenidamente, cons</w:t>
      </w:r>
      <w:r>
        <w:t>i</w:t>
      </w:r>
      <w:r>
        <w:t>deró necesario mantener habida cuenta de la legislación vigente y de los valores y prácticas del país en una s</w:t>
      </w:r>
      <w:r>
        <w:t>o</w:t>
      </w:r>
      <w:r>
        <w:t>ciedad multirracial y multicultural. Las reservas a los artículos 2 y 16 de la Convención estaban relacionadas con la Ley de Administración de la Legislación M</w:t>
      </w:r>
      <w:r>
        <w:t>u</w:t>
      </w:r>
      <w:r>
        <w:t>sulmana, que respetaba la libertad de los musulmanes de Singapur para practicar sus preceptos personales y religiosos. Con respecto a la reserva al artículo 9, la r</w:t>
      </w:r>
      <w:r>
        <w:t>e</w:t>
      </w:r>
      <w:r>
        <w:t>presentante explicó que la Constitución de Singapur establecía que la nacionalidad de Singapur por filiación se concedía al hijo nacido fuera del país si el padre t</w:t>
      </w:r>
      <w:r>
        <w:t>e</w:t>
      </w:r>
      <w:r>
        <w:t>nía la ciudadanía de Singapur. En el caso de los niños nacidos fuera del país de madre de Singapur casada con un extranjero, había que solicitar la ciudadanía m</w:t>
      </w:r>
      <w:r>
        <w:t>e</w:t>
      </w:r>
      <w:r>
        <w:t>diante la correspondiente inscripción. Singapur había formulado una reserva al artículo 11 de la Convención porque su Ley de Empleo excluía de su ámbito a las personas que ocupaban cargos directivos, ejecutivos y de confianza y a los trabajadores del mar y del servicio doméstico. Esta exclusión no se basaba en el género y por lo tanto no era discriminatoria contra la mujer. Para mantener el derecho de Singapur a adoptar una política propia, había formulado una reserva al párrafo 1 del artículo 29 de la Convención, que estaba permitida e</w:t>
      </w:r>
      <w:r>
        <w:t>x</w:t>
      </w:r>
      <w:r>
        <w:t>presamente por el párrafo 2 del artículo 29. Singapur había formulado una reserva similar a otros tratados a los que se había adherido.</w:t>
      </w:r>
    </w:p>
    <w:p w:rsidR="00000000" w:rsidRDefault="00000000">
      <w:pPr>
        <w:pStyle w:val="DualTxt"/>
        <w:numPr>
          <w:ilvl w:val="0"/>
          <w:numId w:val="152"/>
        </w:numPr>
        <w:tabs>
          <w:tab w:val="clear" w:pos="960"/>
          <w:tab w:val="left" w:pos="475"/>
          <w:tab w:val="left" w:pos="965"/>
        </w:tabs>
      </w:pPr>
      <w:r>
        <w:t>Para concluir, la representante advirtió que estas reservas no habían impedido el avance general de la mujer en Singapur. No obstante, Singapur las revisaría periódicamente. Las leyes y políticas de Singapur eran en general neutrales con respecto al género y evoluci</w:t>
      </w:r>
      <w:r>
        <w:t>o</w:t>
      </w:r>
      <w:r>
        <w:t>naban en respuesta a las necesidades de la sociedad. La representante expresó la esperanza de que más mujeres participasen en la vida comunitaria y política en el f</w:t>
      </w:r>
      <w:r>
        <w:t>u</w:t>
      </w:r>
      <w:r>
        <w:t>turo y de que los hombres compartiesen más las re</w:t>
      </w:r>
      <w:r>
        <w:t>s</w:t>
      </w:r>
      <w:r>
        <w:t>ponsabilidades domésticas. La representante confiaba en que los ideales de la igualdad entre hombres y muj</w:t>
      </w:r>
      <w:r>
        <w:t>e</w:t>
      </w:r>
      <w:r>
        <w:t>res serían cada vez más una realidad en la vida de los ci</w:t>
      </w:r>
      <w:r>
        <w:t>u</w:t>
      </w:r>
      <w:r>
        <w:t>dadanos de Singapur.</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Observaciones finales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DualTxt"/>
        <w:spacing w:after="0" w:line="120" w:lineRule="exact"/>
        <w:rPr>
          <w:sz w:val="10"/>
        </w:rPr>
      </w:pPr>
    </w:p>
    <w:p w:rsidR="00000000" w:rsidRDefault="00000000">
      <w:pPr>
        <w:pStyle w:val="DualTxt"/>
        <w:numPr>
          <w:ilvl w:val="0"/>
          <w:numId w:val="152"/>
        </w:numPr>
        <w:tabs>
          <w:tab w:val="clear" w:pos="960"/>
          <w:tab w:val="left" w:pos="475"/>
          <w:tab w:val="left" w:pos="965"/>
          <w:tab w:val="left" w:pos="1440"/>
          <w:tab w:val="left" w:pos="1915"/>
          <w:tab w:val="left" w:pos="2405"/>
          <w:tab w:val="left" w:pos="2880"/>
          <w:tab w:val="left" w:pos="3355"/>
        </w:tabs>
      </w:pPr>
      <w:r>
        <w:t>El Comité expresa su agradecimiento al Gobierno de Singapur por su informe inicial y su segundo info</w:t>
      </w:r>
      <w:r>
        <w:t>r</w:t>
      </w:r>
      <w:r>
        <w:t>me periódico, que se ajustan a las directrices del C</w:t>
      </w:r>
      <w:r>
        <w:t>o</w:t>
      </w:r>
      <w:r>
        <w:t>mité para la preparación de los informes. Sin embargo, el Comité observa que el informe no incluye suficie</w:t>
      </w:r>
      <w:r>
        <w:t>n</w:t>
      </w:r>
      <w:r>
        <w:t>tes datos estadísticos desglosados por sexo.</w:t>
      </w:r>
    </w:p>
    <w:p w:rsidR="00000000" w:rsidRDefault="00000000">
      <w:pPr>
        <w:pStyle w:val="DualTxt"/>
        <w:numPr>
          <w:ilvl w:val="0"/>
          <w:numId w:val="152"/>
        </w:numPr>
        <w:tabs>
          <w:tab w:val="clear" w:pos="960"/>
          <w:tab w:val="left" w:pos="475"/>
          <w:tab w:val="left" w:pos="965"/>
          <w:tab w:val="left" w:pos="1440"/>
          <w:tab w:val="left" w:pos="1915"/>
          <w:tab w:val="left" w:pos="2405"/>
          <w:tab w:val="left" w:pos="2880"/>
          <w:tab w:val="left" w:pos="3355"/>
        </w:tabs>
      </w:pPr>
      <w:r>
        <w:t>El Comité elogia al Gobierno por su nutrida del</w:t>
      </w:r>
      <w:r>
        <w:t>e</w:t>
      </w:r>
      <w:r>
        <w:t>gación de alto nivel, encabezada por el Secretario Pa</w:t>
      </w:r>
      <w:r>
        <w:t>r</w:t>
      </w:r>
      <w:r>
        <w:t>lamentario Superior del Ministerio de Desarrollo de la Comunidad y Deportes. También encomia la inform</w:t>
      </w:r>
      <w:r>
        <w:t>a</w:t>
      </w:r>
      <w:r>
        <w:t>ción facilitada por el Gobierno en la presentación a</w:t>
      </w:r>
      <w:r>
        <w:t>u</w:t>
      </w:r>
      <w:r>
        <w:t>diovisual y oral de los informes y las respuestas e</w:t>
      </w:r>
      <w:r>
        <w:t>x</w:t>
      </w:r>
      <w:r>
        <w:t>haustivas y altamente profesionales que ha dado a las preguntas del Comité para aclarar la situación de la mujer en Si</w:t>
      </w:r>
      <w:r>
        <w:t>n</w:t>
      </w:r>
      <w:r>
        <w:t>gapur.</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spacing w:after="0" w:line="120" w:lineRule="exact"/>
        <w:rPr>
          <w:sz w:val="10"/>
        </w:rPr>
      </w:pP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El Comité felicita al Gobierno de Singapur por haber logrado combinar el crecimiento económico con notables indicadores sociales para la mujer en el corto plazo desde la conquista de la independe</w:t>
      </w:r>
      <w:r>
        <w:t>n</w:t>
      </w:r>
      <w:r>
        <w:t>cia.</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El Comité encomia al Estado parte por haber l</w:t>
      </w:r>
      <w:r>
        <w:t>o</w:t>
      </w:r>
      <w:r>
        <w:t>grado tasas bajas de mortalidad materna e infantil, la</w:t>
      </w:r>
      <w:r>
        <w:t>r</w:t>
      </w:r>
      <w:r>
        <w:t>ga esperanza de vida y un alto índice de alfabetización de la mujer, así como por proporcionarle acceso a todos los niveles de educación.</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El Comité observa con satisfacción que el G</w:t>
      </w:r>
      <w:r>
        <w:t>o</w:t>
      </w:r>
      <w:r>
        <w:t>bierno de Singapur tiene intención de hacer extensivo el permiso por enfermedad de los hijos a los padres que tr</w:t>
      </w:r>
      <w:r>
        <w:t>a</w:t>
      </w:r>
      <w:r>
        <w:t>bajan en la administración pública.</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El Comité observa complacido los esfuerzos de</w:t>
      </w:r>
      <w:r>
        <w:t>s</w:t>
      </w:r>
      <w:r>
        <w:t>plegados para combatir la violencia contra la mujer, en particular los procedimientos penales y relativos a las pruebas que protegen la intimidad de las víctimas, la enmienda introducida en 1997 a la Carta de la Mujer para ampliar la definición de la violencia y el enfoque multidisciplinario e interinstitucional por el Gobierno de las víctimas de la violencia en la familia con la pa</w:t>
      </w:r>
      <w:r>
        <w:t>r</w:t>
      </w:r>
      <w:r>
        <w:t>ticipación de los tribunales, la policía, los hospitales y los organismos de servicios sociales.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influyen en la aplicación de la Convención</w:t>
      </w:r>
    </w:p>
    <w:p w:rsidR="00000000" w:rsidRDefault="00000000">
      <w:pPr>
        <w:pStyle w:val="DualTxt"/>
        <w:spacing w:after="0" w:line="120" w:lineRule="exact"/>
        <w:rPr>
          <w:sz w:val="10"/>
        </w:rPr>
      </w:pP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El Comité considera que las reservas del Estado parte dificultan la plena aplicación de la Convención.</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esferas de preocupación y recomendaciones</w:t>
      </w:r>
    </w:p>
    <w:p w:rsidR="00000000" w:rsidRDefault="00000000">
      <w:pPr>
        <w:pStyle w:val="DualTxt"/>
        <w:spacing w:after="0" w:line="120" w:lineRule="exact"/>
        <w:rPr>
          <w:sz w:val="10"/>
        </w:rPr>
      </w:pP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El Comité está sumamente preocupado por las r</w:t>
      </w:r>
      <w:r>
        <w:t>e</w:t>
      </w:r>
      <w:r>
        <w:t>servas formuladas por el Gobierno de Singapur a los artículos 2, 9, 11, párrafo 1 y 16 de la Convención.</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Reconociendo que el carácter pluralista y la hist</w:t>
      </w:r>
      <w:r>
        <w:t>o</w:t>
      </w:r>
      <w:r>
        <w:t>ria de la sociedad de Singapur exigen sensibilidad a los valores culturales y religiosos de las distintas comun</w:t>
      </w:r>
      <w:r>
        <w:t>i</w:t>
      </w:r>
      <w:r>
        <w:t>dades, el Comité desea aclarar sin embargo que los a</w:t>
      </w:r>
      <w:r>
        <w:t>r</w:t>
      </w:r>
      <w:r>
        <w:t>tículos 2 y 16 son la esencia misma de las obligaciones impuestas por la Convención. Habida cuenta de que ya se han introducido algunas reformas al derecho m</w:t>
      </w:r>
      <w:r>
        <w:t>u</w:t>
      </w:r>
      <w:r>
        <w:t>sulmán de las personas, el Comité insta al Estado parte a continuar este proceso de reforma en consulta con miembros de los diferentes grupos étnicos y religiosos, incluidas las mujeres. Recomienda al Estado parte que estudie las reformas adoptadas en otros países de trad</w:t>
      </w:r>
      <w:r>
        <w:t>i</w:t>
      </w:r>
      <w:r>
        <w:t>ciones jurídicas similares, con miras a examinar y r</w:t>
      </w:r>
      <w:r>
        <w:t>e</w:t>
      </w:r>
      <w:r>
        <w:t>formar el derecho de las personas para que se adapte a la Convención, y a retirar estas r</w:t>
      </w:r>
      <w:r>
        <w:t>e</w:t>
      </w:r>
      <w:r>
        <w:t>servas.</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El Comité insta al Estado parte a que introdu</w:t>
      </w:r>
      <w:r>
        <w:t>z</w:t>
      </w:r>
      <w:r>
        <w:t>ca nuevas enmiendas a la ley de nacionalidad con el objeto de eliminar la discriminación contra la mujer y a que retire sus reservas al artículo 9. No es convincente la explicación del Estado parte de que se plantearía un problema de doble nacionalidad si las madres casadas con un extranjero tuviesen derecho a transmitir su n</w:t>
      </w:r>
      <w:r>
        <w:t>a</w:t>
      </w:r>
      <w:r>
        <w:t>cionalidad a sus hijos nacidos en el extranjero pue</w:t>
      </w:r>
      <w:r>
        <w:t>s</w:t>
      </w:r>
      <w:r>
        <w:t>to que no se reconoce la doble nacionalidad. El Comité desea señalar que, puesto que en muchos países, i</w:t>
      </w:r>
      <w:r>
        <w:t>n</w:t>
      </w:r>
      <w:r>
        <w:t>cluido Singapur, tanto el padre como la madre pu</w:t>
      </w:r>
      <w:r>
        <w:t>e</w:t>
      </w:r>
      <w:r>
        <w:t>den transmitir la nacionalidad a los hijos nacidos en el país, el mismo problema puede plantearse en el caso de hijos nacidos de hombres singapurenses y madres extranj</w:t>
      </w:r>
      <w:r>
        <w:t>e</w:t>
      </w:r>
      <w:r>
        <w:t>ras.</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El Comité recomienda que la cobertura de la Ley de Empleo se extienda a las personas que ocupan ca</w:t>
      </w:r>
      <w:r>
        <w:t>r</w:t>
      </w:r>
      <w:r>
        <w:t>gos de confianza, directivos y ejecutivos. El Comité considera que la posibilidad de negociación individual y la existencia de condiciones mejores de trabajo en estos sectores no justifican la falta de protección juríd</w:t>
      </w:r>
      <w:r>
        <w:t>i</w:t>
      </w:r>
      <w:r>
        <w:t>ca y la reserva al artículo 11.</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Al Comité le preocupa que la cobertura de la Ley de Empleo no se haya extendido a los trabajadores del servicio doméstico, lo que significa una discriminación contra las mujeres que trabajan en el servicio domést</w:t>
      </w:r>
      <w:r>
        <w:t>i</w:t>
      </w:r>
      <w:r>
        <w:t>co y una denegación de protección jurídica. Al Comité le preocupa además el requisito del consentimiento del empleador para cambiar de puesto de trabajo, que d</w:t>
      </w:r>
      <w:r>
        <w:t>i</w:t>
      </w:r>
      <w:r>
        <w:t xml:space="preserve">suade a estos trabajadores a notificar sus quejas a las autoridades gubernamentales. </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El Comité insta al Gobierno de Singapur a e</w:t>
      </w:r>
      <w:r>
        <w:t>n</w:t>
      </w:r>
      <w:r>
        <w:t>mendar la Ley de Empleo para extenderla a estos sect</w:t>
      </w:r>
      <w:r>
        <w:t>o</w:t>
      </w:r>
      <w:r>
        <w:t>res y a retirar sus reservas al artículo 11.</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El Comité reconoce la importancia de la familia como unidad social básica, pero le preocupa que el concepto de familia aceptado en Asia, incluida la idea de que, jurídicamente, el marido es el jefe de la familia, pueda interpretarse como una perpetuación de papeles estereotipados del hombre y la mujer en la familia y agudizar la discriminación contra la mujer.</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El Comité insta al Gobierno a incorporar en las normas, las políticas y los programas relativos a la f</w:t>
      </w:r>
      <w:r>
        <w:t>a</w:t>
      </w:r>
      <w:r>
        <w:t>milia el principio de igualdad entre el hombre y la m</w:t>
      </w:r>
      <w:r>
        <w:t>u</w:t>
      </w:r>
      <w:r>
        <w:t>jer en todos los ámbitos, incluida la familia, y la plena real</w:t>
      </w:r>
      <w:r>
        <w:t>i</w:t>
      </w:r>
      <w:r>
        <w:t>zación de los derechos humanos de la mujer.</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Al Comité le preocupa también que a los trabaj</w:t>
      </w:r>
      <w:r>
        <w:t>a</w:t>
      </w:r>
      <w:r>
        <w:t>dores del servicio doméstico extranjeros se les proh</w:t>
      </w:r>
      <w:r>
        <w:t>í</w:t>
      </w:r>
      <w:r>
        <w:t>ba trabajar durante las actuaciones penales contra sus empleadores y que esto les obligue a irse de Singapur sin esperar a recibir una indemnización de sus emple</w:t>
      </w:r>
      <w:r>
        <w:t>a</w:t>
      </w:r>
      <w:r>
        <w:t>dores. También le preocupa que esto pueda reducir las posibilidades de condena ya que no se dispondrá del testim</w:t>
      </w:r>
      <w:r>
        <w:t>o</w:t>
      </w:r>
      <w:r>
        <w:t>nio de esos trabajadores.</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El Comité insta al Gobierno de Singapur a que elimine la prohibición anterior y tome las medidas ad</w:t>
      </w:r>
      <w:r>
        <w:t>e</w:t>
      </w:r>
      <w:r>
        <w:t>cuadas para permitir a los empleados domésticos pre</w:t>
      </w:r>
      <w:r>
        <w:t>s</w:t>
      </w:r>
      <w:r>
        <w:t>tar testimonio contra sus empleados antes de abandonar Singapur.</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Al Comité le preocupa la falta de una idea clara por parte del Gobierno de Singapur en lo que respecta a la incorporación de una perspectiva de género en las no</w:t>
      </w:r>
      <w:r>
        <w:t>r</w:t>
      </w:r>
      <w:r>
        <w:t>mas, las políticas y los programas.</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El Comité insta al Gobierno de Singapur a que revise todas las políticas con miras a evitar la discrim</w:t>
      </w:r>
      <w:r>
        <w:t>i</w:t>
      </w:r>
      <w:r>
        <w:t>nación directa o indirecta y a lograr la igualdad de h</w:t>
      </w:r>
      <w:r>
        <w:t>e</w:t>
      </w:r>
      <w:r>
        <w:t xml:space="preserve">cho entre los sexos. </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Al Comité le preocupa que la disparidad entre las remuneraciones de los hombres y las mujeres se d</w:t>
      </w:r>
      <w:r>
        <w:t>e</w:t>
      </w:r>
      <w:r>
        <w:t>ba a la actitud discriminatoria de los empleadores y a una evaluación estereotipada del trabajo y del lugar de tr</w:t>
      </w:r>
      <w:r>
        <w:t>a</w:t>
      </w:r>
      <w:r>
        <w:t>bajo.</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El Comité insta al Gobierno a que examine nu</w:t>
      </w:r>
      <w:r>
        <w:t>e</w:t>
      </w:r>
      <w:r>
        <w:t>vamente la cuestión de las diferencias de remuneración entre hombres y mujeres, examinando incluso estudios recientes sobre el concepto de igual remuneración por trabajo de igual valor tanto en el sector público como en el privado. Asimismo, insta el Gobierno a corregir la situación en el sector del empleo público, cuando c</w:t>
      </w:r>
      <w:r>
        <w:t>o</w:t>
      </w:r>
      <w:r>
        <w:t>rresponda, y a iniciar campañas de sensibilización para alentar a los copartícipes sociales a que aborden este problema.</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Al Comité le preocupa el escaso nivel de repr</w:t>
      </w:r>
      <w:r>
        <w:t>e</w:t>
      </w:r>
      <w:r>
        <w:t>sentación de las mujeres en la política y en la adopción de decisiones.</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El Comité insta al Gobierno de Singapur a que intensifique sus esfuerzos para aumentar la represent</w:t>
      </w:r>
      <w:r>
        <w:t>a</w:t>
      </w:r>
      <w:r>
        <w:t>ción de la mujer en la política y en el proceso de ado</w:t>
      </w:r>
      <w:r>
        <w:t>p</w:t>
      </w:r>
      <w:r>
        <w:t>ción de decisiones mediante una aplicación del princ</w:t>
      </w:r>
      <w:r>
        <w:t>i</w:t>
      </w:r>
      <w:r>
        <w:t>pio del mérito en que se tengan en cuenta las difere</w:t>
      </w:r>
      <w:r>
        <w:t>n</w:t>
      </w:r>
      <w:r>
        <w:t>cias por razones de sexo y adoptando medidas que g</w:t>
      </w:r>
      <w:r>
        <w:t>a</w:t>
      </w:r>
      <w:r>
        <w:t>ranticen la igualdad de oportunidades de la mujer para participar en estos ámbitos. Estas medidas podrían i</w:t>
      </w:r>
      <w:r>
        <w:t>n</w:t>
      </w:r>
      <w:r>
        <w:t>cluir la imposición de cuotas mínimas de candidatas polít</w:t>
      </w:r>
      <w:r>
        <w:t>i</w:t>
      </w:r>
      <w:r>
        <w:t>cas.</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Además, el Comité pide al Gobierno que mejore el procedimiento para la presentación de denuncias r</w:t>
      </w:r>
      <w:r>
        <w:t>e</w:t>
      </w:r>
      <w:r>
        <w:t>lacionadas con la violación del derecho constitucional a la igualdad para que las mujeres puedan denunciar los actos de discriminación.</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Al Comité le preocupa mucho la posible deli</w:t>
      </w:r>
      <w:r>
        <w:t>n</w:t>
      </w:r>
      <w:r>
        <w:t>cuencia relacionada con la trata de mujeres, habida cuenta de la situación geográfica de Singapur como punto de tránsito favorable para esa trata. Además, le preocupa que la falta de represión pueda socavar la l</w:t>
      </w:r>
      <w:r>
        <w:t>a</w:t>
      </w:r>
      <w:r>
        <w:t>bor del G</w:t>
      </w:r>
      <w:r>
        <w:t>o</w:t>
      </w:r>
      <w:r>
        <w:t>bierno para erradicar la trata.</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El Comité insta al Gobierno de Singapur a que s</w:t>
      </w:r>
      <w:r>
        <w:t>i</w:t>
      </w:r>
      <w:r>
        <w:t>ga supervisando la situación con respecto a la trata y que aplique estrictamente su legislación penal contra esos delincuentes. Además, insta al Estado parte a que presente información sobre la trata en su próximo i</w:t>
      </w:r>
      <w:r>
        <w:t>n</w:t>
      </w:r>
      <w:r>
        <w:t>forme periódico.</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 xml:space="preserve">Al Comité le preocupa la imposición de </w:t>
      </w:r>
      <w:r>
        <w:rPr>
          <w:i/>
        </w:rPr>
        <w:t>un num</w:t>
      </w:r>
      <w:r>
        <w:rPr>
          <w:i/>
        </w:rPr>
        <w:t>e</w:t>
      </w:r>
      <w:r>
        <w:rPr>
          <w:i/>
        </w:rPr>
        <w:t>rus clausus</w:t>
      </w:r>
      <w:r>
        <w:t xml:space="preserve"> a las mujeres que desean cursar estudios de medicina.</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 xml:space="preserve">El Comité insta al Gobierno a que elimine este </w:t>
      </w:r>
      <w:r>
        <w:rPr>
          <w:i/>
        </w:rPr>
        <w:t>numerus clausus</w:t>
      </w:r>
      <w:r>
        <w:t xml:space="preserve"> y proporcione servicios de guardería y horarios de trabajo flexibles para alentar a las doctoras a que trabajen en su profesión y permitirles hacerlo efectivamente.</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El Comité insta al Gobierno a que firme y ratif</w:t>
      </w:r>
      <w:r>
        <w:t>i</w:t>
      </w:r>
      <w:r>
        <w:t>que el Protocolo Facultativo de la Convención y que deposite, lo antes posible, su instrumento de aceptación de la enmienda al párrafo 1 del artículo 20 de la Co</w:t>
      </w:r>
      <w:r>
        <w:t>n</w:t>
      </w:r>
      <w:r>
        <w:t>vención sobre el tiempo de reunión del Comité.</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El Comité pide al Gobierno que responda a las preocupaciones expresadas en estas observaciones f</w:t>
      </w:r>
      <w:r>
        <w:t>i</w:t>
      </w:r>
      <w:r>
        <w:t>nales en el próximo informe periódico que presente de conformidad con el artículo 18 de la Convención. As</w:t>
      </w:r>
      <w:r>
        <w:t>i</w:t>
      </w:r>
      <w:r>
        <w:t>mismo insta al Gobierno a que mejore la recopilación y el análisis de datos estadísticos, desglosados por sexo, edad y grupo minoritario, étnico o religioso, y que pr</w:t>
      </w:r>
      <w:r>
        <w:t>e</w:t>
      </w:r>
      <w:r>
        <w:t>sente estos datos al Comité en su próximo informe.</w:t>
      </w:r>
    </w:p>
    <w:p w:rsidR="00000000" w:rsidRDefault="00000000">
      <w:pPr>
        <w:pStyle w:val="DualTxt"/>
        <w:numPr>
          <w:ilvl w:val="0"/>
          <w:numId w:val="152"/>
        </w:numPr>
        <w:tabs>
          <w:tab w:val="clear" w:pos="960"/>
          <w:tab w:val="left" w:pos="965"/>
          <w:tab w:val="left" w:pos="1440"/>
          <w:tab w:val="left" w:pos="1915"/>
          <w:tab w:val="left" w:pos="2405"/>
          <w:tab w:val="left" w:pos="2880"/>
          <w:tab w:val="left" w:pos="3355"/>
        </w:tabs>
      </w:pPr>
      <w:r>
        <w:t>El Comité pide que se dé amplia difusión en Si</w:t>
      </w:r>
      <w:r>
        <w:t>n</w:t>
      </w:r>
      <w:r>
        <w:t>gapur a estas observaciones finales con el fin de que la población de Singapur, en particular los administr</w:t>
      </w:r>
      <w:r>
        <w:t>a</w:t>
      </w:r>
      <w:r>
        <w:t>dores de los órganos públicos y los políticos, tengan conocimiento de las medidas que se han adoptado p</w:t>
      </w:r>
      <w:r>
        <w:t>a</w:t>
      </w:r>
      <w:r>
        <w:t>ra garantizar la igualdad de hecho y de derecho de las mujeres, así como de otras medidas que se requi</w:t>
      </w:r>
      <w:r>
        <w:t>e</w:t>
      </w:r>
      <w:r>
        <w:t>ren a este respecto. Pide también al Gobierno que dé amplia difusión, en particular entre las organizaciones de mujeres y de defensa de los derechos humanos, a la Convención, su Protocolo Facultativo, las recomend</w:t>
      </w:r>
      <w:r>
        <w:t>a</w:t>
      </w:r>
      <w:r>
        <w:t>ciones generales del Comité, la Declaración y Plat</w:t>
      </w:r>
      <w:r>
        <w:t>a</w:t>
      </w:r>
      <w:r>
        <w:t>forma de Acción de Beijing y los resultados del vig</w:t>
      </w:r>
      <w:r>
        <w:t>é</w:t>
      </w:r>
      <w:r>
        <w:t>simo tercer período extraordinario de sesiones de la Asamblea General titulado “La mujer en el año 2000: igualdad entre los géneros, desarrollo y paz para el s</w:t>
      </w:r>
      <w:r>
        <w:t>i</w:t>
      </w:r>
      <w:r>
        <w:t>glo XXI”.</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Informe inicial y segundo y tercer informes periódicos combinados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Guinea</w:t>
      </w:r>
    </w:p>
    <w:p w:rsidR="00000000" w:rsidRDefault="00000000">
      <w:pPr>
        <w:pStyle w:val="DualTxt"/>
        <w:spacing w:after="0" w:line="120" w:lineRule="exact"/>
        <w:rPr>
          <w:sz w:val="10"/>
        </w:rPr>
      </w:pP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El Comité examinó el informe inicial y el segu</w:t>
      </w:r>
      <w:r>
        <w:t>n</w:t>
      </w:r>
      <w:r>
        <w:t>do y tercer informes periódicos combinados de la R</w:t>
      </w:r>
      <w:r>
        <w:t>e</w:t>
      </w:r>
      <w:r>
        <w:t>pública de Guinea (CEDAW/C/GIN/1 a 3 y Corr.1) en sus sesiones 520</w:t>
      </w:r>
      <w:r>
        <w:rPr>
          <w:vertAlign w:val="superscript"/>
        </w:rPr>
        <w:t>a</w:t>
      </w:r>
      <w:r>
        <w:t>, 521</w:t>
      </w:r>
      <w:r>
        <w:rPr>
          <w:vertAlign w:val="superscript"/>
        </w:rPr>
        <w:t>a</w:t>
      </w:r>
      <w:r>
        <w:t>, y 524</w:t>
      </w:r>
      <w:r>
        <w:rPr>
          <w:vertAlign w:val="superscript"/>
        </w:rPr>
        <w:t>a</w:t>
      </w:r>
      <w:r>
        <w:t>, celebradas el 12 y el 16 de julio de 2001 (CEDAW/SR.520, 521 y 524).</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Presentación por el Estado parte</w:t>
      </w:r>
    </w:p>
    <w:p w:rsidR="00000000" w:rsidRDefault="00000000">
      <w:pPr>
        <w:pStyle w:val="DualTxt"/>
        <w:spacing w:after="0" w:line="120" w:lineRule="exact"/>
        <w:rPr>
          <w:sz w:val="10"/>
        </w:rPr>
      </w:pP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Al presentar el informe inicial y el segundo y te</w:t>
      </w:r>
      <w:r>
        <w:t>r</w:t>
      </w:r>
      <w:r>
        <w:t>cer informes periódicos combinado, la representante de Guinea informó al Comité de que había facilitado i</w:t>
      </w:r>
      <w:r>
        <w:t>n</w:t>
      </w:r>
      <w:r>
        <w:t>formación adicional al Comité que abarcaba el período de 1998 a 2001. La representante indicó que Guinea había obtenido la independencia en 1958, y que la Constitución de la Segunda República de Guinea había sido aprobada el 23 de diciembre de 1990. El Preá</w:t>
      </w:r>
      <w:r>
        <w:t>m</w:t>
      </w:r>
      <w:r>
        <w:t>bulo de la Constitución, que se había inspirado en la Declaración Universal de Derechos Humanos, procl</w:t>
      </w:r>
      <w:r>
        <w:t>a</w:t>
      </w:r>
      <w:r>
        <w:t>maba la igualdad de hombres y mujeres ante la ley. La Constitución protegía los derechos de todos los guine</w:t>
      </w:r>
      <w:r>
        <w:t>a</w:t>
      </w:r>
      <w:r>
        <w:t>nos, y las mujeres estaban facultadas para presentar denuncias de discriminación por razón del sexo ante los tribunales civiles, penales y administrativos, así como ante la Corte Suprema. La Constitución garant</w:t>
      </w:r>
      <w:r>
        <w:t>i</w:t>
      </w:r>
      <w:r>
        <w:t>zaba también el derecho al trabajo, y disponía que el Estado debía establecer las condiciones necesarias para ejercer este derecho. Una ordenanza disponía asimismo la igualdad de remuneración por trabajo de igual valor, sin di</w:t>
      </w:r>
      <w:r>
        <w:t>s</w:t>
      </w:r>
      <w:r>
        <w:t>tinciones de origen, sexo o edad.</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La representante informó al Comité de que, au</w:t>
      </w:r>
      <w:r>
        <w:t>n</w:t>
      </w:r>
      <w:r>
        <w:t>que la definición de discriminación contra la mujer formulada en el artículo 1 de la Convención sobre la eliminación de todas las formas de discriminación contra la mujer no estaba integrada explícitamente en la legislación del país, el principio de la igualdad entre mujeres y hombres no bastaba para modificar los co</w:t>
      </w:r>
      <w:r>
        <w:t>m</w:t>
      </w:r>
      <w:r>
        <w:t>portamientos y la mentalidad adquiridos a lo largo de siglos de tradición, habida cuenta de la coexistencia de las leyes escritas y las costumbres en el marco jurídico de Guinea. Sin embargo, la discriminación persistía aún en muchas disposiciones del código civil. El mar</w:t>
      </w:r>
      <w:r>
        <w:t>i</w:t>
      </w:r>
      <w:r>
        <w:t>do estaba considerado como el jefe de la familia y p</w:t>
      </w:r>
      <w:r>
        <w:t>o</w:t>
      </w:r>
      <w:r>
        <w:t>día decidir la ubicación del domicilio familiar; el nac</w:t>
      </w:r>
      <w:r>
        <w:t>i</w:t>
      </w:r>
      <w:r>
        <w:t>miento de un hijo tenía que ser declarado por el padre, cuando no por los doctores o enfermeros o las personas presentes en el parto; y los hijos estaban bajo la guarda del padre a partir de los 7 años de edad, a menos que hubiese un acuerdo especial entre las partes. La repr</w:t>
      </w:r>
      <w:r>
        <w:t>e</w:t>
      </w:r>
      <w:r>
        <w:t xml:space="preserve">sentante indicó también que las viudas sin hijos eran objeto de discriminación, y que se daba preferencia al tío de un niño con respecto a la madre si el padre </w:t>
      </w:r>
      <w:r>
        <w:rPr>
          <w:spacing w:val="0"/>
        </w:rPr>
        <w:t>estaba incapacitado o no podía ejercer su autoridad pate</w:t>
      </w:r>
      <w:r>
        <w:rPr>
          <w:spacing w:val="0"/>
        </w:rPr>
        <w:t>r</w:t>
      </w:r>
      <w:r>
        <w:rPr>
          <w:spacing w:val="0"/>
        </w:rPr>
        <w:t>na.</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La representante indicó que si bien los artículos 285 a 287 del código penal establecían severas penas para los delitos de violencia sexual, la legislación tod</w:t>
      </w:r>
      <w:r>
        <w:t>a</w:t>
      </w:r>
      <w:r>
        <w:t>vía no había abordado el problema del acoso sexual. La representante observó que, pese a algunos avances a este respecto, el disfrute de los derechos por la mujer seguía estando limitado por diversos factores, en part</w:t>
      </w:r>
      <w:r>
        <w:t>i</w:t>
      </w:r>
      <w:r>
        <w:t>cular unos procedimientos administrativos complic</w:t>
      </w:r>
      <w:r>
        <w:t>a</w:t>
      </w:r>
      <w:r>
        <w:t>dos, la falta de conocimiento de los procedimientos j</w:t>
      </w:r>
      <w:r>
        <w:t>u</w:t>
      </w:r>
      <w:r>
        <w:t>diciales, una información y unos datos estadísticos i</w:t>
      </w:r>
      <w:r>
        <w:t>n</w:t>
      </w:r>
      <w:r>
        <w:t>suficientes y la persistencia de actitudes negativas h</w:t>
      </w:r>
      <w:r>
        <w:t>a</w:t>
      </w:r>
      <w:r>
        <w:t>cia la mujer. La representante indicó que el Gobierno era consciente de las prácticas discriminatorias y estaba adoptando medidas más favorables para combatirlas, en particular mediante la creación de una red de ce</w:t>
      </w:r>
      <w:r>
        <w:t>n</w:t>
      </w:r>
      <w:r>
        <w:t>tros de coordinación sobre la mujer en numerosos m</w:t>
      </w:r>
      <w:r>
        <w:t>i</w:t>
      </w:r>
      <w:r>
        <w:t>nisterios e instituciones a través del país.</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La representante indicó que en 1996 se había e</w:t>
      </w:r>
      <w:r>
        <w:t>s</w:t>
      </w:r>
      <w:r>
        <w:t>tablecido el Ministerio de Asuntos Sociales, de la Pr</w:t>
      </w:r>
      <w:r>
        <w:t>o</w:t>
      </w:r>
      <w:r>
        <w:t>moción de la Mujer y de la Infancia con el fin de coo</w:t>
      </w:r>
      <w:r>
        <w:t>r</w:t>
      </w:r>
      <w:r>
        <w:t>dinar las políticas nacionales para el avance de la m</w:t>
      </w:r>
      <w:r>
        <w:t>u</w:t>
      </w:r>
      <w:r>
        <w:t>jer, la protección social, la educación preescolar y la protección de la infancia. La representante declaró que los objetivos del Programa marco del Gobierno sobre el género y el desarrollo incluía un enfoque del desarrollo participativo, equitativo y humano destinado a reducir las diferencias en el disfrute de los derechos y a fort</w:t>
      </w:r>
      <w:r>
        <w:t>a</w:t>
      </w:r>
      <w:r>
        <w:t>lecer la justicia social.</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La representante indicó que la violencia contra la mujer en el seno de la familia revestía muchas formas diferentes, como la violencia psicológica, las palizas, el repudio, el levirato, el sororato, los matrimonios forz</w:t>
      </w:r>
      <w:r>
        <w:t>a</w:t>
      </w:r>
      <w:r>
        <w:t>dos y precoces y la mutilación genital de la mujer. El Gobierno había iniciado campañas de sensibilización para combatir todas las formas de violencia contra la mujer. Desde 1985, se celebraba el 27 de agosto como Día Nacional de la Mujer Guineana. Esta fecha era motivo de muchas actividades para promover el ad</w:t>
      </w:r>
      <w:r>
        <w:t>e</w:t>
      </w:r>
      <w:r>
        <w:t>lanto de la mujer y había sido una ocasión para que el Gobierno evaluase los progresos realizados durante el año anterior en materia de derechos de la mujer.</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La representante indicó que una de las lacras s</w:t>
      </w:r>
      <w:r>
        <w:t>o</w:t>
      </w:r>
      <w:r>
        <w:t>ciales del país era la prostitución, a la que contribuían los problemas de pobreza y la degradación de los val</w:t>
      </w:r>
      <w:r>
        <w:t>o</w:t>
      </w:r>
      <w:r>
        <w:t>res morales. La prostitución era ilegal y la sociedad la rechazaba y cond</w:t>
      </w:r>
      <w:r>
        <w:t>e</w:t>
      </w:r>
      <w:r>
        <w:t>naba.</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La representante declaró que, después de las ele</w:t>
      </w:r>
      <w:r>
        <w:t>c</w:t>
      </w:r>
      <w:r>
        <w:t>ciones de 1995, las diputadas ocupaban 10 de los 114 escaños en la Asamblea Nacional. Indicó también que de los 25 ministros y tres secretarios de Estado, cuatro eran mujeres, y que de los 14 magistrados de la Corte Suprema tres eran mujeres. La representante declaró que el escaso número de mujeres en el Gobierno d</w:t>
      </w:r>
      <w:r>
        <w:t>e</w:t>
      </w:r>
      <w:r>
        <w:t>mostraba la marginación de la mujer en el proceso de adopción de decisiones públicas.</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La representante informó al Comité de que el 85% de las mujeres eran analfabetas, en comparación con un 62% de los hombres. El Gobierno había intr</w:t>
      </w:r>
      <w:r>
        <w:t>o</w:t>
      </w:r>
      <w:r>
        <w:t>ducido medidas especiales pera combatir el analfab</w:t>
      </w:r>
      <w:r>
        <w:t>e</w:t>
      </w:r>
      <w:r>
        <w:t>tismo de las mujeres y las niñas, en particular mediante la creación de órganos y programas especiales, como el Comité de Igualdad del Departamento de Educación para el adelanto de las much</w:t>
      </w:r>
      <w:r>
        <w:t>a</w:t>
      </w:r>
      <w:r>
        <w:t>chas.</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La representante señaló que el Código de Trabajo regulaba el trabajo de la mujer, y que las cuestiones relacionadas con la maternidad, la salud y la seguridad eran objeto de otros reglamentos. El objetivo de estos reglamentos era permitir a la mujer conciliar sus dive</w:t>
      </w:r>
      <w:r>
        <w:t>r</w:t>
      </w:r>
      <w:r>
        <w:t>sos papeles como madres, esposas y trabajadoras.</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La representante indicó que la situación de las mujeres con VIH/SIDA era un grave motivo de pre</w:t>
      </w:r>
      <w:r>
        <w:t>o</w:t>
      </w:r>
      <w:r>
        <w:t>cupación. En 1987 hubo ocho hombres infectados con VIH/SIDA, en comparación con una mujer. En 1996, la proporción de personas infectadas fue de tres hombres por una mujer, y en 1997 de dos hombres infectados por cada mujer. La representante añadió que no había discriminación por motivo del género en relación con la atención de salud y el acceso a los servicios sanit</w:t>
      </w:r>
      <w:r>
        <w:t>a</w:t>
      </w:r>
      <w:r>
        <w:t>rios, pero que en la práctica existían disparidades entre géneros en esta esfera.</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La representante declaró que se había creado un Fondo Nacional de Seguridad Social para los asalari</w:t>
      </w:r>
      <w:r>
        <w:t>a</w:t>
      </w:r>
      <w:r>
        <w:t>dos, y que los servicios sociales y de seguridad se ofr</w:t>
      </w:r>
      <w:r>
        <w:t>e</w:t>
      </w:r>
      <w:r>
        <w:t>cían a las personas sin carácter discriminatorio. Sin embargo, la legislación disponía actualmente que los subsidios familiares se pagasen a los varones jefes de familia, mas que a las mujeres. La discriminación ta</w:t>
      </w:r>
      <w:r>
        <w:t>m</w:t>
      </w:r>
      <w:r>
        <w:t>bién limitaba el acceso de las mujeres al crédito, y se reflejaba en la negativa de los empleados a contratar mujeres porque podían quedar embarazadas, y en la preferencia para dar educación a los hijos más que a las hijas.</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Para concluir, la representante informó al Comité de que diversos factores impedían al Gobierno cumplir su deseo de aplicar plenamente la Convención: la esc</w:t>
      </w:r>
      <w:r>
        <w:t>a</w:t>
      </w:r>
      <w:r>
        <w:t>sa asignación de fondos a los sectores sociales y, en particular para el adelanto de la mujer; la fuerte deuda exterior y el servicio de la deuda; y la reciente llegada de refugiados de Liberia y Sierra Leona. La represe</w:t>
      </w:r>
      <w:r>
        <w:t>n</w:t>
      </w:r>
      <w:r>
        <w:t>tante indicó que su Gobierno acogería complacido el apoyo internacional en sus esfuerzos para aplicar la Convención y mejorar la posición de las mujeres en Guinea.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Observaciones finales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DualTxt"/>
        <w:spacing w:after="0" w:line="120" w:lineRule="exact"/>
        <w:rPr>
          <w:sz w:val="10"/>
        </w:rPr>
      </w:pP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El Comité expresa su agradecimiento al Gobierno por su informe inicial y su segundo y tercer informes periódicos combinados que, aunque recibidos con r</w:t>
      </w:r>
      <w:r>
        <w:t>e</w:t>
      </w:r>
      <w:r>
        <w:t>traso, se ajustaban a las directrices del Comité para la presentación de informes. El Comité elogia al Gobierno por su extensa exposición verbal y la documentación escrita de antecedentes, en la que se actualizaba la s</w:t>
      </w:r>
      <w:r>
        <w:t>i</w:t>
      </w:r>
      <w:r>
        <w:t>tuación en el país desde la presentación del informe en 1997 y se daban más detalles sobre la aplicación de la Convención.</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El Comité elogia al Gobierno por haber enviado una nutrida delegación de alto nivel encabezada por la Ministra de Asuntos Sociales, de la Promoción de la Mujer y de la Infancia. Agradece la franqueza con que se ha preparado el informe y la clara presentación del Estado parte, que ha permitido al Comité entablar un diálogo constructivo, y acoge complacido el deseo de la delegación de llevar a cabo actividades de segu</w:t>
      </w:r>
      <w:r>
        <w:t>i</w:t>
      </w:r>
      <w:r>
        <w:t>miento en el a</w:t>
      </w:r>
      <w:r>
        <w:t>c</w:t>
      </w:r>
      <w:r>
        <w:t>tual período de sesiones.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El Comité acoge favorablemente el hecho de que Guinea ratificase la Convención sin reservas y acoge complacido los esfuerzos realizados por el Gobierno para aplicar la Convención.</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El Comité acoge complacido la aprobación del Programa marco sobre el género y el desarrollo para 1997-2001, que integra las perspectivas del género en la legislación, las políticas y las estructuras de poder, la economía y la reducción de la pobreza, la educación y el alfabetismo, y la salud y los mecanismos instituci</w:t>
      </w:r>
      <w:r>
        <w:t>o</w:t>
      </w:r>
      <w:r>
        <w:t>nales. El Comité acoge complacido, en particular, la creación por el Estado parte del Ministerio de Asuntos Sociales, de la Promoción de la Mujer y de la Infancia, encargado de la aplicación y seguimiento de la política of</w:t>
      </w:r>
      <w:r>
        <w:t>i</w:t>
      </w:r>
      <w:r>
        <w:t>cial sobre las mujeres y los niños.</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El Comité elogia al Gobierno por las numerosas reformas introducidas en la legislación desde la ratif</w:t>
      </w:r>
      <w:r>
        <w:t>i</w:t>
      </w:r>
      <w:r>
        <w:t>cación de la Convención en 1982, en particular la r</w:t>
      </w:r>
      <w:r>
        <w:t>e</w:t>
      </w:r>
      <w:r>
        <w:t>forma de la Constitución, del código penal, del código civil y del código del estatuto personal y el derecho de familia, que actualmente es objeto de nuevas enmie</w:t>
      </w:r>
      <w:r>
        <w:t>n</w:t>
      </w:r>
      <w:r>
        <w:t>das para promover los derechos de la mujer.</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El Comité elogia al Gobierno por sus esfuerzos para poner en vigor normas que castiguen la mutilación genital femenina así como por las medidas adoptadas para que los médicos puedan ganarse la vida de otra forma. También acoge complacido el establecimiento de centros de asistencia legal para difundir información sobre los derechos de las mujeres.</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la aplicación de la Convención</w:t>
      </w:r>
    </w:p>
    <w:p w:rsidR="00000000" w:rsidRDefault="00000000">
      <w:pPr>
        <w:pStyle w:val="DualTxt"/>
        <w:spacing w:after="0" w:line="120" w:lineRule="exact"/>
        <w:rPr>
          <w:sz w:val="10"/>
        </w:rPr>
      </w:pP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El Comité observa que la persistencia de preju</w:t>
      </w:r>
      <w:r>
        <w:t>i</w:t>
      </w:r>
      <w:r>
        <w:t>cios y estereotipos con respecto al papel de la mujer en la familia y la sociedad, basados en la idea de la sup</w:t>
      </w:r>
      <w:r>
        <w:t>e</w:t>
      </w:r>
      <w:r>
        <w:t>rioridad del varón y la consiguiente subordinación de las mujeres a los hombres, así como las prácticas di</w:t>
      </w:r>
      <w:r>
        <w:t>s</w:t>
      </w:r>
      <w:r>
        <w:t>criminatorias y tradicionales y una alta tasa de analf</w:t>
      </w:r>
      <w:r>
        <w:t>a</w:t>
      </w:r>
      <w:r>
        <w:t>betismo entre las mujeres, son obstáculos graves para la aplicación de la Convención y el disfrute por las mujeres de sus d</w:t>
      </w:r>
      <w:r>
        <w:t>e</w:t>
      </w:r>
      <w:r>
        <w:t>rechos.</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rPr>
          <w:spacing w:val="0"/>
        </w:rPr>
        <w:t>El Comité reconoce que la difícil situación econ</w:t>
      </w:r>
      <w:r>
        <w:rPr>
          <w:spacing w:val="0"/>
        </w:rPr>
        <w:t>ó</w:t>
      </w:r>
      <w:r>
        <w:rPr>
          <w:spacing w:val="0"/>
        </w:rPr>
        <w:t>mica, el alto grado de pobreza, la presencia de 1 millón de refugiados y personas desplazadas y los conflictos arm</w:t>
      </w:r>
      <w:r>
        <w:rPr>
          <w:spacing w:val="0"/>
        </w:rPr>
        <w:t>a</w:t>
      </w:r>
      <w:r>
        <w:rPr>
          <w:spacing w:val="0"/>
        </w:rPr>
        <w:t>dos en los países vecinos repercuten negativamente</w:t>
      </w:r>
      <w:r>
        <w:t xml:space="preserve"> en los esfuerzos del Estado parte para aplicar la Conve</w:t>
      </w:r>
      <w:r>
        <w:t>n</w:t>
      </w:r>
      <w:r>
        <w:t>ción.</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motivos de preocupación y recomendaciones</w:t>
      </w:r>
    </w:p>
    <w:p w:rsidR="00000000" w:rsidRDefault="00000000">
      <w:pPr>
        <w:pStyle w:val="DualTxt"/>
        <w:spacing w:after="0" w:line="120" w:lineRule="exact"/>
        <w:rPr>
          <w:sz w:val="10"/>
        </w:rPr>
      </w:pP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El Comité manifiesta su preocupación por que, si bien la Constitución establece la igualdad de todos los ciudadanos, no contiene una definición de lo que constituye la discriminación contra la mujer según el artículo 1 de la Convención, que prohíbe la discrimin</w:t>
      </w:r>
      <w:r>
        <w:t>a</w:t>
      </w:r>
      <w:r>
        <w:t>ción tanto directa como indirecta. El Comité nota con preocupación que, si bien la Convención, que garantiza el derecho a la igualdad, prevalece en principio sobre el derecho interno, existen muchas disposiciones discr</w:t>
      </w:r>
      <w:r>
        <w:t>i</w:t>
      </w:r>
      <w:r>
        <w:t>minatorias en la legislación general y los usos refue</w:t>
      </w:r>
      <w:r>
        <w:t>r</w:t>
      </w:r>
      <w:r>
        <w:t>zan la discriminación contra la mujer en Gu</w:t>
      </w:r>
      <w:r>
        <w:t>i</w:t>
      </w:r>
      <w:r>
        <w:t>nea.</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El Comité insta al Gobierno a que modifique la Constitución para que incluya una definición de la discriminación contra la mujer, concebida según el a</w:t>
      </w:r>
      <w:r>
        <w:t>r</w:t>
      </w:r>
      <w:r>
        <w:t>tículo 1 de la Convención. Ruega al Estado parte que adopte medidas para eliminar la contradicción entre las garantías constitucionales por una parte y las demás l</w:t>
      </w:r>
      <w:r>
        <w:t>e</w:t>
      </w:r>
      <w:r>
        <w:t>yes discriminatorias por la otra, emprendiendo un plan global de acción de reforma legislativa y adoptando un mecanismo que permita a la mujer oponerse a la di</w:t>
      </w:r>
      <w:r>
        <w:t>s</w:t>
      </w:r>
      <w:r>
        <w:t>criminación y hacer valer sus derechos garantizados por la Constitución ante los tribun</w:t>
      </w:r>
      <w:r>
        <w:t>a</w:t>
      </w:r>
      <w:r>
        <w:t>les.</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El Comité manifiesta preocupación por el desfase actual entre la igualdad de jure y de facto de la mujer y del hombre y la perduración de prácticas discriminat</w:t>
      </w:r>
      <w:r>
        <w:t>o</w:t>
      </w:r>
      <w:r>
        <w:t>rias que siguen discrim</w:t>
      </w:r>
      <w:r>
        <w:t>i</w:t>
      </w:r>
      <w:r>
        <w:t>nando contra la mujer.</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El Comité alienta al Gobierno a garantizar la pl</w:t>
      </w:r>
      <w:r>
        <w:t>e</w:t>
      </w:r>
      <w:r>
        <w:t>na aplicación de leyes y políticas que implanten la igualdad de jure y tiendan a eliminar la discriminación contra la mujer, así como a establecer un sistema de v</w:t>
      </w:r>
      <w:r>
        <w:t>i</w:t>
      </w:r>
      <w:r>
        <w:t>gilancia para garantizar la aplicación de esas leyes. R</w:t>
      </w:r>
      <w:r>
        <w:t>e</w:t>
      </w:r>
      <w:r>
        <w:t>comienda que el Gobierno procure que todos los re</w:t>
      </w:r>
      <w:r>
        <w:t>s</w:t>
      </w:r>
      <w:r>
        <w:t>ponsables de la aplicación de estas leyes y políticas en todos los niveles estén plenamente apercibidos de su contenido y que emprendan campañas de educación de la opinión pública y de alfabetización jurídica para d</w:t>
      </w:r>
      <w:r>
        <w:t>i</w:t>
      </w:r>
      <w:r>
        <w:t>fundir el conocimiento de estas políticas y leyes.</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El Comité observa con preocupación que, a pesar de las disposiciones legales, usos tales como la mutil</w:t>
      </w:r>
      <w:r>
        <w:t>a</w:t>
      </w:r>
      <w:r>
        <w:t>ción genital femenina, la poligamia y los matrimonios forzosos, inclusive el levirato y el sororato, y la di</w:t>
      </w:r>
      <w:r>
        <w:t>s</w:t>
      </w:r>
      <w:r>
        <w:t>criminación en la custodia de los niños y la herencia, gozan de una amplia aceptación social y no son cast</w:t>
      </w:r>
      <w:r>
        <w:t>i</w:t>
      </w:r>
      <w:r>
        <w:t>gados. También expresa preocupación por las dispos</w:t>
      </w:r>
      <w:r>
        <w:t>i</w:t>
      </w:r>
      <w:r>
        <w:t>ciones de derecho de familia incluidas en el Código Civil que discriminan contra la mujer y consolidan prácticas sociales discriminatorias. También preocupa al Comité el hecho de que el Gobierno se apoye en usos y costumbres sociales para justificar la no aplic</w:t>
      </w:r>
      <w:r>
        <w:t>a</w:t>
      </w:r>
      <w:r>
        <w:t>ción del Código C</w:t>
      </w:r>
      <w:r>
        <w:t>i</w:t>
      </w:r>
      <w:r>
        <w:t>vil.</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El Comité recomienda al Gobierno que desarrolle un plan de acción, con inclusión de una campaña de i</w:t>
      </w:r>
      <w:r>
        <w:t>n</w:t>
      </w:r>
      <w:r>
        <w:t>formación de la opinión pública, dirigida tanto a los hombres como a las mujeres, con el apoyo de la soci</w:t>
      </w:r>
      <w:r>
        <w:t>e</w:t>
      </w:r>
      <w:r>
        <w:t>dad civil y los interlocutores sociales, de suerte que se eliminen el desajuste entre el ordenamiento jurídico y los usos y costumbres sociales, especialmente en lo que respecta al derecho de familia. Alienta al Estado parte a colaborar con los ministerios competentes y con las o</w:t>
      </w:r>
      <w:r>
        <w:t>r</w:t>
      </w:r>
      <w:r>
        <w:t>ganizaciones no gubernamentales, con inclusión de colegios de abogados y agrupaciones femeninas, para crear un entorno favorable a la reforma legislativa y a la aplicación efectiva de la ley. El Comité pide al G</w:t>
      </w:r>
      <w:r>
        <w:t>o</w:t>
      </w:r>
      <w:r>
        <w:t>bierno que facilite a la mujer el conocimiento de sus derechos y explore y aplique métodos innovadores para llegar a las mujeres analfabetas.</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Al Comité le preocupa que el concepto del pr</w:t>
      </w:r>
      <w:r>
        <w:t>e</w:t>
      </w:r>
      <w:r>
        <w:t>dominio masculino siga arraigado en algunas dispos</w:t>
      </w:r>
      <w:r>
        <w:t>i</w:t>
      </w:r>
      <w:r>
        <w:t>ciones de la ley de nacional</w:t>
      </w:r>
      <w:r>
        <w:t>i</w:t>
      </w:r>
      <w:r>
        <w:t>dad.</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El Comité recomienda que los cónyuges de a</w:t>
      </w:r>
      <w:r>
        <w:t>m</w:t>
      </w:r>
      <w:r>
        <w:t xml:space="preserve">bos sexos que contraigan matrimonio con extranjeros sean tratados del mismo modo en las normas que rigen la nacionalidad. El Comité insta también al Gobierno a que garantice la aplicación de la noción del </w:t>
      </w:r>
      <w:r>
        <w:rPr>
          <w:i/>
        </w:rPr>
        <w:t>jus sangu</w:t>
      </w:r>
      <w:r>
        <w:rPr>
          <w:i/>
        </w:rPr>
        <w:t>i</w:t>
      </w:r>
      <w:r>
        <w:rPr>
          <w:i/>
        </w:rPr>
        <w:t>nis</w:t>
      </w:r>
      <w:r>
        <w:t xml:space="preserve"> para que los hijos de matrimonios mixtos nacidos fuera del país puedan adquirir la nacionalidad a través de su madre guine</w:t>
      </w:r>
      <w:r>
        <w:t>a</w:t>
      </w:r>
      <w:r>
        <w:t>na.</w:t>
      </w:r>
    </w:p>
    <w:p w:rsidR="00000000" w:rsidRDefault="00000000">
      <w:pPr>
        <w:pStyle w:val="DualTxt"/>
        <w:numPr>
          <w:ilvl w:val="0"/>
          <w:numId w:val="154"/>
        </w:numPr>
        <w:tabs>
          <w:tab w:val="clear" w:pos="480"/>
          <w:tab w:val="clear" w:pos="960"/>
          <w:tab w:val="left" w:pos="475"/>
          <w:tab w:val="left" w:pos="965"/>
          <w:tab w:val="left" w:pos="1440"/>
          <w:tab w:val="left" w:pos="1915"/>
          <w:tab w:val="left" w:pos="2405"/>
          <w:tab w:val="left" w:pos="2880"/>
          <w:tab w:val="left" w:pos="3355"/>
        </w:tabs>
        <w:ind w:left="0"/>
      </w:pPr>
      <w:r>
        <w:t>El Comité expresa su preocupación por el alto grado de analfabetismo entre mujeres y niñas y el bajo nivel de escolarización de niñas, especialmente en z</w:t>
      </w:r>
      <w:r>
        <w:t>o</w:t>
      </w:r>
      <w:r>
        <w:t>nas rurales. Observa que la enseñanza es la llave de la potenciación de la mujer y que el bajo nivel de la ens</w:t>
      </w:r>
      <w:r>
        <w:t>e</w:t>
      </w:r>
      <w:r>
        <w:t>ñanza de la mujer y de la niña sigue siendo uno de los más graves impedimentos al pleno goce de sus der</w:t>
      </w:r>
      <w:r>
        <w:t>e</w:t>
      </w:r>
      <w:r>
        <w:t>chos humanos y al desarrollo n</w:t>
      </w:r>
      <w:r>
        <w:t>a</w:t>
      </w:r>
      <w:r>
        <w:t>cional sostenible.</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insta al Gobierno que intensifique sus esfuerzos para elevar el nivel de alfabetización de niñas y mujeres y mejorar el acceso de la niña y de la joven a todos los grados de la enseñanza y evitar que aband</w:t>
      </w:r>
      <w:r>
        <w:t>o</w:t>
      </w:r>
      <w:r>
        <w:t>nen la escuela. Alienta al Gobierno a introducir nuevas medidas especiales en materia de educación, tales c</w:t>
      </w:r>
      <w:r>
        <w:t>o</w:t>
      </w:r>
      <w:r>
        <w:t>mo incentivos a los padres para que manden sus hijas a la escuela y contratación de mae</w:t>
      </w:r>
      <w:r>
        <w:t>s</w:t>
      </w:r>
      <w:r>
        <w:t>tras.</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Aunque el Gobierno ha progresado en la satisfa</w:t>
      </w:r>
      <w:r>
        <w:t>c</w:t>
      </w:r>
      <w:r>
        <w:t>ción de las necesidades básicas de salud de la pobl</w:t>
      </w:r>
      <w:r>
        <w:t>a</w:t>
      </w:r>
      <w:r>
        <w:t>ción, preocupa al Comité la incidencia de mortalidad maternoinfantil, la persistente práctica y el alto índice de mutilación genital femenina, la falta de acceso de la mujer a los servicios de atención de salud y la falta de acceso a servicios de planificación fam</w:t>
      </w:r>
      <w:r>
        <w:t>i</w:t>
      </w:r>
      <w:r>
        <w:t>liar.</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recomienda al Gobierno que oriente sus políticas y recursos a la mejora de la situación de la salud de la mujer, en particular por lo que corresponde a la mortalidad maternoinfantil. Asimismo insta al G</w:t>
      </w:r>
      <w:r>
        <w:t>o</w:t>
      </w:r>
      <w:r>
        <w:t>bierno a incrementar el acceso de la mujer a los serv</w:t>
      </w:r>
      <w:r>
        <w:t>i</w:t>
      </w:r>
      <w:r>
        <w:t>cios de asistencia s</w:t>
      </w:r>
      <w:r>
        <w:t>a</w:t>
      </w:r>
      <w:r>
        <w:t xml:space="preserve">nitaria y planificación familiar. </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se declara alarmado ante el creciente índice de VIH/SIDA y la falta de medidas de trat</w:t>
      </w:r>
      <w:r>
        <w:t>a</w:t>
      </w:r>
      <w:r>
        <w:t>miento de mujeres y niñas infectadas y afectadas por el VIH/SIDA.</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insta al Gobierno a que adopte medidas integrales de lucha contra la pandemia del VIH/SIDA, e incremente las medidas prácticas de prevención di</w:t>
      </w:r>
      <w:r>
        <w:t>s</w:t>
      </w:r>
      <w:r>
        <w:t>tribuyendo condones entre mujeres y hombres. Insta también al Gobierno que evite la discriminación contra mujeres y niñas infectadas por el VIH/SIDA a las que se debe prestar la ayuda adecuada. El Comité subraya el hecho de que la recogida de datos fidedignos sobre el VIH/SIDA es decisiva para un entendimiento ad</w:t>
      </w:r>
      <w:r>
        <w:t>e</w:t>
      </w:r>
      <w:r>
        <w:t>cuado de la pand</w:t>
      </w:r>
      <w:r>
        <w:t>e</w:t>
      </w:r>
      <w:r>
        <w:t>mia.</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manifiesta preocupación por las actit</w:t>
      </w:r>
      <w:r>
        <w:t>u</w:t>
      </w:r>
      <w:r>
        <w:t>des estereotipadas sobre la función de la mujer y el hombre en la sociedad, lo que prueba la escasa repr</w:t>
      </w:r>
      <w:r>
        <w:t>e</w:t>
      </w:r>
      <w:r>
        <w:t>sentación de la mujer en órganos decisorios, tales como la Asamblea Nacional, el Gobierno y el Poder Judicial. El Comité observa que el Gobierno no ha aplicado las medidas especiales de carácter temporal establecidas en el párrafo 1 del artículo 4 de la Conve</w:t>
      </w:r>
      <w:r>
        <w:t>n</w:t>
      </w:r>
      <w:r>
        <w:t>ción.</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recomienda al Gobierno que aplique la noción de las medidas especiales de carácter temp</w:t>
      </w:r>
      <w:r>
        <w:t>o</w:t>
      </w:r>
      <w:r>
        <w:t>ral para ampliar el número de mujeres en puestos d</w:t>
      </w:r>
      <w:r>
        <w:t>i</w:t>
      </w:r>
      <w:r>
        <w:t>rectivos de todas las categorías y en todos los sectores. Recomienda al Gobierno que intensifique sus esfuerzos para promover a la mujer a puestos de poder organ</w:t>
      </w:r>
      <w:r>
        <w:t>i</w:t>
      </w:r>
      <w:r>
        <w:t>zando programas especiales de capacitación de mujeres y desarrollando campañas de adoctrinamiento sobre la importancia de la participación de la mujer en la ado</w:t>
      </w:r>
      <w:r>
        <w:t>p</w:t>
      </w:r>
      <w:r>
        <w:t>ción de decisiones a todos los niveles.</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expresa su preocupación por la viole</w:t>
      </w:r>
      <w:r>
        <w:t>n</w:t>
      </w:r>
      <w:r>
        <w:t>cia existente contra la mujer y la niña, con inclusión de la violencia en el hogar, los malos tratos de obra, el r</w:t>
      </w:r>
      <w:r>
        <w:t>e</w:t>
      </w:r>
      <w:r>
        <w:t>pudio, los matrimonios prematuros y forzados y el ab</w:t>
      </w:r>
      <w:r>
        <w:t>u</w:t>
      </w:r>
      <w:r>
        <w:t>so de viudas y mujeres menopáus</w:t>
      </w:r>
      <w:r>
        <w:t>i</w:t>
      </w:r>
      <w:r>
        <w:t>cas.</w:t>
      </w:r>
    </w:p>
    <w:p w:rsidR="00000000" w:rsidRDefault="00000000">
      <w:pPr>
        <w:pStyle w:val="DualTxt"/>
        <w:numPr>
          <w:ilvl w:val="0"/>
          <w:numId w:val="160"/>
        </w:numPr>
        <w:tabs>
          <w:tab w:val="clear" w:pos="960"/>
          <w:tab w:val="left" w:pos="475"/>
          <w:tab w:val="left" w:pos="965"/>
        </w:tabs>
      </w:pPr>
      <w:r>
        <w:t>El Comité insta al Gobierno a que dé la máxima prioridad a la cuestión de la violencia contra la mujer y reconozca que esa violencia, incluida la violencia en el hogar, constituye una violación de los derechos hum</w:t>
      </w:r>
      <w:r>
        <w:t>a</w:t>
      </w:r>
      <w:r>
        <w:t>nos de la mujer en virtud de la Convención. A la luz de su recomendación general 19</w:t>
      </w:r>
      <w:r>
        <w:rPr>
          <w:vertAlign w:val="superscript"/>
        </w:rPr>
        <w:t>5</w:t>
      </w:r>
      <w:r>
        <w:t>, el Comité pide al G</w:t>
      </w:r>
      <w:r>
        <w:t>o</w:t>
      </w:r>
      <w:r>
        <w:t>bierno que promulgue una legislación sobre la viole</w:t>
      </w:r>
      <w:r>
        <w:t>n</w:t>
      </w:r>
      <w:r>
        <w:t>cia en el hogar lo antes posible, en la que se tipifique como delito penal la violencia contra la mujer y las n</w:t>
      </w:r>
      <w:r>
        <w:t>i</w:t>
      </w:r>
      <w:r>
        <w:t>ñas y se dote a las víctimas de la violencia medios i</w:t>
      </w:r>
      <w:r>
        <w:t>n</w:t>
      </w:r>
      <w:r>
        <w:t>mediatos de preparación y protección. El Comité rec</w:t>
      </w:r>
      <w:r>
        <w:t>o</w:t>
      </w:r>
      <w:r>
        <w:t>mienda asimismo la formación en cuestiones de género de todos los funcionarios públicos, en particular los e</w:t>
      </w:r>
      <w:r>
        <w:t>n</w:t>
      </w:r>
      <w:r>
        <w:t>cargados de hacer cumplir la ley y el poder judicial, así como el personal sanitario, para que tengan una form</w:t>
      </w:r>
      <w:r>
        <w:t>a</w:t>
      </w:r>
      <w:r>
        <w:t>ción sobre todos los tipos de violencia contra mujeres y niñas.</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observa con preocupación que, a pesar de la prohibición legislativa, la prostitución va en a</w:t>
      </w:r>
      <w:r>
        <w:t>u</w:t>
      </w:r>
      <w:r>
        <w:t>mento a un ritmo alarmante y que la incidencia de VIH y otras enfermedades de transmisión sexual entre las prostitutas también va en a</w:t>
      </w:r>
      <w:r>
        <w:t>u</w:t>
      </w:r>
      <w:r>
        <w:t xml:space="preserve">mento. </w:t>
      </w:r>
    </w:p>
    <w:p w:rsidR="00000000" w:rsidRDefault="00000000">
      <w:pPr>
        <w:pStyle w:val="DualTxt"/>
        <w:numPr>
          <w:ilvl w:val="0"/>
          <w:numId w:val="160"/>
        </w:numPr>
        <w:tabs>
          <w:tab w:val="clear" w:pos="960"/>
          <w:tab w:val="left" w:pos="475"/>
          <w:tab w:val="left" w:pos="965"/>
        </w:tabs>
      </w:pPr>
      <w:r>
        <w:t>El Comité insta al Gobierno a que aplique rigur</w:t>
      </w:r>
      <w:r>
        <w:t>o</w:t>
      </w:r>
      <w:r>
        <w:t>samente leyes que prohíban la explotación de la pro</w:t>
      </w:r>
      <w:r>
        <w:t>s</w:t>
      </w:r>
      <w:r>
        <w:t>titución pero no castigue a las mujeres que prestan se</w:t>
      </w:r>
      <w:r>
        <w:t>r</w:t>
      </w:r>
      <w:r>
        <w:t xml:space="preserve">vicios de carácter sexual y, además, conceda plena </w:t>
      </w:r>
      <w:r>
        <w:rPr>
          <w:spacing w:val="0"/>
        </w:rPr>
        <w:t>atención a la prestación de servicios sanitarios a las pro</w:t>
      </w:r>
      <w:r>
        <w:rPr>
          <w:spacing w:val="0"/>
        </w:rPr>
        <w:t>s</w:t>
      </w:r>
      <w:r>
        <w:rPr>
          <w:spacing w:val="0"/>
        </w:rPr>
        <w:t>titutas para atajar el aumento de casos de VIH/SIDA.</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Preocupa al Comité la situación de la mujer ca</w:t>
      </w:r>
      <w:r>
        <w:t>m</w:t>
      </w:r>
      <w:r>
        <w:t>pesina, que constituye la mayoría de la población f</w:t>
      </w:r>
      <w:r>
        <w:t>e</w:t>
      </w:r>
      <w:r>
        <w:t>menina del país. Le preocupa también que las costu</w:t>
      </w:r>
      <w:r>
        <w:t>m</w:t>
      </w:r>
      <w:r>
        <w:t>bres y convicciones que impiden a la mujer heredar y recibir en propiedad tierras y bienes, gocen de una aceptación generalizada en z</w:t>
      </w:r>
      <w:r>
        <w:t>o</w:t>
      </w:r>
      <w:r>
        <w:t>nas rurales.</w:t>
      </w:r>
    </w:p>
    <w:p w:rsidR="00000000" w:rsidRDefault="00000000">
      <w:pPr>
        <w:pStyle w:val="DualTxt"/>
        <w:numPr>
          <w:ilvl w:val="0"/>
          <w:numId w:val="160"/>
        </w:numPr>
        <w:tabs>
          <w:tab w:val="clear" w:pos="960"/>
          <w:tab w:val="left" w:pos="475"/>
          <w:tab w:val="left" w:pos="965"/>
        </w:tabs>
      </w:pPr>
      <w:r>
        <w:t>El Comité insta al Gobierno que preste la máxima atención a las necesidades de las campesinas y garant</w:t>
      </w:r>
      <w:r>
        <w:t>i</w:t>
      </w:r>
      <w:r>
        <w:t>ce que se beneficien de las políticas y los programas adoptados en todas las esferas, así como que participen en la adopción de decisiones y tengan pleno acceso a los servicios sanitarios y crediticios. Además, insta a la eliminación de la discriminación en el ámbito de la propiedad y herencia de la ti</w:t>
      </w:r>
      <w:r>
        <w:t>e</w:t>
      </w:r>
      <w:r>
        <w:t>rra.</w:t>
      </w:r>
    </w:p>
    <w:p w:rsidR="00000000" w:rsidRDefault="00000000">
      <w:pPr>
        <w:pStyle w:val="DualTxt"/>
        <w:keepNext/>
        <w:keepLines/>
        <w:numPr>
          <w:ilvl w:val="0"/>
          <w:numId w:val="160"/>
        </w:numPr>
        <w:tabs>
          <w:tab w:val="clear" w:pos="960"/>
          <w:tab w:val="left" w:pos="475"/>
          <w:tab w:val="left" w:pos="965"/>
        </w:tabs>
      </w:pPr>
      <w:r>
        <w:t xml:space="preserve">El Comité se congratula de los esfuerzos del </w:t>
      </w:r>
      <w:r>
        <w:br/>
        <w:t>Estado parte por acoger a los refugiados y personas desplazadas de los países limítrofes y además se co</w:t>
      </w:r>
      <w:r>
        <w:t>n</w:t>
      </w:r>
      <w:r>
        <w:t>gratula de la legislación promulgada para proteger los derechos de los refugiados, la mayoría de los cuales son mujeres y niños, pero no deja de expresar preoc</w:t>
      </w:r>
      <w:r>
        <w:t>u</w:t>
      </w:r>
      <w:r>
        <w:t>pación por la limitada capacidad del Estado parte de proteger y garantizar los derechos de los ref</w:t>
      </w:r>
      <w:r>
        <w:t>u</w:t>
      </w:r>
      <w:r>
        <w:t>giados.</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recomienda al Gobierno que siga prestando ayuda a los refugiados y a las mujeres y n</w:t>
      </w:r>
      <w:r>
        <w:t>i</w:t>
      </w:r>
      <w:r>
        <w:t>ñas desplazadas a la vez que adopta medidas de reh</w:t>
      </w:r>
      <w:r>
        <w:t>a</w:t>
      </w:r>
      <w:r>
        <w:t xml:space="preserve">bilitación en su favor. El Comité recomienda al Estado parte que recabe mayor asistencia y colaboración de organismos internacionales competentes en materia de </w:t>
      </w:r>
      <w:r>
        <w:rPr>
          <w:spacing w:val="0"/>
        </w:rPr>
        <w:t>protección de refugiados, tales como la Oficina del Alto</w:t>
      </w:r>
      <w:r>
        <w:t xml:space="preserve"> Comisionado de las Naciones Unidas para los Refugi</w:t>
      </w:r>
      <w:r>
        <w:t>a</w:t>
      </w:r>
      <w:r>
        <w:t>dos y el Fondo de las Naciones Unidas para la I</w:t>
      </w:r>
      <w:r>
        <w:t>n</w:t>
      </w:r>
      <w:r>
        <w:t>fancia.</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insta al Gobierno a que firme y ratif</w:t>
      </w:r>
      <w:r>
        <w:t>i</w:t>
      </w:r>
      <w:r>
        <w:t>que el Protocolo Facultativo de la Convención y dep</w:t>
      </w:r>
      <w:r>
        <w:t>o</w:t>
      </w:r>
      <w:r>
        <w:t>site lo antes posible su instrumento de aceptación de la enmienda del párrafo 1 del artículo 20 de la Conve</w:t>
      </w:r>
      <w:r>
        <w:t>n</w:t>
      </w:r>
      <w:r>
        <w:t>ción sobre la duración de las re</w:t>
      </w:r>
      <w:r>
        <w:t>u</w:t>
      </w:r>
      <w:r>
        <w:t>niones al Comité.</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ruega al Gobierno que responda a las preocupaciones expresadas en las presentes conclusi</w:t>
      </w:r>
      <w:r>
        <w:t>o</w:t>
      </w:r>
      <w:r>
        <w:t>nes en su próximo informe periódico presentado de conformidad con el artículo 18 de la Convención. Ta</w:t>
      </w:r>
      <w:r>
        <w:t>m</w:t>
      </w:r>
      <w:r>
        <w:t>bién insta al Gobierno a que mejore la recogida y el análisis de datos estadísticos, desglosados por sexos y los presente al Comité en su próximo i</w:t>
      </w:r>
      <w:r>
        <w:t>n</w:t>
      </w:r>
      <w:r>
        <w:t>forme.</w:t>
      </w:r>
    </w:p>
    <w:p w:rsidR="00000000" w:rsidRDefault="00000000">
      <w:pPr>
        <w:pStyle w:val="DualTxt"/>
        <w:numPr>
          <w:ilvl w:val="0"/>
          <w:numId w:val="160"/>
        </w:numPr>
        <w:tabs>
          <w:tab w:val="clear" w:pos="960"/>
          <w:tab w:val="left" w:pos="475"/>
          <w:tab w:val="left" w:pos="965"/>
        </w:tabs>
      </w:pPr>
      <w:r>
        <w:t>El Comité ruega la amplia difusión en Guinea de las presentes conclusiones con objeto de que la pobl</w:t>
      </w:r>
      <w:r>
        <w:t>a</w:t>
      </w:r>
      <w:r>
        <w:t>ción de este país, en particular los funcionarios del G</w:t>
      </w:r>
      <w:r>
        <w:t>o</w:t>
      </w:r>
      <w:r>
        <w:t>bierno y los políticos, estén informados de las medidas adoptadas para garantizar la igualdad de jure y de facto de la mujer, así como de todas las ulteriores medidas requeridas a este respecto. Se ruega asimismo al G</w:t>
      </w:r>
      <w:r>
        <w:t>o</w:t>
      </w:r>
      <w:r>
        <w:t>bierno que siga difundiendo ampliamente, en particular entre las organizaciones de derechos humanos y de mujeres, la Convención, su Protocolo Facultativo, las recomendaciones generales al Comité y la Declaración y Plataforma de Acción de Beijing, así como los resu</w:t>
      </w:r>
      <w:r>
        <w:t>l</w:t>
      </w:r>
      <w:r>
        <w:t>tados del decimotercer período extraordinario de sesi</w:t>
      </w:r>
      <w:r>
        <w:t>o</w:t>
      </w:r>
      <w:r>
        <w:t>nes de la Asamblea General titulado “Las mujeres en el año 2000: igualdad entre los géneros, desarrollo y paz para el s</w:t>
      </w:r>
      <w:r>
        <w:t>i</w:t>
      </w:r>
      <w:r>
        <w:t>glo XXI”.</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Segundo examen periódico</w:t>
      </w:r>
    </w:p>
    <w:p w:rsidR="00000000" w:rsidRDefault="00000000">
      <w:pPr>
        <w:pStyle w:val="DualTxt"/>
        <w:keepNext/>
        <w:keepLine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Guyana</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160"/>
        </w:numPr>
        <w:tabs>
          <w:tab w:val="clear" w:pos="960"/>
          <w:tab w:val="left" w:pos="475"/>
          <w:tab w:val="left" w:pos="965"/>
          <w:tab w:val="left" w:pos="1440"/>
          <w:tab w:val="left" w:pos="1915"/>
          <w:tab w:val="left" w:pos="2405"/>
          <w:tab w:val="left" w:pos="2880"/>
          <w:tab w:val="left" w:pos="3355"/>
        </w:tabs>
      </w:pPr>
      <w:r>
        <w:rPr>
          <w:spacing w:val="0"/>
        </w:rPr>
        <w:t>En su 527</w:t>
      </w:r>
      <w:r>
        <w:rPr>
          <w:spacing w:val="0"/>
          <w:vertAlign w:val="superscript"/>
        </w:rPr>
        <w:t>a</w:t>
      </w:r>
      <w:r>
        <w:rPr>
          <w:spacing w:val="0"/>
        </w:rPr>
        <w:t xml:space="preserve"> sesión, celebrada el 18 de julio de 2001, el Comité examinó el segundo informe periódico de G</w:t>
      </w:r>
      <w:r>
        <w:rPr>
          <w:spacing w:val="0"/>
        </w:rPr>
        <w:t>u</w:t>
      </w:r>
      <w:r>
        <w:rPr>
          <w:spacing w:val="0"/>
        </w:rPr>
        <w:t>yana (CEDAW/C/GUY/2) (véase CEDAW/C/SR.527)</w:t>
      </w:r>
      <w: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Presentación del informe por el Estado parte</w:t>
      </w:r>
    </w:p>
    <w:p w:rsidR="00000000" w:rsidRDefault="00000000">
      <w:pPr>
        <w:pStyle w:val="DualTxt"/>
        <w:spacing w:after="0" w:line="120" w:lineRule="exact"/>
        <w:rPr>
          <w:sz w:val="10"/>
        </w:rPr>
      </w:pP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Al presentar el informe, la representante de G</w:t>
      </w:r>
      <w:r>
        <w:t>u</w:t>
      </w:r>
      <w:r>
        <w:t>yana informó al Comité de que su Gobierno estaba comprometido a velar por la existencia de los mec</w:t>
      </w:r>
      <w:r>
        <w:t>a</w:t>
      </w:r>
      <w:r>
        <w:t>nismos que garantizaran la participación plena y en pie de igualdad de la mujer y el hombre en la sociedad. Asimismo, si bien reconoció que se había logrado un progreso significativo en ese sentido, las normas p</w:t>
      </w:r>
      <w:r>
        <w:t>a</w:t>
      </w:r>
      <w:r>
        <w:t>triarcales, las actitudes sociales y culturales y la difícil situación económica constituían obstáculos para el l</w:t>
      </w:r>
      <w:r>
        <w:t>o</w:t>
      </w:r>
      <w:r>
        <w:t>gro de la plena igualdad de género.</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La representante informó al Comité de que, hab</w:t>
      </w:r>
      <w:r>
        <w:t>i</w:t>
      </w:r>
      <w:r>
        <w:t>da cuenta del proceso de reforma constitucional, se h</w:t>
      </w:r>
      <w:r>
        <w:t>a</w:t>
      </w:r>
      <w:r>
        <w:t>bía acordado que la no discriminación sobre la base del sexo, género, estado civil y embarazo debía ser un d</w:t>
      </w:r>
      <w:r>
        <w:t>e</w:t>
      </w:r>
      <w:r>
        <w:t>recho fundamental efectivo consagrado en la Constit</w:t>
      </w:r>
      <w:r>
        <w:t>u</w:t>
      </w:r>
      <w:r>
        <w:t>ción. En 2001, la Asamblea Nacional había aprobado una ley por la que se establecían comisiones constit</w:t>
      </w:r>
      <w:r>
        <w:t>u</w:t>
      </w:r>
      <w:r>
        <w:t>cionales, entre ellas la Comisión sobre la Mujer y la Igualdad de Género.</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La representante explicó que la Oficina de Asu</w:t>
      </w:r>
      <w:r>
        <w:t>n</w:t>
      </w:r>
      <w:r>
        <w:t>tos de la Mujer era un organismo dentro del Ministerio de Trabajo, Servicios Humanos y Seguridad Social e</w:t>
      </w:r>
      <w:r>
        <w:t>n</w:t>
      </w:r>
      <w:r>
        <w:t>cargado de coordinar los esfuerzos nacionales para p</w:t>
      </w:r>
      <w:r>
        <w:t>o</w:t>
      </w:r>
      <w:r>
        <w:t>ner fin a la discriminación contra la mujer en la soci</w:t>
      </w:r>
      <w:r>
        <w:t>e</w:t>
      </w:r>
      <w:r>
        <w:t>dad. Desde su establecimiento en 1981, la Oficina se había ocupado de los cambios normativos y las med</w:t>
      </w:r>
      <w:r>
        <w:t>i</w:t>
      </w:r>
      <w:r>
        <w:t>das legislativas y administrativas encaminadas a g</w:t>
      </w:r>
      <w:r>
        <w:t>a</w:t>
      </w:r>
      <w:r>
        <w:t>rantizar la igualdad de oportunidades para la mujer en las esferas de la educación, la capacitación y el empleo. Si bien en el pasado la amplia gama de funciones de la Oficina había impuesto límites a su capacidad, se la fortalecería en el futuro en las esferas de los recursos humanos y financieros.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La representante explicó el propósito y el funci</w:t>
      </w:r>
      <w:r>
        <w:t>o</w:t>
      </w:r>
      <w:r>
        <w:t>namiento de otros mecanismos e instituciones encam</w:t>
      </w:r>
      <w:r>
        <w:t>i</w:t>
      </w:r>
      <w:r>
        <w:t>nados a promover la igualdad de género. El Plan N</w:t>
      </w:r>
      <w:r>
        <w:t>a</w:t>
      </w:r>
      <w:r>
        <w:t>cional de Acción para la Mujer, 2000-2004, constituía un criterio amplio para abordar factores tales como la salud, la educación, la agricultura, el desempleo, la violencia contra la mujer y cuestiones de liderazgo. En 1997, en cooperación con el Gobierno y el Progr</w:t>
      </w:r>
      <w:r>
        <w:t>a</w:t>
      </w:r>
      <w:r>
        <w:t>ma de las Naciones Unidas para el Desarrollo, se había creado en Guyana el Instituto del Liderazgo de la M</w:t>
      </w:r>
      <w:r>
        <w:t>u</w:t>
      </w:r>
      <w:r>
        <w:t>jer encaminado a potenciar a la mujer en relación con la capacidad de dirección a nivel personal y público. El Centro Nacional de Recursos y Documentación se e</w:t>
      </w:r>
      <w:r>
        <w:t>n</w:t>
      </w:r>
      <w:r>
        <w:t>cargaba de la reunión y difusión de materiales e info</w:t>
      </w:r>
      <w:r>
        <w:t>r</w:t>
      </w:r>
      <w:r>
        <w:t>mación sobre la mujer y las cuestiones de género. El Comité Interministerial prestaba asesoramiento técnico a la Oficina de Asuntos de la Mujer y estaba encargado de la incorporación de las cuestiones de género en los ministerios, departamentos y organismos del Gobierno. La Comisión Nacional sobre la Mujer estaba integrada por representantes de los partidos políticos con escaños en el Parlamento y asesoraba al Gobierno sobre las cuestiones normativas que afectaban a la mujer.</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La representante explicó que la Comisión de R</w:t>
      </w:r>
      <w:r>
        <w:t>e</w:t>
      </w:r>
      <w:r>
        <w:t>forma Constitucional había formulado una recomend</w:t>
      </w:r>
      <w:r>
        <w:t>a</w:t>
      </w:r>
      <w:r>
        <w:t>ción para que hubiera una representación obligatoria del 33,3% de mujeres en las listas de todos los partidos políticos que participaban en elecciones regionales y generales. Si bien no se habían formulado disposici</w:t>
      </w:r>
      <w:r>
        <w:t>o</w:t>
      </w:r>
      <w:r>
        <w:t xml:space="preserve">nes para garantizar que se seleccionara a las mujeres de la lista para representar a sus partidos políticos en el Parlamento, esta disposición dio como resultado que después de las últimas elecciones hubiera un 30,7% de mujeres miembros del Parlamento. En la actualidad, el 21% de los puestos ministeriales estaba ocupado por </w:t>
      </w:r>
      <w:r>
        <w:rPr>
          <w:spacing w:val="2"/>
        </w:rPr>
        <w:t>mujeres y una mujer amerindia estaba a cargo de la ca</w:t>
      </w:r>
      <w:r>
        <w:rPr>
          <w:spacing w:val="2"/>
        </w:rPr>
        <w:t>r</w:t>
      </w:r>
      <w:r>
        <w:rPr>
          <w:spacing w:val="2"/>
        </w:rPr>
        <w:t>tera de asuntos de los amerindios. La representante o</w:t>
      </w:r>
      <w:r>
        <w:rPr>
          <w:spacing w:val="2"/>
        </w:rPr>
        <w:t>b</w:t>
      </w:r>
      <w:r>
        <w:rPr>
          <w:spacing w:val="2"/>
        </w:rPr>
        <w:t>servó que se adoptarían medidas encaminadas a fortal</w:t>
      </w:r>
      <w:r>
        <w:rPr>
          <w:spacing w:val="2"/>
        </w:rPr>
        <w:t>e</w:t>
      </w:r>
      <w:r>
        <w:rPr>
          <w:spacing w:val="2"/>
        </w:rPr>
        <w:t>cer la capacidad de la mujer para participar en la polít</w:t>
      </w:r>
      <w:r>
        <w:rPr>
          <w:spacing w:val="2"/>
        </w:rPr>
        <w:t>i</w:t>
      </w:r>
      <w:r>
        <w:rPr>
          <w:spacing w:val="2"/>
        </w:rPr>
        <w:t>ca, haciendo especial hincapié en las elecciones locales. También señaló que, si bien había aumentado la partic</w:t>
      </w:r>
      <w:r>
        <w:rPr>
          <w:spacing w:val="2"/>
        </w:rPr>
        <w:t>i</w:t>
      </w:r>
      <w:r>
        <w:rPr>
          <w:spacing w:val="2"/>
        </w:rPr>
        <w:t>pación de la mujer en los consejos regionales democrát</w:t>
      </w:r>
      <w:r>
        <w:rPr>
          <w:spacing w:val="2"/>
        </w:rPr>
        <w:t>i</w:t>
      </w:r>
      <w:r>
        <w:rPr>
          <w:spacing w:val="2"/>
        </w:rPr>
        <w:t>cos, todos los presidentes de los consejos eran hombres. La representante informó al Comité de que por primera vez se había elegido a una mujer para ocupar el cargo de Presidenta del Tribunal de Apel</w:t>
      </w:r>
      <w:r>
        <w:rPr>
          <w:spacing w:val="2"/>
        </w:rPr>
        <w:t>a</w:t>
      </w:r>
      <w:r>
        <w:rPr>
          <w:spacing w:val="2"/>
        </w:rPr>
        <w:t>ciones.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rPr>
          <w:spacing w:val="0"/>
        </w:rPr>
        <w:t>Con respecto a la salud de la mujer, la representante destacó la preocupación que existía a nivel nacional ace</w:t>
      </w:r>
      <w:r>
        <w:rPr>
          <w:spacing w:val="0"/>
        </w:rPr>
        <w:t>r</w:t>
      </w:r>
      <w:r>
        <w:rPr>
          <w:spacing w:val="0"/>
        </w:rPr>
        <w:t>ca del aumento del número de personas infectadas</w:t>
      </w:r>
      <w:r>
        <w:t xml:space="preserve"> y afectadas por el VIH/SIDA. Según datos recientes, G</w:t>
      </w:r>
      <w:r>
        <w:t>u</w:t>
      </w:r>
      <w:r>
        <w:t>yana tenía la segunda tasa más elevada de infección en la región del Caribe y las mujeres representaban el 45% de los infectados. En cooperación con organizaciones no gubernamentales, el Gobierno tenía previsto partic</w:t>
      </w:r>
      <w:r>
        <w:t>i</w:t>
      </w:r>
      <w:r>
        <w:t>par en un programa multifacético para prevenir una mayor propag</w:t>
      </w:r>
      <w:r>
        <w:t>a</w:t>
      </w:r>
      <w:r>
        <w:t xml:space="preserve">ción del VIH/SIDA. </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La representante abordó la cuestión de la educ</w:t>
      </w:r>
      <w:r>
        <w:t>a</w:t>
      </w:r>
      <w:r>
        <w:t>ción y señaló que había programas que proporcionaban capacitación especializada para la mujer que hubiera abandonado los estudios. Asimismo, la representante señaló que la falta de una política nacional de licencia de maternidad seguía poniendo en desventaja a la m</w:t>
      </w:r>
      <w:r>
        <w:t>u</w:t>
      </w:r>
      <w:r>
        <w:t>jer en la fuerza de trabajo, particularmente debido a que no existían disposiciones administrativas o juríd</w:t>
      </w:r>
      <w:r>
        <w:t>i</w:t>
      </w:r>
      <w:r>
        <w:t>cas que garantizaran prestaciones por maternidad para la mujer en el sector priv</w:t>
      </w:r>
      <w:r>
        <w:t>a</w:t>
      </w:r>
      <w:r>
        <w:t>do.</w:t>
      </w:r>
    </w:p>
    <w:p w:rsidR="00000000" w:rsidRDefault="00000000">
      <w:pPr>
        <w:pStyle w:val="DualTxt"/>
        <w:numPr>
          <w:ilvl w:val="0"/>
          <w:numId w:val="160"/>
        </w:numPr>
        <w:tabs>
          <w:tab w:val="clear" w:pos="960"/>
          <w:tab w:val="left" w:pos="965"/>
        </w:tabs>
      </w:pPr>
      <w:r>
        <w:t>Desde la aprobación de la Ley contra la violencia doméstica en 1996, el Ministerio de Trabajo, Servicios Humanos y Seguridad Social y organizaciones no g</w:t>
      </w:r>
      <w:r>
        <w:t>u</w:t>
      </w:r>
      <w:r>
        <w:t>bernamentales prestaban servicios de asesoramiento y asistencia jurídica. Asimismo, los miembros de la pol</w:t>
      </w:r>
      <w:r>
        <w:t>i</w:t>
      </w:r>
      <w:r>
        <w:t>cía y los trabajadores sociales habían recibido capac</w:t>
      </w:r>
      <w:r>
        <w:t>i</w:t>
      </w:r>
      <w:r>
        <w:t>tación para ocuparse de casos de viole</w:t>
      </w:r>
      <w:r>
        <w:t>n</w:t>
      </w:r>
      <w:r>
        <w:t>cia doméstica.</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En conclusión, la representante señaló que si bien la actual situación de inestabilidad política constituía un obstáculo para lograr la igualdad de género, albe</w:t>
      </w:r>
      <w:r>
        <w:t>r</w:t>
      </w:r>
      <w:r>
        <w:t>gaba la esperanza de que el Plan Nacional de Acción para el Desarrollo de la Mujer uniera a la mujer más allá de las diferencias religiosas, sociales, culturales y políticas, de forma tal que pudiera contribuir al des</w:t>
      </w:r>
      <w:r>
        <w:t>a</w:t>
      </w:r>
      <w:r>
        <w:t>rrollo ec</w:t>
      </w:r>
      <w:r>
        <w:t>o</w:t>
      </w:r>
      <w:r>
        <w:t>nómico y social del país.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Observaciones finales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DualTxt"/>
        <w:spacing w:after="0" w:line="120" w:lineRule="exact"/>
        <w:rPr>
          <w:sz w:val="10"/>
        </w:rPr>
      </w:pP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encomia al Gobierno de Guyana por su segundo informe, que se ha presentado de conformidad con las directrices del Comité para la preparación de los informes periódicos. Asimismo, encomia al G</w:t>
      </w:r>
      <w:r>
        <w:t>o</w:t>
      </w:r>
      <w:r>
        <w:t>bierno por la presentación por escrito de respuestas amplias a las preguntas formuladas por el grupo de tr</w:t>
      </w:r>
      <w:r>
        <w:t>a</w:t>
      </w:r>
      <w:r>
        <w:t>bajo anterior al período de sesiones del Comité y por la presentación oral hecha por la delegación, que procuró esclarecer la situación actual de la mujer en Guyana y proporcionó información adicional sobre la aplicación de la Co</w:t>
      </w:r>
      <w:r>
        <w:t>n</w:t>
      </w:r>
      <w:r>
        <w:t>vención.</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felicita al Gobierno por la delegación de alto nivel, encabezada por la Ministra de Trabajo, Servicios Humanos y Seguridad Social. El Comité hace constar su reconocimiento por el intercambio franco de información y el diálogo constructivo que tuvo lugar entre la delegación y los miembros del Comité.</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160"/>
        </w:numPr>
        <w:tabs>
          <w:tab w:val="clear" w:pos="960"/>
          <w:tab w:val="left" w:pos="965"/>
          <w:tab w:val="left" w:pos="1440"/>
          <w:tab w:val="left" w:pos="1915"/>
          <w:tab w:val="left" w:pos="2405"/>
          <w:tab w:val="left" w:pos="2880"/>
          <w:tab w:val="left" w:pos="3355"/>
        </w:tabs>
      </w:pPr>
      <w:r>
        <w:t>El Comité acoge con beneplácito el proceso de r</w:t>
      </w:r>
      <w:r>
        <w:t>e</w:t>
      </w:r>
      <w:r>
        <w:t>forma constitucional a resultas del cual se reconoció la no discriminación sobre la base del sexo, el género, el estado civil y el embarazo como un derecho humano fundamental consagrado en la Constitución. También celebra la aprobación del proyecto de ley No. 6, de 2001, por el cual se establecen comisiones constituci</w:t>
      </w:r>
      <w:r>
        <w:t>o</w:t>
      </w:r>
      <w:r>
        <w:t>nales, entre ellas la Comisión sobre la Mujer y la Igualdad de Género, que se ocupará de garantizar la no discriminación contra la mujer en todos los sectores de la soci</w:t>
      </w:r>
      <w:r>
        <w:t>e</w:t>
      </w:r>
      <w:r>
        <w:t>dad.</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encomia al Gobierno por haber logrado una gran representación de la mujer en los cargos pol</w:t>
      </w:r>
      <w:r>
        <w:t>í</w:t>
      </w:r>
      <w:r>
        <w:t>ticos de más alto nivel del país. El Comité acoge con beneplácito el nombramiento de una joven de asce</w:t>
      </w:r>
      <w:r>
        <w:t>n</w:t>
      </w:r>
      <w:r>
        <w:t>dencia amerindia para ocupar un cargo ministerial, por primera vez en la historia de Guyana, encargada de una cartera de asuntos amerindios.</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 xml:space="preserve">El Comité encomia al </w:t>
      </w:r>
      <w:r>
        <w:rPr>
          <w:highlight w:val="yellow"/>
        </w:rPr>
        <w:t>Gobierno</w:t>
      </w:r>
      <w:r>
        <w:t xml:space="preserve"> por la represent</w:t>
      </w:r>
      <w:r>
        <w:t>a</w:t>
      </w:r>
      <w:r>
        <w:t>ción obligatoria del 33,3% de mujeres en las listas de todos los partidos políticos participantes en las elecci</w:t>
      </w:r>
      <w:r>
        <w:t>o</w:t>
      </w:r>
      <w:r>
        <w:t>nes regionales y generales y una representación de un número decisivo de mujeres en una gama de profesi</w:t>
      </w:r>
      <w:r>
        <w:t>o</w:t>
      </w:r>
      <w:r>
        <w:t>nes en el sector públ</w:t>
      </w:r>
      <w:r>
        <w:t>i</w:t>
      </w:r>
      <w:r>
        <w:t>co.</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encomia también al Gobierno por la aprobación del Plan Nacional de Acción para la Mujer, 2000-2004, que constituye un criterio amplio para abordar las cuestiones fundamentales que afectan a la mujer, tales como el empleo, la violencia contra la mujer y la mujer en el proceso de adopción de decisi</w:t>
      </w:r>
      <w:r>
        <w:t>o</w:t>
      </w:r>
      <w:r>
        <w:t>nes.</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la aplicación de la Convención</w:t>
      </w:r>
    </w:p>
    <w:p w:rsidR="00000000" w:rsidRDefault="00000000">
      <w:pPr>
        <w:pStyle w:val="SingleTxt"/>
        <w:keepNext/>
        <w:keepLines/>
        <w:spacing w:after="0" w:line="120" w:lineRule="exact"/>
        <w:rPr>
          <w:sz w:val="10"/>
        </w:rPr>
      </w:pP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reconoce que la aplicación de progr</w:t>
      </w:r>
      <w:r>
        <w:t>a</w:t>
      </w:r>
      <w:r>
        <w:t>mas de ajuste estructural y el aumento de la carga de la deuda, así como la inestabilidad política, han impedido progresar en la plena realización de los derechos de la mujer.</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esferas de preocupación y recomendaciones</w:t>
      </w:r>
    </w:p>
    <w:p w:rsidR="00000000" w:rsidRDefault="00000000">
      <w:pPr>
        <w:pStyle w:val="SingleTxt"/>
        <w:spacing w:after="0" w:line="120" w:lineRule="exact"/>
        <w:rPr>
          <w:sz w:val="10"/>
        </w:rPr>
      </w:pP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expresa su preocupación por que, a p</w:t>
      </w:r>
      <w:r>
        <w:t>e</w:t>
      </w:r>
      <w:r>
        <w:t xml:space="preserve">sar de las medidas jurídicas introducidas, en muchas esferas todavía no se ha logrado aplicar con éxito esas leyes y políticas. </w:t>
      </w:r>
      <w:r>
        <w:rPr>
          <w:highlight w:val="yellow"/>
        </w:rPr>
        <w:t>Al Comité le preocupa</w:t>
      </w:r>
      <w:r>
        <w:t xml:space="preserve"> también que no se hace referencia a la discriminación directa ni en la Constitución ni en la legislación en que se trata de eliminar la discriminación. También expresa preocup</w:t>
      </w:r>
      <w:r>
        <w:t>a</w:t>
      </w:r>
      <w:r>
        <w:t>ción por que en la Constitución todavía no se prevé un procedimiento para las denuncias encaminadas a hacer cumplir las garantías sobre igualdad entre los géneros y los derechos humanos fund</w:t>
      </w:r>
      <w:r>
        <w:t>a</w:t>
      </w:r>
      <w:r>
        <w:t>mentales.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recomienda al Gobierno que dé prior</w:t>
      </w:r>
      <w:r>
        <w:t>i</w:t>
      </w:r>
      <w:r>
        <w:t>dad a la reforma constitucional y legislativa a fin de encarar esas lagunas y a que refuerce los mecanismos de cumplimiento de la ley, a fin de velar por el logro de la igualdad de jure y de facto de la mujer. En particular, el Comité recomienda que se refuercen las medidas c</w:t>
      </w:r>
      <w:r>
        <w:t>i</w:t>
      </w:r>
      <w:r>
        <w:t>viles, a fin de que la mujer pueda hacer cumplir sus d</w:t>
      </w:r>
      <w:r>
        <w:t>e</w:t>
      </w:r>
      <w:r>
        <w:t>rechos mediante procedimientos contenciosos. El C</w:t>
      </w:r>
      <w:r>
        <w:t>o</w:t>
      </w:r>
      <w:r>
        <w:t>mité alienta al Gobierno a que establezca las comisi</w:t>
      </w:r>
      <w:r>
        <w:t>o</w:t>
      </w:r>
      <w:r>
        <w:t>nes constitucionales, entre ellas la Comisión sobre la Mujer y la Igualdad de Género, lo antes posible.</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manifiesta su preocupación por la ef</w:t>
      </w:r>
      <w:r>
        <w:t>i</w:t>
      </w:r>
      <w:r>
        <w:t xml:space="preserve">cacia del mecanismo nacional dedicado a las cuestiones de género en </w:t>
      </w:r>
      <w:r>
        <w:rPr>
          <w:highlight w:val="yellow"/>
        </w:rPr>
        <w:t>Guyana</w:t>
      </w:r>
      <w:r>
        <w:t>. También preocupa al Comité que se hayan asignado recursos humanos y financieros i</w:t>
      </w:r>
      <w:r>
        <w:t>n</w:t>
      </w:r>
      <w:r>
        <w:t>suficientes al mecanismo naci</w:t>
      </w:r>
      <w:r>
        <w:t>o</w:t>
      </w:r>
      <w:r>
        <w:t>nal.</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rPr>
          <w:w w:val="102"/>
          <w:highlight w:val="yellow"/>
        </w:rPr>
      </w:pPr>
      <w:r>
        <w:rPr>
          <w:w w:val="102"/>
        </w:rPr>
        <w:t>El Comité recomienda al Gobierno que defina cl</w:t>
      </w:r>
      <w:r>
        <w:rPr>
          <w:w w:val="102"/>
        </w:rPr>
        <w:t>a</w:t>
      </w:r>
      <w:r>
        <w:rPr>
          <w:w w:val="102"/>
        </w:rPr>
        <w:t xml:space="preserve">ramente los mandatos de las distintas comisiones y el nivel de interacción entre ellas. El Comité alienta al Gobierno a que prosiga el proceso de reestructuración del mecanismo nacional y que </w:t>
      </w:r>
      <w:r>
        <w:rPr>
          <w:spacing w:val="-2"/>
          <w:w w:val="102"/>
        </w:rPr>
        <w:t>asigne los recursos hum</w:t>
      </w:r>
      <w:r>
        <w:rPr>
          <w:spacing w:val="-2"/>
          <w:w w:val="102"/>
        </w:rPr>
        <w:t>a</w:t>
      </w:r>
      <w:r>
        <w:rPr>
          <w:spacing w:val="-2"/>
          <w:w w:val="102"/>
        </w:rPr>
        <w:t>nos y financieros necesarios para velar por la aplicación efectiva de las políticas y programas gubernamentales rel</w:t>
      </w:r>
      <w:r>
        <w:rPr>
          <w:spacing w:val="-2"/>
          <w:w w:val="102"/>
        </w:rPr>
        <w:t>a</w:t>
      </w:r>
      <w:r>
        <w:rPr>
          <w:spacing w:val="-2"/>
          <w:w w:val="102"/>
        </w:rPr>
        <w:t xml:space="preserve">tivos a la igualdad de género. </w:t>
      </w:r>
      <w:r>
        <w:rPr>
          <w:spacing w:val="-2"/>
          <w:w w:val="102"/>
          <w:highlight w:val="yellow"/>
        </w:rPr>
        <w:t>Además, alienta al Gobierno a incorporar la perspectiva de género en todos los minist</w:t>
      </w:r>
      <w:r>
        <w:rPr>
          <w:spacing w:val="-2"/>
          <w:w w:val="102"/>
          <w:highlight w:val="yellow"/>
        </w:rPr>
        <w:t>e</w:t>
      </w:r>
      <w:r>
        <w:rPr>
          <w:spacing w:val="-2"/>
          <w:w w:val="102"/>
          <w:highlight w:val="yellow"/>
        </w:rPr>
        <w:t>rios.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Inquieta al Comité que la mujer no trate de obt</w:t>
      </w:r>
      <w:r>
        <w:t>e</w:t>
      </w:r>
      <w:r>
        <w:t>ner una solución jurídica cuando sufre discriminación en el empleo, debido al efecto disuasivo de la demora en los litigios causado por el gran número de las causas civ</w:t>
      </w:r>
      <w:r>
        <w:t>i</w:t>
      </w:r>
      <w:r>
        <w:t>les sin resolver.</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recomienda que, como opción, se pe</w:t>
      </w:r>
      <w:r>
        <w:t>r</w:t>
      </w:r>
      <w:r>
        <w:t>mita el arbitraje en el empleo y que se adopten medidas para impedir demoras en los litigios. También rec</w:t>
      </w:r>
      <w:r>
        <w:t>o</w:t>
      </w:r>
      <w:r>
        <w:t>mienda el Gobierno que tome medidas para aumentar la conciencia y la compresión de la mujer sobre sus d</w:t>
      </w:r>
      <w:r>
        <w:t>e</w:t>
      </w:r>
      <w:r>
        <w:t>rechos y establezca servicios de asistencia jurídica, en lo posible en cooperación con las organizaciones no gubern</w:t>
      </w:r>
      <w:r>
        <w:t>a</w:t>
      </w:r>
      <w:r>
        <w:t>mentales.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rPr>
          <w:w w:val="102"/>
        </w:rPr>
      </w:pPr>
      <w:r>
        <w:rPr>
          <w:w w:val="102"/>
        </w:rPr>
        <w:t>Si bien aparentemente existe una política en rel</w:t>
      </w:r>
      <w:r>
        <w:rPr>
          <w:w w:val="102"/>
        </w:rPr>
        <w:t>a</w:t>
      </w:r>
      <w:r>
        <w:rPr>
          <w:w w:val="102"/>
        </w:rPr>
        <w:t>ción con la licencia de maternidad, preocupa al Comité que se siga discriminando contra la mujer con fund</w:t>
      </w:r>
      <w:r>
        <w:rPr>
          <w:w w:val="102"/>
        </w:rPr>
        <w:t>a</w:t>
      </w:r>
      <w:r>
        <w:rPr>
          <w:w w:val="102"/>
        </w:rPr>
        <w:t>mento en el embarazo y la maternidad, en particular en el sector privado, en donde también se celebran arreglos contractuales para eludir el cumplimiento de las leyes existentes. El cumplimiento de la ley depende del e</w:t>
      </w:r>
      <w:r>
        <w:rPr>
          <w:w w:val="102"/>
        </w:rPr>
        <w:t>n</w:t>
      </w:r>
      <w:r>
        <w:rPr>
          <w:w w:val="102"/>
        </w:rPr>
        <w:t>juiciamiento, que está a cargo del Oficial Jefe de Tr</w:t>
      </w:r>
      <w:r>
        <w:rPr>
          <w:w w:val="102"/>
        </w:rPr>
        <w:t>a</w:t>
      </w:r>
      <w:r>
        <w:rPr>
          <w:w w:val="102"/>
        </w:rPr>
        <w:t>bajo, que aparentemente no ofrece soluciones efic</w:t>
      </w:r>
      <w:r>
        <w:rPr>
          <w:w w:val="102"/>
        </w:rPr>
        <w:t>a</w:t>
      </w:r>
      <w:r>
        <w:rPr>
          <w:w w:val="102"/>
        </w:rPr>
        <w:t>ces.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insta al Gobierno a que sus leyes y p</w:t>
      </w:r>
      <w:r>
        <w:t>o</w:t>
      </w:r>
      <w:r>
        <w:t xml:space="preserve">líticas sobre maternidad se adecuen a la Convención. </w:t>
      </w:r>
      <w:r>
        <w:rPr>
          <w:highlight w:val="yellow"/>
        </w:rPr>
        <w:t>Alienta</w:t>
      </w:r>
      <w:r>
        <w:t xml:space="preserve"> al Gobierno </w:t>
      </w:r>
      <w:r>
        <w:rPr>
          <w:highlight w:val="yellow"/>
        </w:rPr>
        <w:t>a</w:t>
      </w:r>
      <w:r>
        <w:t xml:space="preserve"> que elabore una política nacional para los sectores privado y público que incluya un m</w:t>
      </w:r>
      <w:r>
        <w:t>í</w:t>
      </w:r>
      <w:r>
        <w:t>nimo obligatorio y licencia pagada por maternidad y paternidad y establezca sanciones y mecanismos efe</w:t>
      </w:r>
      <w:r>
        <w:t>c</w:t>
      </w:r>
      <w:r>
        <w:t>tivos en los casos de violación de las leyes sobre lice</w:t>
      </w:r>
      <w:r>
        <w:t>n</w:t>
      </w:r>
      <w:r>
        <w:t>cia de maternidad. También alienta al Gobierno a que establezca programas de capacitación para el personal de la Oficina de Trabajo, a fin de facilitar los enjuici</w:t>
      </w:r>
      <w:r>
        <w:t>a</w:t>
      </w:r>
      <w:r>
        <w:t>mientos y velar por que se hagan cumplir eficazmente las leyes existentes tanto en los sectores público como pr</w:t>
      </w:r>
      <w:r>
        <w:t>i</w:t>
      </w:r>
      <w:r>
        <w:t>vado.</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Preocupa al Comité que persistan las actitudes estereotipadas y las pautas de conducta en razón de creencias culturales sobre la función del hombre y la mujer en la familia y la sociedad.</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insta al Gobierno a que ponga en prá</w:t>
      </w:r>
      <w:r>
        <w:t>c</w:t>
      </w:r>
      <w:r>
        <w:t>tica campañas de creación de conciencia a fin de ca</w:t>
      </w:r>
      <w:r>
        <w:t>m</w:t>
      </w:r>
      <w:r>
        <w:t>biar las actitudes estereotipadas y discriminatorias en relación con las funciones de la mujer y la niña, incluso con programas co</w:t>
      </w:r>
      <w:r>
        <w:t>n</w:t>
      </w:r>
      <w:r>
        <w:t>cretos dirigidos a niños y hombres.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manifiesta su preocupación por la pe</w:t>
      </w:r>
      <w:r>
        <w:t>r</w:t>
      </w:r>
      <w:r>
        <w:t>sistencia de la violencia basada en el género, en part</w:t>
      </w:r>
      <w:r>
        <w:t>i</w:t>
      </w:r>
      <w:r>
        <w:t xml:space="preserve">cular la violencia </w:t>
      </w:r>
      <w:r>
        <w:rPr>
          <w:highlight w:val="yellow"/>
        </w:rPr>
        <w:t>en el h</w:t>
      </w:r>
      <w:r>
        <w:rPr>
          <w:highlight w:val="yellow"/>
        </w:rPr>
        <w:t>o</w:t>
      </w:r>
      <w:r>
        <w:rPr>
          <w:highlight w:val="yellow"/>
        </w:rPr>
        <w:t>gar</w:t>
      </w:r>
      <w:r>
        <w:t xml:space="preserve">. </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insta al Gobierno a que dé alta prior</w:t>
      </w:r>
      <w:r>
        <w:t>i</w:t>
      </w:r>
      <w:r>
        <w:t>dad a las medidas encaminadas a encarar la violencia contra la mujer en la familia y en la sociedad, de co</w:t>
      </w:r>
      <w:r>
        <w:t>n</w:t>
      </w:r>
      <w:r>
        <w:t>formidad con la recomendación g</w:t>
      </w:r>
      <w:r>
        <w:t>e</w:t>
      </w:r>
      <w:r>
        <w:t xml:space="preserve">neral 19 del </w:t>
      </w:r>
      <w:r>
        <w:rPr>
          <w:highlight w:val="yellow"/>
        </w:rPr>
        <w:t>Comité</w:t>
      </w:r>
      <w:r>
        <w:t xml:space="preserve">. </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 xml:space="preserve">Preocupa al Comité la situación de </w:t>
      </w:r>
      <w:r>
        <w:rPr>
          <w:highlight w:val="yellow"/>
        </w:rPr>
        <w:t>las mujeres de las zonas rurales y las mujeres amerindia</w:t>
      </w:r>
      <w:r>
        <w:t>s la falta de información al respecto.</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 xml:space="preserve">El Comité alienta al Gobierno a que preste plena atención a las necesidades </w:t>
      </w:r>
      <w:r>
        <w:rPr>
          <w:highlight w:val="yellow"/>
        </w:rPr>
        <w:t>de las mujeres de las zonas rurales y las mujeres amerindias</w:t>
      </w:r>
      <w:r>
        <w:t xml:space="preserve"> y a que vele por que se beneficie de las políticas y los programas en todas las esferas, en particular el acceso a la adopción de d</w:t>
      </w:r>
      <w:r>
        <w:t>e</w:t>
      </w:r>
      <w:r>
        <w:t>cisiones, la salud, la educación y los servicios sociales. El Comité pide al Gobierno que brinde información detallada al respecto en su próximo informe periódico.</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rPr>
          <w:highlight w:val="yellow"/>
        </w:rPr>
        <w:t>El Comité reconoce las repercusiones negativas de los programas de ajuste estructural en ciertos grupos de mujeres, pero le preocupa la gran incidencia de la pobreza entre las mujeres</w:t>
      </w:r>
      <w:r>
        <w:t>.</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pide al Gobierno que brinde más i</w:t>
      </w:r>
      <w:r>
        <w:t>n</w:t>
      </w:r>
      <w:r>
        <w:t xml:space="preserve">formación sobre los programas y proyectos puestos en práctica para luchar contra las repercusiones negativas en la mujer </w:t>
      </w:r>
      <w:r>
        <w:rPr>
          <w:highlight w:val="yellow"/>
        </w:rPr>
        <w:t>y, en particular, en los hogares encabezados por mujeres,</w:t>
      </w:r>
      <w:r>
        <w:t xml:space="preserve"> de los programas de ajuste estructural y para velar por la continuidad de las políticas gubern</w:t>
      </w:r>
      <w:r>
        <w:t>a</w:t>
      </w:r>
      <w:r>
        <w:t>mentales encaminadas a erradicar la pobreza y para que no se siga marginando a la m</w:t>
      </w:r>
      <w:r>
        <w:t>u</w:t>
      </w:r>
      <w:r>
        <w:t>jer.</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observa con preocupación el cada vez mayor número de casos de VIH/SIDA en Guyana, e</w:t>
      </w:r>
      <w:r>
        <w:t>s</w:t>
      </w:r>
      <w:r>
        <w:t>pecia</w:t>
      </w:r>
      <w:r>
        <w:t>l</w:t>
      </w:r>
      <w:r>
        <w:t>mente entre los jóvenes.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rPr>
          <w:w w:val="100"/>
        </w:rPr>
      </w:pPr>
      <w:r>
        <w:rPr>
          <w:w w:val="100"/>
        </w:rPr>
        <w:t>El Comité insta enérgicamente al Gobierno a que adopte un criterio multifacético y holístico en la lucha contra el VIH/SIDA, incluso estrategias educativas de base amplia y actividades prácticas de prevención dirig</w:t>
      </w:r>
      <w:r>
        <w:rPr>
          <w:w w:val="100"/>
        </w:rPr>
        <w:t>i</w:t>
      </w:r>
      <w:r>
        <w:rPr>
          <w:w w:val="100"/>
        </w:rPr>
        <w:t>das a mujeres y adole</w:t>
      </w:r>
      <w:r>
        <w:rPr>
          <w:w w:val="100"/>
        </w:rPr>
        <w:t>s</w:t>
      </w:r>
      <w:r>
        <w:rPr>
          <w:w w:val="100"/>
        </w:rPr>
        <w:t>centes.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manifiesta su preocupación por la apl</w:t>
      </w:r>
      <w:r>
        <w:t>i</w:t>
      </w:r>
      <w:r>
        <w:t>cación de la legislación relativa a la prostitución, que data de 1893, que no se ha reformado y sigue sanci</w:t>
      </w:r>
      <w:r>
        <w:t>o</w:t>
      </w:r>
      <w:r>
        <w:t>nando a la pro</w:t>
      </w:r>
      <w:r>
        <w:t>s</w:t>
      </w:r>
      <w:r>
        <w:t>tituta, pero no al cliente ni al proxeneta.</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insta al Gobierno a que adopte medidas eficaces para examinar y enmendar la legislación exi</w:t>
      </w:r>
      <w:r>
        <w:t>s</w:t>
      </w:r>
      <w:r>
        <w:t>tente sobre prostitución de conformidad con la Co</w:t>
      </w:r>
      <w:r>
        <w:t>n</w:t>
      </w:r>
      <w:r>
        <w:t>vención y para velar por su plena aplicación y cumpl</w:t>
      </w:r>
      <w:r>
        <w:t>i</w:t>
      </w:r>
      <w:r>
        <w:t>miento. Además, habida cuenta de la alta incidencia del VIH/SIDA en Guyana, se debe prestar plena atención a los servicios de salud a que puedan tener acceso las prostitutas.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insta al Gobierno a que firme y ratif</w:t>
      </w:r>
      <w:r>
        <w:t>i</w:t>
      </w:r>
      <w:r>
        <w:t>que el Protocolo Facultativo de la Convención y a que deposite lo antes posible su instrumento de aceptación de la enmienda al párrafo 1 del artículo 20 de la Co</w:t>
      </w:r>
      <w:r>
        <w:t>n</w:t>
      </w:r>
      <w:r>
        <w:t>vención, relativo al momento de reunión del Comité.</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pide al Gobierno que responda a las preocupaciones expresadas en las presentes observ</w:t>
      </w:r>
      <w:r>
        <w:t>a</w:t>
      </w:r>
      <w:r>
        <w:t>ciones finales en su próximo informe periódico, en virtud del artículo 18 de la Convención.</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pide que en Guyana se difundan a</w:t>
      </w:r>
      <w:r>
        <w:t>m</w:t>
      </w:r>
      <w:r>
        <w:t>pliamente las presentes observaciones finales, a fin de que el pueblo de Guyana, en particular los administr</w:t>
      </w:r>
      <w:r>
        <w:t>a</w:t>
      </w:r>
      <w:r>
        <w:t>dores gubernamentales y los políticos, tomen concie</w:t>
      </w:r>
      <w:r>
        <w:t>n</w:t>
      </w:r>
      <w:r>
        <w:t>cia de las medidas que habrán de adoptarse para velar por la igualdad de iure y de facto de la mujer y las m</w:t>
      </w:r>
      <w:r>
        <w:t>e</w:t>
      </w:r>
      <w:r>
        <w:t>didas futuras necesarias al respecto. También pide al Gobierno que siga difundiendo ampliamente, en part</w:t>
      </w:r>
      <w:r>
        <w:t>i</w:t>
      </w:r>
      <w:r>
        <w:t>cular entre las organizaciones dedicadas a la mujer y a los derechos humanos, la Convención y su Protocolo Facultativo,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w:t>
      </w:r>
    </w:p>
    <w:p w:rsidR="00000000" w:rsidRDefault="00000000">
      <w:pPr>
        <w:pStyle w:val="Single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rPr>
          <w:highlight w:val="yellow"/>
        </w:rPr>
        <w:tab/>
        <w:t>5</w:t>
      </w:r>
      <w:r>
        <w:t>.</w:t>
      </w:r>
      <w:r>
        <w:tab/>
        <w:t>Informes periódicos segundo y tercero</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Países Bajos</w:t>
      </w:r>
    </w:p>
    <w:p w:rsidR="00000000" w:rsidRDefault="00000000">
      <w:pPr>
        <w:pStyle w:val="SingleTxt"/>
        <w:spacing w:after="0" w:line="120" w:lineRule="exact"/>
        <w:rPr>
          <w:sz w:val="10"/>
        </w:rPr>
      </w:pPr>
    </w:p>
    <w:p w:rsidR="00000000" w:rsidRDefault="00000000">
      <w:pPr>
        <w:pStyle w:val="DualTxt"/>
        <w:numPr>
          <w:ilvl w:val="0"/>
          <w:numId w:val="160"/>
        </w:numPr>
        <w:tabs>
          <w:tab w:val="clear" w:pos="960"/>
          <w:tab w:val="left" w:pos="965"/>
        </w:tabs>
      </w:pPr>
      <w:r>
        <w:t>El Comité examinó los informes periódicos s</w:t>
      </w:r>
      <w:r>
        <w:t>e</w:t>
      </w:r>
      <w:r>
        <w:t>gundo y tercero de los Países Bajos (CEDAW/C/NET/2 y Add.1 y 2, CEDAW/C/NET/3 y Add.1 y 2) en sus s</w:t>
      </w:r>
      <w:r>
        <w:t>e</w:t>
      </w:r>
      <w:r>
        <w:t>siones 512ª y 513ª, celebradas el 6 de julio de 2001 (</w:t>
      </w:r>
      <w:r>
        <w:rPr>
          <w:highlight w:val="yellow"/>
        </w:rPr>
        <w:t>véanse CEDAW/C/SR.512 y 513</w:t>
      </w:r>
      <w:r>
        <w:t>).</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Presentación por el Estado parte</w:t>
      </w:r>
    </w:p>
    <w:p w:rsidR="00000000" w:rsidRDefault="00000000">
      <w:pPr>
        <w:pStyle w:val="SingleTxt"/>
        <w:spacing w:after="0" w:line="120" w:lineRule="exact"/>
        <w:rPr>
          <w:sz w:val="10"/>
        </w:rPr>
      </w:pP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Al presentar sus informes periódicos segundo y tercero, la representante del Reino de los Países Bajos indicó que ese país había suscrito plenamente la Co</w:t>
      </w:r>
      <w:r>
        <w:t>n</w:t>
      </w:r>
      <w:r>
        <w:t>vención y que, en los últimos decenios, se había prod</w:t>
      </w:r>
      <w:r>
        <w:t>u</w:t>
      </w:r>
      <w:r>
        <w:t>cido una revolución genuina en el mercado laboral, ya que en 1988 sólo la tercera parte de las mujeres tenía empleo remunerado, mientras que en 2001 el nivel de participación había aumentado al 52%. Sin embargo, todavía hay pruebas de que existe un “modelo de la s</w:t>
      </w:r>
      <w:r>
        <w:t>o</w:t>
      </w:r>
      <w:r>
        <w:t>ciedad basado en el hombre como sostén de la familia”, lo que quedaba demostrado por el escaso número de mujeres en cargos de nivel superior y en profesiones técnicas y el gran número de mujeres que tiene e</w:t>
      </w:r>
      <w:r>
        <w:t>m</w:t>
      </w:r>
      <w:r>
        <w:t>pleos de tiempo parcial que no les dan independencia económica. La representante indicó que el Gobierno seguiría apoyando con firmeza la aceleración del pr</w:t>
      </w:r>
      <w:r>
        <w:t>o</w:t>
      </w:r>
      <w:r>
        <w:t>ceso de emancip</w:t>
      </w:r>
      <w:r>
        <w:t>a</w:t>
      </w:r>
      <w:r>
        <w:t>ción.</w:t>
      </w:r>
    </w:p>
    <w:p w:rsidR="00000000" w:rsidRDefault="00000000">
      <w:pPr>
        <w:pStyle w:val="DualTxt"/>
        <w:numPr>
          <w:ilvl w:val="0"/>
          <w:numId w:val="160"/>
        </w:numPr>
        <w:tabs>
          <w:tab w:val="clear" w:pos="960"/>
          <w:tab w:val="left" w:pos="965"/>
        </w:tabs>
      </w:pPr>
      <w:r>
        <w:t>La representante destacó que el empleo remun</w:t>
      </w:r>
      <w:r>
        <w:t>e</w:t>
      </w:r>
      <w:r>
        <w:t>rado es un requisito previo para la independencia ec</w:t>
      </w:r>
      <w:r>
        <w:t>o</w:t>
      </w:r>
      <w:r>
        <w:t>nómica y que la independencia económica de la mujer contribuía a un mejor equilibrio del poder, que había demostrado ser el instrumento más eficaz para impedir y combatir la violencia contra la mujer. La particip</w:t>
      </w:r>
      <w:r>
        <w:t>a</w:t>
      </w:r>
      <w:r>
        <w:t>ción en la fuerza de trabajo es la meta principal del r</w:t>
      </w:r>
      <w:r>
        <w:t>e</w:t>
      </w:r>
      <w:r>
        <w:t>ciente plan multianual del Gobierno sobre política de emancipación, en que participan todos los ministerios del Gobierno. Entre las metas concretas se incluye que el 65% de las mujeres tenga empleo remunerado para 2010 y que el 60% de las mujeres que actualmente e</w:t>
      </w:r>
      <w:r>
        <w:t>s</w:t>
      </w:r>
      <w:r>
        <w:t>tán empleadas a tiempo parcial puedan alcanzar la pl</w:t>
      </w:r>
      <w:r>
        <w:t>e</w:t>
      </w:r>
      <w:r>
        <w:t>na i</w:t>
      </w:r>
      <w:r>
        <w:t>n</w:t>
      </w:r>
      <w:r>
        <w:t>dependencia económica.</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La representante indicó que la participación lab</w:t>
      </w:r>
      <w:r>
        <w:t>o</w:t>
      </w:r>
      <w:r>
        <w:t>ral de la mujer sólo se podría aumentar mediante la reasignación de las tareas de cuidado familiar entre mujeres y hombres. Se habían adoptado varias medidas al respecto, entre ellas, duplicar la capacidad de las instalaciones de atención infantil; la introducción de un proyecto de ley sobre trabajo y cuidado familiar, que incluye vacaciones de cuatro semanas para los padres de guarda o los padres adoptivos; el uso flexible de las disposiciones de licencia de tres meses para los padres; 10 días de licencia por año para cuidar a niños, parejas o padres enfermos; y una ley que da a los empleados el derecho de trabajar más o menos horas por semana. Además, se ha establecido un proyecto de “rutina di</w:t>
      </w:r>
      <w:r>
        <w:t>a</w:t>
      </w:r>
      <w:r>
        <w:t>ria”, cuyo objetivo es adecuar mejor a las instalaciones educativas, de atención de la infancia y las dedicadas al ocio. El Gobierno delineará en el futuro cercano su p</w:t>
      </w:r>
      <w:r>
        <w:t>o</w:t>
      </w:r>
      <w:r>
        <w:t>lítica sobre la “rut</w:t>
      </w:r>
      <w:r>
        <w:t>i</w:t>
      </w:r>
      <w:r>
        <w:t>na diaria”.</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La estrategia de incorporar las cuestiones de g</w:t>
      </w:r>
      <w:r>
        <w:t>é</w:t>
      </w:r>
      <w:r>
        <w:t>nero ha sido aceptada por el Gobierno y todos los d</w:t>
      </w:r>
      <w:r>
        <w:t>e</w:t>
      </w:r>
      <w:r>
        <w:t>partamentos comparten la responsabilidad de dicha i</w:t>
      </w:r>
      <w:r>
        <w:t>n</w:t>
      </w:r>
      <w:r>
        <w:t>corporación; todos ellos han formulado tareas mens</w:t>
      </w:r>
      <w:r>
        <w:t>u</w:t>
      </w:r>
      <w:r>
        <w:t>rables encaminadas a la emancipación. Como ejemplos de lo cual cabe mencionar el nuevo sistema impositivo, que promueve la independencia económica de la mujer; la preparación de medidas fiscales encaminadas a fac</w:t>
      </w:r>
      <w:r>
        <w:t>i</w:t>
      </w:r>
      <w:r>
        <w:t>litar el reingreso de la mujer al mercado laboral; y los esfuerzos por aumentar el número de mujeres n</w:t>
      </w:r>
      <w:r>
        <w:t>e</w:t>
      </w:r>
      <w:r>
        <w:t>gras, de minorías étnicas y refugiadas en los consejos loc</w:t>
      </w:r>
      <w:r>
        <w:t>a</w:t>
      </w:r>
      <w:r>
        <w:t>les.</w:t>
      </w:r>
    </w:p>
    <w:p w:rsidR="00000000" w:rsidRDefault="00000000">
      <w:pPr>
        <w:pStyle w:val="DualTxt"/>
        <w:numPr>
          <w:ilvl w:val="0"/>
          <w:numId w:val="160"/>
        </w:numPr>
        <w:tabs>
          <w:tab w:val="clear" w:pos="960"/>
          <w:tab w:val="left" w:pos="965"/>
        </w:tabs>
      </w:pPr>
      <w:r>
        <w:t>La violencia en el hogar sigue siendo un probl</w:t>
      </w:r>
      <w:r>
        <w:t>e</w:t>
      </w:r>
      <w:r>
        <w:t>ma grave en los Países Bajos y el Ministro de Justicia ha presentado al Parlamento un plan de acción contra la violencia en el hogar, que incluye sanciones más gr</w:t>
      </w:r>
      <w:r>
        <w:t>a</w:t>
      </w:r>
      <w:r>
        <w:t xml:space="preserve">ves para los autores. De conformidad con la política de la Unión Europea, los Países Bajos han nombrado un relator nacional sobre la trata de </w:t>
      </w:r>
      <w:r>
        <w:rPr>
          <w:highlight w:val="yellow"/>
        </w:rPr>
        <w:t>personas</w:t>
      </w:r>
      <w:r>
        <w:t>, y ha sido el primer país de la Unión Europea en h</w:t>
      </w:r>
      <w:r>
        <w:t>a</w:t>
      </w:r>
      <w:r>
        <w:t>cerlo.</w:t>
      </w:r>
    </w:p>
    <w:p w:rsidR="00000000" w:rsidRDefault="00000000">
      <w:pPr>
        <w:pStyle w:val="DualTxt"/>
        <w:numPr>
          <w:ilvl w:val="0"/>
          <w:numId w:val="160"/>
        </w:numPr>
        <w:tabs>
          <w:tab w:val="clear" w:pos="960"/>
          <w:tab w:val="left" w:pos="965"/>
        </w:tabs>
      </w:pPr>
      <w:r>
        <w:t>La representante de los Países Bajos destacó v</w:t>
      </w:r>
      <w:r>
        <w:t>a</w:t>
      </w:r>
      <w:r>
        <w:t>rios aspectos del plan multianual sobre la política de emancipación, que incluye un proyecto sobre el ciclo vital, en que se examina la diversidad de los estilos de vida.</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En nombre del Gobierno de las Antillas Neerla</w:t>
      </w:r>
      <w:r>
        <w:t>n</w:t>
      </w:r>
      <w:r>
        <w:t>desas, otro representante explicó el programa de ree</w:t>
      </w:r>
      <w:r>
        <w:t>s</w:t>
      </w:r>
      <w:r>
        <w:t>tructuración y la agresiva política económica que se han puesto en práctica e indicó que, si bien todavía existen obstáculos, se han producido adelantos en lo que respecta a la igualdad entre los géneros. Como ejemplos de ello cabe citar la próxima entrada en vigor de la primera parte del nuevo código civil, en que se han abolido varias leyes discriminatorias y se ha oto</w:t>
      </w:r>
      <w:r>
        <w:t>r</w:t>
      </w:r>
      <w:r>
        <w:t>gado a la mujer igualdad de derechos en cuestiones r</w:t>
      </w:r>
      <w:r>
        <w:t>e</w:t>
      </w:r>
      <w:r>
        <w:t>lativas al matrimonio y la familia. Se ha establecido que las diferencias irreconciliables son el único fund</w:t>
      </w:r>
      <w:r>
        <w:t>a</w:t>
      </w:r>
      <w:r>
        <w:t>mento para el divorcio y que cualquiera de los cóny</w:t>
      </w:r>
      <w:r>
        <w:t>u</w:t>
      </w:r>
      <w:r>
        <w:t>ges puede solicitar la disolución del matrimonio con ese fundamento. Se ha eliminado la diferencia de co</w:t>
      </w:r>
      <w:r>
        <w:t>n</w:t>
      </w:r>
      <w:r>
        <w:t>dición entre los niños nacidos dentro y fuera del m</w:t>
      </w:r>
      <w:r>
        <w:t>a</w:t>
      </w:r>
      <w:r>
        <w:t>trimonio; se ha promulgado una ley que protege a los trabajadores domésticos, que en su mayoría son muj</w:t>
      </w:r>
      <w:r>
        <w:t>e</w:t>
      </w:r>
      <w:r>
        <w:t>res; y se ha prohibido la rescisión del contrato de tr</w:t>
      </w:r>
      <w:r>
        <w:t>a</w:t>
      </w:r>
      <w:r>
        <w:t>bajo con fundamento en el matrimonio y el embarazo. Para encarar el aumento de la violencia sexual contra la mujer, se ha enmendado el código penal con un a</w:t>
      </w:r>
      <w:r>
        <w:t>u</w:t>
      </w:r>
      <w:r>
        <w:t>mento de la pena máxima para los delitos sexuales y se han dado cursos de capacitación especiales para of</w:t>
      </w:r>
      <w:r>
        <w:t>i</w:t>
      </w:r>
      <w:r>
        <w:t>ciales de policía encargados de tratar a las víctimas de la violencia en el hogar. También se han realizado campañas de condena a la violencia contra la mujer, en colaboración con organizaciones no gubernamentales locales. El representante indicó que se había ampliado la colaboración regional en cuestiones de género entre Aruba, Suriname y las Antillas Neerlandesas.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En nombre del Gobierno de Aruba, el represe</w:t>
      </w:r>
      <w:r>
        <w:t>n</w:t>
      </w:r>
      <w:r>
        <w:t>tante indicó que en 1996 se había establecido una Of</w:t>
      </w:r>
      <w:r>
        <w:t>i</w:t>
      </w:r>
      <w:r>
        <w:t>cina Nacional de Asuntos de la Mujer, que había d</w:t>
      </w:r>
      <w:r>
        <w:t>e</w:t>
      </w:r>
      <w:r>
        <w:t>sempeñado una función importante en la tarea de crear conciencia sobre los derechos de la mujer, las leyes discriminatorias y las actitudes y prácticas tradicion</w:t>
      </w:r>
      <w:r>
        <w:t>a</w:t>
      </w:r>
      <w:r>
        <w:t>les existentes. Debido a sus limitados recursos, la m</w:t>
      </w:r>
      <w:r>
        <w:t>a</w:t>
      </w:r>
      <w:r>
        <w:t>yor parte de los proyectos de la Oficina se habían ej</w:t>
      </w:r>
      <w:r>
        <w:t>e</w:t>
      </w:r>
      <w:r>
        <w:t>cutado en el contexto de la colaboración regional entre Aruba, Suriname y las Antillas Neerlandesas. Los tres habían convenido en elaborar proyectos de capacit</w:t>
      </w:r>
      <w:r>
        <w:t>a</w:t>
      </w:r>
      <w:r>
        <w:t>ción para el empleo de la mujer, capacitación en cre</w:t>
      </w:r>
      <w:r>
        <w:t>a</w:t>
      </w:r>
      <w:r>
        <w:t>ción de conciencia sobre cuestiones de género para los medios de difusión; sexualidad y salud reproductiva de las madres adolescentes; y violencia contra la mujer. Se celebraría una reunión regional sobre la participación de la mujer en el liderazgo y la adopción de decisiones. El parlamento de Aruba aprobó un nuevo código c</w:t>
      </w:r>
      <w:r>
        <w:t>i</w:t>
      </w:r>
      <w:r>
        <w:t>vil en que se eliminaron las leyes discriminatorias existentes y se había presentado un plan de seguro m</w:t>
      </w:r>
      <w:r>
        <w:t>é</w:t>
      </w:r>
      <w:r>
        <w:t>dico cuyo objetivo era brindar atención de la salud a toda la población. Se estaban realizando esfuerzos para contrarrestar la violencia contra la mujer, incluso m</w:t>
      </w:r>
      <w:r>
        <w:t>e</w:t>
      </w:r>
      <w:r>
        <w:t>diante la creación de un refugio para mujeres maltrat</w:t>
      </w:r>
      <w:r>
        <w:t>a</w:t>
      </w:r>
      <w:r>
        <w:t>das y la introducción de un proyecto de enmiendas al código penal, en el que se incluía la violación por el marido. También fue importante la creación de un gr</w:t>
      </w:r>
      <w:r>
        <w:t>u</w:t>
      </w:r>
      <w:r>
        <w:t>po temático del Programa conjunto y de copatrocinio de las Naciones Unidas sobre el VIH/SIDA (ONUSIDA) para la prevención y el control del VIH/SIDA en Aruba. Para finalizar, el representante mencionó algunos temas que seguían causando preoc</w:t>
      </w:r>
      <w:r>
        <w:t>u</w:t>
      </w:r>
      <w:r>
        <w:t>pación, entre ellos la segregación por sexo en la fuerza de trabajo, en que el empleo de la mujer se concentra en las ocupaciones que requieren menores conoc</w:t>
      </w:r>
      <w:r>
        <w:t>i</w:t>
      </w:r>
      <w:r>
        <w:t>mientos y con sueldos más bajos, y el escaso nivel de participación de la mujer en la política y la adopción de dec</w:t>
      </w:r>
      <w:r>
        <w:t>i</w:t>
      </w:r>
      <w:r>
        <w:t>siones.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Observaciones finales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r>
      <w:r>
        <w:rPr>
          <w:highlight w:val="yellow"/>
        </w:rPr>
        <w:t>Introducción</w:t>
      </w:r>
    </w:p>
    <w:p w:rsidR="00000000" w:rsidRDefault="00000000">
      <w:pPr>
        <w:pStyle w:val="SingleTxt"/>
        <w:spacing w:after="0" w:line="120" w:lineRule="exact"/>
        <w:rPr>
          <w:sz w:val="10"/>
        </w:rPr>
      </w:pPr>
    </w:p>
    <w:p w:rsidR="00000000" w:rsidRDefault="00000000">
      <w:pPr>
        <w:pStyle w:val="DualTxt"/>
        <w:numPr>
          <w:ilvl w:val="0"/>
          <w:numId w:val="160"/>
        </w:numPr>
        <w:tabs>
          <w:tab w:val="clear" w:pos="960"/>
          <w:tab w:val="left" w:pos="965"/>
        </w:tabs>
      </w:pPr>
      <w:r>
        <w:t>El Comité encomia al Gobierno de los Países Bajos por sus informes periódicos segundo y tercero, que se adecuan a las directrices del Comité para la pr</w:t>
      </w:r>
      <w:r>
        <w:t>e</w:t>
      </w:r>
      <w:r>
        <w:t>paración de los informes periódicos. También encomia al Gobierno por las amplias respuestas presentadas por escrito a las preguntas formuladas por el Grupo de Tr</w:t>
      </w:r>
      <w:r>
        <w:t>a</w:t>
      </w:r>
      <w:r>
        <w:t>bajo anterior al período de sesiones del Comité y por la presentación oral de la delegación, en que se trató de aclarar la situación actual de la mujer en el Reino de los Países Bajos, incluso en las Antillas Neerlandesas y en Aruba, y en que se brindó información adicional s</w:t>
      </w:r>
      <w:r>
        <w:t>o</w:t>
      </w:r>
      <w:r>
        <w:t xml:space="preserve">bre la aplicación de la Convención. </w:t>
      </w:r>
      <w:r>
        <w:rPr>
          <w:highlight w:val="yellow"/>
        </w:rPr>
        <w:t>El Comité expresa satisfacción además por las respuestas presentadas por escrito en la última semana del período de sesiones a varias de las preguntas adicionales formuladas durante el diálogo con</w:t>
      </w:r>
      <w:r>
        <w:rPr>
          <w:highlight w:val="yellow"/>
        </w:rPr>
        <w:t>s</w:t>
      </w:r>
      <w:r>
        <w:rPr>
          <w:highlight w:val="yellow"/>
        </w:rPr>
        <w:t>tructivo</w:t>
      </w:r>
      <w:r>
        <w:t>.</w:t>
      </w:r>
    </w:p>
    <w:p w:rsidR="00000000" w:rsidRDefault="00000000">
      <w:pPr>
        <w:pStyle w:val="DualTxt"/>
        <w:numPr>
          <w:ilvl w:val="0"/>
          <w:numId w:val="160"/>
        </w:numPr>
        <w:tabs>
          <w:tab w:val="clear" w:pos="960"/>
          <w:tab w:val="left" w:pos="965"/>
        </w:tabs>
        <w:rPr>
          <w:w w:val="102"/>
        </w:rPr>
      </w:pPr>
      <w:r>
        <w:rPr>
          <w:w w:val="102"/>
        </w:rPr>
        <w:t xml:space="preserve">El Comité felicita al Gobierno por su delegación de alto nivel, encabezada por la Secretaria de Estado de Asuntos Sociales y Empleo. El Comité reconoce el diálogo </w:t>
      </w:r>
      <w:r>
        <w:rPr>
          <w:w w:val="102"/>
          <w:highlight w:val="yellow"/>
        </w:rPr>
        <w:t>constructivo y abierto</w:t>
      </w:r>
      <w:r>
        <w:rPr>
          <w:w w:val="102"/>
        </w:rPr>
        <w:t xml:space="preserve"> celebrado entre la del</w:t>
      </w:r>
      <w:r>
        <w:rPr>
          <w:w w:val="102"/>
        </w:rPr>
        <w:t>e</w:t>
      </w:r>
      <w:r>
        <w:rPr>
          <w:w w:val="102"/>
        </w:rPr>
        <w:t xml:space="preserve">gación y los miembros del Comité </w:t>
      </w:r>
      <w:r>
        <w:rPr>
          <w:w w:val="102"/>
          <w:highlight w:val="yellow"/>
        </w:rPr>
        <w:t>pero lamenta que ningún representante de los Gobiernos de las Antillas Neerlandesas y de Aruba haya formado parte de la d</w:t>
      </w:r>
      <w:r>
        <w:rPr>
          <w:w w:val="102"/>
          <w:highlight w:val="yellow"/>
        </w:rPr>
        <w:t>e</w:t>
      </w:r>
      <w:r>
        <w:rPr>
          <w:w w:val="102"/>
          <w:highlight w:val="yellow"/>
        </w:rPr>
        <w:t>legación que presentó los informes, puesto que consid</w:t>
      </w:r>
      <w:r>
        <w:rPr>
          <w:w w:val="102"/>
          <w:highlight w:val="yellow"/>
        </w:rPr>
        <w:t>e</w:t>
      </w:r>
      <w:r>
        <w:rPr>
          <w:w w:val="102"/>
          <w:highlight w:val="yellow"/>
        </w:rPr>
        <w:t>ra que esto hubiese fortalecido el diálogo construct</w:t>
      </w:r>
      <w:r>
        <w:rPr>
          <w:w w:val="102"/>
          <w:highlight w:val="yellow"/>
        </w:rPr>
        <w:t>i</w:t>
      </w:r>
      <w:r>
        <w:rPr>
          <w:w w:val="102"/>
          <w:highlight w:val="yellow"/>
        </w:rPr>
        <w:t>vo.</w:t>
      </w:r>
    </w:p>
    <w:p w:rsidR="00000000" w:rsidRDefault="00000000">
      <w:pPr>
        <w:pStyle w:val="DualTxt"/>
        <w:tabs>
          <w:tab w:val="clear" w:pos="480"/>
          <w:tab w:val="clear" w:pos="960"/>
          <w:tab w:val="left" w:pos="965"/>
        </w:tabs>
        <w:spacing w:after="0" w:line="120" w:lineRule="exact"/>
        <w:rPr>
          <w:w w:val="102"/>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spacing w:after="0" w:line="120" w:lineRule="exact"/>
        <w:rPr>
          <w:sz w:val="10"/>
        </w:rPr>
      </w:pP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rPr>
          <w:highlight w:val="yellow"/>
        </w:rPr>
        <w:t>El Comité encomia al Gobierno por su plante</w:t>
      </w:r>
      <w:r>
        <w:rPr>
          <w:highlight w:val="yellow"/>
        </w:rPr>
        <w:t>a</w:t>
      </w:r>
      <w:r>
        <w:rPr>
          <w:highlight w:val="yellow"/>
        </w:rPr>
        <w:t>miento conceptual para la aplicación de cada artículo de la Convención que incorpora, en la medida de lo p</w:t>
      </w:r>
      <w:r>
        <w:rPr>
          <w:highlight w:val="yellow"/>
        </w:rPr>
        <w:t>o</w:t>
      </w:r>
      <w:r>
        <w:rPr>
          <w:highlight w:val="yellow"/>
        </w:rPr>
        <w:t>sible, tres planos normativos</w:t>
      </w:r>
      <w:r>
        <w:t>: logro de la igualdad ante la ley para la mujer; mejoramiento de la situación de la mujer; y actividades para hacer frente a la ideología dominante b</w:t>
      </w:r>
      <w:r>
        <w:t>a</w:t>
      </w:r>
      <w:r>
        <w:t>sada en el género.</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rPr>
          <w:highlight w:val="yellow"/>
        </w:rPr>
        <w:t>El Comité encomia al Gobierno por su vasto pr</w:t>
      </w:r>
      <w:r>
        <w:rPr>
          <w:highlight w:val="yellow"/>
        </w:rPr>
        <w:t>o</w:t>
      </w:r>
      <w:r>
        <w:rPr>
          <w:highlight w:val="yellow"/>
        </w:rPr>
        <w:t>grama de reformas legislativas y administrativas que contribuye a la aplicación de la Co</w:t>
      </w:r>
      <w:r>
        <w:rPr>
          <w:highlight w:val="yellow"/>
        </w:rPr>
        <w:t>n</w:t>
      </w:r>
      <w:r>
        <w:rPr>
          <w:highlight w:val="yellow"/>
        </w:rPr>
        <w:t>vención</w:t>
      </w:r>
      <w:r>
        <w:t>.</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también encomia al Gobierno por su programa de lucha contra la trata de personas, en part</w:t>
      </w:r>
      <w:r>
        <w:t>i</w:t>
      </w:r>
      <w:r>
        <w:t>cular el nombramiento de un relator nacional sobre la trata de personas, cuyo objetivo es formular recome</w:t>
      </w:r>
      <w:r>
        <w:t>n</w:t>
      </w:r>
      <w:r>
        <w:t>daciones al Gobierno sobre la mejor manera de encarar el problema de la trata, y por su empeño en luchar contra este fenómeno a nivel de la Unión Europea.</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encomia al Gobierno por estar di</w:t>
      </w:r>
      <w:r>
        <w:t>s</w:t>
      </w:r>
      <w:r>
        <w:t>puesto a incluir las objeciones planteadas por otros Estados partes que considera incompatibles con el o</w:t>
      </w:r>
      <w:r>
        <w:t>b</w:t>
      </w:r>
      <w:r>
        <w:t>jeto y el propósito de la Convención.</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también encomia al Gobierno por h</w:t>
      </w:r>
      <w:r>
        <w:t>a</w:t>
      </w:r>
      <w:r>
        <w:t>ber aceptado la enmienda al párrafo 1 del artículo 20 de la Convención.</w:t>
      </w:r>
    </w:p>
    <w:p w:rsidR="00000000" w:rsidRDefault="00000000">
      <w:pPr>
        <w:pStyle w:val="DualTxt"/>
        <w:numPr>
          <w:ilvl w:val="0"/>
          <w:numId w:val="160"/>
        </w:numPr>
        <w:tabs>
          <w:tab w:val="clear" w:pos="960"/>
          <w:tab w:val="left" w:pos="475"/>
          <w:tab w:val="left" w:pos="965"/>
        </w:tabs>
      </w:pPr>
      <w:r>
        <w:t>El Comité aplaude que, en 1996, se haya establ</w:t>
      </w:r>
      <w:r>
        <w:t>e</w:t>
      </w:r>
      <w:r>
        <w:t>cido en Aruba una Oficina Nacional de Asuntos de la Mujer, de conformidad con las recomendaciones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problemas que afectan la aplicación de la Convención</w:t>
      </w:r>
    </w:p>
    <w:p w:rsidR="00000000" w:rsidRDefault="00000000">
      <w:pPr>
        <w:pStyle w:val="DualTxt"/>
        <w:spacing w:after="0" w:line="120" w:lineRule="exact"/>
        <w:rPr>
          <w:sz w:val="10"/>
        </w:rPr>
      </w:pP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observa que no hay factores o probl</w:t>
      </w:r>
      <w:r>
        <w:t>e</w:t>
      </w:r>
      <w:r>
        <w:t>mas importantes que impidan la aplicación efectiva de la Convención en el Reino de los Países Bajos.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esferas de preocupación y recomendaciones</w:t>
      </w:r>
    </w:p>
    <w:p w:rsidR="00000000" w:rsidRDefault="00000000">
      <w:pPr>
        <w:pStyle w:val="DualTxt"/>
        <w:spacing w:after="0" w:line="120" w:lineRule="exact"/>
        <w:rPr>
          <w:sz w:val="10"/>
        </w:rPr>
      </w:pP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expresa inquietud por el hecho de que la política de los Países Bajos encaminada a lograr una división equilibrada del trabajo remunerado y los cuidados no remunerados no haya logrado los result</w:t>
      </w:r>
      <w:r>
        <w:t>a</w:t>
      </w:r>
      <w:r>
        <w:t>dos esperados, ya que la carga de los cuidados no r</w:t>
      </w:r>
      <w:r>
        <w:t>e</w:t>
      </w:r>
      <w:r>
        <w:t xml:space="preserve">munerados sigue recayendo principalmente sobre la mujer. Al Comité también le preocupa que las mujeres </w:t>
      </w:r>
      <w:r>
        <w:br/>
      </w:r>
      <w:r>
        <w:br/>
        <w:t>que trabajan fuera del hogar dediquen dos veces más tiempo que los hombres al trabajo no remunerado y que el número de guarderías sea todavía insuficiente.</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recomienda que se revise la política de división equilibrada del trabajo remunerado y los cu</w:t>
      </w:r>
      <w:r>
        <w:t>i</w:t>
      </w:r>
      <w:r>
        <w:t>dados no remunerados. También recomienda que se d</w:t>
      </w:r>
      <w:r>
        <w:t>e</w:t>
      </w:r>
      <w:r>
        <w:t>diquen nuevos esfuerzos a la creación de más progr</w:t>
      </w:r>
      <w:r>
        <w:t>a</w:t>
      </w:r>
      <w:r>
        <w:t>mas y políticas que alienten al hombre a compartir las responsabilidades familiares y los cuidados. El Comité recomienda también que el Gobierno vele por que haya un número de plazas suficiente en las guarderías y por que la jornada escolar sea larga e ininterrumpida.</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Pese a las medidas adoptadas para luchar contra la discriminación en los Países Bajos, el Comité expr</w:t>
      </w:r>
      <w:r>
        <w:t>e</w:t>
      </w:r>
      <w:r>
        <w:t>sa preocupación por la continua discriminación contra las mujeres migrantes, refugiadas y pertenecientes a las minorías  que padecen distintos tipos de discriminación debido a su sexo y a su procedencia étnica, tanto en la sociedad en su conjunto como en sus propias comun</w:t>
      </w:r>
      <w:r>
        <w:t>i</w:t>
      </w:r>
      <w:r>
        <w:t>dades, especialmente con respecto a la educación, el empleo y la violencia contra la mujer. Al Comité ta</w:t>
      </w:r>
      <w:r>
        <w:t>m</w:t>
      </w:r>
      <w:r>
        <w:t>bién le inquietan las manifestaciones de racismo y x</w:t>
      </w:r>
      <w:r>
        <w:t>e</w:t>
      </w:r>
      <w:r>
        <w:t>nofobia en los Países Bajos.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insta al Gobierno a adoptar medidas eficaces para eliminar la discriminación contra las mujeres inmigrantes, refugiadas y pertenecientes a las minorías, tanto en sus comunidades como en la soci</w:t>
      </w:r>
      <w:r>
        <w:t>e</w:t>
      </w:r>
      <w:r>
        <w:t>dad en su conjunto. Insta al Gobierno a respetar y pr</w:t>
      </w:r>
      <w:r>
        <w:t>o</w:t>
      </w:r>
      <w:r>
        <w:t>mover los derechos humanos de las mujeres por encima de las prácticas culturales discriminatorias, y a adoptar medidas dinámicas y eficaces, como programas de concienciación y sensibilización de la comunidad, para luchar contra las actitudes y prácticas patriarcales y los papeles estereotipados y para eliminar la discrimin</w:t>
      </w:r>
      <w:r>
        <w:t>a</w:t>
      </w:r>
      <w:r>
        <w:t>ción y la violencia contra las mujeres inmigrantes o perteneciente a una minoría. El Comité insta también al Gobierno a que elimine la xenofobia y el racismo en los Países Bajos redoblando sus esfuerzos para comb</w:t>
      </w:r>
      <w:r>
        <w:t>a</w:t>
      </w:r>
      <w:r>
        <w:t>tir las actividades de los grupos racistas y xenófobos con sede en el país.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Preocupa al Comité la falta de información en los informes acerca de la situación de facto  de las mujeres pertenecientes a comunidades étnicas o minoritarias con respecto al acceso a la educación, el empleo y los servicios de salud. Preocupa también la poca inform</w:t>
      </w:r>
      <w:r>
        <w:t>a</w:t>
      </w:r>
      <w:r>
        <w:t xml:space="preserve">ción presentada con respecto a no ser víctimas de actos de violencia como la mutilación genital, la violencia </w:t>
      </w:r>
      <w:r>
        <w:rPr>
          <w:spacing w:val="0"/>
        </w:rPr>
        <w:t>doméstica y los delitos de honor, así como otras prácticas</w:t>
      </w:r>
      <w:r>
        <w:t xml:space="preserve"> discriminatorias como la poligamia, el matrimonio pr</w:t>
      </w:r>
      <w:r>
        <w:t>e</w:t>
      </w:r>
      <w:r>
        <w:t>coz y el embarazo forzoso.</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insta al Gobierno a que proporcione en su próximo informe información detallada, incluidos datos estadísticos desglosados por sexo y origen étnico, sobre la aplicación de la Convención con respecto a los distintos grupos étnicos y minoritarios que viven en el territorio del Estado parte.</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Observando la legislación promulgada recient</w:t>
      </w:r>
      <w:r>
        <w:t>e</w:t>
      </w:r>
      <w:r>
        <w:t>mente sobre la abolición de la prohibición de los bu</w:t>
      </w:r>
      <w:r>
        <w:t>r</w:t>
      </w:r>
      <w:r>
        <w:t>deles, que entró en vigor en octubre de 2000, el Comité destaca el hecho de que la prostitución presenta riesgos de explotación y violencia para las mujeres.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insta al Gobierno a que empiece a s</w:t>
      </w:r>
      <w:r>
        <w:t>u</w:t>
      </w:r>
      <w:r>
        <w:t>pervisar esta ley inmediatamente y a proporcionar, en su próximo informe, una evaluación de sus efectos de-seados y no deseados, con inclusión de los efectos rel</w:t>
      </w:r>
      <w:r>
        <w:t>a</w:t>
      </w:r>
      <w:r>
        <w:t>cionados con el riesgo de violencia y el peligro para la salud, especialmente en el caso de las prostitutas que no tienen permiso de residencia . El Comité insta ta</w:t>
      </w:r>
      <w:r>
        <w:t>m</w:t>
      </w:r>
      <w:r>
        <w:t>bién al Gobierno a redoblar sus esfuerzos para propo</w:t>
      </w:r>
      <w:r>
        <w:t>r</w:t>
      </w:r>
      <w:r>
        <w:t>cionar capacitación y educación a las prostitutas a los efectos de que dispongan de una gama completa de o</w:t>
      </w:r>
      <w:r>
        <w:t>p</w:t>
      </w:r>
      <w:r>
        <w:t>ciones para ganarse la vida.</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Preocupa al Comité la situación de las mujeres no europeas víctimas de trata que temen ser expulsadas a sus países de origen y a las que sus gobiernos pueden no extender una protección eficaz cuando regresan.</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insta al Gobierno de los Países Bajos a velar por que las mujeres objeto de trata reciban pr</w:t>
      </w:r>
      <w:r>
        <w:t>o</w:t>
      </w:r>
      <w:r>
        <w:t>tección total en sus países de origen o a otorgares asilo o la condición de refugiadas.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si bien toma nota con reconocimiento de los esfuerzos emprendidos por el Gobierno para r</w:t>
      </w:r>
      <w:r>
        <w:t>e</w:t>
      </w:r>
      <w:r>
        <w:t>solver el problema de la discriminación a que se e</w:t>
      </w:r>
      <w:r>
        <w:t>n</w:t>
      </w:r>
      <w:r>
        <w:t>frenta la mujer en el trabajo mediante todas las med</w:t>
      </w:r>
      <w:r>
        <w:t>i</w:t>
      </w:r>
      <w:r>
        <w:t>das legislativas encaminadas a mejorar la condición económica de la mujer, incluidas, entre otras, la Ley de Trabajo y Cuidados, la Ley de Flexibilidad y Segur</w:t>
      </w:r>
      <w:r>
        <w:t>i</w:t>
      </w:r>
      <w:r>
        <w:t>dad, la Ley de Condiciones Laborales, y la Ley (de Ajuste) del Horario Laboral, expresa su preocupación por la continuación de la discriminación en el empleo y en las empresas. Al Comité le inquieta también la se-gregación “horizontal” y “vertical” por género en el mercado de trabajo, y la concentración de mujeres en el trabajo a tiempo parcial. Preocupa al Comité que, en el sector privado,  las mujeres ganen en promedio un 23% menos que los hombres, aunque una vez que se “corr</w:t>
      </w:r>
      <w:r>
        <w:t>i</w:t>
      </w:r>
      <w:r>
        <w:t>ge” este porcentaje teniendo en cuenta el trabajo que realizan y sus características personales, la diferencia se reduce al 7%.</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insta al Gobierno a que haga más por eliminar los estereotipos relativos a las esferas trad</w:t>
      </w:r>
      <w:r>
        <w:t>i</w:t>
      </w:r>
      <w:r>
        <w:t>cionales de empleo y educación para la mujer. El C</w:t>
      </w:r>
      <w:r>
        <w:t>o</w:t>
      </w:r>
      <w:r>
        <w:t>mité recomienda que se adopten medidas para mejorar las condiciones de las trabajadoras para que puedan elegir empleos a tiempo completo en vez de los e</w:t>
      </w:r>
      <w:r>
        <w:t>m</w:t>
      </w:r>
      <w:r>
        <w:t>pleos a tiempo parcial en los que hay una represent</w:t>
      </w:r>
      <w:r>
        <w:t>a</w:t>
      </w:r>
      <w:r>
        <w:t>ción femenina excesiva.  El Comité insta además al Gobierno a que elimine la discriminación a que se e</w:t>
      </w:r>
      <w:r>
        <w:t>n</w:t>
      </w:r>
      <w:r>
        <w:t>frentan los trabajadores a tiempo parcial en relación con las horas extraordinarias.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Al Comité le preocupa que las mujeres de edad puedan estar marginadas en los sistemas de seguro m</w:t>
      </w:r>
      <w:r>
        <w:t>é</w:t>
      </w:r>
      <w:r>
        <w:t>dico y de pensiones, así como que cuenten con una c</w:t>
      </w:r>
      <w:r>
        <w:t>o</w:t>
      </w:r>
      <w:r>
        <w:t>bertura insuficiente, e insta al Gobierno a que preste particular atención a las necesidades de las mujeres de edad en los programas de rutina diaria.</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Al Comité le inquieta la escasa presencia de la mujer en puestos de alto nivel en todas las esferas y en especial en los medios académicos, donde, según cifras de 1996, las mujeres sólo son titulares del 5% de las cátedras.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Al Comité también le intranquiliza la exigua pa</w:t>
      </w:r>
      <w:r>
        <w:t>r</w:t>
      </w:r>
      <w:r>
        <w:t>ticipación de la mujer en la vida política y pública. En el Gobierno actual las mujeres ocupan un 26,75% de los puestos de los ministerios, mientras que según c</w:t>
      </w:r>
      <w:r>
        <w:t>i</w:t>
      </w:r>
      <w:r>
        <w:t>fras de 1998, sólo el 7,5% de los puestos de embajad</w:t>
      </w:r>
      <w:r>
        <w:t>o</w:t>
      </w:r>
      <w:r>
        <w:t>res, representantes permanentes y cónsules generales está cubierto por mujeres.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insta al Gobierno a que haga esfuerzos por facilitar el aumento del número de mujeres en puestos de alto nivel. Recomienda que se adopten m</w:t>
      </w:r>
      <w:r>
        <w:t>e</w:t>
      </w:r>
      <w:r>
        <w:t>diadas activas para alentar a un mayor número de m</w:t>
      </w:r>
      <w:r>
        <w:t>u</w:t>
      </w:r>
      <w:r>
        <w:t>jeres a que soliciten esos puestos, así como que se apl</w:t>
      </w:r>
      <w:r>
        <w:t>i</w:t>
      </w:r>
      <w:r>
        <w:t>quen medidas especiales temporales, de conformidad con el párrafo 1 del artículo 4 de la Convención, cua</w:t>
      </w:r>
      <w:r>
        <w:t>n</w:t>
      </w:r>
      <w:r>
        <w:t>do sea necesario, inclusive en las esferas de adopción de decisiones de los sectores político, económico y académico.</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toma nota con preocupación de que en los Países Bajos exista un partido político representado en el Parlamento que excluye a las mujeres, lo que constituye una violación del inciso c) del artículo 7 de la Convención.</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 xml:space="preserve">El Comité recomienda que el partido estatal tome urgentemente medidas para solucionar esta situación, adoptando incluso normas que obliguen a los partidos políticos a acatar las disposiciones del artículo 7. </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rPr>
          <w:w w:val="104"/>
        </w:rPr>
      </w:pPr>
      <w:r>
        <w:rPr>
          <w:w w:val="104"/>
        </w:rPr>
        <w:t>Al Comité le inquieta que no se haya incluido en los informes información suficiente sobre la cuestión del VIH/SIDA, y pide al Gobierno que proporcione esa información en su siguiente informe periódico, de conformidad con la recomendación general 15 del Comité</w:t>
      </w:r>
      <w:r>
        <w:rPr>
          <w:w w:val="104"/>
          <w:vertAlign w:val="superscript"/>
        </w:rPr>
        <w:t>6</w:t>
      </w:r>
      <w:r>
        <w:rPr>
          <w:w w:val="104"/>
        </w:rPr>
        <w:t>.</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Preocupa al Comité la falta de información en los informes sobres la adicción de las mujeres al tabaco y el alcohol. Le inquieta también la falta de información sobre la toxicomanía de las mujeres, habida cuenta s</w:t>
      </w:r>
      <w:r>
        <w:t>o</w:t>
      </w:r>
      <w:r>
        <w:t>bre todo de la despenalización del uso de determinados estupefacientes. El Comité pide que se presente info</w:t>
      </w:r>
      <w:r>
        <w:t>r</w:t>
      </w:r>
      <w:r>
        <w:t>mación sobre estos ámbitos en el próximo informe y, teniendo en cuenta el párrafo 10 de su recomendación general 24 sobre la mujer y la salud</w:t>
      </w:r>
      <w:r>
        <w:rPr>
          <w:vertAlign w:val="superscript"/>
        </w:rPr>
        <w:t>2</w:t>
      </w:r>
      <w:r>
        <w:t>, sobre toda med</w:t>
      </w:r>
      <w:r>
        <w:t>i</w:t>
      </w:r>
      <w:r>
        <w:t>da adoptada para abordar estas cuestiones.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Al Comité le preocupa también que la nueva Ley de Nombres disponga que cuando los progenitores no puedan llegar a un acuerdo sobre el nombre de un hijo, sea el padre el que tome la decisión final. El Comité considera que esto contraviene el principio básico de igualdad de la Convención y, en particular, el apart</w:t>
      </w:r>
      <w:r>
        <w:t>a</w:t>
      </w:r>
      <w:r>
        <w:t>do g) del a</w:t>
      </w:r>
      <w:r>
        <w:t>r</w:t>
      </w:r>
      <w:r>
        <w:t>tículo 16.</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recomienda que el Gobierno revise la Ley de Nombres y la enmiende para que se adecue a la Convención.</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rPr>
          <w:w w:val="104"/>
        </w:rPr>
      </w:pPr>
      <w:r>
        <w:rPr>
          <w:w w:val="104"/>
        </w:rPr>
        <w:t>El Comité tuvo dificultades para evaluar la apl</w:t>
      </w:r>
      <w:r>
        <w:rPr>
          <w:w w:val="104"/>
        </w:rPr>
        <w:t>i</w:t>
      </w:r>
      <w:r>
        <w:rPr>
          <w:w w:val="104"/>
        </w:rPr>
        <w:t>cación de la Convención en las Antillas Neerlandesas y Aruba porque ningún representantes de estos territ</w:t>
      </w:r>
      <w:r>
        <w:rPr>
          <w:w w:val="104"/>
        </w:rPr>
        <w:t>o</w:t>
      </w:r>
      <w:r>
        <w:rPr>
          <w:w w:val="104"/>
        </w:rPr>
        <w:t>rios formaba parte de la delegación que presentó los info</w:t>
      </w:r>
      <w:r>
        <w:rPr>
          <w:w w:val="104"/>
        </w:rPr>
        <w:t>r</w:t>
      </w:r>
      <w:r>
        <w:rPr>
          <w:w w:val="104"/>
        </w:rPr>
        <w:t>mes.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insta al Gobierno de los Países Bajos a que garantice que los Gobiernos de las Antillas Nee</w:t>
      </w:r>
      <w:r>
        <w:t>r</w:t>
      </w:r>
      <w:r>
        <w:t>landesas y Aruba reciban un apoyo suficiente para que puedan formar parte de la delegación del Reino de los Países Bajos cuando presente su siguiente informe p</w:t>
      </w:r>
      <w:r>
        <w:t>e</w:t>
      </w:r>
      <w:r>
        <w:t>riódico al Comité.</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rPr>
          <w:spacing w:val="0"/>
        </w:rPr>
        <w:t>El Comité expresa su preocupación por la condición de la mujer en las Antillas Neerlandesas y Aruba, donde, a pesar de los avances logrados en el fortalecimiento</w:t>
      </w:r>
      <w:r>
        <w:t xml:space="preserve"> de la posición jurídica de la mujer, la igualdad entre los g</w:t>
      </w:r>
      <w:r>
        <w:t>é</w:t>
      </w:r>
      <w:r>
        <w:t>neros dista mucho de haberes conseguido y persisten estereotipos basados en el género. Al Comité le i</w:t>
      </w:r>
      <w:r>
        <w:t>n</w:t>
      </w:r>
      <w:r>
        <w:t>quietan en especial los efectos negativos que puedan tener los programas de ajuste estructural en las mujeres de las Antillas Neerlandesas, así como los recursos l</w:t>
      </w:r>
      <w:r>
        <w:t>i</w:t>
      </w:r>
      <w:r>
        <w:t>mitados de que dispone la Oficina Nacional de Asuntos de la Mujer en Aruba, que podrían impedir que se ej</w:t>
      </w:r>
      <w:r>
        <w:t>e</w:t>
      </w:r>
      <w:r>
        <w:t>cutaran  proyectos cuyo objetivo sea la habilitación de la mujer.</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insta al Gobierno de los Países Bajos a que aumente su apoyo económico a las Antillas Nee</w:t>
      </w:r>
      <w:r>
        <w:t>r</w:t>
      </w:r>
      <w:r>
        <w:t xml:space="preserve">landesas y Aruba, en particular a que dé apoyo a los programas de fomento de la capacidad a fin de lograr la igualdad entre los géneros, incluido apoyo para que se aplique la Convención. </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tomando nota de las contribuciones positivas de los Países Bajos al proceso de elaboración del Protocolo Facultativo, insta al Gobierno a que rat</w:t>
      </w:r>
      <w:r>
        <w:t>i</w:t>
      </w:r>
      <w:r>
        <w:t>fique ese instrumento lo antes posible.</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pide al Gobierno que responda a las inquietudes expresadas en estas observaciones finales en su próximo informe periódico, de conformidad con el art</w:t>
      </w:r>
      <w:r>
        <w:t>í</w:t>
      </w:r>
      <w:r>
        <w:t>culo 18 de la Convención.</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solicita que las presentes observaci</w:t>
      </w:r>
      <w:r>
        <w:t>o</w:t>
      </w:r>
      <w:r>
        <w:t>nes finales se difundan lo más ampliamente posible en los Países Bajos con inclusión de Aruba y las Antillas de los Países Bajos, a fin de que el pueblo del Reino de los Países Bajos, y en especial los administradores g</w:t>
      </w:r>
      <w:r>
        <w:t>u</w:t>
      </w:r>
      <w:r>
        <w:t>bernamentales y los políticos, conozcan las medidas que se han tomado para garantizar la igualdad de jure y de facto de la mujer y las futuras medidas necesarias al respecto. También pide al Gobierno que continúe d</w:t>
      </w:r>
      <w:r>
        <w:t>i</w:t>
      </w:r>
      <w:r>
        <w:t>fundiendo ampliamente, en particular a las organiz</w:t>
      </w:r>
      <w:r>
        <w:t>a</w:t>
      </w:r>
      <w:r>
        <w:t>ciones de mujeres y de derechos humanos, la Conve</w:t>
      </w:r>
      <w:r>
        <w:t>n</w:t>
      </w:r>
      <w:r>
        <w:t>ción y su Protocolo Facultativo, las recomendaciones generales del Comité, la Declaración y Plataforma de Acción de Beijing, y los resultados del vigésimo tercer período extraordinario de sesiones de la Asamblea G</w:t>
      </w:r>
      <w:r>
        <w:t>e</w:t>
      </w:r>
      <w:r>
        <w:t>neral titulado “La mujer en el año 2000: igualdad entre los géneros, desarrollo y paz para el s</w:t>
      </w:r>
      <w:r>
        <w:t>i</w:t>
      </w:r>
      <w:r>
        <w:t>glo XXI”.</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6.</w:t>
      </w:r>
      <w:r>
        <w:tab/>
        <w:t xml:space="preserve">Segundo informe periódico e informes periódicos tercero y cuarto combinados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Viet Nam</w:t>
      </w:r>
    </w:p>
    <w:p w:rsidR="00000000" w:rsidRDefault="00000000">
      <w:pPr>
        <w:pStyle w:val="DualTxt"/>
        <w:spacing w:after="0" w:line="120" w:lineRule="exact"/>
        <w:rPr>
          <w:sz w:val="10"/>
        </w:rPr>
      </w:pP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examinó el segundo informe periódico (CEDAW/C/VNM/2) y los informes periódicos tercero y cuarto combinados (CEDAW/C/VNM/3-4) de la R</w:t>
      </w:r>
      <w:r>
        <w:t>e</w:t>
      </w:r>
      <w:r>
        <w:t>pública Socialista de Viet Nam en sus sesiones 518ª y 519ª, celebradas el 11 de julio de 2001 (véanse CEDAW/C/Sr.518 y 519).</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Presentación por el Estado parte</w:t>
      </w:r>
    </w:p>
    <w:p w:rsidR="00000000" w:rsidRDefault="00000000">
      <w:pPr>
        <w:pStyle w:val="DualTxt"/>
        <w:spacing w:after="0" w:line="120" w:lineRule="exact"/>
        <w:rPr>
          <w:sz w:val="10"/>
        </w:rPr>
      </w:pP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Al presentar los informes, la representante de Viet Nam señaló que en ellos se describía la aplicación de la Convención durante el período comprendido entre 1986 y 2000, en que el país había vivido profundos cambios resultantes del proceso de renovación global iniciado en 1986.</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La representante informó al Comité de que en 1991 se aprobó una estrategia decenal para el desarr</w:t>
      </w:r>
      <w:r>
        <w:t>o</w:t>
      </w:r>
      <w:r>
        <w:t>llo y la estabilización de la economía hasta el año 2000, que tenía por objeto duplicar el producto interno bruto (PIB) para el año 2000. La ejecución del plan h</w:t>
      </w:r>
      <w:r>
        <w:t>a</w:t>
      </w:r>
      <w:r>
        <w:t>bía producido resultados importantes en todas las esf</w:t>
      </w:r>
      <w:r>
        <w:t>e</w:t>
      </w:r>
      <w:r>
        <w:t>ras; la vida de la mujer había mejorado y su situación en la sociedad y la familia se había fortalec</w:t>
      </w:r>
      <w:r>
        <w:t>i</w:t>
      </w:r>
      <w:r>
        <w:t>do.</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En Viet Nam, la Constitución consagraba la igualdad y la no discriminación, que el sistema jurídico promovía mediante legislación y políticas concretas y planes de acción. En la legislación quedaba expresado el derecho a la igualdad ante la ley, entre otras cosas, con respecto a la propiedad, la nacionalidad y el m</w:t>
      </w:r>
      <w:r>
        <w:t>a</w:t>
      </w:r>
      <w:r>
        <w:t>trimonio y la familia. Viet Nam había ratificado m</w:t>
      </w:r>
      <w:r>
        <w:t>u</w:t>
      </w:r>
      <w:r>
        <w:t>chos tratados de derechos humanos de las Naciones Unidas y varios convenios de la Organización Intern</w:t>
      </w:r>
      <w:r>
        <w:t>a</w:t>
      </w:r>
      <w:r>
        <w:t>cional del Trabajo (OIT), como el Convenio No. 100 relativo a la igualdad de remuneración y el Convenio No. 182 sobre la prohibición de las peores formas de trabajo infantil. En el lugar de trabajo, la mujer partic</w:t>
      </w:r>
      <w:r>
        <w:t>i</w:t>
      </w:r>
      <w:r>
        <w:t>paba en todas las esferas y disfrutaba de igualdad de derechos con el hombre con respecto a la remuner</w:t>
      </w:r>
      <w:r>
        <w:t>a</w:t>
      </w:r>
      <w:r>
        <w:t>ción, así como a la salud y seguridad en el trab</w:t>
      </w:r>
      <w:r>
        <w:t>a</w:t>
      </w:r>
      <w:r>
        <w:t>jo.</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Se había aprobado el plan nacional para el ad</w:t>
      </w:r>
      <w:r>
        <w:t>e</w:t>
      </w:r>
      <w:r>
        <w:t>lanto de la mujer vietnamita, en el que se establecía el objetivo de aumentar para 2000 la representación de la mujer de forma tal que estuviera entre el 20% y el 30% en los órganos electivos y entre el 15% y el 20% en todos los niveles de la administración. Había a</w:t>
      </w:r>
      <w:r>
        <w:t>u</w:t>
      </w:r>
      <w:r>
        <w:t>mentado la proporción de mujeres en los consejos p</w:t>
      </w:r>
      <w:r>
        <w:t>o</w:t>
      </w:r>
      <w:r>
        <w:t>pulares, que era del 22,5% a nivel de provincia, el 20,7% a nivel de distrito y el 16,3% a nivel de comuna. El 26,22% de los miembros de la actual Asamblea N</w:t>
      </w:r>
      <w:r>
        <w:t>a</w:t>
      </w:r>
      <w:r>
        <w:t>cional eran mujeres, frente al 18,5% en la Asamblea Nacional anterior, por lo que en términos de mujeres representantes Viet Nam quedaba en noveno lugar entre los 135 miembros de la Unión Interparlamentaria y en segundo lugar en la región de Asia y el Pacífico. Eran mujeres tanto la Vicepresidenta del Estado como la V</w:t>
      </w:r>
      <w:r>
        <w:t>i</w:t>
      </w:r>
      <w:r>
        <w:t xml:space="preserve">cepresidenta de la Asamblea General, y las mujeres constituían el 30% de los funcionarios de relaciones </w:t>
      </w:r>
      <w:r>
        <w:rPr>
          <w:spacing w:val="0"/>
        </w:rPr>
        <w:t>exteriores y el 25% de éstos destinados en el extranj</w:t>
      </w:r>
      <w:r>
        <w:rPr>
          <w:spacing w:val="0"/>
        </w:rPr>
        <w:t>e</w:t>
      </w:r>
      <w:r>
        <w:rPr>
          <w:spacing w:val="0"/>
        </w:rPr>
        <w:t>ro.</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La tasa de alfabetización de la mujer y la niña h</w:t>
      </w:r>
      <w:r>
        <w:t>a</w:t>
      </w:r>
      <w:r>
        <w:t>bía alcanzado el 88% y la población estudiantil de m</w:t>
      </w:r>
      <w:r>
        <w:t>u</w:t>
      </w:r>
      <w:r>
        <w:t>jeres había aumentado constantemente en comparación con la de hombres. La mujer tenía igualdad de derechos a la atención de salud y Viet Nam había recibido un premio de las Naciones Unidas por los adelantos alca</w:t>
      </w:r>
      <w:r>
        <w:t>n</w:t>
      </w:r>
      <w:r>
        <w:t>zados en lo tocante a la salud reproductiva. El número medio de hijos por mujer en edad fecunda se había r</w:t>
      </w:r>
      <w:r>
        <w:t>e</w:t>
      </w:r>
      <w:r>
        <w:t>ducido de 3,8 en 1989 a 2,3 en 1999, y la tasa de mo</w:t>
      </w:r>
      <w:r>
        <w:t>r</w:t>
      </w:r>
      <w:r>
        <w:t>talidad materna había disminuido del 1,1% en 1996 al 0,9% en 1999.</w:t>
      </w:r>
    </w:p>
    <w:p w:rsidR="00000000" w:rsidRDefault="00000000">
      <w:pPr>
        <w:pStyle w:val="DualTxt"/>
        <w:numPr>
          <w:ilvl w:val="0"/>
          <w:numId w:val="160"/>
        </w:numPr>
        <w:tabs>
          <w:tab w:val="clear" w:pos="960"/>
          <w:tab w:val="left" w:pos="475"/>
          <w:tab w:val="left" w:pos="965"/>
        </w:tabs>
      </w:pPr>
      <w:r>
        <w:t>La representante observó que la incorporación de la perspectiva de género por el Gobierno en los pr</w:t>
      </w:r>
      <w:r>
        <w:t>o</w:t>
      </w:r>
      <w:r>
        <w:t>gramas de desarrollo socioeconómico había mejorado la vida de la mujer, entre otras cosas, al facilitar el a</w:t>
      </w:r>
      <w:r>
        <w:t>c</w:t>
      </w:r>
      <w:r>
        <w:t>ceso al empleo, el crédito y los préstamos. Se había creado un banco para los pobres y se prestaba asiste</w:t>
      </w:r>
      <w:r>
        <w:t>n</w:t>
      </w:r>
      <w:r>
        <w:t>cia a la Unión de Mujeres para el fomento de proyectos de generación de ingresos que ayudaban en particular a las mujeres de las zonas rurales y de minorías étnicas que vivían en regiones montañosas y remotas.</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En 1993 se creó la Comisión Nacional para el Adelanto de la Mujer tras la decisión del Primer M</w:t>
      </w:r>
      <w:r>
        <w:t>i</w:t>
      </w:r>
      <w:r>
        <w:t>nistro de proporcionar asesoramiento sobre la igualdad entre los géneros y el adelanto de la mujer. La Com</w:t>
      </w:r>
      <w:r>
        <w:t>i</w:t>
      </w:r>
      <w:r>
        <w:t>sión Nacional había participado en la formulación y ejecución de planes de acción nacionales para el ad</w:t>
      </w:r>
      <w:r>
        <w:t>e</w:t>
      </w:r>
      <w:r>
        <w:t>lanto de la mujer y la vigilancia de la reforma jurídica y había formulado políticas y programas para el mej</w:t>
      </w:r>
      <w:r>
        <w:t>o</w:t>
      </w:r>
      <w:r>
        <w:t>ramiento de la condición de la mujer. Se habían est</w:t>
      </w:r>
      <w:r>
        <w:t>a</w:t>
      </w:r>
      <w:r>
        <w:t>blecido comités locales en todo Viet Nam y había a</w:t>
      </w:r>
      <w:r>
        <w:t>u</w:t>
      </w:r>
      <w:r>
        <w:t>mentado la cooperación entre los órganos gubern</w:t>
      </w:r>
      <w:r>
        <w:t>a</w:t>
      </w:r>
      <w:r>
        <w:t>mentales y las organizaciones no gubern</w:t>
      </w:r>
      <w:r>
        <w:t>a</w:t>
      </w:r>
      <w:r>
        <w:t>mentales.</w:t>
      </w:r>
    </w:p>
    <w:p w:rsidR="00000000" w:rsidRDefault="00000000">
      <w:pPr>
        <w:pStyle w:val="DualTxt"/>
        <w:numPr>
          <w:ilvl w:val="0"/>
          <w:numId w:val="160"/>
        </w:numPr>
        <w:tabs>
          <w:tab w:val="clear" w:pos="960"/>
          <w:tab w:val="left" w:pos="475"/>
          <w:tab w:val="left" w:pos="965"/>
        </w:tabs>
      </w:pPr>
      <w:r>
        <w:t>Al concluir su presentación, la representante de Viet Nam señaló a la atención el hecho de que su país ocupaba un puesto alto en el índice de desarrollo h</w:t>
      </w:r>
      <w:r>
        <w:t>u</w:t>
      </w:r>
      <w:r>
        <w:t>mano del Programa de las Naciones Unidas para el D</w:t>
      </w:r>
      <w:r>
        <w:t>e</w:t>
      </w:r>
      <w:r>
        <w:t>sarrollo (PNUD) y el índice de desarrollo relacionado con el género (IDG) lo que resultaba importante a la luz de que Viet Nam seguía afrontando dificultades, entre otras cosas, a consecuencia de los vestigios del feudalismo, la guerra y el escaso desarrollo econ</w:t>
      </w:r>
      <w:r>
        <w:t>ó</w:t>
      </w:r>
      <w:r>
        <w:t>mico.</w:t>
      </w:r>
    </w:p>
    <w:p w:rsidR="00000000" w:rsidRDefault="00000000">
      <w:pPr>
        <w:pStyle w:val="DualTxt"/>
        <w:numPr>
          <w:ilvl w:val="0"/>
          <w:numId w:val="160"/>
        </w:numPr>
        <w:tabs>
          <w:tab w:val="clear" w:pos="960"/>
          <w:tab w:val="left" w:pos="475"/>
          <w:tab w:val="left" w:pos="965"/>
        </w:tabs>
      </w:pPr>
      <w:r>
        <w:t>Indicó que, pese a los progresos alcanzados, pe</w:t>
      </w:r>
      <w:r>
        <w:t>r</w:t>
      </w:r>
      <w:r>
        <w:t>sistían algunos obstáculos a la aplicación de la Co</w:t>
      </w:r>
      <w:r>
        <w:t>n</w:t>
      </w:r>
      <w:r>
        <w:t>vención, como el elevado desempleo, la polarización entre ricos y pobres, las cuestiones sociales como  la prostitución, así como la trata de mujeres, el consumo de drogas y las enfermedades de transmisión sexual. La violencia en el hogar constituía un problema y persi</w:t>
      </w:r>
      <w:r>
        <w:t>s</w:t>
      </w:r>
      <w:r>
        <w:t>tían los prejuicios basados en el sexo que perjudicaban el adelanto de la mujer. Indicó que la preparación del informe había proporcionado nuevas oportunidades para evaluar los adelantos y aumentar el conocimiento y la aplicación de la Co</w:t>
      </w:r>
      <w:r>
        <w:t>n</w:t>
      </w:r>
      <w:r>
        <w:t>vención.</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Observaciones finales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spacing w:line="120" w:lineRule="exact"/>
        <w:rPr>
          <w:sz w:val="10"/>
        </w:rPr>
      </w:pP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encomia al Gobierno de Viet Nam por el segundo informe periódico y los informes periódicos tercero y cuarto combinados, que se ajustan a las d</w:t>
      </w:r>
      <w:r>
        <w:t>i</w:t>
      </w:r>
      <w:r>
        <w:t>rectrices del Comité para la preparación de informes periódicos. Encomia también al Gobierno por las a</w:t>
      </w:r>
      <w:r>
        <w:t>m</w:t>
      </w:r>
      <w:r>
        <w:t>plias respuestas presentadas por escrito en relación con las preguntas formuladas por el grupo de trabajo ant</w:t>
      </w:r>
      <w:r>
        <w:t>e</w:t>
      </w:r>
      <w:r>
        <w:t>rior al período de sesiones del Comité, y por la pr</w:t>
      </w:r>
      <w:r>
        <w:t>e</w:t>
      </w:r>
      <w:r>
        <w:t>sentación oral de la delegación, que tenía por objeto aclarar la situación actual de la mujer en Viet Nam y proporcionaba información adicional sobre la aplic</w:t>
      </w:r>
      <w:r>
        <w:t>a</w:t>
      </w:r>
      <w:r>
        <w:t>ción de la Convención.</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felicita al Gobierno por el nivel y el número de miembros de su delegación y reconoce el criterio positivo de la delegación y el diálogo abierto y constructivo que mantuvo con el C</w:t>
      </w:r>
      <w:r>
        <w:t>o</w:t>
      </w:r>
      <w:r>
        <w:t>mité.</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spacing w:after="0" w:line="120" w:lineRule="exact"/>
        <w:rPr>
          <w:sz w:val="10"/>
        </w:rPr>
      </w:pP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aplaude que Viet Nam haya reconocido la Convención sobre la eliminación de todas las formas de discriminación contra la mujer y otros tratados c</w:t>
      </w:r>
      <w:r>
        <w:t>o</w:t>
      </w:r>
      <w:r>
        <w:t>mo instrumentos jurídicos obligatorios y la adopción de un procedimiento para supervisar la legislación de co</w:t>
      </w:r>
      <w:r>
        <w:t>n</w:t>
      </w:r>
      <w:r>
        <w:t>formidad con lo establecido en los tratados internaci</w:t>
      </w:r>
      <w:r>
        <w:t>o</w:t>
      </w:r>
      <w:r>
        <w:t>nales. El Comité encomia la adopción de un proced</w:t>
      </w:r>
      <w:r>
        <w:t>i</w:t>
      </w:r>
      <w:r>
        <w:t>miento para afianzar la igualdad garantizada por la Constit</w:t>
      </w:r>
      <w:r>
        <w:t>u</w:t>
      </w:r>
      <w:r>
        <w:t>ción.</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encomia al Gobierno por el desarrollo y fortalecimiento de los mecanismos nacionales para la promoción de la mujer, entre otros a nivel local, y la vinculación de esos mecanismos a la Unión de Mujeres Vie</w:t>
      </w:r>
      <w:r>
        <w:t>t</w:t>
      </w:r>
      <w:r>
        <w:t>namitas.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encomia al Gobierno por los recursos asignados para lograr el crecimiento económico en condiciones de equidad social, lo que creó  un a</w:t>
      </w:r>
      <w:r>
        <w:t>m</w:t>
      </w:r>
      <w:r>
        <w:t>biente propicio para la aplicación de la Convención. El Comité observa los progresos alcanzados y que el E</w:t>
      </w:r>
      <w:r>
        <w:t>s</w:t>
      </w:r>
      <w:r>
        <w:t>tado parte ocupa un puesto relativamente alto en el í</w:t>
      </w:r>
      <w:r>
        <w:t>n</w:t>
      </w:r>
      <w:r>
        <w:t xml:space="preserve">dice de desarrollo humano que figura en el </w:t>
      </w:r>
      <w:r>
        <w:rPr>
          <w:i/>
        </w:rPr>
        <w:t>Informe s</w:t>
      </w:r>
      <w:r>
        <w:rPr>
          <w:i/>
        </w:rPr>
        <w:t>o</w:t>
      </w:r>
      <w:r>
        <w:rPr>
          <w:i/>
        </w:rPr>
        <w:t>bre el Desarrollo Humano</w:t>
      </w:r>
      <w:r>
        <w:t xml:space="preserve"> del PNUD y el índice de d</w:t>
      </w:r>
      <w:r>
        <w:t>e</w:t>
      </w:r>
      <w:r>
        <w:t>sarrollo relacionado con el género (IDG). El Comité también observa con reconocimiento las medidas adoptadas por el Gobierno para eliminar la p</w:t>
      </w:r>
      <w:r>
        <w:t>o</w:t>
      </w:r>
      <w:r>
        <w:t>breza.</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encomia al Gobierno por la prepar</w:t>
      </w:r>
      <w:r>
        <w:t>a</w:t>
      </w:r>
      <w:r>
        <w:t>ción de la estrategia nacional relacionada con la mujer (2001-2010) y el plan quinquenal para el adelanto de la mujer (2001-2005), con arreglo a lo recomendado en la Plataforma de Acción de Beijing. Observa con satisfa</w:t>
      </w:r>
      <w:r>
        <w:t>c</w:t>
      </w:r>
      <w:r>
        <w:t>ción que se ha tenido en cuenta la perspectiva de gén</w:t>
      </w:r>
      <w:r>
        <w:t>e</w:t>
      </w:r>
      <w:r>
        <w:t>ro en el plan de desarrollo económico y social para 1991-2000.</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a la aplicación de la Convención</w:t>
      </w:r>
    </w:p>
    <w:p w:rsidR="00000000" w:rsidRDefault="00000000">
      <w:pPr>
        <w:pStyle w:val="SingleTxt"/>
        <w:spacing w:after="0" w:line="120" w:lineRule="exact"/>
        <w:rPr>
          <w:sz w:val="10"/>
        </w:rPr>
      </w:pP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considera que la transformación ec</w:t>
      </w:r>
      <w:r>
        <w:t>o</w:t>
      </w:r>
      <w:r>
        <w:t>nómica del país en curso plantea dificultades especiales en cuanto a la realización de la igualdad entre los gén</w:t>
      </w:r>
      <w:r>
        <w:t>e</w:t>
      </w:r>
      <w:r>
        <w:t>ros, sobre todo en las esferas del empleo de la mujer y la educación de la niña y la joven, y se puede socavar los progresos logrados con respecto a la realización de la igualdad entre el hombre y la mujer. El Comité co</w:t>
      </w:r>
      <w:r>
        <w:t>n</w:t>
      </w:r>
      <w:r>
        <w:t>sidera también que la crisis económica de 1997 en Asia obstaculizó el programa de desarrollo social del Estado parte y que la persistencia de la pobreza constituye un obstáculo importante a la aplicación de la Co</w:t>
      </w:r>
      <w:r>
        <w:t>n</w:t>
      </w:r>
      <w:r>
        <w:t>vención.</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observa que la persistencia de una s</w:t>
      </w:r>
      <w:r>
        <w:t>ó</w:t>
      </w:r>
      <w:r>
        <w:t>lida cultura patriarcal que hace hincapié en los papeles tradicionales del hombre y la mujer constituye un ob</w:t>
      </w:r>
      <w:r>
        <w:t>s</w:t>
      </w:r>
      <w:r>
        <w:t>táculo a la plena aplicación de la Convención.</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esferas de preocupación y recomendaciones</w:t>
      </w:r>
    </w:p>
    <w:p w:rsidR="00000000" w:rsidRDefault="00000000">
      <w:pPr>
        <w:pStyle w:val="SingleTxt"/>
        <w:spacing w:after="0" w:line="120" w:lineRule="exact"/>
        <w:rPr>
          <w:sz w:val="10"/>
        </w:rPr>
      </w:pP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Preocupa al Comité el profundo arraigo de las actitudes y el comportamiento patriarcales que se tr</w:t>
      </w:r>
      <w:r>
        <w:t>a</w:t>
      </w:r>
      <w:r>
        <w:t>duce entre otras cosas en el papel inferior de la m</w:t>
      </w:r>
      <w:r>
        <w:t>u</w:t>
      </w:r>
      <w:r>
        <w:t>jer en la familia, la falta de reconocimiento del trabajo de la mujer, la preferencia por los hijos varones y el fracaso del hombre en lo que concierne a compartir las responsabilidades del h</w:t>
      </w:r>
      <w:r>
        <w:t>o</w:t>
      </w:r>
      <w:r>
        <w:t>gar y la familia.</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recomienda al Gobierno que adopte medidas urgentes y de amplio alcance, como la cre</w:t>
      </w:r>
      <w:r>
        <w:t>a</w:t>
      </w:r>
      <w:r>
        <w:t>ción de programas educativos especiales, la revisión de los programas de estudio y de los libros de texto y el lanzamiento de campañas en los medios de difusión p</w:t>
      </w:r>
      <w:r>
        <w:t>a</w:t>
      </w:r>
      <w:r>
        <w:t>ra superar los estereotipos tradicionales respecto de la función de la mujer y del hombre en la soci</w:t>
      </w:r>
      <w:r>
        <w:t>e</w:t>
      </w:r>
      <w:r>
        <w:t xml:space="preserve">dad. </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Preocupa al Comité la poca representación de la mujer en todos los niveles de los órganos decisorios de la vida política y pública.</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recomienda que se aumente el número de mujeres que intervienen en la adopción de decisi</w:t>
      </w:r>
      <w:r>
        <w:t>o</w:t>
      </w:r>
      <w:r>
        <w:t>nes a todos los niveles y en todas las esferas, incluida la política macroeconómica. El Comité recomienda al Estado parte que adopte medidas especiales de carácter temporal de conformidad con el artículo 4.1 de la Co</w:t>
      </w:r>
      <w:r>
        <w:t>n</w:t>
      </w:r>
      <w:r>
        <w:t>vención y refuerce sus actividades encaminadas a a</w:t>
      </w:r>
      <w:r>
        <w:t>s</w:t>
      </w:r>
      <w:r>
        <w:t>cender a mujeres a cargos de dirección con programas de capacitación especiales y campañas de sensibiliz</w:t>
      </w:r>
      <w:r>
        <w:t>a</w:t>
      </w:r>
      <w:r>
        <w:t>ción sobre la importancia de la participación de la m</w:t>
      </w:r>
      <w:r>
        <w:t>u</w:t>
      </w:r>
      <w:r>
        <w:t>jer en la adopción de decisiones a todos los n</w:t>
      </w:r>
      <w:r>
        <w:t>i</w:t>
      </w:r>
      <w:r>
        <w:t xml:space="preserve">veles. </w:t>
      </w:r>
    </w:p>
    <w:p w:rsidR="00000000" w:rsidRDefault="00000000">
      <w:pPr>
        <w:pStyle w:val="DualTxt"/>
        <w:numPr>
          <w:ilvl w:val="0"/>
          <w:numId w:val="160"/>
        </w:numPr>
        <w:tabs>
          <w:tab w:val="clear" w:pos="960"/>
          <w:tab w:val="left" w:pos="965"/>
        </w:tabs>
      </w:pPr>
      <w:r>
        <w:t>Al Comité le preocupa que el mecanismo naci</w:t>
      </w:r>
      <w:r>
        <w:t>o</w:t>
      </w:r>
      <w:r>
        <w:t>nal existente para el adelanto de la mujer no tenga v</w:t>
      </w:r>
      <w:r>
        <w:t>i</w:t>
      </w:r>
      <w:r>
        <w:t>gor y visibilidad suficientes ni recursos humanos y f</w:t>
      </w:r>
      <w:r>
        <w:t>i</w:t>
      </w:r>
      <w:r>
        <w:t>nancieros adecuados para respaldar sus actividades d</w:t>
      </w:r>
      <w:r>
        <w:t>i</w:t>
      </w:r>
      <w:r>
        <w:t>rigidas a conseguir el adelanto de la mujer y su igua</w:t>
      </w:r>
      <w:r>
        <w:t>l</w:t>
      </w:r>
      <w:r>
        <w:t xml:space="preserve">dad con el hombre. </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recomienda al Estado parte que fort</w:t>
      </w:r>
      <w:r>
        <w:t>a</w:t>
      </w:r>
      <w:r>
        <w:t>lezca el mecanismo nacional existente para darle más visibilidad y vigor, así como la capacidad para incorp</w:t>
      </w:r>
      <w:r>
        <w:t>o</w:t>
      </w:r>
      <w:r>
        <w:t>rar una perspectiva de género en todas las políticas y programas y promover el adelanto de la mujer. El C</w:t>
      </w:r>
      <w:r>
        <w:t>o</w:t>
      </w:r>
      <w:r>
        <w:t>mité recomienda que la capacidad del mecanismo n</w:t>
      </w:r>
      <w:r>
        <w:t>a</w:t>
      </w:r>
      <w:r>
        <w:t xml:space="preserve">cional sea objeto de una evaluación permanente y que se faciliten a éste los recursos humanos y financieros necesarios. </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manifiesta preocupación por el cons</w:t>
      </w:r>
      <w:r>
        <w:t>i</w:t>
      </w:r>
      <w:r>
        <w:t>derable desfase existente entre la acción del Estado parte encaminado a conseguir la igualdad jurídica entre la mujer y el hombre y el disfrute por parte de la mujer de una igualdad de hecho, particularmente en las esf</w:t>
      </w:r>
      <w:r>
        <w:t>e</w:t>
      </w:r>
      <w:r>
        <w:t>ras económica, social y p</w:t>
      </w:r>
      <w:r>
        <w:t>o</w:t>
      </w:r>
      <w:r>
        <w:t>lítica.</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recomienda al Estado parte que vigile la aplicación de la disposiciones jurídicas que garant</w:t>
      </w:r>
      <w:r>
        <w:t>i</w:t>
      </w:r>
      <w:r>
        <w:t xml:space="preserve">zan la igualdad </w:t>
      </w:r>
      <w:r>
        <w:rPr>
          <w:i/>
        </w:rPr>
        <w:t xml:space="preserve">de jure </w:t>
      </w:r>
      <w:r>
        <w:t>de la mujer con objeto de que se logre también la igualdad de hecho. El Comité insta al Estado parte a que ponga en marcha programas de c</w:t>
      </w:r>
      <w:r>
        <w:t>a</w:t>
      </w:r>
      <w:r>
        <w:t>pacitación y sensibilización en materia de género de</w:t>
      </w:r>
      <w:r>
        <w:t>s</w:t>
      </w:r>
      <w:r>
        <w:t>tinados al personal encargado de hacer cumplir la ley, el personal judicial y el personal sanitario, así como a otros encargados de la aplicación de la legislación, a fin de garantizar la igualdad de h</w:t>
      </w:r>
      <w:r>
        <w:t>e</w:t>
      </w:r>
      <w:r>
        <w:t>cho de la mujer.</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Al Comité le preocupa la prevalencia de la vi</w:t>
      </w:r>
      <w:r>
        <w:t>o</w:t>
      </w:r>
      <w:r>
        <w:t>lencia contra la mujer y en particular, la violencia en el hogar. Le preocupa la falta de medidas jurídicas y de otra índole para abordar el problema de la violencia contra la mujer y que el Estado parte no tipifique esp</w:t>
      </w:r>
      <w:r>
        <w:t>e</w:t>
      </w:r>
      <w:r>
        <w:t>cíficamente como delito la violación en el matrimonio. Le preocupa que las penas previstas por la comisión de abusos sexuales contra menores sean leves, que haya un elevado número de matrimonios forzados y matr</w:t>
      </w:r>
      <w:r>
        <w:t>i</w:t>
      </w:r>
      <w:r>
        <w:t>monios de menores y que la crueldad no constituya un motivo de divorcio. Le preocupa que se haga exces</w:t>
      </w:r>
      <w:r>
        <w:t>i</w:t>
      </w:r>
      <w:r>
        <w:t>vo hincapié en la reconciliación en casos de ruptura matrimonial, incluidos los casos en que haya habido violencia.</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insta al Estado parte a que ponga en práctica las recomendaciones consignadas en la rec</w:t>
      </w:r>
      <w:r>
        <w:t>o</w:t>
      </w:r>
      <w:r>
        <w:t>mendación general No. 19 del Comité sobre la viole</w:t>
      </w:r>
      <w:r>
        <w:t>n</w:t>
      </w:r>
      <w:r>
        <w:t>cia contra la mujer y vele por que se tipifiquen como delito todas las formas de violencia contra las mujeres y las niñas y por que se proporcione a las víctimas protección y reparación. El Comité insta a que se tip</w:t>
      </w:r>
      <w:r>
        <w:t>i</w:t>
      </w:r>
      <w:r>
        <w:t>fique como delito la violación en el matrimonio y se examinen detenidamente los requisitos de la reconc</w:t>
      </w:r>
      <w:r>
        <w:t>i</w:t>
      </w:r>
      <w:r>
        <w:t>liación en los casos de ruptura matrimonial, partic</w:t>
      </w:r>
      <w:r>
        <w:t>u</w:t>
      </w:r>
      <w:r>
        <w:t>larmente cuando haya mediado violencia. El Comité recomienda que se organicen actividades de capacit</w:t>
      </w:r>
      <w:r>
        <w:t>a</w:t>
      </w:r>
      <w:r>
        <w:t>ción sobre el género para todos los funcionarios públ</w:t>
      </w:r>
      <w:r>
        <w:t>i</w:t>
      </w:r>
      <w:r>
        <w:t>cos, especialmente destinadas al personal encargado de hacer cumplir la ley, al personal judicial y los mie</w:t>
      </w:r>
      <w:r>
        <w:t>m</w:t>
      </w:r>
      <w:r>
        <w:t>bros de las comunidades locales, en lo tocante a la violencia contra las mujeres y las niñas, y que se po</w:t>
      </w:r>
      <w:r>
        <w:t>n</w:t>
      </w:r>
      <w:r>
        <w:t>gan en marcha campañas de sensibilización pública s</w:t>
      </w:r>
      <w:r>
        <w:t>o</w:t>
      </w:r>
      <w:r>
        <w:t>bre todas las formas de violencia contra las mujeres y las niñas y las consecuencias de esa viole</w:t>
      </w:r>
      <w:r>
        <w:t>n</w:t>
      </w:r>
      <w:r>
        <w:t>cia.</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reconoce la acción que lleva a cabo el Estado parte para hacer frente a la trata de mujeres y niñas, pero sigue preocupado por el hecho de que no haya procurado obtener información y datos estadíst</w:t>
      </w:r>
      <w:r>
        <w:t>i</w:t>
      </w:r>
      <w:r>
        <w:t>cos suficientes sobre este asunto. Le preocupa ta</w:t>
      </w:r>
      <w:r>
        <w:t>m</w:t>
      </w:r>
      <w:r>
        <w:t>bién que no se hayan evaluado las repercusiones de las disposiciones jurídicas y otras medidas vigentes en relación con la eliminación de la trata y que no se hayan adoptado medidas enérgicas para hacer cumplir la ley.</w:t>
      </w:r>
    </w:p>
    <w:p w:rsidR="00000000" w:rsidRDefault="00000000">
      <w:pPr>
        <w:pStyle w:val="DualTxt"/>
        <w:numPr>
          <w:ilvl w:val="0"/>
          <w:numId w:val="160"/>
        </w:numPr>
        <w:tabs>
          <w:tab w:val="clear" w:pos="960"/>
          <w:tab w:val="left" w:pos="965"/>
        </w:tabs>
      </w:pPr>
      <w:r>
        <w:t>El Comité insta al Estado parte a que reúna i</w:t>
      </w:r>
      <w:r>
        <w:t>n</w:t>
      </w:r>
      <w:r>
        <w:t>formación y datos estadísticos amplios sobre la trata de mujeres y niñas y sobre las repercusiones de las med</w:t>
      </w:r>
      <w:r>
        <w:t>i</w:t>
      </w:r>
      <w:r>
        <w:t>das tendientes a hacer frente a ese problema e incluya esa información en su próximo informe periódico. El Comité recomienda al Estado parte que colabore en e</w:t>
      </w:r>
      <w:r>
        <w:t>s</w:t>
      </w:r>
      <w:r>
        <w:t>trategias regionales e internacionales de lucha contra la trata y no pierda de vista, aplicándolas cuando corre</w:t>
      </w:r>
      <w:r>
        <w:t>s</w:t>
      </w:r>
      <w:r>
        <w:t>ponda, las experiencias positivas de otros países a ese respecto. Recomienda, además, la adopción de medidas enderezadas a mejorar la situación económica de la mujer a fin de reducir su vulnerabilidad económica ante los traficantes y el establecimiento de programas de rehabilitación amplios para mujeres y niñas que h</w:t>
      </w:r>
      <w:r>
        <w:t>a</w:t>
      </w:r>
      <w:r>
        <w:t>yan sido víctimas de la tr</w:t>
      </w:r>
      <w:r>
        <w:t>a</w:t>
      </w:r>
      <w:r>
        <w:t xml:space="preserve">ta. </w:t>
      </w:r>
    </w:p>
    <w:p w:rsidR="00000000" w:rsidRDefault="00000000">
      <w:pPr>
        <w:pStyle w:val="DualTxt"/>
        <w:numPr>
          <w:ilvl w:val="0"/>
          <w:numId w:val="160"/>
        </w:numPr>
        <w:tabs>
          <w:tab w:val="clear" w:pos="960"/>
          <w:tab w:val="left" w:pos="965"/>
        </w:tabs>
      </w:pPr>
      <w:r>
        <w:t>Reconociendo la labor realizada por el Gobierno para reducir las diferencias y mejorar la condición jur</w:t>
      </w:r>
      <w:r>
        <w:t>í</w:t>
      </w:r>
      <w:r>
        <w:t>dica y social de las minorías étnicas, el Comité sigue preocupado por su situación.</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recomienda al Gobierno que, en su próximo informe periódico, proporcione más inform</w:t>
      </w:r>
      <w:r>
        <w:t>a</w:t>
      </w:r>
      <w:r>
        <w:t>ción y datos estadísticos sobre la situación de las muj</w:t>
      </w:r>
      <w:r>
        <w:t>e</w:t>
      </w:r>
      <w:r>
        <w:t>res pert</w:t>
      </w:r>
      <w:r>
        <w:t>e</w:t>
      </w:r>
      <w:r>
        <w:t>necientes a minorías étnicas.</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Pese a los esfuerzos y progresos realizados por el Estado parte en la esfera de la enseñanza primaria y s</w:t>
      </w:r>
      <w:r>
        <w:t>e</w:t>
      </w:r>
      <w:r>
        <w:t>cundaria, preocupa al Comité la elevada tasa de dese</w:t>
      </w:r>
      <w:r>
        <w:t>r</w:t>
      </w:r>
      <w:r>
        <w:t xml:space="preserve">ción escolar que se registra entre las muchachas </w:t>
      </w:r>
      <w:r>
        <w:rPr>
          <w:highlight w:val="yellow"/>
        </w:rPr>
        <w:t>de las zonas rurales</w:t>
      </w:r>
      <w:r>
        <w:t>, particularmente en la enseñanza superior. El Comité observa que el aumento de la tasa de dese</w:t>
      </w:r>
      <w:r>
        <w:t>r</w:t>
      </w:r>
      <w:r>
        <w:t>ción ha coincidido con el paso a una economía de me</w:t>
      </w:r>
      <w:r>
        <w:t>r</w:t>
      </w:r>
      <w:r>
        <w:t>cado y manifiesta preocupación por el hecho de que no se hayan mantenido los logros conseguidos por el Est</w:t>
      </w:r>
      <w:r>
        <w:t>a</w:t>
      </w:r>
      <w:r>
        <w:t>do parte en lo tocante a la enseñanza de las mujeres y las niñas.</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alienta al Estado parte a que intensif</w:t>
      </w:r>
      <w:r>
        <w:t>i</w:t>
      </w:r>
      <w:r>
        <w:t>que sus actividades para promover el acceso de las mujeres y las niñas a la enseñanza superior y su pe</w:t>
      </w:r>
      <w:r>
        <w:t>r</w:t>
      </w:r>
      <w:r>
        <w:t xml:space="preserve">manencia </w:t>
      </w:r>
      <w:r>
        <w:rPr>
          <w:highlight w:val="yellow"/>
        </w:rPr>
        <w:t>en el sistema</w:t>
      </w:r>
      <w:r>
        <w:t>. Además, recomienda al Estado parte que procure ofrecer incentivos a los padres para alentarlos a velar por que sus hijas asistan a la escuela.</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 xml:space="preserve">El Comité observa una disminución de la tasa de mortalidad de la mujer, pero manifiesta preocupación por la situación de la salud de la mujer, especialmente su salud reproductiva, y por la alta tasa </w:t>
      </w:r>
      <w:r>
        <w:rPr>
          <w:spacing w:val="0"/>
        </w:rPr>
        <w:t>de abortos entre las jóvenes solteras. También le preocupa la persistencia</w:t>
      </w:r>
      <w:r>
        <w:t xml:space="preserve"> de estereotipos con respecto a las cuestiones de salud de la mujer, especialmente la contracepción, que parece considerarse responsabilidad exclusiva de la mujer, así como el aumento del VIH/SIDA, el paludismo y la t</w:t>
      </w:r>
      <w:r>
        <w:t>u</w:t>
      </w:r>
      <w:r>
        <w:t>berculosis entre las muj</w:t>
      </w:r>
      <w:r>
        <w:t>e</w:t>
      </w:r>
      <w:r>
        <w:t>res.</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insta al Gobierno a que mantenga el acceso gratuito a la atención básica de salud y continúe mejorando su política de planificación de la familia y salud reproductiva, entre otras cosas, facilitando a</w:t>
      </w:r>
      <w:r>
        <w:t>m</w:t>
      </w:r>
      <w:r>
        <w:t>pliamente métodos modernos de contracepción que s</w:t>
      </w:r>
      <w:r>
        <w:t>e</w:t>
      </w:r>
      <w:r>
        <w:t>an asequibles y accesibles. Además, el Comité insta al Gobierno a que fomente la educación sexual de los j</w:t>
      </w:r>
      <w:r>
        <w:t>ó</w:t>
      </w:r>
      <w:r>
        <w:t>venes de ambos sexos, prestando especial atención a la prevención del VIH/SIDA.</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rPr>
          <w:w w:val="101"/>
        </w:rPr>
      </w:pPr>
      <w:r>
        <w:rPr>
          <w:w w:val="101"/>
        </w:rPr>
        <w:t>El Comité observa que el 80% de las mujeres de Viet Nam viven en zonas rurales y manifiesta preocup</w:t>
      </w:r>
      <w:r>
        <w:rPr>
          <w:w w:val="101"/>
        </w:rPr>
        <w:t>a</w:t>
      </w:r>
      <w:r>
        <w:rPr>
          <w:w w:val="101"/>
        </w:rPr>
        <w:t>ción por el hecho de que esas mujeres tengan un acceso limitado a los servicios de atención de la salud, a la e</w:t>
      </w:r>
      <w:r>
        <w:rPr>
          <w:w w:val="101"/>
        </w:rPr>
        <w:t>n</w:t>
      </w:r>
      <w:r>
        <w:rPr>
          <w:w w:val="101"/>
        </w:rPr>
        <w:t>señanza y a las actividades generadoras de ingr</w:t>
      </w:r>
      <w:r>
        <w:rPr>
          <w:w w:val="101"/>
        </w:rPr>
        <w:t>e</w:t>
      </w:r>
      <w:r>
        <w:rPr>
          <w:w w:val="101"/>
        </w:rPr>
        <w:t>sos.</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 xml:space="preserve">El Comité recomienda al Estado parte que preste más atención a la situación de </w:t>
      </w:r>
      <w:r>
        <w:rPr>
          <w:spacing w:val="0"/>
        </w:rPr>
        <w:t>las mujeres de las zonas rurales y formule políticas y programas especiales enc</w:t>
      </w:r>
      <w:r>
        <w:rPr>
          <w:spacing w:val="0"/>
        </w:rPr>
        <w:t>a</w:t>
      </w:r>
      <w:r>
        <w:rPr>
          <w:spacing w:val="0"/>
        </w:rPr>
        <w:t>minados</w:t>
      </w:r>
      <w:r>
        <w:t xml:space="preserve"> a la habilitación económica de la mujer rural, que aseguren su acceso </w:t>
      </w:r>
      <w:r>
        <w:rPr>
          <w:highlight w:val="yellow"/>
        </w:rPr>
        <w:t>al crédito, así como a</w:t>
      </w:r>
      <w:r>
        <w:t xml:space="preserve"> los serv</w:t>
      </w:r>
      <w:r>
        <w:t>i</w:t>
      </w:r>
      <w:r>
        <w:t xml:space="preserve">cios de atención de la salud, </w:t>
      </w:r>
      <w:r>
        <w:rPr>
          <w:highlight w:val="yellow"/>
        </w:rPr>
        <w:t>a</w:t>
      </w:r>
      <w:r>
        <w:t xml:space="preserve"> oportunidades educat</w:t>
      </w:r>
      <w:r>
        <w:t>i</w:t>
      </w:r>
      <w:r>
        <w:t xml:space="preserve">vas y sociales y a </w:t>
      </w:r>
      <w:r>
        <w:rPr>
          <w:highlight w:val="yellow"/>
        </w:rPr>
        <w:t>los</w:t>
      </w:r>
      <w:r>
        <w:t xml:space="preserve"> </w:t>
      </w:r>
      <w:r>
        <w:rPr>
          <w:highlight w:val="yellow"/>
        </w:rPr>
        <w:t>recursos productivos</w:t>
      </w:r>
      <w:r>
        <w:t>. Además, el Comité pide que se proporcione más información sobre este tema en el próximo i</w:t>
      </w:r>
      <w:r>
        <w:t>n</w:t>
      </w:r>
      <w:r>
        <w:t>forme.</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Preocupa al Comité que el hombre y la mujer se jubilen a edades diferentes, lo que repercute en el bi</w:t>
      </w:r>
      <w:r>
        <w:t>e</w:t>
      </w:r>
      <w:r>
        <w:t>nestar económico de la mujer. También le preocupa que la edad de jubilación afecte negativamente al acceso a la tierra por parte de las muj</w:t>
      </w:r>
      <w:r>
        <w:t>e</w:t>
      </w:r>
      <w:r>
        <w:t>res de las zonas rurales.</w:t>
      </w:r>
    </w:p>
    <w:p w:rsidR="00000000" w:rsidRDefault="00000000">
      <w:pPr>
        <w:pStyle w:val="DualTxt"/>
        <w:numPr>
          <w:ilvl w:val="0"/>
          <w:numId w:val="160"/>
        </w:numPr>
        <w:tabs>
          <w:tab w:val="clear" w:pos="960"/>
          <w:tab w:val="left" w:pos="475"/>
          <w:tab w:val="left" w:pos="965"/>
        </w:tabs>
      </w:pPr>
      <w:r>
        <w:t>El Comité recomienda al Estado parte que revise las disposiciones jurídicas vigentes relativas a la edad de jubilación de la mujer y del hombre con objeto de que la mujer tenga derecho a seguir ejerciendo un e</w:t>
      </w:r>
      <w:r>
        <w:t>m</w:t>
      </w:r>
      <w:r>
        <w:t xml:space="preserve">pleo productivo en condiciones de igualdad con el hombre. </w:t>
      </w:r>
      <w:r>
        <w:rPr>
          <w:highlight w:val="yellow"/>
        </w:rPr>
        <w:t>El Comité recomienda además que el Estado parte evalúe el derecho agrario y elimine toda dispos</w:t>
      </w:r>
      <w:r>
        <w:rPr>
          <w:highlight w:val="yellow"/>
        </w:rPr>
        <w:t>i</w:t>
      </w:r>
      <w:r>
        <w:rPr>
          <w:highlight w:val="yellow"/>
        </w:rPr>
        <w:t>ción que discrimine directa o indirectamente contra la m</w:t>
      </w:r>
      <w:r>
        <w:rPr>
          <w:highlight w:val="yellow"/>
        </w:rPr>
        <w:t>u</w:t>
      </w:r>
      <w:r>
        <w:rPr>
          <w:highlight w:val="yellow"/>
        </w:rPr>
        <w:t>jer.</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rPr>
          <w:w w:val="101"/>
        </w:rPr>
      </w:pPr>
      <w:r>
        <w:rPr>
          <w:w w:val="101"/>
        </w:rPr>
        <w:t>El Comité observa con preocupación la falta de i</w:t>
      </w:r>
      <w:r>
        <w:rPr>
          <w:w w:val="101"/>
        </w:rPr>
        <w:t>n</w:t>
      </w:r>
      <w:r>
        <w:rPr>
          <w:w w:val="101"/>
        </w:rPr>
        <w:t>formación sobre la discriminación sexual en el mercado de trabajo. Al Comité le preocupa también que no se h</w:t>
      </w:r>
      <w:r>
        <w:rPr>
          <w:w w:val="101"/>
        </w:rPr>
        <w:t>a</w:t>
      </w:r>
      <w:r>
        <w:rPr>
          <w:w w:val="101"/>
        </w:rPr>
        <w:t>yan evaluado las repercusiones de los incentivos para alentar el empleo de la mujer.</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pide al Estado parte que redoble sus esfuerzos para reunir información y datos estadísticos sobre la situación de la mujer y del hombre en el me</w:t>
      </w:r>
      <w:r>
        <w:t>r</w:t>
      </w:r>
      <w:r>
        <w:t>cado de trabajo, especialmente en el sector privado.</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rPr>
          <w:w w:val="102"/>
        </w:rPr>
      </w:pPr>
      <w:r>
        <w:rPr>
          <w:w w:val="102"/>
        </w:rPr>
        <w:t>El Comité insta al Gobierno a que firme y ratif</w:t>
      </w:r>
      <w:r>
        <w:rPr>
          <w:w w:val="102"/>
        </w:rPr>
        <w:t>i</w:t>
      </w:r>
      <w:r>
        <w:rPr>
          <w:w w:val="102"/>
        </w:rPr>
        <w:t>que el Protocolo Facultativo de la Convención y a que deposite lo antes posible su instrumento de aceptación de la enmienda del párrafo 1 del artículo 20 de la Co</w:t>
      </w:r>
      <w:r>
        <w:rPr>
          <w:w w:val="102"/>
        </w:rPr>
        <w:t>n</w:t>
      </w:r>
      <w:r>
        <w:rPr>
          <w:w w:val="102"/>
        </w:rPr>
        <w:t>vención, relativo al calendario de reuniones del Com</w:t>
      </w:r>
      <w:r>
        <w:rPr>
          <w:w w:val="102"/>
        </w:rPr>
        <w:t>i</w:t>
      </w:r>
      <w:r>
        <w:rPr>
          <w:w w:val="102"/>
        </w:rPr>
        <w:t>té.</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pide al Gobierno que, en el próximo informe periódico que presente con arreglo al artículo 18 de la Convención, responda a las preocupaciones expresadas en estas observaci</w:t>
      </w:r>
      <w:r>
        <w:t>o</w:t>
      </w:r>
      <w:r>
        <w:t>nes finales.</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pide que se dé amplia difusión a las presentes observaciones finales en Viet Nam para que la población del país, particularmente los funcionarios públicos y los políticos conozcan las medidas que se han adoptado para garantizar la igualdad de jure y de facto de la mujer, así como las medidas que todavía se requieren en tal sentido. Además, el Comité pide al Gobierno que siga difundiendo ampliamente, en part</w:t>
      </w:r>
      <w:r>
        <w:t>i</w:t>
      </w:r>
      <w:r>
        <w:t>cular entre las organizaciones de mujeres y de defensa de los derechos humanos, la Convención y su Prot</w:t>
      </w:r>
      <w:r>
        <w:t>o</w:t>
      </w:r>
      <w:r>
        <w:t>colo Facultativo, las recomendaciones generales del Comité, la Declaración y Plataforma de Acción de Beijing y los resultados del vigésimo tercer período extraordinario de sesiones de la Asamblea General t</w:t>
      </w:r>
      <w:r>
        <w:t>i</w:t>
      </w:r>
      <w:r>
        <w:t>tulado “La mujer en el año 2000: igualdad entre los g</w:t>
      </w:r>
      <w:r>
        <w:t>é</w:t>
      </w:r>
      <w:r>
        <w:t>neros, desarrollo y paz para el siglo XXI”.</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7.</w:t>
      </w:r>
      <w:r>
        <w:tab/>
      </w:r>
      <w:r>
        <w:rPr>
          <w:highlight w:val="yellow"/>
        </w:rPr>
        <w:t>Cuarto y quinto informes periódicos</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Nicaragua</w:t>
      </w:r>
    </w:p>
    <w:p w:rsidR="00000000" w:rsidRDefault="00000000">
      <w:pPr>
        <w:spacing w:line="120" w:lineRule="exact"/>
        <w:rPr>
          <w:sz w:val="10"/>
        </w:rPr>
      </w:pP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rPr>
          <w:spacing w:val="6"/>
        </w:rPr>
      </w:pPr>
      <w:r>
        <w:rPr>
          <w:spacing w:val="6"/>
        </w:rPr>
        <w:t>El Comité examinó el cuarto y quinto informes periódicos de Nicaragua (CEDAW/C/NIC/4) y (CEDAW/C/NIC/5) en sus sesiones 525ª y 526ª, cel</w:t>
      </w:r>
      <w:r>
        <w:rPr>
          <w:spacing w:val="6"/>
        </w:rPr>
        <w:t>e</w:t>
      </w:r>
      <w:r>
        <w:rPr>
          <w:spacing w:val="6"/>
        </w:rPr>
        <w:t xml:space="preserve">bradas el 17 de julio de 2001 </w:t>
      </w:r>
      <w:r>
        <w:rPr>
          <w:spacing w:val="6"/>
          <w:highlight w:val="yellow"/>
        </w:rPr>
        <w:t>(véanse CEDAW/C/ SR.525 y 526)</w:t>
      </w:r>
      <w:r>
        <w:rPr>
          <w:spacing w:val="6"/>
        </w:rP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Presentación por el Estado parte</w:t>
      </w:r>
    </w:p>
    <w:p w:rsidR="00000000" w:rsidRDefault="00000000">
      <w:pPr>
        <w:pStyle w:val="SingleTxt"/>
        <w:spacing w:after="0" w:line="120" w:lineRule="exact"/>
        <w:rPr>
          <w:sz w:val="10"/>
        </w:rPr>
      </w:pP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En la presentación del informe, la representante de Nicaragua informó al Comité de que los informes abarcaban el período de 1991 a 1998 y describió alg</w:t>
      </w:r>
      <w:r>
        <w:t>u</w:t>
      </w:r>
      <w:r>
        <w:t>nas i</w:t>
      </w:r>
      <w:r>
        <w:t>n</w:t>
      </w:r>
      <w:r>
        <w:t>novaciones importantes producidas en ese plazo.</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La representante informó al Comité de que el G</w:t>
      </w:r>
      <w:r>
        <w:t>o</w:t>
      </w:r>
      <w:r>
        <w:t>bierno se había comprometido a aplicar la Conve</w:t>
      </w:r>
      <w:r>
        <w:t>n</w:t>
      </w:r>
      <w:r>
        <w:t>ción, pero que diferentes obstáculos impedían su real</w:t>
      </w:r>
      <w:r>
        <w:t>i</w:t>
      </w:r>
      <w:r>
        <w:t>zación plena, entre ellos la persistencia de actitudes estereotipadas, especialmente el machismo y la pobreza a que se enfrenta Nicaragua. El Gobierno había puesto en marcha una estrategia reforzada para reducir la p</w:t>
      </w:r>
      <w:r>
        <w:t>o</w:t>
      </w:r>
      <w:r>
        <w:t>breza y otros programas para mejorar la salud y la in</w:t>
      </w:r>
      <w:r>
        <w:t>s</w:t>
      </w:r>
      <w:r>
        <w:t xml:space="preserve">trucción de las mujeres, las niñas y los niños. La ley preveía un marco general de protección de los derechos humanos y la Constitución y la ley de amparo, </w:t>
      </w:r>
      <w:r>
        <w:rPr>
          <w:highlight w:val="yellow"/>
        </w:rPr>
        <w:t>que protegía a las personas contra los abusos de la adm</w:t>
      </w:r>
      <w:r>
        <w:rPr>
          <w:highlight w:val="yellow"/>
        </w:rPr>
        <w:t>i</w:t>
      </w:r>
      <w:r>
        <w:rPr>
          <w:highlight w:val="yellow"/>
        </w:rPr>
        <w:t>nistración y establecía recursos para detener los actos administrativos que pudieran perjudicar los derechos de los ciudadanos,</w:t>
      </w:r>
      <w:r>
        <w:t xml:space="preserve"> garantizaban la eficacia de tales d</w:t>
      </w:r>
      <w:r>
        <w:t>e</w:t>
      </w:r>
      <w:r>
        <w:t>rechos. Se había establecido un programa común de prioridades en materia de derechos de la mujer en col</w:t>
      </w:r>
      <w:r>
        <w:t>a</w:t>
      </w:r>
      <w:r>
        <w:t xml:space="preserve">boración con la sociedad civil y los partidos políticos. </w:t>
      </w:r>
      <w:r>
        <w:rPr>
          <w:highlight w:val="green"/>
        </w:rPr>
        <w:t>Los proyectos de revisión de los procedimientos pen</w:t>
      </w:r>
      <w:r>
        <w:rPr>
          <w:highlight w:val="green"/>
        </w:rPr>
        <w:t>a</w:t>
      </w:r>
      <w:r>
        <w:rPr>
          <w:highlight w:val="green"/>
        </w:rPr>
        <w:t>les y del código de familia permitirán suprimir las di</w:t>
      </w:r>
      <w:r>
        <w:rPr>
          <w:highlight w:val="green"/>
        </w:rPr>
        <w:t>s</w:t>
      </w:r>
      <w:r>
        <w:rPr>
          <w:highlight w:val="green"/>
        </w:rPr>
        <w:t>posiciones discriminatorias mientras la Constitución y el Código Civil contenían disposiciones sobre la naci</w:t>
      </w:r>
      <w:r>
        <w:rPr>
          <w:highlight w:val="green"/>
        </w:rPr>
        <w:t>o</w:t>
      </w:r>
      <w:r>
        <w:rPr>
          <w:highlight w:val="green"/>
        </w:rPr>
        <w:t>nalidad. El Código de la Niñez y la</w:t>
      </w:r>
      <w:r>
        <w:t xml:space="preserve"> Adolescencia, aprobado en 1998, disponía que los niños tenían der</w:t>
      </w:r>
      <w:r>
        <w:t>e</w:t>
      </w:r>
      <w:r>
        <w:t>cho a conocer quiénes eran sus padres y a tener apell</w:t>
      </w:r>
      <w:r>
        <w:t>i</w:t>
      </w:r>
      <w:r>
        <w:t>do. La Comisión Permanente de la Mujer, Niñez, J</w:t>
      </w:r>
      <w:r>
        <w:t>u</w:t>
      </w:r>
      <w:r>
        <w:t>ventud y Familia presentó una proposición de Ley de Igualdad de Oportunidades a la Asamblea Nacional p</w:t>
      </w:r>
      <w:r>
        <w:t>a</w:t>
      </w:r>
      <w:r>
        <w:t>ra su aprob</w:t>
      </w:r>
      <w:r>
        <w:t>a</w:t>
      </w:r>
      <w:r>
        <w:t>ción.</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Se había establecido el Instituto Nicaragüense de la Mujer como la entidad nacional competente para d</w:t>
      </w:r>
      <w:r>
        <w:t>e</w:t>
      </w:r>
      <w:r>
        <w:t>finir, formular y fomentar políticas públicas y elaborar estrategias que asegurasen la igualdad de oportunid</w:t>
      </w:r>
      <w:r>
        <w:t>a</w:t>
      </w:r>
      <w:r>
        <w:t>des entre hombres y mujeres, incluidas medidas enc</w:t>
      </w:r>
      <w:r>
        <w:t>a</w:t>
      </w:r>
      <w:r>
        <w:t>minadas a mejorar las condiciones de vida de las muj</w:t>
      </w:r>
      <w:r>
        <w:t>e</w:t>
      </w:r>
      <w:r>
        <w:t>res conforme a la igualdad, el desarrollo y la paz. Ta</w:t>
      </w:r>
      <w:r>
        <w:t>m</w:t>
      </w:r>
      <w:r>
        <w:t>bién se había instituido el Ministerio de la Familia cuya función era fomentar la elaboración de proyectos y programas relacionados con las familias, las niñas y los niños y los adolescentes en situaciones de riesgo social. Sus competencias incluían la defensa de la mujer ante la violencia en el hogar, considerada una violación del derecho a la vida y a la seguridad personal. No ob</w:t>
      </w:r>
      <w:r>
        <w:t>s</w:t>
      </w:r>
      <w:r>
        <w:t>tante, la disminución de sus recursos financieros había restringido el efecto de estos proyectos y pr</w:t>
      </w:r>
      <w:r>
        <w:t>o</w:t>
      </w:r>
      <w:r>
        <w:t>gramas.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La representante de Nicaragua señaló que entre las diversas políticas llevadas a cabo por el Gobierno para promover el adelanto de la mujer estaban la polít</w:t>
      </w:r>
      <w:r>
        <w:t>i</w:t>
      </w:r>
      <w:r>
        <w:t>ca social, la política nacional de población, la política de participación ciudadana, la política de educación s</w:t>
      </w:r>
      <w:r>
        <w:t>e</w:t>
      </w:r>
      <w:r>
        <w:t>xual y la política de igualdad de oportunidades. Ta</w:t>
      </w:r>
      <w:r>
        <w:t>m</w:t>
      </w:r>
      <w:r>
        <w:t>bién se habían puesto en marcha otros mecanismos p</w:t>
      </w:r>
      <w:r>
        <w:t>a</w:t>
      </w:r>
      <w:r>
        <w:t>ra fomentar el diálogo entre el Gobierno y la sociedad civil por medio de las comisiones interinstitucionales. Además, se habían creado dos cargos, el de defensor de los derechos humanos y el de defensor especial de la niñez, la juventud y la m</w:t>
      </w:r>
      <w:r>
        <w:t>u</w:t>
      </w:r>
      <w:r>
        <w:t>jer.</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La representante de Nicaragua informó al Comité acerca del adelanto de la mujer en el sector educativo y de los resultados positivos que se habían alcanzado respecto al acceso de la mujer a todos los grados de la educación, y de las elevadas tasas de asistencia a los establecimientos escolares y universidades, a lo cual había coadyuvado el Plan Nacional de Educación (2001-2015). Los resultados eran especialmente i</w:t>
      </w:r>
      <w:r>
        <w:t>m</w:t>
      </w:r>
      <w:r>
        <w:t>portantes en las zonas rurales. La tasa de analfabetismo de las mujeres era inferior a la de los hombres y las mujeres constituían la mayoría de la población est</w:t>
      </w:r>
      <w:r>
        <w:t>u</w:t>
      </w:r>
      <w:r>
        <w:t>diantil. El Instituto Nacional Tecnológico, encargado de la formación profesional, había establecido una d</w:t>
      </w:r>
      <w:r>
        <w:t>e</w:t>
      </w:r>
      <w:r>
        <w:t>pendencia especial para elaborar programas que cons</w:t>
      </w:r>
      <w:r>
        <w:t>o</w:t>
      </w:r>
      <w:r>
        <w:t>lidasen la capacidad de las mujeres en zonas con índ</w:t>
      </w:r>
      <w:r>
        <w:t>i</w:t>
      </w:r>
      <w:r>
        <w:t>ces elevados de desempleo así como programas para las mujeres rurales, las madres solteras y las adole</w:t>
      </w:r>
      <w:r>
        <w:t>s</w:t>
      </w:r>
      <w:r>
        <w:t>centes en situaciones de riesgo. Estos programas pr</w:t>
      </w:r>
      <w:r>
        <w:t>e</w:t>
      </w:r>
      <w:r>
        <w:t>tendían posibilitar la creación de microempresas dirig</w:t>
      </w:r>
      <w:r>
        <w:t>i</w:t>
      </w:r>
      <w:r>
        <w:t>das por mujeres y facilitarles acceso a créditos a bajo interés y conseguir que se les ofreciesen empleos en sectores no trad</w:t>
      </w:r>
      <w:r>
        <w:t>i</w:t>
      </w:r>
      <w:r>
        <w:t>cionales.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rPr>
          <w:spacing w:val="2"/>
        </w:rPr>
      </w:pPr>
      <w:r>
        <w:rPr>
          <w:spacing w:val="2"/>
        </w:rPr>
        <w:t>La representante de Nicaragua señaló que había aumentado la esperanza de vida de las mujeres, pero que la mortalidad materna seguía siendo un grave problema. Entre las medidas adoptadas para resolver el problema estaban el establecimiento de hospitales especializados, con personal femenino que prestaba servicios de preve</w:t>
      </w:r>
      <w:r>
        <w:rPr>
          <w:spacing w:val="2"/>
        </w:rPr>
        <w:t>n</w:t>
      </w:r>
      <w:r>
        <w:rPr>
          <w:spacing w:val="2"/>
        </w:rPr>
        <w:t>ción de enfermedades y control pren</w:t>
      </w:r>
      <w:r>
        <w:rPr>
          <w:spacing w:val="2"/>
        </w:rPr>
        <w:t>a</w:t>
      </w:r>
      <w:r>
        <w:rPr>
          <w:spacing w:val="2"/>
        </w:rPr>
        <w:t>tal.</w:t>
      </w:r>
    </w:p>
    <w:p w:rsidR="00000000" w:rsidRDefault="00000000">
      <w:pPr>
        <w:pStyle w:val="DualTxt"/>
        <w:numPr>
          <w:ilvl w:val="0"/>
          <w:numId w:val="160"/>
        </w:numPr>
        <w:tabs>
          <w:tab w:val="clear" w:pos="960"/>
          <w:tab w:val="left" w:pos="965"/>
        </w:tabs>
      </w:pPr>
      <w:r>
        <w:t>La representante de Nicaragua reconoció que las mujeres solían concentrarse en los sectores de empleo de salarios bajos. En las zonas rurales seguía habiendo una gran discriminación en cuanto al acceso a oport</w:t>
      </w:r>
      <w:r>
        <w:t>u</w:t>
      </w:r>
      <w:r>
        <w:t xml:space="preserve">nidades y recursos y servicios productivos. En 1997 se estableció la Comisión Interinstitucional de Mujer y Desarrollo Rural para promover los intereses de la mujer rural, que puso en marcha un proyecto titulado “Las mujeres y el crédito” para mejorar el acceso de la mujer al crédito. </w:t>
      </w:r>
    </w:p>
    <w:p w:rsidR="00000000" w:rsidRDefault="00000000">
      <w:pPr>
        <w:pStyle w:val="DualTxt"/>
        <w:numPr>
          <w:ilvl w:val="0"/>
          <w:numId w:val="160"/>
        </w:numPr>
        <w:tabs>
          <w:tab w:val="clear" w:pos="960"/>
          <w:tab w:val="left" w:pos="965"/>
        </w:tabs>
      </w:pPr>
      <w:r>
        <w:t>La representante señaló que la violencia en la f</w:t>
      </w:r>
      <w:r>
        <w:t>a</w:t>
      </w:r>
      <w:r>
        <w:t>milia afectaba a una  gran cantidad de mujeres en Nic</w:t>
      </w:r>
      <w:r>
        <w:t>a</w:t>
      </w:r>
      <w:r>
        <w:t>ragua. El Gobierno había establecido Comisarías de la Mujer y la Niñez gracias a la cooperación que, con el</w:t>
      </w:r>
      <w:r>
        <w:rPr>
          <w:caps/>
        </w:rPr>
        <w:t> </w:t>
      </w:r>
      <w:r>
        <w:t>fin de resolver este problema, llevaban a cabo el Instituto Nicaragüense de la Mujer, la Red de Mujeres contra la Violencia, el Plan Nacional de Prevención de la Violencia Intrafamiliar y Sexual (2001-2006) y la Comisión Nacional en contra de la Violencia hacia la Mujer, la Niñez y la Adolescencia. Asimismo se había reformado el Código Penal a fin de garantizar mayor protección a las víctimas. El artículo 40 de la Constit</w:t>
      </w:r>
      <w:r>
        <w:t>u</w:t>
      </w:r>
      <w:r>
        <w:t>ción prohibía la trata en todas sus formas.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En conclusión, la representante de Nicaragua i</w:t>
      </w:r>
      <w:r>
        <w:t>n</w:t>
      </w:r>
      <w:r>
        <w:t>formó al Comité de que el número de puestos ocupados por mujeres en órganos de adopción de decisiones e instancias políticas había aumentado mucho en los ú</w:t>
      </w:r>
      <w:r>
        <w:t>l</w:t>
      </w:r>
      <w:r>
        <w:t>timos años.</w:t>
      </w:r>
    </w:p>
    <w:p w:rsidR="00000000" w:rsidRDefault="00000000">
      <w:pPr>
        <w:pStyle w:val="Single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Observaciones finales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r>
      <w:r>
        <w:rPr>
          <w:highlight w:val="yellow"/>
        </w:rPr>
        <w:t>Introducción</w:t>
      </w:r>
    </w:p>
    <w:p w:rsidR="00000000" w:rsidRDefault="00000000">
      <w:pPr>
        <w:pStyle w:val="SingleTxt"/>
        <w:spacing w:after="0" w:line="120" w:lineRule="exact"/>
        <w:rPr>
          <w:sz w:val="10"/>
        </w:rPr>
      </w:pP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expresa su agradecimiento al Gobierno de Nicaragua por sus cuarto y quinto informes periód</w:t>
      </w:r>
      <w:r>
        <w:t>i</w:t>
      </w:r>
      <w:r>
        <w:t>cos. El Comité observa, no obstante, que los informes no contienen suficiente material estadístico desglosado por sexos.</w:t>
      </w:r>
    </w:p>
    <w:p w:rsidR="00000000" w:rsidRDefault="00000000">
      <w:pPr>
        <w:pStyle w:val="DualTxt"/>
        <w:numPr>
          <w:ilvl w:val="0"/>
          <w:numId w:val="160"/>
        </w:numPr>
        <w:tabs>
          <w:tab w:val="clear" w:pos="960"/>
          <w:tab w:val="left" w:pos="965"/>
        </w:tabs>
      </w:pPr>
      <w:r>
        <w:t>El Comité hace constar su agradecimiento por el contenido de los informes y la sinceridad con que se han elaborado. Felicita al Gobierno por lo completas que son las respuestas a las preguntas del Comité que trataban de aclarar la situación de la mujer en Nicar</w:t>
      </w:r>
      <w:r>
        <w:t>a</w:t>
      </w:r>
      <w:r>
        <w:t>gua y por la franqueza de la exposición oral que el G</w:t>
      </w:r>
      <w:r>
        <w:t>o</w:t>
      </w:r>
      <w:r>
        <w:t>bierno ha hecho de los info</w:t>
      </w:r>
      <w:r>
        <w:t>r</w:t>
      </w:r>
      <w:r>
        <w:t>mes.</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SingleTxt"/>
        <w:spacing w:after="0" w:line="120" w:lineRule="exact"/>
        <w:rPr>
          <w:sz w:val="10"/>
        </w:rPr>
      </w:pP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 xml:space="preserve">El Comité acoge con beneplácito el empeño del Gobierno de Nicaragua en aplicar la Convención, que demuestra una serie de </w:t>
      </w:r>
      <w:r>
        <w:rPr>
          <w:highlight w:val="yellow"/>
        </w:rPr>
        <w:t>leyes, instituciones, medidas políticas</w:t>
      </w:r>
      <w:r>
        <w:t xml:space="preserve"> y programas para combatir la discriminación de la mujer en Nicaragua. El Comité reconoce que el Instituto Nicaragüense de la Mujer fue una de las pr</w:t>
      </w:r>
      <w:r>
        <w:t>i</w:t>
      </w:r>
      <w:r>
        <w:t>meras entidades nacionales de este tipo establecidas en la región en 1982. El Comité se congratula de la col</w:t>
      </w:r>
      <w:r>
        <w:t>a</w:t>
      </w:r>
      <w:r>
        <w:t>boración del Gobierno con la sociedad civil y con otros agentes con el fin de establecer un programa común de prioridades sobre cuestiones de la mujer.</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felicita al Gobierno por la publicación y difusión del manual operativo que explica las disp</w:t>
      </w:r>
      <w:r>
        <w:t>o</w:t>
      </w:r>
      <w:r>
        <w:t>sici</w:t>
      </w:r>
      <w:r>
        <w:t>o</w:t>
      </w:r>
      <w:r>
        <w:t>nes de la Convención.</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 xml:space="preserve">El Comité encomia al Gobierno por su decisión de incluir el aprendizaje de </w:t>
      </w:r>
      <w:r>
        <w:rPr>
          <w:spacing w:val="0"/>
        </w:rPr>
        <w:t>los derechos humanos en los niveles de enseñanza preescolar, primario, secundario,</w:t>
      </w:r>
      <w:r>
        <w:t xml:space="preserve"> técnico y profesional y en las academias de formación militar y de policía, así como por la integración de la perspectiva de género en el Plan Nacional de Desarr</w:t>
      </w:r>
      <w:r>
        <w:t>o</w:t>
      </w:r>
      <w:r>
        <w:t>llo, en los programas de estudio de las escuelas y de formación de profesores.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rPr>
          <w:spacing w:val="2"/>
        </w:rPr>
      </w:pPr>
      <w:r>
        <w:rPr>
          <w:spacing w:val="2"/>
        </w:rPr>
        <w:t>El Comité toma nota con satisfacción del empeño por combatir la violencia contra las mujeres, mediante la aprobación de leyes contra la violencia familiar (Ley No. 230), el establecimiento de la Comisión Nacional en contra de la Violencia hacia la Mujer, la Niñez y la Adolescencia, el Plan Nacional de Prevención de la Violencia Intrafamiliar y Sexual (2001-2006) y la coo</w:t>
      </w:r>
      <w:r>
        <w:rPr>
          <w:spacing w:val="2"/>
        </w:rPr>
        <w:t>r</w:t>
      </w:r>
      <w:r>
        <w:rPr>
          <w:spacing w:val="2"/>
        </w:rPr>
        <w:t>dinación con diferentes sectores de la sociedad, incluida la policía nacional, especialmente las Comisarías de la Mujer, en la lucha contra la violencia de g</w:t>
      </w:r>
      <w:r>
        <w:rPr>
          <w:spacing w:val="2"/>
        </w:rPr>
        <w:t>é</w:t>
      </w:r>
      <w:r>
        <w:rPr>
          <w:spacing w:val="2"/>
        </w:rPr>
        <w:t>nero.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a la aplicación de la Convención</w:t>
      </w:r>
    </w:p>
    <w:p w:rsidR="00000000" w:rsidRDefault="00000000">
      <w:pPr>
        <w:pStyle w:val="SingleTxt"/>
        <w:spacing w:after="0" w:line="120" w:lineRule="exact"/>
        <w:rPr>
          <w:sz w:val="10"/>
        </w:rPr>
      </w:pP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 xml:space="preserve">El Comité toma nota </w:t>
      </w:r>
      <w:r>
        <w:rPr>
          <w:highlight w:val="yellow"/>
        </w:rPr>
        <w:t>de que el alto grado de p</w:t>
      </w:r>
      <w:r>
        <w:rPr>
          <w:highlight w:val="yellow"/>
        </w:rPr>
        <w:t>o</w:t>
      </w:r>
      <w:r>
        <w:rPr>
          <w:highlight w:val="yellow"/>
        </w:rPr>
        <w:t>breza de Nicaragua,  agravado por los desastres nat</w:t>
      </w:r>
      <w:r>
        <w:rPr>
          <w:highlight w:val="yellow"/>
        </w:rPr>
        <w:t>u</w:t>
      </w:r>
      <w:r>
        <w:rPr>
          <w:highlight w:val="yellow"/>
        </w:rPr>
        <w:t>rales, representa un grave obstáculo</w:t>
      </w:r>
      <w:r>
        <w:t xml:space="preserve">  a la aplicación de la Convención y al acceso de la mujer a la plenitud de sus der</w:t>
      </w:r>
      <w:r>
        <w:t>e</w:t>
      </w:r>
      <w:r>
        <w:t>chos.</w:t>
      </w:r>
    </w:p>
    <w:p w:rsidR="00000000" w:rsidRDefault="00000000">
      <w:pPr>
        <w:pStyle w:val="Single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Esferas de especial preocupación y recomendaciones</w:t>
      </w:r>
    </w:p>
    <w:p w:rsidR="00000000" w:rsidRDefault="00000000">
      <w:pPr>
        <w:pStyle w:val="SingleTxt"/>
        <w:keepNext/>
        <w:keepLines/>
        <w:spacing w:after="0" w:line="120" w:lineRule="exact"/>
        <w:rPr>
          <w:sz w:val="10"/>
        </w:rPr>
      </w:pP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manifiesta su preocupación por la pe</w:t>
      </w:r>
      <w:r>
        <w:t>r</w:t>
      </w:r>
      <w:r>
        <w:t>sistencia de prejuicios sobre la función de la mujer en la familia y en la sociedad, como la creencia en la s</w:t>
      </w:r>
      <w:r>
        <w:t>u</w:t>
      </w:r>
      <w:r>
        <w:t>bordinación de la mujer al hombre, que se manifiesta en algunas comunidades religiosas y las actitudes y comportamientos de machismo en la vida pública y privada. Asimismo le preocupa el que, a pesar de que el Gobierno haya reconocido el problema y se esfuerce por solucionarlo, incluso mediante reformas legislat</w:t>
      </w:r>
      <w:r>
        <w:t>i</w:t>
      </w:r>
      <w:r>
        <w:t>vas, esos prejuicios sigan siendo un obstáculo para el logro de la igualdad de la mujer.</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hace un llamamiento al Gobierno para que intensifique las medidas a fin de cambiar las act</w:t>
      </w:r>
      <w:r>
        <w:t>i</w:t>
      </w:r>
      <w:r>
        <w:t>tudes estereotipadas acerca de las funciones y respo</w:t>
      </w:r>
      <w:r>
        <w:t>n</w:t>
      </w:r>
      <w:r>
        <w:t>sabilidades respectivas de mujeres y hombres, m</w:t>
      </w:r>
      <w:r>
        <w:t>e</w:t>
      </w:r>
      <w:r>
        <w:t>diante campañas que susciten una mayor conciencia del problema y de carácter educativo, dirigidas a mujeres y hombres, así como a los medios de comunicación, a fin de conseguir una igualdad de hecho entre hombres y mujeres. Hace también un llamamiento al Gobierno para que evalúe el efecto que tienen sus medidas de detección de insuficiencias, para que las ajuste y las mejore según proceda.</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Preocupa al Comité el elevado índice de pobreza entre las mujeres, en especial las mujeres rurales y las que son cabeza de familia.</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insta al Gobierno a conceder atención prioritaria a las mujeres rurales y cabezas de familia, mediante la asignación de recursos presupuestarios, así como  a supervisar las investigaciones acerca de su s</w:t>
      </w:r>
      <w:r>
        <w:t>i</w:t>
      </w:r>
      <w:r>
        <w:t>tuación con vistas a formular medidas políticas y pr</w:t>
      </w:r>
      <w:r>
        <w:t>o</w:t>
      </w:r>
      <w:r>
        <w:t>gramas eficaces para mejorar su situación socioecon</w:t>
      </w:r>
      <w:r>
        <w:t>ó</w:t>
      </w:r>
      <w:r>
        <w:t>mica y asegurar que reciben los servicios y el apoyo que necesitan. El Comité hace hincapié en que la inve</w:t>
      </w:r>
      <w:r>
        <w:t>r</w:t>
      </w:r>
      <w:r>
        <w:t xml:space="preserve">sión social en la mujer </w:t>
      </w:r>
      <w:r>
        <w:rPr>
          <w:highlight w:val="yellow"/>
        </w:rPr>
        <w:t>no sólo garantiza que ésta goce de sus derechos humanos, enunciados en la Conve</w:t>
      </w:r>
      <w:r>
        <w:rPr>
          <w:highlight w:val="yellow"/>
        </w:rPr>
        <w:t>n</w:t>
      </w:r>
      <w:r>
        <w:rPr>
          <w:highlight w:val="yellow"/>
        </w:rPr>
        <w:t>ción,</w:t>
      </w:r>
      <w:r>
        <w:t xml:space="preserve"> sino que constituye además uno de los medios más eficaces de combatir la pobreza y fomentar el d</w:t>
      </w:r>
      <w:r>
        <w:t>e</w:t>
      </w:r>
      <w:r>
        <w:t>sarrollo sostenible.</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rPr>
          <w:highlight w:val="yellow"/>
        </w:rPr>
        <w:t>El Comité está preocupado por la costumbre de los hombres mayores, especialmente en las zonas rur</w:t>
      </w:r>
      <w:r>
        <w:rPr>
          <w:highlight w:val="yellow"/>
        </w:rPr>
        <w:t>a</w:t>
      </w:r>
      <w:r>
        <w:rPr>
          <w:highlight w:val="yellow"/>
        </w:rPr>
        <w:t>les, de abusar sexualmente de las niñas pequeñas y o</w:t>
      </w:r>
      <w:r>
        <w:rPr>
          <w:highlight w:val="yellow"/>
        </w:rPr>
        <w:t>b</w:t>
      </w:r>
      <w:r>
        <w:rPr>
          <w:highlight w:val="yellow"/>
        </w:rPr>
        <w:t>serva que esta práctica viola el derecho de las niñas a la salud reproductiva, así como otros derechos conferidos por la Conve</w:t>
      </w:r>
      <w:r>
        <w:rPr>
          <w:highlight w:val="yellow"/>
        </w:rPr>
        <w:t>n</w:t>
      </w:r>
      <w:r>
        <w:rPr>
          <w:highlight w:val="yellow"/>
        </w:rPr>
        <w:t>ción</w:t>
      </w:r>
      <w:r>
        <w:t>.</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insta al Gobierno a que adopte medidas penales y medidas para sensibilizar a la opinión pública para eliminar el abuso sexual de las niñas p</w:t>
      </w:r>
      <w:r>
        <w:t>e</w:t>
      </w:r>
      <w:r>
        <w:t>queñas.</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manifiesta su preocupación por las elevadas tasas de mortalidad infantil y materna de N</w:t>
      </w:r>
      <w:r>
        <w:t>i</w:t>
      </w:r>
      <w:r>
        <w:t>caragua. Preocupa también al Comité que las causas principales de mortalidad entre las mujeres sean el cá</w:t>
      </w:r>
      <w:r>
        <w:t>n</w:t>
      </w:r>
      <w:r>
        <w:t>cer cervicouterino y de mama y los problemas relaci</w:t>
      </w:r>
      <w:r>
        <w:t>o</w:t>
      </w:r>
      <w:r>
        <w:t>nados con los embarazos, entre ellos las hemorragias posteriores al parto y la toxemia. El Comité toma nota con preocupación de la falta de información sobre los abortos y sobre el número de muertes o enfermedades relacionadas con ellos.</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recomienda que el Gobierno haga cuanto pueda para aumentar el acceso a las instalaci</w:t>
      </w:r>
      <w:r>
        <w:t>o</w:t>
      </w:r>
      <w:r>
        <w:t>nes de atención de salud y a la asistencia médica pre</w:t>
      </w:r>
      <w:r>
        <w:t>s</w:t>
      </w:r>
      <w:r>
        <w:t>tada por personal capacitado en todas las zonas del p</w:t>
      </w:r>
      <w:r>
        <w:t>a</w:t>
      </w:r>
      <w:r>
        <w:t>ís, entre ellas las zonas rurales. Recomienda que se pongan en marcha programas de prevención del cá</w:t>
      </w:r>
      <w:r>
        <w:t>n</w:t>
      </w:r>
      <w:r>
        <w:t>cer cervicouterino y de mama y para garantizar la ate</w:t>
      </w:r>
      <w:r>
        <w:t>n</w:t>
      </w:r>
      <w:r>
        <w:t>ción médica durante el embarazo. El Comité pide al Gobierno que en su próximo informe incluya datos s</w:t>
      </w:r>
      <w:r>
        <w:t>o</w:t>
      </w:r>
      <w:r>
        <w:t>bre la cantidad de abortos que se producen y sobre las defunciones y enfermedades relacionadas con ellos en el apartado general relativo a la situación sanitaria de la mujer.</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Preocupa al Comité la alta tasa de fertilidad en Nicaragua.</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hace un llamamiento al Gobierno para que mejore sus programas y políticas de planificación familiar y de salud de la reproducción, poniendo al a</w:t>
      </w:r>
      <w:r>
        <w:t>l</w:t>
      </w:r>
      <w:r>
        <w:t>cance de hombres y mujeres medios contraceptivos modernos que puedan permitirse. El Comité anima al Gobierno a poner en marcha programas educativos s</w:t>
      </w:r>
      <w:r>
        <w:t>o</w:t>
      </w:r>
      <w:r>
        <w:t>bre los derechos en materia de reproducción y sobre el comportamiento sexual responsable de mujeres y ho</w:t>
      </w:r>
      <w:r>
        <w:t>m</w:t>
      </w:r>
      <w:r>
        <w:t>bres, especialmente de los jóvenes.</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toma nota con preocupación de la el</w:t>
      </w:r>
      <w:r>
        <w:t>e</w:t>
      </w:r>
      <w:r>
        <w:t>vada tasa de analfabetismo reinante entre ciertos gr</w:t>
      </w:r>
      <w:r>
        <w:t>u</w:t>
      </w:r>
      <w:r>
        <w:t>pos de mujeres de Nicaragua.</w:t>
      </w:r>
    </w:p>
    <w:p w:rsidR="00000000" w:rsidRDefault="00000000">
      <w:pPr>
        <w:pStyle w:val="DualTxt"/>
        <w:numPr>
          <w:ilvl w:val="0"/>
          <w:numId w:val="160"/>
        </w:numPr>
        <w:tabs>
          <w:tab w:val="clear" w:pos="960"/>
          <w:tab w:val="left" w:pos="475"/>
          <w:tab w:val="left" w:pos="965"/>
        </w:tabs>
      </w:pPr>
      <w:r>
        <w:t>El Comité alienta al Gobierno a elaborar progr</w:t>
      </w:r>
      <w:r>
        <w:t>a</w:t>
      </w:r>
      <w:r>
        <w:t>mas especialmente destinados a reducir el analfabeti</w:t>
      </w:r>
      <w:r>
        <w:t>s</w:t>
      </w:r>
      <w:r>
        <w:t>mo femenino.</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manifiesta preocupación por que los hombres hayan desplazado a las mujeres trabajadoras en el sector estructurado y en el no estructurado de la economía, el que los salarios de los hombres tripliquen a los de las mujeres y el que el desempleo y el sube</w:t>
      </w:r>
      <w:r>
        <w:t>m</w:t>
      </w:r>
      <w:r>
        <w:t>pleo femeninos sean elevados. Igualmente encuentra preocupante que se discrimine indirectamente a la m</w:t>
      </w:r>
      <w:r>
        <w:t>u</w:t>
      </w:r>
      <w:r>
        <w:t>jer limitando su acceso al crédito por no poder prese</w:t>
      </w:r>
      <w:r>
        <w:t>n</w:t>
      </w:r>
      <w:r>
        <w:t>tar garantías.</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recomienda que se tomen medidas para mejorar la condición de la mujer trabajadora, poniendo en marcha, entre otras cosas, programas de formación que fomenten la integración de las mujeres en la fuerza de trabajo y que diversifiquen su participación; est</w:t>
      </w:r>
      <w:r>
        <w:t>a</w:t>
      </w:r>
      <w:r>
        <w:t>bleciendo guarderías infantiles; mejorando el acceso al crédito, especialmente de las mujeres rurales; y proc</w:t>
      </w:r>
      <w:r>
        <w:t>u</w:t>
      </w:r>
      <w:r>
        <w:t>rando con mayor insistencia que se abone un salario igual por un trabajo de igual valor.</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Si bien el Comité acoge con beneplácito el emp</w:t>
      </w:r>
      <w:r>
        <w:t>e</w:t>
      </w:r>
      <w:r>
        <w:t>ño del Gobierno por combatir la violencia familiar, ve con preocupación cómo persiste la violencia contra las mujeres en Nicaragua. El Comité subraya que, dado que la violencia contra las mujeres es una violación de los derechos humanos, es responsabilidad del Gobierno evitarla y adoptar medidas para proteger a las víctimas.</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hace un llamamiento al Gobierno para que adopte medidas prácticas para mantenerse info</w:t>
      </w:r>
      <w:r>
        <w:t>r</w:t>
      </w:r>
      <w:r>
        <w:t>mado de cómo se aplica la legislación y supervisarla y para mejorar las decisiones políticas y los programas en materia de violencia contra las mujeres, evaluando su eficacia y haciendo los correspondientes ajustes.</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acoge con agrado la creación de una entidad nacional competente en cuestiones de la mujer, el Instituto Nicaragüense de la Mujer, pero le preocupa el hecho de que carezca de apoyo institucional y d</w:t>
      </w:r>
      <w:r>
        <w:t>e</w:t>
      </w:r>
      <w:r>
        <w:t>penda de la cooperación internacional.</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insta al Gobierno a que dote al Inst</w:t>
      </w:r>
      <w:r>
        <w:t>i</w:t>
      </w:r>
      <w:r>
        <w:t>tuto Nicaragüense de la Mujer de los medios financi</w:t>
      </w:r>
      <w:r>
        <w:t>e</w:t>
      </w:r>
      <w:r>
        <w:t>ros, el personal y la capacidad para adoptar decisiones normativas para que ejerza una influencia eficaz en el f</w:t>
      </w:r>
      <w:r>
        <w:t>o</w:t>
      </w:r>
      <w:r>
        <w:t>mento de la igualdad de género en Nicaragua.</w:t>
      </w:r>
    </w:p>
    <w:p w:rsidR="00000000" w:rsidRDefault="00000000">
      <w:pPr>
        <w:pStyle w:val="DualTxt"/>
        <w:numPr>
          <w:ilvl w:val="0"/>
          <w:numId w:val="160"/>
        </w:numPr>
        <w:tabs>
          <w:tab w:val="clear" w:pos="960"/>
          <w:tab w:val="left" w:pos="475"/>
          <w:tab w:val="left" w:pos="965"/>
        </w:tabs>
      </w:pPr>
      <w:r>
        <w:t>Si bien el Comité acoge complacido la aprobación de medidas legislativas de protección y fomento de los derechos humanos de las mujeres, comprendidas las l</w:t>
      </w:r>
      <w:r>
        <w:t>e</w:t>
      </w:r>
      <w:r>
        <w:t>yes sobre violencia familiar y la Ley de Igualdad de Oportunidades, manifiesta su preocupación por el h</w:t>
      </w:r>
      <w:r>
        <w:t>e</w:t>
      </w:r>
      <w:r>
        <w:t>cho de que sigan existiendo leyes discriminatorias y no haya legislación en materia de educación.</w:t>
      </w:r>
    </w:p>
    <w:p w:rsidR="00000000" w:rsidRDefault="00000000">
      <w:pPr>
        <w:pStyle w:val="DualTxt"/>
        <w:numPr>
          <w:ilvl w:val="0"/>
          <w:numId w:val="160"/>
        </w:numPr>
        <w:tabs>
          <w:tab w:val="clear" w:pos="960"/>
          <w:tab w:val="left" w:pos="475"/>
          <w:tab w:val="left" w:pos="965"/>
        </w:tabs>
      </w:pPr>
      <w:r>
        <w:t>El Comité insta al Gobierno a reformar la legisl</w:t>
      </w:r>
      <w:r>
        <w:t>a</w:t>
      </w:r>
      <w:r>
        <w:t>ción en vigor y a promulgar otra nueva que prot</w:t>
      </w:r>
      <w:r>
        <w:t>e</w:t>
      </w:r>
      <w:r>
        <w:t>ja la igualdad de derechos de mujeres y hombres con respecto a la educación. Además, recomie</w:t>
      </w:r>
      <w:r>
        <w:t>n</w:t>
      </w:r>
      <w:r>
        <w:t>da que se adopte rápidamente un código de familia no discr</w:t>
      </w:r>
      <w:r>
        <w:t>i</w:t>
      </w:r>
      <w:r>
        <w:t>minatorio.</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Preocupa al Comité la falta de datos en los info</w:t>
      </w:r>
      <w:r>
        <w:t>r</w:t>
      </w:r>
      <w:r>
        <w:t>mes sobre la emigración de mujeres y niñas, de mujeres que trabajan en las maquiladoras y en las zonas de libre comercio, las mujeres mayores, indígenas y perten</w:t>
      </w:r>
      <w:r>
        <w:t>e</w:t>
      </w:r>
      <w:r>
        <w:t>cientes a las minorías, la prostitución y la trata de m</w:t>
      </w:r>
      <w:r>
        <w:t>u</w:t>
      </w:r>
      <w:r>
        <w:t>jeres y niñas.</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pide al Gobierno que en su próximo i</w:t>
      </w:r>
      <w:r>
        <w:t>n</w:t>
      </w:r>
      <w:r>
        <w:t>forme incluya datos sobre la emigración de mujeres y niñas y sobre las razones por las que se produce, los puntos de destino y en qué medida estas mujeres y n</w:t>
      </w:r>
      <w:r>
        <w:t>i</w:t>
      </w:r>
      <w:r>
        <w:t>ñas son vulnerables a formas de explotación sexual, como la trata, la prostitución y el turismo sexual; sobre la situación de las mujeres que trabajan en las maquil</w:t>
      </w:r>
      <w:r>
        <w:t>a</w:t>
      </w:r>
      <w:r>
        <w:t>doras o en las zonas de libre comercio, con refere</w:t>
      </w:r>
      <w:r>
        <w:t>n</w:t>
      </w:r>
      <w:r>
        <w:t>cia a las medidas que se hayan adoptado para aseg</w:t>
      </w:r>
      <w:r>
        <w:t>u</w:t>
      </w:r>
      <w:r>
        <w:t xml:space="preserve">rar la protección de sus derechos; sobre las mujeres mayores, indígenas y pertenecientes a las minorías, </w:t>
      </w:r>
      <w:r>
        <w:br/>
      </w:r>
      <w:r>
        <w:br/>
        <w:t>especialmente en lo relativo a su salud, actividad lab</w:t>
      </w:r>
      <w:r>
        <w:t>o</w:t>
      </w:r>
      <w:r>
        <w:t>ral y nivel educativo; sobre la prostitución, incluidas las medidas para proteger a las mujeres que se prost</w:t>
      </w:r>
      <w:r>
        <w:t>i</w:t>
      </w:r>
      <w:r>
        <w:t>tuyen y para reincorporarlas a la sociedad, así como las adoptadas para atacar las causas profundas de la pro</w:t>
      </w:r>
      <w:r>
        <w:t>s</w:t>
      </w:r>
      <w:r>
        <w:t>titución; y sobre las medidas adoptadas por el Gobierno para combatir la trata y acerca de sus efectos.</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insta al Gobierno a firmar y ratificar el Protocolo Facultativo de la Convención y a depositar cuanto antes su instrumento de aceptación de la e</w:t>
      </w:r>
      <w:r>
        <w:t>n</w:t>
      </w:r>
      <w:r>
        <w:t>mienda al párrafo 1 del artículo 20 de la Convención acerca de la duración de las reuniones del Comité.</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pide al Gobierno que responda a las preocupaciones expuestas en estas observaciones fin</w:t>
      </w:r>
      <w:r>
        <w:t>a</w:t>
      </w:r>
      <w:r>
        <w:t>les en su próximo informe periódico presentado de co</w:t>
      </w:r>
      <w:r>
        <w:t>n</w:t>
      </w:r>
      <w:r>
        <w:t>formidad con el artículo 18 de la Convención. Asimi</w:t>
      </w:r>
      <w:r>
        <w:t>s</w:t>
      </w:r>
      <w:r>
        <w:t>mo le insta a mejorar sus métodos de acopio y análisis de la información estadística, desglosada por sexos, edades y grupos minoritarios o étnicos, y a presentar estos datos al Comité en su próximo informe. El C</w:t>
      </w:r>
      <w:r>
        <w:t>o</w:t>
      </w:r>
      <w:r>
        <w:t>mité invita al Gobierno a solicitar ayuda internaci</w:t>
      </w:r>
      <w:r>
        <w:t>o</w:t>
      </w:r>
      <w:r>
        <w:t>nal en relación con la recolección y análisis de dichos d</w:t>
      </w:r>
      <w:r>
        <w:t>a</w:t>
      </w:r>
      <w:r>
        <w:t>tos.</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pide que se difundan ampliamente las presentes observaciones finales en Nicaragua, a fin de que el pueblo de Nicaragua, en particular, los admini</w:t>
      </w:r>
      <w:r>
        <w:t>s</w:t>
      </w:r>
      <w:r>
        <w:t>tradores gubernamentales y los políticos, tomen co</w:t>
      </w:r>
      <w:r>
        <w:t>n</w:t>
      </w:r>
      <w:r>
        <w:t>ciencia de las medidas que habrá que adoptar de hecho y de derecho para lograr la igualdad de la mujer y de las medidas futuras necesarias al respecto. Pide al G</w:t>
      </w:r>
      <w:r>
        <w:t>o</w:t>
      </w:r>
      <w:r>
        <w:t>bierno que siga difundiendo ampliamente, en particular entre organizaciones dedicadas a defender a la mujer y los derechos humanos, la Convención y su Protocolo Facultativo, las recomendaciones generales del Comité, la Declaración y Plataforma de Acción de Beijing y las conclusiones del vigésimo tercer período extraordinario de sesiones de la Asamblea General, titulado “La mujer en el año 2000: igualdad entre los géneros, desarrollo y paz para el siglo XXI”.</w:t>
      </w: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Suecia</w:t>
      </w: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examinó los informes periódicos cuarto y quinto de Suecia (CEDAW/C/SWE/4 y CEDAW/C/SWE/5) en sus sesiones 510ª y 511ª, cel</w:t>
      </w:r>
      <w:r>
        <w:t>e</w:t>
      </w:r>
      <w:r>
        <w:t>bradas el 5 de julio de 2001 (CEDAW/C/SR.510 y 511).</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Presentación por el Estado parte</w:t>
      </w:r>
    </w:p>
    <w:p w:rsidR="00000000" w:rsidRDefault="00000000">
      <w:pPr>
        <w:pStyle w:val="DualTxt"/>
        <w:keepNext/>
        <w:keepLines/>
        <w:tabs>
          <w:tab w:val="clear" w:pos="480"/>
          <w:tab w:val="clear" w:pos="960"/>
          <w:tab w:val="left" w:pos="475"/>
          <w:tab w:val="left" w:pos="965"/>
        </w:tabs>
        <w:spacing w:after="0" w:line="120" w:lineRule="exact"/>
        <w:rPr>
          <w:sz w:val="10"/>
        </w:rPr>
      </w:pPr>
    </w:p>
    <w:p w:rsidR="00000000" w:rsidRDefault="00000000">
      <w:pPr>
        <w:pStyle w:val="DualTxt"/>
        <w:keepNext/>
        <w:keepLines/>
        <w:numPr>
          <w:ilvl w:val="0"/>
          <w:numId w:val="160"/>
        </w:numPr>
        <w:tabs>
          <w:tab w:val="clear" w:pos="960"/>
          <w:tab w:val="left" w:pos="965"/>
        </w:tabs>
      </w:pPr>
      <w:r>
        <w:t>Al presentar el informe, la representante de Su</w:t>
      </w:r>
      <w:r>
        <w:t>e</w:t>
      </w:r>
      <w:r>
        <w:t>cia comunicó al Comité que se había brindado a org</w:t>
      </w:r>
      <w:r>
        <w:t>a</w:t>
      </w:r>
      <w:r>
        <w:t>nizaciones no gubernamentales, en especial a organiz</w:t>
      </w:r>
      <w:r>
        <w:t>a</w:t>
      </w:r>
      <w:r>
        <w:t>ciones de mujeres, con las que el Gobierno había ent</w:t>
      </w:r>
      <w:r>
        <w:t>a</w:t>
      </w:r>
      <w:r>
        <w:t>blado un diálogo abierto, la oportunidad de formular observaciones sobre los informes, y manifestó el agr</w:t>
      </w:r>
      <w:r>
        <w:t>a</w:t>
      </w:r>
      <w:r>
        <w:t>decimiento del Gobierno por sus aportaciones.</w:t>
      </w:r>
    </w:p>
    <w:p w:rsidR="00000000" w:rsidRDefault="00000000">
      <w:pPr>
        <w:pStyle w:val="DualTxt"/>
        <w:numPr>
          <w:ilvl w:val="0"/>
          <w:numId w:val="160"/>
        </w:numPr>
        <w:tabs>
          <w:tab w:val="clear" w:pos="960"/>
          <w:tab w:val="left" w:pos="965"/>
        </w:tabs>
      </w:pPr>
      <w:r>
        <w:t>La representante subrayó que la noción de soci</w:t>
      </w:r>
      <w:r>
        <w:t>e</w:t>
      </w:r>
      <w:r>
        <w:t>dad prevaleciente en Suecia era aquella en que mujeres y hombres tenían derechos, oportunidades y respons</w:t>
      </w:r>
      <w:r>
        <w:t>a</w:t>
      </w:r>
      <w:r>
        <w:t>bilidades iguales y en la que se trataba con respeto a toda persona, sin distinción de edad, género, antec</w:t>
      </w:r>
      <w:r>
        <w:t>e</w:t>
      </w:r>
      <w:r>
        <w:t>dentes étnicos o culturales, discapacidad u orientación sexual. Desde 1994, el Gobierno había incluido la int</w:t>
      </w:r>
      <w:r>
        <w:t>e</w:t>
      </w:r>
      <w:r>
        <w:t>gración de la perspectiva de género en su Declaración anual sobre la política estatal y, por consiguiente, todos los ministros tenían la responsabilidad de velar por la igualdad de género en sus respectivas esferas de polít</w:t>
      </w:r>
      <w:r>
        <w:t>i</w:t>
      </w:r>
      <w:r>
        <w:t>ca. La representante aclaró, no obstante, que la integr</w:t>
      </w:r>
      <w:r>
        <w:t>a</w:t>
      </w:r>
      <w:r>
        <w:t>ción de la perspectiva de género no excluía la adopción de medidas específicas para la mujer con el fin de pr</w:t>
      </w:r>
      <w:r>
        <w:t>o</w:t>
      </w:r>
      <w:r>
        <w:t>mover la igualdad de género.</w:t>
      </w:r>
    </w:p>
    <w:p w:rsidR="00000000" w:rsidRDefault="00000000">
      <w:pPr>
        <w:pStyle w:val="DualTxt"/>
        <w:numPr>
          <w:ilvl w:val="0"/>
          <w:numId w:val="160"/>
        </w:numPr>
        <w:tabs>
          <w:tab w:val="clear" w:pos="960"/>
          <w:tab w:val="left" w:pos="965"/>
        </w:tabs>
      </w:pPr>
      <w:r>
        <w:t>La representante señaló que, si bien se consider</w:t>
      </w:r>
      <w:r>
        <w:t>a</w:t>
      </w:r>
      <w:r>
        <w:t>ba en términos generales que Suecia era una sociedad en la que había un alto grado de igualdad entre mujeres y hombres, se podían citar ejemplos de desequilibrios de poder entre los sexos. Un ejemplo extremo eran los actos, frecuentes y generalizados, de violencia del hombre contra la mujer, que para el Gobierno const</w:t>
      </w:r>
      <w:r>
        <w:t>i</w:t>
      </w:r>
      <w:r>
        <w:t>tuían una esfera prioritaria de intervención. Aunque no había pruebas de que se hubiera intensificado la vi</w:t>
      </w:r>
      <w:r>
        <w:t>o</w:t>
      </w:r>
      <w:r>
        <w:t>lencia contra la mujer, el número de casos denunciados había aumentado como resultado de una labor de dif</w:t>
      </w:r>
      <w:r>
        <w:t>u</w:t>
      </w:r>
      <w:r>
        <w:t>sión de información y de una mejor respuesta por parte de la policía y de las autoridades de bienestar social. Las medidas adoptadas por el Gobierno para encarar la violencia contra la mujer abarcaban actividades de i</w:t>
      </w:r>
      <w:r>
        <w:t>n</w:t>
      </w:r>
      <w:r>
        <w:t>vestigación, la introducción de programas de capacit</w:t>
      </w:r>
      <w:r>
        <w:t>a</w:t>
      </w:r>
      <w:r>
        <w:t>ción para sectores pertinentes y la promulgación de l</w:t>
      </w:r>
      <w:r>
        <w:t>e</w:t>
      </w:r>
      <w:r>
        <w:t>yes, incluidas disposiciones en materia de apoyo a las víctimas de delitos. Actualmente se examinaba la cuestión de la violencia contra las mujeres con disc</w:t>
      </w:r>
      <w:r>
        <w:t>a</w:t>
      </w:r>
      <w:r>
        <w:t>pacidad, aunque era necesario que a la vez se prestara mayor atención a los hombres que cometían actos de violencia contra las mujeres. En este sentido, la repr</w:t>
      </w:r>
      <w:r>
        <w:t>e</w:t>
      </w:r>
      <w:r>
        <w:t>sentante señaló que Suecia respaldaba a las organiz</w:t>
      </w:r>
      <w:r>
        <w:t>a</w:t>
      </w:r>
      <w:r>
        <w:t>ciones de hombres que combatían la violencia contra la mujer. Se había puesto en marcha un proyecto especial para resolver la violencia contra las mujeres inmigra</w:t>
      </w:r>
      <w:r>
        <w:t>n</w:t>
      </w:r>
      <w:r>
        <w:t>tes, y en las enmiendas introducidas en la Ley de E</w:t>
      </w:r>
      <w:r>
        <w:t>x</w:t>
      </w:r>
      <w:r>
        <w:t>tranjería se habían previsto permisos especiales de r</w:t>
      </w:r>
      <w:r>
        <w:t>e</w:t>
      </w:r>
      <w:r>
        <w:t>sidencia para niños y mujeres inmigrantes que hubieran sido objeto de actos de violencia por sus cónyuges. En lo relativo al traslado de cónyuges a Suecia, la Ley de Extranjería también limitaba esta capacidad cuando se trataba de residentes en el país con un historial de vi</w:t>
      </w:r>
      <w:r>
        <w:t>o</w:t>
      </w:r>
      <w:r>
        <w:t>lencia contra mujeres y niños.</w:t>
      </w:r>
    </w:p>
    <w:p w:rsidR="00000000" w:rsidRDefault="00000000">
      <w:pPr>
        <w:pStyle w:val="DualTxt"/>
        <w:numPr>
          <w:ilvl w:val="0"/>
          <w:numId w:val="160"/>
        </w:numPr>
        <w:tabs>
          <w:tab w:val="clear" w:pos="960"/>
          <w:tab w:val="left" w:pos="965"/>
        </w:tabs>
      </w:pPr>
      <w:r>
        <w:t>La representante señaló que las medidas de lucha contra la trata de mujeres eran también una esfera pri</w:t>
      </w:r>
      <w:r>
        <w:t>o</w:t>
      </w:r>
      <w:r>
        <w:t>ritaria para Suecia que, al margen de los esfuerzos r</w:t>
      </w:r>
      <w:r>
        <w:t>e</w:t>
      </w:r>
      <w:r>
        <w:t>gionales y nacionales realizados en este sentido, había firmado, en diciembre de 2000, la Convención de las Naciones Unidas Contra la Delincuencia Organizada Transnacional y de su Protocolo para prevenir, reprimir y sancionar la trata de personas, especialmente mujeres y niños. A partir de enero de 1999, con la entrada en vigor de la ley por la que se prohibía la adquisición de servicios sexuales, había quedado tipificado como d</w:t>
      </w:r>
      <w:r>
        <w:t>e</w:t>
      </w:r>
      <w:r>
        <w:t>lito la explotación de la prostitución y había disminu</w:t>
      </w:r>
      <w:r>
        <w:t>i</w:t>
      </w:r>
      <w:r>
        <w:t>do el n</w:t>
      </w:r>
      <w:r>
        <w:t>ú</w:t>
      </w:r>
      <w:r>
        <w:t>mero de prostitutas.</w:t>
      </w:r>
    </w:p>
    <w:p w:rsidR="00000000" w:rsidRDefault="00000000">
      <w:pPr>
        <w:pStyle w:val="DualTxt"/>
        <w:numPr>
          <w:ilvl w:val="0"/>
          <w:numId w:val="160"/>
        </w:numPr>
        <w:tabs>
          <w:tab w:val="clear" w:pos="960"/>
          <w:tab w:val="left" w:pos="965"/>
        </w:tabs>
      </w:pPr>
      <w:r>
        <w:t>En 1999, se habían introducido enmiendas en la Ley de Extranjería para prever la posibilidad de otorgar asilo a quienes sufrieran persecución por motivos de género. Pocas mujeres se habían acogido a esta disp</w:t>
      </w:r>
      <w:r>
        <w:t>o</w:t>
      </w:r>
      <w:r>
        <w:t>sición, pese a que a la mayoría de las mujeres solic</w:t>
      </w:r>
      <w:r>
        <w:t>i</w:t>
      </w:r>
      <w:r>
        <w:t>tantes de asilo se les había concedido permiso para quedarse en el país. La Dirección de Migración había elaborado directrices sobre mujeres refugiadas y se h</w:t>
      </w:r>
      <w:r>
        <w:t>a</w:t>
      </w:r>
      <w:r>
        <w:t>bían puesto en marcha proyectos para apoyar a niñas y mujeres inmigrantes.</w:t>
      </w:r>
    </w:p>
    <w:p w:rsidR="00000000" w:rsidRDefault="00000000">
      <w:pPr>
        <w:pStyle w:val="DualTxt"/>
        <w:numPr>
          <w:ilvl w:val="0"/>
          <w:numId w:val="160"/>
        </w:numPr>
        <w:tabs>
          <w:tab w:val="clear" w:pos="960"/>
          <w:tab w:val="left" w:pos="965"/>
        </w:tabs>
      </w:pPr>
      <w:r>
        <w:t>Si bien se habían realizado progresos importantes con respecto a la representación de la mujer en el pr</w:t>
      </w:r>
      <w:r>
        <w:t>o</w:t>
      </w:r>
      <w:r>
        <w:t>ceso de adopción de decisiones, aún era necesario s</w:t>
      </w:r>
      <w:r>
        <w:t>e</w:t>
      </w:r>
      <w:r>
        <w:t>guir haciendo esfuerzos en este sentido. La mujer est</w:t>
      </w:r>
      <w:r>
        <w:t>a</w:t>
      </w:r>
      <w:r>
        <w:t>ba fuertemente representada en el sector público, pero en los consejos de administración del sector privado sólo el 5,2% de sus integrantes eran mujeres. El punto de partida de los esfuerzos de Suecia para lograr la igualdad entre el hombre y la mujer era garantizar la igualdad de acceso a la educación. Sin embargo, las opciones de mujeres y hombres en lo relativo a la ed</w:t>
      </w:r>
      <w:r>
        <w:t>u</w:t>
      </w:r>
      <w:r>
        <w:t>cación estaban divididas por género y, a pesar de que algunas mujeres habían ingresado a esferas de estudio dominadas por hombres, eran pocos los hombres que habían optado por esferas dominadas por mujeres. Sólo el 13% de los catedráticos eran mujeres y el Gobierno había fijado objetivos revisados de contratación para las universidades.</w:t>
      </w:r>
    </w:p>
    <w:p w:rsidR="00000000" w:rsidRDefault="00000000">
      <w:pPr>
        <w:pStyle w:val="DualTxt"/>
        <w:numPr>
          <w:ilvl w:val="0"/>
          <w:numId w:val="160"/>
        </w:numPr>
        <w:tabs>
          <w:tab w:val="clear" w:pos="960"/>
          <w:tab w:val="left" w:pos="965"/>
        </w:tabs>
      </w:pPr>
      <w:r>
        <w:t>Se registraban altas tasas de empleo de mujeres y hombres, aunque el mercado laboral estaba segregado por género. Desde 1993, la Dirección Nacional del Mercado Laboral había recibido fondos asignados para resolver la segregación por género en el mercado lab</w:t>
      </w:r>
      <w:r>
        <w:t>o</w:t>
      </w:r>
      <w:r>
        <w:t>ral y la Junta Nacional de Desarrollo Técnico e Indu</w:t>
      </w:r>
      <w:r>
        <w:t>s</w:t>
      </w:r>
      <w:r>
        <w:t>trial contaba con programas encaminados a aumentar el número de mujeres empresarias. La representante hizo notar que una clave para reducir la discriminación contra la mujer en el mercado de trabajo era la conc</w:t>
      </w:r>
      <w:r>
        <w:t>i</w:t>
      </w:r>
      <w:r>
        <w:t>liación de las responsabilidades familiares y laborales. A partir de 2002, se incrementaría en 30 días la lice</w:t>
      </w:r>
      <w:r>
        <w:t>n</w:t>
      </w:r>
      <w:r>
        <w:t>cia por paternidad, de modo que en el plan de prest</w:t>
      </w:r>
      <w:r>
        <w:t>a</w:t>
      </w:r>
      <w:r>
        <w:t>ciones quedarían incluidos dos meses del padre.</w:t>
      </w:r>
    </w:p>
    <w:p w:rsidR="00000000" w:rsidRDefault="00000000">
      <w:pPr>
        <w:pStyle w:val="DualTxt"/>
        <w:numPr>
          <w:ilvl w:val="0"/>
          <w:numId w:val="160"/>
        </w:numPr>
        <w:tabs>
          <w:tab w:val="clear" w:pos="960"/>
          <w:tab w:val="left" w:pos="965"/>
        </w:tabs>
      </w:pPr>
      <w:r>
        <w:t>La representante comunicó al Comité que la di</w:t>
      </w:r>
      <w:r>
        <w:t>s</w:t>
      </w:r>
      <w:r>
        <w:t>paridad salarial entre mujeres y hombres era una de las prioridades del Gobierno ya que, por término medio, los salarios de las mujeres correspondían aproximad</w:t>
      </w:r>
      <w:r>
        <w:t>a</w:t>
      </w:r>
      <w:r>
        <w:t>mente al 83% de los salarios percibidos por los ho</w:t>
      </w:r>
      <w:r>
        <w:t>m</w:t>
      </w:r>
      <w:r>
        <w:t>bres. Dijo que la disparidad salarial debería hacerse v</w:t>
      </w:r>
      <w:r>
        <w:t>i</w:t>
      </w:r>
      <w:r>
        <w:t>sible y que habría que proceder a estudiar con atención sus causas subyacentes. Con arreglo a las nuevas di</w:t>
      </w:r>
      <w:r>
        <w:t>s</w:t>
      </w:r>
      <w:r>
        <w:t>posiciones de la Ley de Igualdad de Oportunidades, los empleadores, junto con los sindicatos, est</w:t>
      </w:r>
      <w:r>
        <w:t>a</w:t>
      </w:r>
      <w:r>
        <w:t>ban obligados a estudiar, analizar y adoptar medidas apropiadas para resolver todas las diferencias salariales discrim</w:t>
      </w:r>
      <w:r>
        <w:t>i</w:t>
      </w:r>
      <w:r>
        <w:t>natorias.</w:t>
      </w:r>
    </w:p>
    <w:p w:rsidR="00000000" w:rsidRDefault="00000000">
      <w:pPr>
        <w:pStyle w:val="DualTxt"/>
        <w:numPr>
          <w:ilvl w:val="0"/>
          <w:numId w:val="160"/>
        </w:numPr>
        <w:tabs>
          <w:tab w:val="clear" w:pos="960"/>
          <w:tab w:val="left" w:pos="965"/>
        </w:tabs>
      </w:pPr>
      <w:r>
        <w:t>La representante señaló que había una concorda</w:t>
      </w:r>
      <w:r>
        <w:t>n</w:t>
      </w:r>
      <w:r>
        <w:t>cia entre las cuestiones abordadas en la Plataforma de Acción de Beijing y las que formaban la base de la p</w:t>
      </w:r>
      <w:r>
        <w:t>o</w:t>
      </w:r>
      <w:r>
        <w:t>lítica nacional de Suecia sobre la igualdad de género. Junto con otros integrantes de la Unión Europea, Su</w:t>
      </w:r>
      <w:r>
        <w:t>e</w:t>
      </w:r>
      <w:r>
        <w:t>cia estaba en vías de elaborar indicadores para evaluar los progresos alcanzados en relación con las 12 esferas de especial preocupación.</w:t>
      </w:r>
    </w:p>
    <w:p w:rsidR="00000000" w:rsidRDefault="00000000">
      <w:pPr>
        <w:pStyle w:val="DualTxt"/>
        <w:numPr>
          <w:ilvl w:val="0"/>
          <w:numId w:val="160"/>
        </w:numPr>
        <w:tabs>
          <w:tab w:val="clear" w:pos="960"/>
          <w:tab w:val="left" w:pos="965"/>
        </w:tabs>
      </w:pPr>
      <w:r>
        <w:t>La representante expresó su satisfacción por la aprobación y entrada en vigor del Protocolo Facultativo de la Convención, y señaló que el proceso de ratific</w:t>
      </w:r>
      <w:r>
        <w:t>a</w:t>
      </w:r>
      <w:r>
        <w:t>ción de Suecia concluiría en 2002. Por último, dijo que al término del período de sesiones se convocaría una conferencia de prensa en la que se abordarían las o</w:t>
      </w:r>
      <w:r>
        <w:t>b</w:t>
      </w:r>
      <w:r>
        <w:t>servaciones finales del Comité.</w:t>
      </w: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Observaciones finales del Comité</w:t>
      </w:r>
    </w:p>
    <w:p w:rsidR="00000000" w:rsidRDefault="00000000">
      <w:pPr>
        <w:pStyle w:val="DualTxt"/>
        <w:keepNext/>
        <w:keepLine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DualTxt"/>
        <w:keepNext/>
        <w:keepLines/>
        <w:tabs>
          <w:tab w:val="clear" w:pos="480"/>
          <w:tab w:val="clear" w:pos="960"/>
          <w:tab w:val="left" w:pos="475"/>
          <w:tab w:val="left" w:pos="965"/>
        </w:tabs>
        <w:spacing w:after="0" w:line="120" w:lineRule="exact"/>
        <w:rPr>
          <w:sz w:val="10"/>
        </w:rPr>
      </w:pPr>
    </w:p>
    <w:p w:rsidR="00000000" w:rsidRDefault="00000000">
      <w:pPr>
        <w:pStyle w:val="DualTxt"/>
        <w:keepNext/>
        <w:keepLines/>
        <w:numPr>
          <w:ilvl w:val="0"/>
          <w:numId w:val="160"/>
        </w:numPr>
        <w:tabs>
          <w:tab w:val="clear" w:pos="960"/>
          <w:tab w:val="left" w:pos="965"/>
        </w:tabs>
      </w:pPr>
      <w:r>
        <w:t>El Comité expresa su agradecimiento al Gobierno de Suecia por sus informes periódicos cuarto y quinto, que se ajustan a las directrices del Comité sobre la el</w:t>
      </w:r>
      <w:r>
        <w:t>a</w:t>
      </w:r>
      <w:r>
        <w:t>boración de informes periódicos. Encomia al Gobierno por haber logrado que participaran organizaciones no gubernamentales en la elaboración de los informes. El Comité también agradece la información proporcionada en respuesta a las cuestiones planteadas por el grupo de trabajo anterior al período de sesiones y en el curso de la presentación oral.</w:t>
      </w:r>
    </w:p>
    <w:p w:rsidR="00000000" w:rsidRDefault="00000000">
      <w:pPr>
        <w:pStyle w:val="DualTxt"/>
        <w:numPr>
          <w:ilvl w:val="0"/>
          <w:numId w:val="160"/>
        </w:numPr>
        <w:tabs>
          <w:tab w:val="clear" w:pos="960"/>
          <w:tab w:val="left" w:pos="965"/>
        </w:tabs>
      </w:pPr>
      <w:r>
        <w:t>El Comité encomia al Gobierno de Suecia por su delegación numerosa que hizo posible entablar un diálogo constructivo y franco con los miembros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spacing w:after="0" w:line="120" w:lineRule="exact"/>
        <w:rPr>
          <w:sz w:val="10"/>
        </w:rPr>
      </w:pP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elogia al Gobierno de Suecia por los progresos realizados para garantizar a la mujer la igualdad de género en lo relativo a su participación en la política y el proceso de adopción de decisiones, esf</w:t>
      </w:r>
      <w:r>
        <w:t>e</w:t>
      </w:r>
      <w:r>
        <w:t>ra en la que muchos otros países consideran a Suecia como modelo. El Comité toma nota con satisfacción de que la aplicación de las medidas acordes con el párrafo 1 del artículo 4 de la Convención ha producido result</w:t>
      </w:r>
      <w:r>
        <w:t>a</w:t>
      </w:r>
      <w:r>
        <w:t>dos co</w:t>
      </w:r>
      <w:r>
        <w:t>n</w:t>
      </w:r>
      <w:r>
        <w:t>cretos en algunas esferas.</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encomia al Gobierno de Suecia por sus importantes éxitos en la promoción de la igualdad entre la mujer y el hombre, y sobre todo por haber logrado que niños y hombres participen en la promoción de la igualdad de género y modificar estereotipos sobre las funciones características de cada sexo así como los valores tradicionales y estereotipados.</w:t>
      </w:r>
    </w:p>
    <w:p w:rsidR="00000000" w:rsidRDefault="00000000">
      <w:pPr>
        <w:pStyle w:val="DualTxt"/>
        <w:numPr>
          <w:ilvl w:val="0"/>
          <w:numId w:val="160"/>
        </w:numPr>
        <w:tabs>
          <w:tab w:val="clear" w:pos="960"/>
          <w:tab w:val="left" w:pos="475"/>
          <w:tab w:val="left" w:pos="965"/>
        </w:tabs>
      </w:pPr>
      <w:r>
        <w:t>El Comité elogia al Gobierno por la legislación que ha promulgado para prever la concesión de perm</w:t>
      </w:r>
      <w:r>
        <w:t>i</w:t>
      </w:r>
      <w:r>
        <w:t>sos de residencia a personas que tengan fundados tem</w:t>
      </w:r>
      <w:r>
        <w:t>o</w:t>
      </w:r>
      <w:r>
        <w:t>res de ser víctimas de persecución por motivos de orientación sexual o de género, especialmente con re</w:t>
      </w:r>
      <w:r>
        <w:t>s</w:t>
      </w:r>
      <w:r>
        <w:t>pecto a la discriminación contra la mujer.</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encomia al Gobierno por los esfuerzos que realiza para integrar la perspectiva de género en su estructura política general y en todas las etapas de los procesos normativos, a la vez que ejecuta programas especiales para la mujer con el objeto de promover la igualdad entre los géneros.</w:t>
      </w:r>
    </w:p>
    <w:p w:rsidR="00000000" w:rsidRDefault="00000000">
      <w:pPr>
        <w:pStyle w:val="DualTxt"/>
        <w:numPr>
          <w:ilvl w:val="0"/>
          <w:numId w:val="160"/>
        </w:numPr>
        <w:tabs>
          <w:tab w:val="clear" w:pos="960"/>
          <w:tab w:val="left" w:pos="475"/>
          <w:tab w:val="left" w:pos="965"/>
        </w:tabs>
      </w:pPr>
      <w:r>
        <w:t>El Comité elogia al Gobierno por mostrarse di</w:t>
      </w:r>
      <w:r>
        <w:t>s</w:t>
      </w:r>
      <w:r>
        <w:t>puesto a objetar las reservas planteadas por otros Est</w:t>
      </w:r>
      <w:r>
        <w:t>a</w:t>
      </w:r>
      <w:r>
        <w:t>dos partes que el Gobierno considera incompatibles con el objetivo y propósito de la Convención.</w:t>
      </w:r>
    </w:p>
    <w:p w:rsidR="00000000" w:rsidRDefault="00000000">
      <w:pPr>
        <w:pStyle w:val="DualTxt"/>
        <w:numPr>
          <w:ilvl w:val="0"/>
          <w:numId w:val="160"/>
        </w:numPr>
        <w:tabs>
          <w:tab w:val="clear" w:pos="960"/>
          <w:tab w:val="left" w:pos="475"/>
          <w:tab w:val="left" w:pos="965"/>
        </w:tabs>
        <w:rPr>
          <w:w w:val="104"/>
        </w:rPr>
      </w:pPr>
      <w:r>
        <w:rPr>
          <w:w w:val="104"/>
        </w:rPr>
        <w:t>El Comité también encomia al Gobierno por h</w:t>
      </w:r>
      <w:r>
        <w:rPr>
          <w:w w:val="104"/>
        </w:rPr>
        <w:t>a</w:t>
      </w:r>
      <w:r>
        <w:rPr>
          <w:w w:val="104"/>
        </w:rPr>
        <w:t>ber aceptado la modificación del párrafo 1 del artículo 20 de la Convención.</w:t>
      </w: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rPr>
          <w:w w:val="101"/>
        </w:rPr>
      </w:pPr>
      <w:r>
        <w:rPr>
          <w:w w:val="101"/>
        </w:rPr>
        <w:t>El Comité encomia al Gobierno por haber firmado la Convención contra la Delincuencia Organizada Transnacional, así como el Protocolo para prevenir, r</w:t>
      </w:r>
      <w:r>
        <w:rPr>
          <w:w w:val="101"/>
        </w:rPr>
        <w:t>e</w:t>
      </w:r>
      <w:r>
        <w:rPr>
          <w:w w:val="101"/>
        </w:rPr>
        <w:t>primir y sancionar la trata de personas, especialme</w:t>
      </w:r>
      <w:r>
        <w:rPr>
          <w:w w:val="101"/>
        </w:rPr>
        <w:t>n</w:t>
      </w:r>
      <w:r>
        <w:rPr>
          <w:w w:val="101"/>
        </w:rPr>
        <w:t>te mujeres y niños y el Protocolo contra el tráfico ilícito de migrantes por tierra, mar y aire que la compleme</w:t>
      </w:r>
      <w:r>
        <w:rPr>
          <w:w w:val="101"/>
        </w:rPr>
        <w:t>n</w:t>
      </w:r>
      <w:r>
        <w:rPr>
          <w:w w:val="101"/>
        </w:rPr>
        <w:t>tan.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inciden en la aplicación de la Convención</w:t>
      </w:r>
    </w:p>
    <w:p w:rsidR="00000000" w:rsidRDefault="00000000">
      <w:pPr>
        <w:pStyle w:val="DualTxt"/>
        <w:spacing w:after="0" w:line="120" w:lineRule="exact"/>
        <w:rPr>
          <w:sz w:val="10"/>
        </w:rPr>
      </w:pPr>
    </w:p>
    <w:p w:rsidR="00000000" w:rsidRDefault="00000000">
      <w:pPr>
        <w:pStyle w:val="DualTxt"/>
        <w:numPr>
          <w:ilvl w:val="0"/>
          <w:numId w:val="160"/>
        </w:numPr>
        <w:tabs>
          <w:tab w:val="clear" w:pos="960"/>
          <w:tab w:val="left" w:pos="475"/>
          <w:tab w:val="left" w:pos="965"/>
          <w:tab w:val="left" w:pos="1440"/>
          <w:tab w:val="left" w:pos="1915"/>
          <w:tab w:val="left" w:pos="2405"/>
          <w:tab w:val="left" w:pos="2880"/>
          <w:tab w:val="left" w:pos="3355"/>
        </w:tabs>
      </w:pPr>
      <w:r>
        <w:t>El Comité observa que no hay factores o dificu</w:t>
      </w:r>
      <w:r>
        <w:t>l</w:t>
      </w:r>
      <w:r>
        <w:t>tades de importancia que impidan la aplicación eficaz de la Convención en Suecia.</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motivos de preocupación y recomendaciones</w:t>
      </w:r>
    </w:p>
    <w:p w:rsidR="00000000" w:rsidRDefault="00000000">
      <w:pPr>
        <w:pStyle w:val="DualTxt"/>
        <w:spacing w:after="0" w:line="120" w:lineRule="exact"/>
        <w:rPr>
          <w:sz w:val="10"/>
        </w:rPr>
      </w:pP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Aunque el Gobierno ha adoptado medidas efic</w:t>
      </w:r>
      <w:r>
        <w:t>a</w:t>
      </w:r>
      <w:r>
        <w:t>ces para combatir la discriminación contra la mujer en los centros de trabajo mediante la promulgación de la Ley de Igualdad de Oportunidades y la creación del cargo de Mediadora para la Igualdad de Oportunidades, al Comité le preocupa que en los 10 años últimos no hayan disminuido las diferencias entre la remuneraci</w:t>
      </w:r>
      <w:r>
        <w:t>o</w:t>
      </w:r>
      <w:r>
        <w:t>nes de las mujeres y de los hombres, así en el sector público como en el privado. A juicio del Comité, esta disparidad guarda relación con la persistencia de la s</w:t>
      </w:r>
      <w:r>
        <w:t>e</w:t>
      </w:r>
      <w:r>
        <w:t>greg</w:t>
      </w:r>
      <w:r>
        <w:t>a</w:t>
      </w:r>
      <w:r>
        <w:t>ción por razón del sexo en el mercado laboral.</w:t>
      </w:r>
    </w:p>
    <w:p w:rsidR="00000000" w:rsidRDefault="00000000">
      <w:pPr>
        <w:pStyle w:val="DualTxt"/>
        <w:numPr>
          <w:ilvl w:val="0"/>
          <w:numId w:val="160"/>
        </w:numPr>
        <w:tabs>
          <w:tab w:val="clear" w:pos="960"/>
          <w:tab w:val="left" w:pos="965"/>
        </w:tabs>
      </w:pPr>
      <w:r>
        <w:t>El Comité exhorta al Gobierno a adoptar políticas y aplicar medidas que aceleren la erradicación de la discriminación salarial contra las mujeres, entre otras cosas mediante evaluaciones de los puestos de trabajo, el acopio de datos, el estudio a fondo de las causas de las diferencias entre remuneraciones y una mayor asi</w:t>
      </w:r>
      <w:r>
        <w:t>s</w:t>
      </w:r>
      <w:r>
        <w:t>tencia a los interlocutores sociales en la realización de negociaciones salariales colectivas, en particular en lo que hace a determinar las estructuras salariales de los sectores en que predominan las mujeres. El Comité p</w:t>
      </w:r>
      <w:r>
        <w:t>i</w:t>
      </w:r>
      <w:r>
        <w:t>de al Gobierno que facilite más información en su próximo informe periódico acerca de los esfue</w:t>
      </w:r>
      <w:r>
        <w:t>r</w:t>
      </w:r>
      <w:r>
        <w:t>zos que haya desplegado para erradicar las diferencias salari</w:t>
      </w:r>
      <w:r>
        <w:t>a</w:t>
      </w:r>
      <w:r>
        <w:t xml:space="preserve">les. </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manifiesta preocupación por la exi</w:t>
      </w:r>
      <w:r>
        <w:t>s</w:t>
      </w:r>
      <w:r>
        <w:t>tencia de una segregación basada en el género en todos los niveles del sistema educativo, incluida la prefere</w:t>
      </w:r>
      <w:r>
        <w:t>n</w:t>
      </w:r>
      <w:r>
        <w:t>cia de niños y niñas por disciplinas tradicionales y las actitudes de los maestros que perpetúan y afianzan  los papeles estereotipados de los s</w:t>
      </w:r>
      <w:r>
        <w:t>e</w:t>
      </w:r>
      <w:r>
        <w:t>xos.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recomienda además que el Gobierno acrezca sus esfuerzos para eliminar los estereotipos b</w:t>
      </w:r>
      <w:r>
        <w:t>a</w:t>
      </w:r>
      <w:r>
        <w:t>sados en el sexo en los planes de estudio y que en la formación del profesorado se integre permanentemente la conciencia y la comprensión de la igualdad entre hombre y mujer. Habida cuenta de que existe una clara correlación entre la elección de las materias de estudios y la situación en el mercado laboral, el Comité rec</w:t>
      </w:r>
      <w:r>
        <w:t>o</w:t>
      </w:r>
      <w:r>
        <w:t>mienda que el Gobierno aumente sus esfuerzos para acabar con la segregación por razón del sexo en la elección por los alumnos de las materias de estudios y que aliente a mujeres y hombres a optar por campos de estudio no tradicionales.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Si bien el Comité felicita al Gobierno por los i</w:t>
      </w:r>
      <w:r>
        <w:t>m</w:t>
      </w:r>
      <w:r>
        <w:t>presionantes adelantos de las mujeres en lo que se r</w:t>
      </w:r>
      <w:r>
        <w:t>e</w:t>
      </w:r>
      <w:r>
        <w:t>fiere a la representación en la adopción de decisiones en el ámbito de la política, le sigue preocupando el que continúe siendo baja la representación de las mujeres en cargos ejecutivos y de adopción de decisiones en el sector económico privado, así como en las juntas est</w:t>
      </w:r>
      <w:r>
        <w:t>a</w:t>
      </w:r>
      <w:r>
        <w:t>tales centrales y los consejos de administración de las empresas controladas por el Estado. Le preocupa as</w:t>
      </w:r>
      <w:r>
        <w:t>i</w:t>
      </w:r>
      <w:r>
        <w:t>mismo la baja representación de las mujeres en calidad de presidentas de juntas locales y alcaldesas.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recomienda al Gobierno que tome m</w:t>
      </w:r>
      <w:r>
        <w:t>e</w:t>
      </w:r>
      <w:r>
        <w:t>didas para facilitar a las mujeres oportunidades de e</w:t>
      </w:r>
      <w:r>
        <w:t>m</w:t>
      </w:r>
      <w:r>
        <w:t>pleo en el sector privado, entre otras cosas, mediante la aplicación de medidas especiales temporales conforme a lo dispuesto en el párrafo 1 del artículo 4 de la Co</w:t>
      </w:r>
      <w:r>
        <w:t>n</w:t>
      </w:r>
      <w:r>
        <w:t>vención, siempre que sea posible. El Comité exhorta además al Gobierno a adoptar medidas para aumentar la representación de las mujeres en puestos de ado</w:t>
      </w:r>
      <w:r>
        <w:t>p</w:t>
      </w:r>
      <w:r>
        <w:t>ción de decisiones en todos los sectores, comprendidas las juntas estatales, de condado y municipio, en part</w:t>
      </w:r>
      <w:r>
        <w:t>i</w:t>
      </w:r>
      <w:r>
        <w:t>cular en las presidencias de esas juntas, y en las empr</w:t>
      </w:r>
      <w:r>
        <w:t>e</w:t>
      </w:r>
      <w:r>
        <w:t>sas controladas por el Gobierno.</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Al Comité le preocupa el bajo nivel de represe</w:t>
      </w:r>
      <w:r>
        <w:t>n</w:t>
      </w:r>
      <w:r>
        <w:t>tación de las mujeres en el poder judicial.</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rPr>
          <w:w w:val="104"/>
        </w:rPr>
      </w:pPr>
      <w:r>
        <w:rPr>
          <w:w w:val="104"/>
        </w:rPr>
        <w:t>El Comité exhorta al Gobierno a adoptar un si</w:t>
      </w:r>
      <w:r>
        <w:rPr>
          <w:w w:val="104"/>
        </w:rPr>
        <w:t>s</w:t>
      </w:r>
      <w:r>
        <w:rPr>
          <w:w w:val="104"/>
        </w:rPr>
        <w:t>tema para cerciorarse de que no se discrimine a las mujeres en la designación de los miembros de la judicat</w:t>
      </w:r>
      <w:r>
        <w:rPr>
          <w:w w:val="104"/>
        </w:rPr>
        <w:t>u</w:t>
      </w:r>
      <w:r>
        <w:rPr>
          <w:w w:val="104"/>
        </w:rPr>
        <w:t>ra.</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observa el gran número de mujeres que se encuentran en los escalafones más bajos del servicio diplomático, pero se manifiesta preocupado por la p</w:t>
      </w:r>
      <w:r>
        <w:t>o</w:t>
      </w:r>
      <w:r>
        <w:t>ca representación de las mujeres en los rangos más el</w:t>
      </w:r>
      <w:r>
        <w:t>e</w:t>
      </w:r>
      <w:r>
        <w:t>vados del servicio diplomático, especialmente como embajad</w:t>
      </w:r>
      <w:r>
        <w:t>o</w:t>
      </w:r>
      <w:r>
        <w:t>ras.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recomienda que prosigan las políticas vigentes enderezadas a aumentar la representación de la mujer en el cuerpo diplomático, en particular como embajadoras, y que a las que trabajan en el servicio d</w:t>
      </w:r>
      <w:r>
        <w:t>i</w:t>
      </w:r>
      <w:r>
        <w:t>plomático no se las desfavorezca en lo que se refiere a designarlas a lugares en los que los puestos a cubrir son de categoría superior.</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Al Comité le preocupa que, pese a los grandes l</w:t>
      </w:r>
      <w:r>
        <w:t>o</w:t>
      </w:r>
      <w:r>
        <w:t>gros alcanzados por las mujeres en la educación un</w:t>
      </w:r>
      <w:r>
        <w:t>i</w:t>
      </w:r>
      <w:r>
        <w:t>versitaria, hay muy pocas mujeres profesoras en las universidades. También parece existir un desequilibrio en contra de ellas por lo que se refiere a su acceso, en comparación con el de los hombres, a becas para i</w:t>
      </w:r>
      <w:r>
        <w:t>n</w:t>
      </w:r>
      <w:r>
        <w:t>vestig</w:t>
      </w:r>
      <w:r>
        <w:t>a</w:t>
      </w:r>
      <w:r>
        <w:t>ción y otros recursos.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exhorta al Gobierno a facilitar, m</w:t>
      </w:r>
      <w:r>
        <w:t>e</w:t>
      </w:r>
      <w:r>
        <w:t>diante las políticas que adopta,  un aumento del número de mujeres que ocupan puestos elevados en las unive</w:t>
      </w:r>
      <w:r>
        <w:t>r</w:t>
      </w:r>
      <w:r>
        <w:t>sidades y a velar por que no se discrimine a las prof</w:t>
      </w:r>
      <w:r>
        <w:t>e</w:t>
      </w:r>
      <w:r>
        <w:t>soras y catedráticas en lo que se refiere al acceso de r</w:t>
      </w:r>
      <w:r>
        <w:t>e</w:t>
      </w:r>
      <w:r>
        <w:t>cursos, comprendidas becas para investigación.</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observa que, a pesar de los consider</w:t>
      </w:r>
      <w:r>
        <w:t>a</w:t>
      </w:r>
      <w:r>
        <w:t>bles esfuerzos realizados en lo tocante a combatir la violencia contra la mujer, incluso en la familia, su dif</w:t>
      </w:r>
      <w:r>
        <w:t>u</w:t>
      </w:r>
      <w:r>
        <w:t>sión demuestra que persiste un desequilibrio de poder entre hombres y mujeres.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exhorta al Gobierno a acopiar más d</w:t>
      </w:r>
      <w:r>
        <w:t>a</w:t>
      </w:r>
      <w:r>
        <w:t>tos sobre la índole y el alcance de la violencia contra la mujer, sobre todo en el seno de las familias, y a pros</w:t>
      </w:r>
      <w:r>
        <w:t>e</w:t>
      </w:r>
      <w:r>
        <w:t>guir sus esfuerzos para aplicar y reforzar las políticas vigentes encaminadas a combatir la violencia, presta</w:t>
      </w:r>
      <w:r>
        <w:t>n</w:t>
      </w:r>
      <w:r>
        <w:t>do especial atención a las mujeres con discapacidad y a las migrantes y mujeres miembros de minorías.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Pese a que el Comité aplaude la tipificación como delito de la compra de servicios sexuales, le preocupa que esto pueda haber aumentado la incidencia de la prostitución clandestina, y con ella la vulnerabilidad de las prostitutas. También preocupa al Comité que Suecia se haya convertido en un país de destino de mujeres objeto de trata.</w:t>
      </w:r>
    </w:p>
    <w:p w:rsidR="00000000" w:rsidRDefault="00000000">
      <w:pPr>
        <w:pStyle w:val="DualTxt"/>
        <w:keepNext/>
        <w:keepLines/>
        <w:numPr>
          <w:ilvl w:val="0"/>
          <w:numId w:val="160"/>
        </w:numPr>
        <w:tabs>
          <w:tab w:val="clear" w:pos="960"/>
          <w:tab w:val="left" w:pos="965"/>
          <w:tab w:val="left" w:pos="1440"/>
          <w:tab w:val="left" w:pos="1915"/>
          <w:tab w:val="left" w:pos="2405"/>
          <w:tab w:val="left" w:pos="2880"/>
          <w:tab w:val="left" w:pos="3355"/>
        </w:tabs>
      </w:pPr>
      <w:r>
        <w:t>El Comité exhorta al Gobierno a evaluar las co</w:t>
      </w:r>
      <w:r>
        <w:t>n</w:t>
      </w:r>
      <w:r>
        <w:t>secuencias de la política actual de tipificar como delito la adquisición de servicios sexuales, sobre todo habida cuenta de la total carencia de datos sobre la prostit</w:t>
      </w:r>
      <w:r>
        <w:t>u</w:t>
      </w:r>
      <w:r>
        <w:t>ción clandestina que puede tener  repercusiones en la trata de mujeres y niñas.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Tomando nota de la labor realizada por el G</w:t>
      </w:r>
      <w:r>
        <w:t>o</w:t>
      </w:r>
      <w:r>
        <w:t>bierno para luchar contra la discriminación, el Comité expresa su preocupación por el hecho de que se siga discriminando a mujeres inmigrantes, refugiadas y miembros de minorías en Suecia en ámbitos como la educación y el empleo, y por la discriminación y la violencia basadas en el sexo que las mujeres afrontan en sus propias comunidades. Preocupa también al C</w:t>
      </w:r>
      <w:r>
        <w:t>o</w:t>
      </w:r>
      <w:r>
        <w:t>mité la discriminación contra las mujeres sami y roma.</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exhorta al Gobierno a adoptar medidas eficaces para eliminar la discriminación contra las mujeres inmigrantes, refugiadas y miembros de min</w:t>
      </w:r>
      <w:r>
        <w:t>o</w:t>
      </w:r>
      <w:r>
        <w:t>rías y para reforzar los esfuerzos encaminados a co</w:t>
      </w:r>
      <w:r>
        <w:t>m</w:t>
      </w:r>
      <w:r>
        <w:t>batir la xenofobia y el racismo en Suecia. Alienta ad</w:t>
      </w:r>
      <w:r>
        <w:t>e</w:t>
      </w:r>
      <w:r>
        <w:t>más al Gobierno a actuar con más energía en sus med</w:t>
      </w:r>
      <w:r>
        <w:t>i</w:t>
      </w:r>
      <w:r>
        <w:t>das de evitación de la discriminación contra las muj</w:t>
      </w:r>
      <w:r>
        <w:t>e</w:t>
      </w:r>
      <w:r>
        <w:t>res inmigrantes, refugiadas y miembros de minorías tanto dentro de sus comunidades como en la sociedad en general, para combatir la violencia contra ellas y aumentar su conocimiento de la existencia de servicios sociales y recursos jurídicos.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Observando el apoyo dado por Suecia al Prot</w:t>
      </w:r>
      <w:r>
        <w:t>o</w:t>
      </w:r>
      <w:r>
        <w:t>colo Facultativo y su temprana firma de ese instr</w:t>
      </w:r>
      <w:r>
        <w:t>u</w:t>
      </w:r>
      <w:r>
        <w:t>mento, el Comité exhorta al Gobierno a ratificar lo a</w:t>
      </w:r>
      <w:r>
        <w:t>n</w:t>
      </w:r>
      <w:r>
        <w:t>tes posible el Protocolo Facultativo de la Convención.</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pide al Gobierno que responda a las preocupaciones expresadas en las presentes observ</w:t>
      </w:r>
      <w:r>
        <w:t>a</w:t>
      </w:r>
      <w:r>
        <w:t>ciones finales en el próximo informe periódico que presente con arreglo al artículo 18 de la Conve</w:t>
      </w:r>
      <w:r>
        <w:t>n</w:t>
      </w:r>
      <w:r>
        <w:t>ción. Pide además que en los informes futuros no se haga referencia a informes anteriores y que, en ca</w:t>
      </w:r>
      <w:r>
        <w:t>m</w:t>
      </w:r>
      <w:r>
        <w:t>bio, se resuma brevemente la información comunicada anterio</w:t>
      </w:r>
      <w:r>
        <w:t>r</w:t>
      </w:r>
      <w:r>
        <w:t>mente.</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pide que se difundan ampliamente en Suecia las presentes observaciones finales con objeto de que la población del país, en particular los funcion</w:t>
      </w:r>
      <w:r>
        <w:t>a</w:t>
      </w:r>
      <w:r>
        <w:t xml:space="preserve">rios públicos y los políticos, tenga conocimiento de las medidas adoptadas para asegurar la igualdad de jure y de facto de la mujer y las que aún deben adoptarse con ese fin. Pide también al Gobierno que siga difundiendo </w:t>
      </w:r>
      <w:r>
        <w:br/>
      </w:r>
      <w:r>
        <w:br/>
      </w:r>
      <w:r>
        <w:br/>
        <w:t>ampliamente, en particular entre las organizaciones de mujeres y de defensa de los derechos humanos, la Co</w:t>
      </w:r>
      <w:r>
        <w:t>n</w:t>
      </w:r>
      <w:r>
        <w:t>vención, su Protocolo Facultativo, las recomendaciones finales del Comité, la Declaración y la Plataforma de Acción de Beijing y los resultados del 23° período e</w:t>
      </w:r>
      <w:r>
        <w:t>x</w:t>
      </w:r>
      <w:r>
        <w:t>traordinario de sesiones de la Asamblea General titul</w:t>
      </w:r>
      <w:r>
        <w:t>a</w:t>
      </w:r>
      <w:r>
        <w:t>do “La mujer en el año 2000: igualdad entre los gén</w:t>
      </w:r>
      <w:r>
        <w:t>e</w:t>
      </w:r>
      <w:r>
        <w:t>ros, desarrollo y paz para el siglo XXI”.</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V</w:t>
      </w: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Actividades llevadas a cabo en virtud del Protocolo Facultativo de la Convención sobre la eliminación de todas las formas de discriminación contra la mujer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79"/>
        </w:numPr>
        <w:tabs>
          <w:tab w:val="clear" w:pos="960"/>
          <w:tab w:val="left" w:pos="965"/>
          <w:tab w:val="left" w:pos="1440"/>
          <w:tab w:val="left" w:pos="1915"/>
          <w:tab w:val="left" w:pos="2405"/>
          <w:tab w:val="left" w:pos="2880"/>
          <w:tab w:val="left" w:pos="3355"/>
        </w:tabs>
      </w:pPr>
      <w:r>
        <w:t>De conformidad con el artículo 12 del Protocolo Facultativo de la Convención sobre la eliminación de todas las formas de discriminación contra la mujer, el Comité incluirá en el informe anual que ha de presentar con arreglo al artículo 21 de la Convención un resumen de sus actividades en virtud del Protoc</w:t>
      </w:r>
      <w:r>
        <w:t>o</w:t>
      </w:r>
      <w:r>
        <w:t>lo.</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Grupo de Trabajo sobre el Protocolo Facultat</w:t>
      </w:r>
      <w:r>
        <w:t>i</w:t>
      </w:r>
      <w:r>
        <w:t>vo</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79"/>
        </w:numPr>
        <w:tabs>
          <w:tab w:val="clear" w:pos="960"/>
          <w:tab w:val="left" w:pos="965"/>
          <w:tab w:val="left" w:pos="1440"/>
          <w:tab w:val="left" w:pos="1915"/>
          <w:tab w:val="left" w:pos="2405"/>
          <w:tab w:val="left" w:pos="2880"/>
          <w:tab w:val="left" w:pos="3355"/>
        </w:tabs>
      </w:pPr>
      <w:r>
        <w:t>El Grupo de Trabajo sobre el Protocolo Facultat</w:t>
      </w:r>
      <w:r>
        <w:t>i</w:t>
      </w:r>
      <w:r>
        <w:t>vo, establecido por el Comité en su 24° período de s</w:t>
      </w:r>
      <w:r>
        <w:t>e</w:t>
      </w:r>
      <w:r>
        <w:t>siones (véase el párrafo 366 de la primera parte), se r</w:t>
      </w:r>
      <w:r>
        <w:t>e</w:t>
      </w:r>
      <w:r>
        <w:t>unió dos veces en el transcurso del 25º período de s</w:t>
      </w:r>
      <w:r>
        <w:t>e</w:t>
      </w:r>
      <w:r>
        <w:t>siones del Comité y examinó los procedimientos adm</w:t>
      </w:r>
      <w:r>
        <w:t>i</w:t>
      </w:r>
      <w:r>
        <w:t>nistrativos de recepción y tramitación de las comunic</w:t>
      </w:r>
      <w:r>
        <w:t>a</w:t>
      </w:r>
      <w:r>
        <w:t>ciones presentadas con arreglo al Protocolo; las activ</w:t>
      </w:r>
      <w:r>
        <w:t>i</w:t>
      </w:r>
      <w:r>
        <w:t>dades emprendidas por las Naciones Unidas para ale</w:t>
      </w:r>
      <w:r>
        <w:t>n</w:t>
      </w:r>
      <w:r>
        <w:t>tar la ratificación del Protocolo; y la elaboración de formularios modelo para los procedimientos de com</w:t>
      </w:r>
      <w:r>
        <w:t>u</w:t>
      </w:r>
      <w:r>
        <w:t>nicación e i</w:t>
      </w:r>
      <w:r>
        <w:t>n</w:t>
      </w:r>
      <w:r>
        <w:t>vestigación.</w:t>
      </w:r>
    </w:p>
    <w:p w:rsidR="00000000" w:rsidRDefault="00000000">
      <w:pPr>
        <w:pStyle w:val="DualTxt"/>
        <w:numPr>
          <w:ilvl w:val="0"/>
          <w:numId w:val="179"/>
        </w:numPr>
        <w:tabs>
          <w:tab w:val="clear" w:pos="960"/>
          <w:tab w:val="left" w:pos="965"/>
          <w:tab w:val="left" w:pos="1440"/>
          <w:tab w:val="left" w:pos="1915"/>
          <w:tab w:val="left" w:pos="2405"/>
          <w:tab w:val="left" w:pos="2880"/>
          <w:tab w:val="left" w:pos="3355"/>
        </w:tabs>
      </w:pPr>
      <w:r>
        <w:t>Siguiendo la recomendación del Grupo de Tr</w:t>
      </w:r>
      <w:r>
        <w:t>a</w:t>
      </w:r>
      <w:r>
        <w:t>bajo, el Comité aprobó la sugerencia 25/I (véase el</w:t>
      </w:r>
      <w:r>
        <w:br/>
        <w:t>c</w:t>
      </w:r>
      <w:r>
        <w:t>a</w:t>
      </w:r>
      <w:r>
        <w:t>pítulo I).</w:t>
      </w:r>
    </w:p>
    <w:p w:rsidR="00000000" w:rsidRDefault="00000000">
      <w:pPr>
        <w:pStyle w:val="DualTxt"/>
        <w:numPr>
          <w:ilvl w:val="0"/>
          <w:numId w:val="179"/>
        </w:numPr>
        <w:tabs>
          <w:tab w:val="clear" w:pos="960"/>
          <w:tab w:val="left" w:pos="965"/>
          <w:tab w:val="left" w:pos="1440"/>
          <w:tab w:val="left" w:pos="1915"/>
          <w:tab w:val="left" w:pos="2405"/>
          <w:tab w:val="left" w:pos="2880"/>
          <w:tab w:val="left" w:pos="3355"/>
        </w:tabs>
      </w:pPr>
      <w:r>
        <w:t>El Comité también pidió al Grupo de Trabajo que elaborara un proyecto de formulario modelo para las comunicaciones, que se distribuiría a los miembros antes del inicio de su 26º período de sesiones para que pudieran ultimarlo en el transcurso del mismo.</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Nuevo miembro del Grupo de Trabajo sobre el Protocolo Facultat</w:t>
      </w:r>
      <w:r>
        <w:t>i</w:t>
      </w:r>
      <w:r>
        <w:t>vo</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79"/>
        </w:numPr>
        <w:tabs>
          <w:tab w:val="clear" w:pos="960"/>
          <w:tab w:val="left" w:pos="965"/>
          <w:tab w:val="left" w:pos="1440"/>
          <w:tab w:val="left" w:pos="1915"/>
          <w:tab w:val="left" w:pos="2405"/>
          <w:tab w:val="left" w:pos="2880"/>
          <w:tab w:val="left" w:pos="3355"/>
        </w:tabs>
      </w:pPr>
      <w:r>
        <w:t>Ante la dimisión de Chikako Taya como miembro del Comité, éste nombró a Feng Cui miembro del Gr</w:t>
      </w:r>
      <w:r>
        <w:t>u</w:t>
      </w:r>
      <w:r>
        <w:t>po de Trabajo sobre el Protocolo Facultat</w:t>
      </w:r>
      <w:r>
        <w:t>i</w:t>
      </w:r>
      <w:r>
        <w:t>vo.</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C.</w:t>
      </w:r>
      <w:r>
        <w:tab/>
        <w:t>Fechas de la reunión del Grupo de Trabajo sobre el Protocolo Facultativo</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79"/>
        </w:numPr>
        <w:tabs>
          <w:tab w:val="clear" w:pos="960"/>
          <w:tab w:val="left" w:pos="965"/>
          <w:tab w:val="left" w:pos="1440"/>
          <w:tab w:val="left" w:pos="1915"/>
          <w:tab w:val="left" w:pos="2405"/>
          <w:tab w:val="left" w:pos="2880"/>
          <w:tab w:val="left" w:pos="3355"/>
        </w:tabs>
      </w:pPr>
      <w:r>
        <w:t>El Comité convino en que el Grupo de Trabajo sobre el Protocolo Facultativo se reuniría del 4 al 8 de f</w:t>
      </w:r>
      <w:r>
        <w:t>e</w:t>
      </w:r>
      <w:r>
        <w:t>brero de 2002.</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VI</w:t>
      </w: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Medios de agilizar los trabajos del Comité</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79"/>
        </w:numPr>
        <w:tabs>
          <w:tab w:val="clear" w:pos="960"/>
          <w:tab w:val="left" w:pos="965"/>
          <w:tab w:val="left" w:pos="1440"/>
          <w:tab w:val="left" w:pos="1915"/>
          <w:tab w:val="left" w:pos="2405"/>
          <w:tab w:val="left" w:pos="2880"/>
          <w:tab w:val="left" w:pos="3355"/>
        </w:tabs>
      </w:pPr>
      <w:r>
        <w:t>El Comité examinó el tema 6 del programa, rel</w:t>
      </w:r>
      <w:r>
        <w:t>a</w:t>
      </w:r>
      <w:r>
        <w:t>tivo a los medios de agilizar sus trabajos en sus sesi</w:t>
      </w:r>
      <w:r>
        <w:t>o</w:t>
      </w:r>
      <w:r>
        <w:t>nes 509ª y 528ª, celebradas los días 2 y 20 de julio de 2001 (véanse CEDAW/C/SR. 509 y 528).</w:t>
      </w:r>
    </w:p>
    <w:p w:rsidR="00000000" w:rsidRDefault="00000000">
      <w:pPr>
        <w:pStyle w:val="DualTxt"/>
        <w:numPr>
          <w:ilvl w:val="0"/>
          <w:numId w:val="179"/>
        </w:numPr>
        <w:tabs>
          <w:tab w:val="clear" w:pos="960"/>
          <w:tab w:val="left" w:pos="965"/>
          <w:tab w:val="left" w:pos="1440"/>
          <w:tab w:val="left" w:pos="1915"/>
          <w:tab w:val="left" w:pos="2405"/>
          <w:tab w:val="left" w:pos="2880"/>
          <w:tab w:val="left" w:pos="3355"/>
        </w:tabs>
      </w:pPr>
      <w:r>
        <w:t>En la presentación del tema, la Jefa de la Depe</w:t>
      </w:r>
      <w:r>
        <w:t>n</w:t>
      </w:r>
      <w:r>
        <w:t>dencia de los Derechos de la Mujer de la División para el Adelanto de la Mujer (Departamento de Asuntos Económicos y Sociales de la Secretaría de las Naciones Unidas) señaló a la atención de los presentes el informe de la Secretaría (CEDAW/C/2000/II/4). Señaló as</w:t>
      </w:r>
      <w:r>
        <w:t>i</w:t>
      </w:r>
      <w:r>
        <w:t>mismo a la atención de los presentes dos documentos oficiosos que contenían las compilaciones de las obse</w:t>
      </w:r>
      <w:r>
        <w:t>r</w:t>
      </w:r>
      <w:r>
        <w:t>vaciones finales del Comité y de las decisiones y sug</w:t>
      </w:r>
      <w:r>
        <w:t>e</w:t>
      </w:r>
      <w:r>
        <w:t>rencias sobre los métodos de trabajo adoptados por el Comité desde su primer período de sesiones celebrado en 1982, preparadas ambas en respuesta a la petición hecha por el Comité en su 24º período de s</w:t>
      </w:r>
      <w:r>
        <w:t>e</w:t>
      </w:r>
      <w:r>
        <w:t>siones.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Medidas adoptadas por el Comité en relación con el tema 6 del programa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Miembros del grupo de trabajo anterior al 26º período de sesiones</w:t>
      </w:r>
    </w:p>
    <w:p w:rsidR="00000000" w:rsidRDefault="00000000">
      <w:pPr>
        <w:pStyle w:val="DualTxt"/>
        <w:spacing w:after="0" w:line="120" w:lineRule="exact"/>
        <w:rPr>
          <w:sz w:val="10"/>
        </w:rPr>
      </w:pPr>
    </w:p>
    <w:p w:rsidR="00000000" w:rsidRDefault="00000000">
      <w:pPr>
        <w:pStyle w:val="DualTxt"/>
        <w:numPr>
          <w:ilvl w:val="0"/>
          <w:numId w:val="179"/>
        </w:numPr>
        <w:tabs>
          <w:tab w:val="clear" w:pos="960"/>
          <w:tab w:val="left" w:pos="965"/>
          <w:tab w:val="left" w:pos="1440"/>
          <w:tab w:val="left" w:pos="1915"/>
          <w:tab w:val="left" w:pos="2405"/>
          <w:tab w:val="left" w:pos="2880"/>
          <w:tab w:val="left" w:pos="3355"/>
        </w:tabs>
      </w:pPr>
      <w:r>
        <w:t>El Comité decidió nombrar a los siguientes miembros y suplentes del grupo de trabajo anterior al 26º período de sesi</w:t>
      </w:r>
      <w:r>
        <w:t>o</w:t>
      </w:r>
      <w:r>
        <w:t>nes:</w:t>
      </w:r>
    </w:p>
    <w:p w:rsidR="00000000" w:rsidRDefault="00000000">
      <w:pPr>
        <w:pStyle w:val="DualTxt"/>
        <w:keepNext/>
        <w:keepLines/>
        <w:rPr>
          <w:i/>
        </w:rPr>
      </w:pPr>
      <w:r>
        <w:tab/>
      </w:r>
      <w:r>
        <w:rPr>
          <w:i/>
        </w:rPr>
        <w:t>Miembros</w:t>
      </w:r>
    </w:p>
    <w:p w:rsidR="00000000" w:rsidRDefault="00000000">
      <w:pPr>
        <w:pStyle w:val="DualTxt"/>
        <w:keepNext/>
        <w:keepLines/>
        <w:ind w:left="480" w:hanging="480"/>
        <w:jc w:val="left"/>
        <w:rPr>
          <w:spacing w:val="2"/>
          <w:w w:val="100"/>
        </w:rPr>
      </w:pPr>
      <w:r>
        <w:tab/>
        <w:t>Charlotte Abaka (África)</w:t>
      </w:r>
      <w:r>
        <w:br/>
        <w:t>Rosario Manalo (Asia)</w:t>
      </w:r>
      <w:r>
        <w:br/>
        <w:t>Göran Melander (Europa)</w:t>
      </w:r>
      <w:r>
        <w:br/>
      </w:r>
      <w:r>
        <w:rPr>
          <w:spacing w:val="2"/>
          <w:w w:val="100"/>
        </w:rPr>
        <w:t>Yolanda Ferrer Gómez (América Latina y el Car</w:t>
      </w:r>
      <w:r>
        <w:rPr>
          <w:spacing w:val="2"/>
          <w:w w:val="100"/>
        </w:rPr>
        <w:t>i</w:t>
      </w:r>
      <w:r>
        <w:rPr>
          <w:spacing w:val="2"/>
          <w:w w:val="100"/>
        </w:rPr>
        <w:t>be)</w:t>
      </w:r>
    </w:p>
    <w:p w:rsidR="00000000" w:rsidRDefault="00000000">
      <w:pPr>
        <w:pStyle w:val="DualTxt"/>
        <w:spacing w:after="0" w:line="120" w:lineRule="exact"/>
        <w:rPr>
          <w:spacing w:val="2"/>
          <w:w w:val="100"/>
          <w:sz w:val="10"/>
        </w:rPr>
      </w:pPr>
    </w:p>
    <w:p w:rsidR="00000000" w:rsidRDefault="00000000">
      <w:pPr>
        <w:pStyle w:val="DualTxt"/>
        <w:rPr>
          <w:i/>
        </w:rPr>
      </w:pPr>
      <w:r>
        <w:rPr>
          <w:i/>
        </w:rPr>
        <w:tab/>
        <w:t>Suplentes</w:t>
      </w:r>
    </w:p>
    <w:p w:rsidR="00000000" w:rsidRDefault="00000000">
      <w:pPr>
        <w:pStyle w:val="DualTxt"/>
        <w:jc w:val="left"/>
      </w:pPr>
      <w:r>
        <w:tab/>
        <w:t>Mavivi Myakayaka-Manzini (África)</w:t>
      </w:r>
      <w:r>
        <w:br/>
      </w:r>
      <w:r>
        <w:tab/>
        <w:t>Heisoo Shin (Asia)</w:t>
      </w:r>
      <w:r>
        <w:br/>
      </w:r>
      <w:r>
        <w:tab/>
        <w:t>Ivanka Corti (Europa)</w:t>
      </w:r>
      <w:r>
        <w:br/>
      </w:r>
      <w:r>
        <w:tab/>
        <w:t>Rosalyn Hazelle (Amér</w:t>
      </w:r>
      <w:r>
        <w:t>i</w:t>
      </w:r>
      <w:r>
        <w:t>ca Latina y el Caribe)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Miembros del grupo de trabajo anterior al período de sesiones propuesto</w:t>
      </w:r>
    </w:p>
    <w:p w:rsidR="00000000" w:rsidRDefault="00000000">
      <w:pPr>
        <w:pStyle w:val="DualTxt"/>
        <w:spacing w:after="0" w:line="120" w:lineRule="exact"/>
        <w:rPr>
          <w:sz w:val="10"/>
        </w:rPr>
      </w:pPr>
    </w:p>
    <w:p w:rsidR="00000000" w:rsidRDefault="00000000">
      <w:pPr>
        <w:pStyle w:val="DualTxt"/>
        <w:numPr>
          <w:ilvl w:val="0"/>
          <w:numId w:val="179"/>
        </w:numPr>
        <w:tabs>
          <w:tab w:val="clear" w:pos="960"/>
          <w:tab w:val="left" w:pos="965"/>
          <w:tab w:val="left" w:pos="1440"/>
          <w:tab w:val="left" w:pos="1915"/>
          <w:tab w:val="left" w:pos="2405"/>
          <w:tab w:val="left" w:pos="2880"/>
          <w:tab w:val="left" w:pos="3355"/>
        </w:tabs>
      </w:pPr>
      <w:r>
        <w:t>En caso de que la Asamblea General autorizara la ampliación del grupo de trabajo con el fin de preparar el período extraordinario de sesiones del Comité pr</w:t>
      </w:r>
      <w:r>
        <w:t>o</w:t>
      </w:r>
      <w:r>
        <w:t>puesto para 2002, el Comité decidió nombrar a los s</w:t>
      </w:r>
      <w:r>
        <w:t>i</w:t>
      </w:r>
      <w:r>
        <w:t>guientes miembros y suplentes de dicho grupo de tr</w:t>
      </w:r>
      <w:r>
        <w:t>a</w:t>
      </w:r>
      <w:r>
        <w:t>bajo (véase la decisión 25/I en el capítulo I):</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Miembros</w:t>
      </w:r>
    </w:p>
    <w:p w:rsidR="00000000" w:rsidRDefault="00000000">
      <w:pPr>
        <w:pStyle w:val="DualTxt"/>
        <w:spacing w:after="0" w:line="120" w:lineRule="exact"/>
        <w:rPr>
          <w:sz w:val="10"/>
        </w:rPr>
      </w:pPr>
    </w:p>
    <w:p w:rsidR="00000000" w:rsidRDefault="00000000">
      <w:pPr>
        <w:pStyle w:val="DualTxt"/>
        <w:jc w:val="left"/>
      </w:pPr>
      <w:r>
        <w:tab/>
        <w:t>Ayse Feride Acar (Eur</w:t>
      </w:r>
      <w:r>
        <w:t>o</w:t>
      </w:r>
      <w:r>
        <w:t>pa)</w:t>
      </w:r>
      <w:r>
        <w:br/>
      </w:r>
      <w:r>
        <w:tab/>
        <w:t>Mavivi Myakayaka-Manzini (África)</w:t>
      </w:r>
      <w:r>
        <w:br/>
      </w:r>
      <w:r>
        <w:tab/>
        <w:t>Zelmira Regazzoli (Am</w:t>
      </w:r>
      <w:r>
        <w:t>é</w:t>
      </w:r>
      <w:r>
        <w:t>rica Latina y el Caribe)</w:t>
      </w:r>
      <w:r>
        <w:br/>
      </w:r>
      <w:r>
        <w:tab/>
        <w:t>Heisoo Shin (Asia)</w:t>
      </w:r>
      <w:r>
        <w:br/>
      </w:r>
      <w:r>
        <w:tab/>
        <w:t>Ivanka Corti (Europa)</w:t>
      </w:r>
      <w:r>
        <w:br/>
      </w:r>
      <w:r>
        <w:tab/>
        <w:t>Rosalyn Hazelle (Amér</w:t>
      </w:r>
      <w:r>
        <w:t>i</w:t>
      </w:r>
      <w:r>
        <w:t>ca Latina y el Caribe)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Suplentes</w:t>
      </w:r>
    </w:p>
    <w:p w:rsidR="00000000" w:rsidRDefault="00000000">
      <w:pPr>
        <w:pStyle w:val="DualTxt"/>
        <w:spacing w:after="0" w:line="120" w:lineRule="exact"/>
        <w:rPr>
          <w:sz w:val="10"/>
        </w:rPr>
      </w:pPr>
    </w:p>
    <w:p w:rsidR="00000000" w:rsidRDefault="00000000">
      <w:pPr>
        <w:pStyle w:val="DualTxt"/>
        <w:jc w:val="left"/>
      </w:pPr>
      <w:r>
        <w:tab/>
        <w:t>Emna Aouij (África)</w:t>
      </w:r>
      <w:r>
        <w:br/>
      </w:r>
      <w:r>
        <w:tab/>
        <w:t>Maria Regina Tavares da Silva (Europa)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Fechas del 26º período de sesiones del Comité y de las reuniones del grupo de trabajo anterior al 27º período de s</w:t>
      </w:r>
      <w:r>
        <w:t>e</w:t>
      </w:r>
      <w:r>
        <w:t>siones</w:t>
      </w:r>
    </w:p>
    <w:p w:rsidR="00000000" w:rsidRDefault="00000000">
      <w:pPr>
        <w:pStyle w:val="DualTxt"/>
        <w:spacing w:after="0" w:line="120" w:lineRule="exact"/>
        <w:rPr>
          <w:sz w:val="10"/>
        </w:rPr>
      </w:pPr>
    </w:p>
    <w:p w:rsidR="00000000" w:rsidRDefault="00000000">
      <w:pPr>
        <w:pStyle w:val="DualTxt"/>
        <w:numPr>
          <w:ilvl w:val="0"/>
          <w:numId w:val="179"/>
        </w:numPr>
        <w:tabs>
          <w:tab w:val="clear" w:pos="960"/>
          <w:tab w:val="left" w:pos="965"/>
          <w:tab w:val="left" w:pos="1440"/>
          <w:tab w:val="left" w:pos="1915"/>
          <w:tab w:val="left" w:pos="2405"/>
          <w:tab w:val="left" w:pos="2880"/>
          <w:tab w:val="left" w:pos="3355"/>
        </w:tabs>
      </w:pPr>
      <w:r>
        <w:t>Con arreglo al calendario de conferencias y re</w:t>
      </w:r>
      <w:r>
        <w:t>u</w:t>
      </w:r>
      <w:r>
        <w:t>niones aprobado para 2002, el 26º período de sesiones del Comité se celebrará del 14 de enero al 1º de febrero de 2002. Se acordó que el grupo de trabajo anterior al 27º período de sesiones celebraría reuniones del 4 al 8 de febrero de 2002.</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Informes que han de examinarse en futuros perí</w:t>
      </w:r>
      <w:r>
        <w:t>o</w:t>
      </w:r>
      <w:r>
        <w:t>dos de sesiones</w:t>
      </w:r>
    </w:p>
    <w:p w:rsidR="00000000" w:rsidRDefault="00000000">
      <w:pPr>
        <w:pStyle w:val="DualTxt"/>
        <w:spacing w:after="0" w:line="120" w:lineRule="exact"/>
        <w:rPr>
          <w:sz w:val="10"/>
        </w:rPr>
      </w:pPr>
    </w:p>
    <w:p w:rsidR="00000000" w:rsidRDefault="00000000">
      <w:pPr>
        <w:pStyle w:val="DualTxt"/>
        <w:numPr>
          <w:ilvl w:val="0"/>
          <w:numId w:val="179"/>
        </w:numPr>
        <w:tabs>
          <w:tab w:val="clear" w:pos="960"/>
          <w:tab w:val="left" w:pos="965"/>
          <w:tab w:val="left" w:pos="1440"/>
          <w:tab w:val="left" w:pos="1915"/>
          <w:tab w:val="left" w:pos="2405"/>
          <w:tab w:val="left" w:pos="2880"/>
          <w:tab w:val="left" w:pos="3355"/>
        </w:tabs>
      </w:pPr>
      <w:r>
        <w:t>El Comité decidió examinar los siguientes info</w:t>
      </w:r>
      <w:r>
        <w:t>r</w:t>
      </w:r>
      <w:r>
        <w:t>mes en sus períodos de sesiones 26º, 27º y 28º:</w:t>
      </w:r>
    </w:p>
    <w:p w:rsidR="00000000" w:rsidRDefault="00000000">
      <w:pPr>
        <w:pStyle w:val="DualTxt"/>
        <w:rPr>
          <w:b/>
        </w:rPr>
      </w:pPr>
      <w:r>
        <w:tab/>
      </w:r>
      <w:r>
        <w:rPr>
          <w:b/>
        </w:rPr>
        <w:t>26º período de sesiones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Informes iniciales</w:t>
      </w:r>
    </w:p>
    <w:p w:rsidR="00000000" w:rsidRDefault="00000000">
      <w:pPr>
        <w:pStyle w:val="DualTxt"/>
        <w:spacing w:after="0" w:line="120" w:lineRule="exact"/>
        <w:rPr>
          <w:sz w:val="10"/>
        </w:rPr>
      </w:pPr>
    </w:p>
    <w:p w:rsidR="00000000" w:rsidRDefault="00000000">
      <w:pPr>
        <w:pStyle w:val="DualTxt"/>
      </w:pPr>
      <w:r>
        <w:tab/>
        <w:t>Estonia</w:t>
      </w:r>
      <w:r>
        <w:br/>
      </w:r>
      <w:r>
        <w:tab/>
        <w:t>Fiji</w:t>
      </w:r>
      <w:r>
        <w:br/>
      </w:r>
      <w:r>
        <w:tab/>
        <w:t>Trinidad y Tabago</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Informes periódicos segundo y tercero combinados</w:t>
      </w:r>
    </w:p>
    <w:p w:rsidR="00000000" w:rsidRDefault="00000000">
      <w:pPr>
        <w:pStyle w:val="DualTxt"/>
        <w:spacing w:after="0" w:line="120" w:lineRule="exact"/>
        <w:rPr>
          <w:sz w:val="10"/>
        </w:rPr>
      </w:pPr>
    </w:p>
    <w:p w:rsidR="00000000" w:rsidRDefault="00000000">
      <w:pPr>
        <w:pStyle w:val="DualTxt"/>
      </w:pPr>
      <w:r>
        <w:tab/>
        <w:t>Uruguay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Informes periódicos tercero y cuarto combinados</w:t>
      </w:r>
    </w:p>
    <w:p w:rsidR="00000000" w:rsidRDefault="00000000">
      <w:pPr>
        <w:pStyle w:val="DualTxt"/>
        <w:spacing w:after="0" w:line="120" w:lineRule="exact"/>
        <w:rPr>
          <w:sz w:val="10"/>
        </w:rPr>
      </w:pPr>
    </w:p>
    <w:p w:rsidR="00000000" w:rsidRDefault="00000000">
      <w:pPr>
        <w:pStyle w:val="DualTxt"/>
      </w:pPr>
      <w:r>
        <w:tab/>
        <w:t>Islandia</w:t>
      </w:r>
      <w:r>
        <w:br/>
      </w:r>
      <w:r>
        <w:tab/>
        <w:t>Sri Lanka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Informes periódicos cuarto y quinto</w:t>
      </w:r>
    </w:p>
    <w:p w:rsidR="00000000" w:rsidRDefault="00000000">
      <w:pPr>
        <w:pStyle w:val="DualTxt"/>
        <w:spacing w:after="0" w:line="120" w:lineRule="exact"/>
        <w:rPr>
          <w:sz w:val="10"/>
        </w:rPr>
      </w:pPr>
    </w:p>
    <w:p w:rsidR="00000000" w:rsidRDefault="00000000">
      <w:pPr>
        <w:pStyle w:val="DualTxt"/>
      </w:pPr>
      <w:r>
        <w:tab/>
        <w:t>Portugal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Quinto informe periódico</w:t>
      </w:r>
    </w:p>
    <w:p w:rsidR="00000000" w:rsidRDefault="00000000">
      <w:pPr>
        <w:pStyle w:val="DualTxt"/>
        <w:spacing w:after="0" w:line="120" w:lineRule="exact"/>
        <w:rPr>
          <w:sz w:val="10"/>
        </w:rPr>
      </w:pPr>
    </w:p>
    <w:p w:rsidR="00000000" w:rsidRDefault="00000000">
      <w:pPr>
        <w:pStyle w:val="DualTxt"/>
      </w:pPr>
      <w:r>
        <w:tab/>
        <w:t>Federación de Rusia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27º período de sesiones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Informes iniciales</w:t>
      </w:r>
    </w:p>
    <w:p w:rsidR="00000000" w:rsidRDefault="00000000">
      <w:pPr>
        <w:pStyle w:val="DualTxt"/>
        <w:spacing w:after="0" w:line="120" w:lineRule="exact"/>
        <w:rPr>
          <w:sz w:val="10"/>
        </w:rPr>
      </w:pPr>
    </w:p>
    <w:p w:rsidR="00000000" w:rsidRDefault="00000000">
      <w:pPr>
        <w:pStyle w:val="DualTxt"/>
      </w:pPr>
      <w:r>
        <w:tab/>
        <w:t>Costa Rica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Informes periódicos tercero y cuarto combinados</w:t>
      </w:r>
    </w:p>
    <w:p w:rsidR="00000000" w:rsidRDefault="00000000">
      <w:pPr>
        <w:pStyle w:val="DualTxt"/>
        <w:spacing w:after="0" w:line="120" w:lineRule="exact"/>
        <w:rPr>
          <w:sz w:val="10"/>
        </w:rPr>
      </w:pPr>
    </w:p>
    <w:p w:rsidR="00000000" w:rsidRDefault="00000000">
      <w:pPr>
        <w:pStyle w:val="DualTxt"/>
      </w:pPr>
      <w:r>
        <w:tab/>
        <w:t>Bélgica</w:t>
      </w:r>
      <w:r>
        <w:br/>
      </w:r>
      <w:r>
        <w:tab/>
        <w:t>Zambia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Cuarto informe periódico</w:t>
      </w:r>
    </w:p>
    <w:p w:rsidR="00000000" w:rsidRDefault="00000000">
      <w:pPr>
        <w:pStyle w:val="DualTxt"/>
        <w:spacing w:after="0" w:line="120" w:lineRule="exact"/>
        <w:rPr>
          <w:sz w:val="10"/>
        </w:rPr>
      </w:pPr>
    </w:p>
    <w:p w:rsidR="00000000" w:rsidRDefault="00000000">
      <w:pPr>
        <w:pStyle w:val="DualTxt"/>
      </w:pPr>
      <w:r>
        <w:tab/>
        <w:t>Túnez</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Informes periódicos cuarto y quinto combin</w:t>
      </w:r>
      <w:r>
        <w:t>a</w:t>
      </w:r>
      <w:r>
        <w:t>dos</w:t>
      </w:r>
    </w:p>
    <w:p w:rsidR="00000000" w:rsidRDefault="00000000">
      <w:pPr>
        <w:pStyle w:val="DualTxt"/>
        <w:spacing w:after="0" w:line="120" w:lineRule="exact"/>
        <w:rPr>
          <w:sz w:val="10"/>
        </w:rPr>
      </w:pPr>
    </w:p>
    <w:p w:rsidR="00000000" w:rsidRDefault="00000000">
      <w:pPr>
        <w:pStyle w:val="DualTxt"/>
      </w:pPr>
      <w:r>
        <w:tab/>
        <w:t>Ucrania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Informes periódicos cuarto y quinto</w:t>
      </w:r>
    </w:p>
    <w:p w:rsidR="00000000" w:rsidRDefault="00000000">
      <w:pPr>
        <w:pStyle w:val="DualTxt"/>
        <w:spacing w:after="0" w:line="120" w:lineRule="exact"/>
        <w:rPr>
          <w:sz w:val="10"/>
        </w:rPr>
      </w:pPr>
    </w:p>
    <w:p w:rsidR="00000000" w:rsidRDefault="00000000">
      <w:pPr>
        <w:pStyle w:val="DualTxt"/>
      </w:pPr>
      <w:r>
        <w:tab/>
        <w:t>Dinamarca</w:t>
      </w:r>
    </w:p>
    <w:p w:rsidR="00000000" w:rsidRDefault="00000000">
      <w:pPr>
        <w:pStyle w:val="DualTxt"/>
        <w:spacing w:after="0" w:line="120" w:lineRule="exact"/>
        <w:rPr>
          <w:sz w:val="10"/>
        </w:rPr>
      </w:pPr>
    </w:p>
    <w:p w:rsidR="00000000" w:rsidRDefault="00000000">
      <w:pPr>
        <w:pStyle w:val="DualTxt"/>
        <w:numPr>
          <w:ilvl w:val="0"/>
          <w:numId w:val="179"/>
        </w:numPr>
        <w:tabs>
          <w:tab w:val="clear" w:pos="960"/>
          <w:tab w:val="left" w:pos="965"/>
          <w:tab w:val="left" w:pos="1440"/>
          <w:tab w:val="left" w:pos="1915"/>
          <w:tab w:val="left" w:pos="2405"/>
          <w:tab w:val="left" w:pos="2880"/>
          <w:tab w:val="left" w:pos="3355"/>
        </w:tabs>
      </w:pPr>
      <w:r>
        <w:t>En caso de que uno de los Estados partes menci</w:t>
      </w:r>
      <w:r>
        <w:t>o</w:t>
      </w:r>
      <w:r>
        <w:t>nados no pueda presentar su informe, el Comité exam</w:t>
      </w:r>
      <w:r>
        <w:t>i</w:t>
      </w:r>
      <w:r>
        <w:t>nará los informes periódicos tercero y cuarto de Kenya o el tercer informe periódico de Fra</w:t>
      </w:r>
      <w:r>
        <w:t>n</w:t>
      </w:r>
      <w:r>
        <w:t>cia.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28º período de sesiones</w:t>
      </w:r>
    </w:p>
    <w:p w:rsidR="00000000" w:rsidRDefault="00000000">
      <w:pPr>
        <w:pStyle w:val="DualTxt"/>
        <w:keepNext/>
        <w:keepLine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Informes iniciales</w:t>
      </w:r>
    </w:p>
    <w:p w:rsidR="00000000" w:rsidRDefault="00000000">
      <w:pPr>
        <w:pStyle w:val="DualTxt"/>
        <w:keepNext/>
        <w:keepLines/>
        <w:spacing w:after="0" w:line="120" w:lineRule="exact"/>
        <w:rPr>
          <w:sz w:val="10"/>
        </w:rPr>
      </w:pPr>
    </w:p>
    <w:p w:rsidR="00000000" w:rsidRDefault="00000000">
      <w:pPr>
        <w:pStyle w:val="DualTxt"/>
        <w:keepNext/>
        <w:keepLines/>
      </w:pPr>
      <w:r>
        <w:tab/>
        <w:t>Ninguno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Segundo informe periód</w:t>
      </w:r>
      <w:r>
        <w:t>i</w:t>
      </w:r>
      <w:r>
        <w:t>co</w:t>
      </w:r>
    </w:p>
    <w:p w:rsidR="00000000" w:rsidRDefault="00000000">
      <w:pPr>
        <w:pStyle w:val="DualTxt"/>
        <w:spacing w:after="0" w:line="120" w:lineRule="exact"/>
        <w:rPr>
          <w:sz w:val="10"/>
        </w:rPr>
      </w:pPr>
    </w:p>
    <w:p w:rsidR="00000000" w:rsidRDefault="00000000">
      <w:pPr>
        <w:pStyle w:val="DualTxt"/>
        <w:jc w:val="left"/>
      </w:pPr>
      <w:r>
        <w:tab/>
        <w:t>Eslovenia</w:t>
      </w:r>
      <w:r>
        <w:br/>
      </w:r>
      <w:r>
        <w:tab/>
        <w:t>Jamahiriya Árabe Libia</w:t>
      </w:r>
      <w:r>
        <w:br/>
      </w:r>
      <w:r>
        <w:tab/>
        <w:t>Marruecos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Tercer informe periódico</w:t>
      </w:r>
    </w:p>
    <w:p w:rsidR="00000000" w:rsidRDefault="00000000">
      <w:pPr>
        <w:pStyle w:val="DualTxt"/>
        <w:spacing w:after="0" w:line="120" w:lineRule="exact"/>
        <w:rPr>
          <w:sz w:val="10"/>
        </w:rPr>
      </w:pPr>
    </w:p>
    <w:p w:rsidR="00000000" w:rsidRDefault="00000000">
      <w:pPr>
        <w:pStyle w:val="DualTxt"/>
      </w:pPr>
      <w:r>
        <w:tab/>
        <w:t>Guatemala</w:t>
      </w:r>
      <w:r>
        <w:br/>
      </w:r>
      <w:r>
        <w:tab/>
        <w:t>Uganda</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Cuarto informe periódico</w:t>
      </w:r>
    </w:p>
    <w:p w:rsidR="00000000" w:rsidRDefault="00000000">
      <w:pPr>
        <w:pStyle w:val="DualTxt"/>
        <w:spacing w:after="0" w:line="120" w:lineRule="exact"/>
        <w:rPr>
          <w:sz w:val="10"/>
        </w:rPr>
      </w:pPr>
    </w:p>
    <w:p w:rsidR="00000000" w:rsidRDefault="00000000">
      <w:pPr>
        <w:pStyle w:val="DualTxt"/>
      </w:pPr>
      <w:r>
        <w:tab/>
        <w:t>Japón</w:t>
      </w:r>
    </w:p>
    <w:p w:rsidR="00000000" w:rsidRDefault="00000000">
      <w:pPr>
        <w:pStyle w:val="DualTxt"/>
        <w:spacing w:after="0" w:line="120" w:lineRule="exact"/>
        <w:rPr>
          <w:sz w:val="10"/>
        </w:rPr>
      </w:pPr>
    </w:p>
    <w:p w:rsidR="00000000" w:rsidRDefault="00000000">
      <w:pPr>
        <w:pStyle w:val="DualTxt"/>
        <w:numPr>
          <w:ilvl w:val="0"/>
          <w:numId w:val="179"/>
        </w:numPr>
        <w:tabs>
          <w:tab w:val="clear" w:pos="960"/>
          <w:tab w:val="left" w:pos="965"/>
          <w:tab w:val="left" w:pos="1440"/>
          <w:tab w:val="left" w:pos="1915"/>
          <w:tab w:val="left" w:pos="2405"/>
          <w:tab w:val="left" w:pos="2880"/>
          <w:tab w:val="left" w:pos="3355"/>
        </w:tabs>
      </w:pPr>
      <w:r>
        <w:t>En caso de que uno de los Estados partes menci</w:t>
      </w:r>
      <w:r>
        <w:t>o</w:t>
      </w:r>
      <w:r>
        <w:t>nados no pueda presentar su informe, el Comité exam</w:t>
      </w:r>
      <w:r>
        <w:t>i</w:t>
      </w:r>
      <w:r>
        <w:t>nará el segundo informe periódico de Armenia o el quinto informe peri</w:t>
      </w:r>
      <w:r>
        <w:t>ó</w:t>
      </w:r>
      <w:r>
        <w:t>dico del Perú.</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5.</w:t>
      </w:r>
      <w:r>
        <w:tab/>
        <w:t xml:space="preserve">Período extraordinario de sesiones del Comité propuesto </w:t>
      </w:r>
    </w:p>
    <w:p w:rsidR="00000000" w:rsidRDefault="00000000">
      <w:pPr>
        <w:pStyle w:val="DualTxt"/>
        <w:spacing w:after="0" w:line="120" w:lineRule="exact"/>
        <w:rPr>
          <w:sz w:val="10"/>
        </w:rPr>
      </w:pPr>
    </w:p>
    <w:p w:rsidR="00000000" w:rsidRDefault="00000000">
      <w:pPr>
        <w:pStyle w:val="DualTxt"/>
        <w:numPr>
          <w:ilvl w:val="0"/>
          <w:numId w:val="179"/>
        </w:numPr>
        <w:tabs>
          <w:tab w:val="clear" w:pos="960"/>
          <w:tab w:val="left" w:pos="965"/>
          <w:tab w:val="left" w:pos="1440"/>
          <w:tab w:val="left" w:pos="1915"/>
          <w:tab w:val="left" w:pos="2405"/>
          <w:tab w:val="left" w:pos="2880"/>
          <w:tab w:val="left" w:pos="3355"/>
        </w:tabs>
        <w:rPr>
          <w:w w:val="101"/>
        </w:rPr>
      </w:pPr>
      <w:r>
        <w:rPr>
          <w:w w:val="101"/>
        </w:rPr>
        <w:t>En caso de que la Asamblea General aprobara el período extraordinario de sesiones del Comité propuesto para examinar los informes pendientes (véase la dec</w:t>
      </w:r>
      <w:r>
        <w:rPr>
          <w:w w:val="101"/>
        </w:rPr>
        <w:t>i</w:t>
      </w:r>
      <w:r>
        <w:rPr>
          <w:w w:val="101"/>
        </w:rPr>
        <w:t>sión 25/I, en el capítulo I), el Comité decidió examinar en dicho período de sesiones los informes s</w:t>
      </w:r>
      <w:r>
        <w:rPr>
          <w:w w:val="101"/>
        </w:rPr>
        <w:t>i</w:t>
      </w:r>
      <w:r>
        <w:rPr>
          <w:w w:val="101"/>
        </w:rPr>
        <w:t>guientes: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Segundo informe periód</w:t>
      </w:r>
      <w:r>
        <w:t>i</w:t>
      </w:r>
      <w:r>
        <w:t>co</w:t>
      </w:r>
    </w:p>
    <w:p w:rsidR="00000000" w:rsidRDefault="00000000">
      <w:pPr>
        <w:pStyle w:val="DualTxt"/>
        <w:spacing w:after="0" w:line="120" w:lineRule="exact"/>
        <w:rPr>
          <w:sz w:val="10"/>
        </w:rPr>
      </w:pPr>
    </w:p>
    <w:p w:rsidR="00000000" w:rsidRDefault="00000000">
      <w:pPr>
        <w:pStyle w:val="DualTxt"/>
        <w:jc w:val="left"/>
      </w:pPr>
      <w:r>
        <w:tab/>
        <w:t>Armenia</w:t>
      </w:r>
      <w:r>
        <w:br/>
      </w:r>
      <w:r>
        <w:tab/>
        <w:t>Guinea Ecuatorial</w:t>
      </w:r>
      <w:r>
        <w:br/>
      </w:r>
      <w:r>
        <w:tab/>
        <w:t>República Checa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Tercer informe periódico</w:t>
      </w:r>
    </w:p>
    <w:p w:rsidR="00000000" w:rsidRDefault="00000000">
      <w:pPr>
        <w:pStyle w:val="DualTxt"/>
        <w:spacing w:after="0" w:line="120" w:lineRule="exact"/>
        <w:rPr>
          <w:sz w:val="10"/>
        </w:rPr>
      </w:pPr>
    </w:p>
    <w:p w:rsidR="00000000" w:rsidRDefault="00000000">
      <w:pPr>
        <w:pStyle w:val="DualTxt"/>
      </w:pPr>
      <w:r>
        <w:tab/>
        <w:t>Guatemala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Cuarto informe periódico</w:t>
      </w:r>
    </w:p>
    <w:p w:rsidR="00000000" w:rsidRDefault="00000000">
      <w:pPr>
        <w:pStyle w:val="DualTxt"/>
        <w:spacing w:after="0" w:line="120" w:lineRule="exact"/>
        <w:rPr>
          <w:sz w:val="10"/>
        </w:rPr>
      </w:pPr>
    </w:p>
    <w:p w:rsidR="00000000" w:rsidRDefault="00000000">
      <w:pPr>
        <w:pStyle w:val="DualTxt"/>
      </w:pPr>
      <w:r>
        <w:tab/>
        <w:t>Argentina</w:t>
      </w:r>
      <w:r>
        <w:br/>
      </w:r>
      <w:r>
        <w:tab/>
        <w:t>Barbados</w:t>
      </w:r>
      <w:r>
        <w:br/>
      </w:r>
      <w:r>
        <w:tab/>
        <w:t>Grecia</w:t>
      </w:r>
      <w:r>
        <w:br/>
      </w:r>
      <w:r>
        <w:tab/>
        <w:t>Yemen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Informes periódicos cuarto y quinto</w:t>
      </w:r>
    </w:p>
    <w:p w:rsidR="00000000" w:rsidRDefault="00000000">
      <w:pPr>
        <w:pStyle w:val="DualTxt"/>
        <w:spacing w:after="0" w:line="120" w:lineRule="exact"/>
        <w:rPr>
          <w:sz w:val="10"/>
        </w:rPr>
      </w:pPr>
    </w:p>
    <w:p w:rsidR="00000000" w:rsidRDefault="00000000">
      <w:pPr>
        <w:pStyle w:val="DualTxt"/>
      </w:pPr>
      <w:r>
        <w:tab/>
        <w:t>Hungría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Quinto informe periódico</w:t>
      </w:r>
    </w:p>
    <w:p w:rsidR="00000000" w:rsidRDefault="00000000">
      <w:pPr>
        <w:pStyle w:val="DualTxt"/>
        <w:spacing w:after="0" w:line="120" w:lineRule="exact"/>
        <w:rPr>
          <w:sz w:val="10"/>
        </w:rPr>
      </w:pPr>
    </w:p>
    <w:p w:rsidR="00000000" w:rsidRDefault="00000000">
      <w:pPr>
        <w:pStyle w:val="DualTxt"/>
      </w:pPr>
      <w:r>
        <w:tab/>
        <w:t>México</w:t>
      </w:r>
      <w:r>
        <w:br/>
      </w:r>
      <w:r>
        <w:tab/>
        <w:t>Noruega</w:t>
      </w:r>
      <w:r>
        <w:br/>
      </w:r>
      <w:r>
        <w:tab/>
        <w:t>Perú</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Capítulo VII</w:t>
      </w: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Aplicación del artículo 21 de la Convención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79"/>
        </w:numPr>
        <w:tabs>
          <w:tab w:val="clear" w:pos="960"/>
          <w:tab w:val="left" w:pos="965"/>
          <w:tab w:val="left" w:pos="1440"/>
          <w:tab w:val="left" w:pos="1915"/>
          <w:tab w:val="left" w:pos="2405"/>
          <w:tab w:val="left" w:pos="2880"/>
          <w:tab w:val="left" w:pos="3355"/>
        </w:tabs>
      </w:pPr>
      <w:r>
        <w:t>El Comité examinó el tema 5 del programa, rel</w:t>
      </w:r>
      <w:r>
        <w:t>a</w:t>
      </w:r>
      <w:r>
        <w:t>tivo a la aplicación del artículo 21 de la Convención, en sus sesiones 509ª y 528ª (véanse CEDAW/C/SR. 509 y 528).</w:t>
      </w:r>
    </w:p>
    <w:p w:rsidR="00000000" w:rsidRDefault="00000000">
      <w:pPr>
        <w:pStyle w:val="DualTxt"/>
        <w:numPr>
          <w:ilvl w:val="0"/>
          <w:numId w:val="179"/>
        </w:numPr>
        <w:tabs>
          <w:tab w:val="clear" w:pos="960"/>
          <w:tab w:val="left" w:pos="965"/>
          <w:tab w:val="left" w:pos="1440"/>
          <w:tab w:val="left" w:pos="1915"/>
          <w:tab w:val="left" w:pos="2405"/>
          <w:tab w:val="left" w:pos="2880"/>
          <w:tab w:val="left" w:pos="3355"/>
        </w:tabs>
      </w:pPr>
      <w:r>
        <w:t>En la presentación del tema, la Jefa de la Depe</w:t>
      </w:r>
      <w:r>
        <w:t>n</w:t>
      </w:r>
      <w:r>
        <w:t>dencia de los Derechos de la Mujer de la División para el Adelanto de la Mujer señaló a la atención de los pr</w:t>
      </w:r>
      <w:r>
        <w:t>e</w:t>
      </w:r>
      <w:r>
        <w:t>sentes el informe de la Secretaría sobre el criterio del Comité respecto del párrafo 1 del artículo 4 de la Co</w:t>
      </w:r>
      <w:r>
        <w:t>n</w:t>
      </w:r>
      <w:r>
        <w:t>vención en lo relativo a las medidas especiales prov</w:t>
      </w:r>
      <w:r>
        <w:t>i</w:t>
      </w:r>
      <w:r>
        <w:t>sionales tendientes a acelerar la igualdad efectiva entre los hombres y las mujeres (CEDAW/C/2001/II/5) y una nota del Secretario General relativa a los informes pr</w:t>
      </w:r>
      <w:r>
        <w:t>e</w:t>
      </w:r>
      <w:r>
        <w:t>sentados por los organismos especializados sobre la aplicación de la Convención en las esferas que corre</w:t>
      </w:r>
      <w:r>
        <w:t>s</w:t>
      </w:r>
      <w:r>
        <w:t>ponden al ámbito de sus respectivas actividades (CEDAW/C/2001/II/3 yAdd.1 a 4).</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Medidas adoptadas por el Comité en relación con el tema 5 del programa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spacing w:val="4"/>
        </w:rPr>
      </w:pPr>
      <w:r>
        <w:rPr>
          <w:spacing w:val="4"/>
        </w:rPr>
        <w:tab/>
        <w:t>1.</w:t>
      </w:r>
      <w:r>
        <w:rPr>
          <w:spacing w:val="4"/>
        </w:rPr>
        <w:tab/>
        <w:t>Recomendaciones generales relativas al párrafo 1 del artículo 4 de la Convención</w:t>
      </w:r>
    </w:p>
    <w:p w:rsidR="00000000" w:rsidRDefault="00000000">
      <w:pPr>
        <w:pStyle w:val="DualTxt"/>
        <w:spacing w:after="0" w:line="120" w:lineRule="exact"/>
        <w:rPr>
          <w:sz w:val="10"/>
        </w:rPr>
      </w:pPr>
    </w:p>
    <w:p w:rsidR="00000000" w:rsidRDefault="00000000">
      <w:pPr>
        <w:pStyle w:val="DualTxt"/>
        <w:numPr>
          <w:ilvl w:val="0"/>
          <w:numId w:val="183"/>
        </w:numPr>
        <w:tabs>
          <w:tab w:val="clear" w:pos="960"/>
          <w:tab w:val="left" w:pos="475"/>
          <w:tab w:val="left" w:pos="965"/>
          <w:tab w:val="left" w:pos="1440"/>
          <w:tab w:val="left" w:pos="1915"/>
          <w:tab w:val="left" w:pos="2405"/>
          <w:tab w:val="left" w:pos="2880"/>
          <w:tab w:val="left" w:pos="3355"/>
        </w:tabs>
      </w:pPr>
      <w:r>
        <w:t>El Comité encomendó a uno de sus miembros, Hanna Beate Schöpp-Schilling, que le presentara un documento de antecedentes relativo al párrafo 1 del artículo 4 de la Convención, sobre las medidas esp</w:t>
      </w:r>
      <w:r>
        <w:t>e</w:t>
      </w:r>
      <w:r>
        <w:t>ciales provisionales tendientes a acelerar la igualdad efectiva entre los hombres y las mujeres. Pidió a la Sra. Schöpp-Schilling que presentara el documento de antecedentes a la Secretaría el 15 de octubre de 2001, a más tardar, para que se pudiera traducir y distribuir a los miembros del Comité antes del inicio de su 26º p</w:t>
      </w:r>
      <w:r>
        <w:t>e</w:t>
      </w:r>
      <w:r>
        <w:t>ríodo de sesiones que se celebrará del 14 de enero al 1° de febrero de 2002.</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Contribución del Comité para la Eliminación de la Discriminación contra la Mujer al período extraordinario de sesiones de la Asamblea General sobre la infancia</w:t>
      </w:r>
    </w:p>
    <w:p w:rsidR="00000000" w:rsidRDefault="00000000">
      <w:pPr>
        <w:pStyle w:val="DualTxt"/>
        <w:spacing w:after="0" w:line="120" w:lineRule="exact"/>
        <w:rPr>
          <w:sz w:val="10"/>
        </w:rPr>
      </w:pPr>
    </w:p>
    <w:p w:rsidR="00000000" w:rsidRDefault="00000000">
      <w:pPr>
        <w:pStyle w:val="DualTxt"/>
        <w:numPr>
          <w:ilvl w:val="0"/>
          <w:numId w:val="183"/>
        </w:numPr>
        <w:tabs>
          <w:tab w:val="clear" w:pos="960"/>
          <w:tab w:val="left" w:pos="475"/>
          <w:tab w:val="left" w:pos="965"/>
          <w:tab w:val="left" w:pos="1440"/>
          <w:tab w:val="left" w:pos="1915"/>
          <w:tab w:val="left" w:pos="2405"/>
          <w:tab w:val="left" w:pos="2880"/>
          <w:tab w:val="left" w:pos="3355"/>
        </w:tabs>
      </w:pPr>
      <w:r>
        <w:t>El Comité reconoce la complementariedad exi</w:t>
      </w:r>
      <w:r>
        <w:t>s</w:t>
      </w:r>
      <w:r>
        <w:t>tente entre la Convención sobre la eliminación de todas las formas de discriminación contra la mujer y la Co</w:t>
      </w:r>
      <w:r>
        <w:t>n</w:t>
      </w:r>
      <w:r>
        <w:t>vención sobre los Derechos del Niño, así como la i</w:t>
      </w:r>
      <w:r>
        <w:t>m</w:t>
      </w:r>
      <w:r>
        <w:t>portancia de respetar, promover y proteger los derechos humanos de la mujer en la consecución de un futuro mejor para la infancia. Por consiguiente, el Comité acoge con satisfacción la decisión adoptada por la Asamblea General de celebrar un período extraordin</w:t>
      </w:r>
      <w:r>
        <w:t>a</w:t>
      </w:r>
      <w:r>
        <w:t>rio de sesiones sobre la infancia. El Comité hace suya la decisión de combinar en un proyecto de documento final una declaración y un plan de acción con unos o</w:t>
      </w:r>
      <w:r>
        <w:t>b</w:t>
      </w:r>
      <w:r>
        <w:t>jetivos y estrategias concretos, dando la debida prior</w:t>
      </w:r>
      <w:r>
        <w:t>i</w:t>
      </w:r>
      <w:r>
        <w:t>dad a la asignación de recursos y supervisando los pr</w:t>
      </w:r>
      <w:r>
        <w:t>o</w:t>
      </w:r>
      <w:r>
        <w:t>gresos realizados en la ejecución.</w:t>
      </w:r>
    </w:p>
    <w:p w:rsidR="00000000" w:rsidRDefault="00000000">
      <w:pPr>
        <w:pStyle w:val="DualTxt"/>
        <w:numPr>
          <w:ilvl w:val="0"/>
          <w:numId w:val="183"/>
        </w:numPr>
        <w:tabs>
          <w:tab w:val="clear" w:pos="960"/>
          <w:tab w:val="left" w:pos="475"/>
          <w:tab w:val="left" w:pos="965"/>
          <w:tab w:val="left" w:pos="1440"/>
          <w:tab w:val="left" w:pos="1915"/>
          <w:tab w:val="left" w:pos="2405"/>
          <w:tab w:val="left" w:pos="2880"/>
          <w:tab w:val="left" w:pos="3355"/>
        </w:tabs>
      </w:pPr>
      <w:r>
        <w:t>En los 11 años transcurridos desde que se conv</w:t>
      </w:r>
      <w:r>
        <w:t>o</w:t>
      </w:r>
      <w:r>
        <w:t>cara la Cumbre Mundial en favor de la Infancia, el Comité ha apoyado sistemáticamente los esfuerzos por promover y proteger los derechos del niño y la niña, en particular mediante la supervisión de los informes pr</w:t>
      </w:r>
      <w:r>
        <w:t>e</w:t>
      </w:r>
      <w:r>
        <w:t>sentados por los Estados partes con arreglo a la Co</w:t>
      </w:r>
      <w:r>
        <w:t>n</w:t>
      </w:r>
      <w:r>
        <w:t>vención y mediante la aprobación de recomendaciones generales y otras iniciativas. Puesto que la Convención sobre la eliminación de todas las formas de discrimin</w:t>
      </w:r>
      <w:r>
        <w:t>a</w:t>
      </w:r>
      <w:r>
        <w:t>ción contra la mujer también es aplicable a las niñas, el Comité ha recibido regularmente información del UNICEF, los organismos especializados y las organiz</w:t>
      </w:r>
      <w:r>
        <w:t>a</w:t>
      </w:r>
      <w:r>
        <w:t>ciones no gubernamentales sobre la situación de las mujeres y las niñas en los Estados partes declarantes. Durante ese período, la labor del Comité indica clar</w:t>
      </w:r>
      <w:r>
        <w:t>a</w:t>
      </w:r>
      <w:r>
        <w:t>mente que la situación de la infancia, y en especial de las niñas, sólo se puede mejorar si se respetan y pr</w:t>
      </w:r>
      <w:r>
        <w:t>o</w:t>
      </w:r>
      <w:r>
        <w:t>mueven los derechos humanos de la mujer y se garant</w:t>
      </w:r>
      <w:r>
        <w:t>i</w:t>
      </w:r>
      <w:r>
        <w:t>za su potenciación y su protección contra la discrim</w:t>
      </w:r>
      <w:r>
        <w:t>i</w:t>
      </w:r>
      <w:r>
        <w:t>nación y la violencia.</w:t>
      </w:r>
    </w:p>
    <w:p w:rsidR="00000000" w:rsidRDefault="00000000">
      <w:pPr>
        <w:pStyle w:val="DualTxt"/>
        <w:numPr>
          <w:ilvl w:val="0"/>
          <w:numId w:val="183"/>
        </w:numPr>
        <w:tabs>
          <w:tab w:val="clear" w:pos="960"/>
          <w:tab w:val="left" w:pos="475"/>
          <w:tab w:val="left" w:pos="965"/>
          <w:tab w:val="left" w:pos="1440"/>
          <w:tab w:val="left" w:pos="1915"/>
          <w:tab w:val="left" w:pos="2405"/>
          <w:tab w:val="left" w:pos="2880"/>
          <w:tab w:val="left" w:pos="3355"/>
        </w:tabs>
        <w:rPr>
          <w:spacing w:val="2"/>
        </w:rPr>
      </w:pPr>
      <w:r>
        <w:rPr>
          <w:spacing w:val="2"/>
        </w:rPr>
        <w:t>La labor del Comité ha puesto de manifiesto que, en la mayor parte de los países, la discriminación de las niñas, así como la explotación y la exclusión económica y social de los niños en general, tiene su fundamento en unas leyes, políticas y prácticas que discriminan a la mujer y promueven estereotipos sobre la función y la responsabilidad de la mujer en la familia. A los niños, y especialmente a las niñas, se les suele negar el acceso a la educación, la salud y la nutrición durante la infancia y la adolescencia a causa de la arraigada discriminación que sufre la mujer en la familia y la comun</w:t>
      </w:r>
      <w:r>
        <w:rPr>
          <w:spacing w:val="2"/>
        </w:rPr>
        <w:t>i</w:t>
      </w:r>
      <w:r>
        <w:rPr>
          <w:spacing w:val="2"/>
        </w:rPr>
        <w:t>dad.</w:t>
      </w:r>
    </w:p>
    <w:p w:rsidR="00000000" w:rsidRDefault="00000000">
      <w:pPr>
        <w:pStyle w:val="DualTxt"/>
        <w:numPr>
          <w:ilvl w:val="0"/>
          <w:numId w:val="183"/>
        </w:numPr>
        <w:tabs>
          <w:tab w:val="clear" w:pos="960"/>
          <w:tab w:val="left" w:pos="475"/>
          <w:tab w:val="left" w:pos="965"/>
          <w:tab w:val="left" w:pos="1440"/>
          <w:tab w:val="left" w:pos="1915"/>
          <w:tab w:val="left" w:pos="2405"/>
          <w:tab w:val="left" w:pos="2880"/>
          <w:tab w:val="left" w:pos="3355"/>
        </w:tabs>
        <w:rPr>
          <w:spacing w:val="2"/>
        </w:rPr>
      </w:pPr>
      <w:r>
        <w:rPr>
          <w:spacing w:val="2"/>
        </w:rPr>
        <w:t>El matrimonio a edad temprana, los malos tratos y los abusos deshonestos en la familia y la comunidad, así como la forma contemporánea de esclavitud que repr</w:t>
      </w:r>
      <w:r>
        <w:rPr>
          <w:spacing w:val="2"/>
        </w:rPr>
        <w:t>e</w:t>
      </w:r>
      <w:r>
        <w:rPr>
          <w:spacing w:val="2"/>
        </w:rPr>
        <w:t>senta la explotación sexual comercial derivada de la trata de mujeres, se han revelado problemas generaliz</w:t>
      </w:r>
      <w:r>
        <w:rPr>
          <w:spacing w:val="2"/>
        </w:rPr>
        <w:t>a</w:t>
      </w:r>
      <w:r>
        <w:rPr>
          <w:spacing w:val="2"/>
        </w:rPr>
        <w:t>dos. Como consecuencia de ello, muchos países niegan a las niñas y las mujeres los derechos humanos reconoc</w:t>
      </w:r>
      <w:r>
        <w:rPr>
          <w:spacing w:val="2"/>
        </w:rPr>
        <w:t>i</w:t>
      </w:r>
      <w:r>
        <w:rPr>
          <w:spacing w:val="2"/>
        </w:rPr>
        <w:t>dos por la Convención sobre la eliminación de todas las formas de discriminación contra la mujer, la Convención sobre los Derechos del Niño y otros instrumentos inte</w:t>
      </w:r>
      <w:r>
        <w:rPr>
          <w:spacing w:val="2"/>
        </w:rPr>
        <w:t>r</w:t>
      </w:r>
      <w:r>
        <w:rPr>
          <w:spacing w:val="2"/>
        </w:rPr>
        <w:t>nacionales de derechos hum</w:t>
      </w:r>
      <w:r>
        <w:rPr>
          <w:spacing w:val="2"/>
        </w:rPr>
        <w:t>a</w:t>
      </w:r>
      <w:r>
        <w:rPr>
          <w:spacing w:val="2"/>
        </w:rPr>
        <w:t>nos.</w:t>
      </w:r>
    </w:p>
    <w:p w:rsidR="00000000" w:rsidRDefault="00000000">
      <w:pPr>
        <w:pStyle w:val="DualTxt"/>
        <w:numPr>
          <w:ilvl w:val="0"/>
          <w:numId w:val="183"/>
        </w:numPr>
        <w:tabs>
          <w:tab w:val="clear" w:pos="960"/>
          <w:tab w:val="left" w:pos="475"/>
          <w:tab w:val="left" w:pos="965"/>
          <w:tab w:val="left" w:pos="1440"/>
          <w:tab w:val="left" w:pos="1915"/>
          <w:tab w:val="left" w:pos="2405"/>
          <w:tab w:val="left" w:pos="2880"/>
          <w:tab w:val="left" w:pos="3355"/>
        </w:tabs>
      </w:pPr>
      <w:r>
        <w:t>El Comité ha observado con preocupación que prácticas sociales negativas que pueden estar legitim</w:t>
      </w:r>
      <w:r>
        <w:t>a</w:t>
      </w:r>
      <w:r>
        <w:t>das por los hábitos sociales, como la selección prenatal del sexo y el infanticidio, la mutilación genital femen</w:t>
      </w:r>
      <w:r>
        <w:t>i</w:t>
      </w:r>
      <w:r>
        <w:t>na, la dote, el pago de un precio por la novia o los d</w:t>
      </w:r>
      <w:r>
        <w:t>e</w:t>
      </w:r>
      <w:r>
        <w:t>litos de honor, entrañan para las niñas un riesgo de violencia y abuso antes del nacimiento y a lo largo de su infancia y adolescencia.</w:t>
      </w:r>
    </w:p>
    <w:p w:rsidR="00000000" w:rsidRDefault="00000000">
      <w:pPr>
        <w:pStyle w:val="DualTxt"/>
        <w:numPr>
          <w:ilvl w:val="0"/>
          <w:numId w:val="183"/>
        </w:numPr>
        <w:tabs>
          <w:tab w:val="clear" w:pos="960"/>
          <w:tab w:val="left" w:pos="475"/>
          <w:tab w:val="left" w:pos="965"/>
          <w:tab w:val="left" w:pos="1440"/>
          <w:tab w:val="left" w:pos="1915"/>
          <w:tab w:val="left" w:pos="2405"/>
          <w:tab w:val="left" w:pos="2880"/>
          <w:tab w:val="left" w:pos="3355"/>
        </w:tabs>
      </w:pPr>
      <w:r>
        <w:t>El Comité ha observado que el subdesarrollo y la pobreza que afectan a las zonas tanto rurales como u</w:t>
      </w:r>
      <w:r>
        <w:t>r</w:t>
      </w:r>
      <w:r>
        <w:t>banas de diversos países, junto con los valores sociales discriminatorios preponderantes, impiden a los niños en general, y a las niñas en particular, el acceso a la a</w:t>
      </w:r>
      <w:r>
        <w:t>l</w:t>
      </w:r>
      <w:r>
        <w:t>fabetización, privándoseles así de numerosas oportun</w:t>
      </w:r>
      <w:r>
        <w:t>i</w:t>
      </w:r>
      <w:r>
        <w:t>d</w:t>
      </w:r>
      <w:r>
        <w:t>a</w:t>
      </w:r>
      <w:r>
        <w:t>des en la vida.</w:t>
      </w:r>
    </w:p>
    <w:p w:rsidR="00000000" w:rsidRDefault="00000000">
      <w:pPr>
        <w:pStyle w:val="DualTxt"/>
        <w:numPr>
          <w:ilvl w:val="0"/>
          <w:numId w:val="183"/>
        </w:numPr>
        <w:tabs>
          <w:tab w:val="clear" w:pos="960"/>
          <w:tab w:val="left" w:pos="475"/>
          <w:tab w:val="left" w:pos="965"/>
          <w:tab w:val="left" w:pos="1440"/>
          <w:tab w:val="left" w:pos="1915"/>
          <w:tab w:val="left" w:pos="2405"/>
          <w:tab w:val="left" w:pos="2880"/>
          <w:tab w:val="left" w:pos="3355"/>
        </w:tabs>
      </w:pPr>
      <w:r>
        <w:t>En sus conclusiones finales, el Comité ha obse</w:t>
      </w:r>
      <w:r>
        <w:t>r</w:t>
      </w:r>
      <w:r>
        <w:t>vado que la mundialización ha tenido a menudo unos efectos económicos negativos para la mujer, lo que ha ahondado las disparidades económicas y ha aumentado tanto la participación de las niñas en el sector no e</w:t>
      </w:r>
      <w:r>
        <w:t>s</w:t>
      </w:r>
      <w:r>
        <w:t>tructurado como sus tasas de abandono escolar. El C</w:t>
      </w:r>
      <w:r>
        <w:t>o</w:t>
      </w:r>
      <w:r>
        <w:t>mité ha pedido a los Estados partes que adopten polít</w:t>
      </w:r>
      <w:r>
        <w:t>i</w:t>
      </w:r>
      <w:r>
        <w:t>cas y programas encaminados a reducir la pobreza y mejorar las condiciones ambientales y de vida de las mujeres y los niños, en particular de las niñas, y gara</w:t>
      </w:r>
      <w:r>
        <w:t>n</w:t>
      </w:r>
      <w:r>
        <w:t>ticen la igualdad de acceso a la educación en un perí</w:t>
      </w:r>
      <w:r>
        <w:t>o</w:t>
      </w:r>
      <w:r>
        <w:t>do de transform</w:t>
      </w:r>
      <w:r>
        <w:t>a</w:t>
      </w:r>
      <w:r>
        <w:t>ción económica.</w:t>
      </w:r>
    </w:p>
    <w:p w:rsidR="00000000" w:rsidRDefault="00000000">
      <w:pPr>
        <w:pStyle w:val="DualTxt"/>
        <w:numPr>
          <w:ilvl w:val="0"/>
          <w:numId w:val="183"/>
        </w:numPr>
        <w:tabs>
          <w:tab w:val="clear" w:pos="960"/>
          <w:tab w:val="left" w:pos="475"/>
          <w:tab w:val="left" w:pos="965"/>
          <w:tab w:val="left" w:pos="1440"/>
          <w:tab w:val="left" w:pos="1915"/>
          <w:tab w:val="left" w:pos="2405"/>
          <w:tab w:val="left" w:pos="2880"/>
          <w:tab w:val="left" w:pos="3355"/>
        </w:tabs>
      </w:pPr>
      <w:r>
        <w:t>El Comité también ha señalado que la legislación relativa a la nacionalidad y la inscripción de nac</w:t>
      </w:r>
      <w:r>
        <w:t>i</w:t>
      </w:r>
      <w:r>
        <w:t>mientos sigue siendo discriminatoria para la mujer en algunos países, lo que significa que a los niños se les niega la nacionalidad de la madre o un certificado de nacimiento no discriminat</w:t>
      </w:r>
      <w:r>
        <w:t>o</w:t>
      </w:r>
      <w:r>
        <w:t>rio.</w:t>
      </w:r>
    </w:p>
    <w:p w:rsidR="00000000" w:rsidRDefault="00000000">
      <w:pPr>
        <w:pStyle w:val="DualTxt"/>
        <w:numPr>
          <w:ilvl w:val="0"/>
          <w:numId w:val="183"/>
        </w:numPr>
        <w:tabs>
          <w:tab w:val="clear" w:pos="960"/>
          <w:tab w:val="left" w:pos="475"/>
          <w:tab w:val="left" w:pos="965"/>
          <w:tab w:val="left" w:pos="1440"/>
          <w:tab w:val="left" w:pos="1915"/>
          <w:tab w:val="left" w:pos="2405"/>
          <w:tab w:val="left" w:pos="2880"/>
          <w:tab w:val="left" w:pos="3355"/>
        </w:tabs>
      </w:pPr>
      <w:r>
        <w:t>Con frecuencia, el Comité ha afirmado en sus o</w:t>
      </w:r>
      <w:r>
        <w:t>b</w:t>
      </w:r>
      <w:r>
        <w:t>servaciones finales que una consecuencia de los co</w:t>
      </w:r>
      <w:r>
        <w:t>n</w:t>
      </w:r>
      <w:r>
        <w:t>flictos armados es la negación de los derechos humanos de mujeres y niñas, que corren en esas situaciones un alto riesgo de ser víctimas de la violencia en forma de vi</w:t>
      </w:r>
      <w:r>
        <w:t>o</w:t>
      </w:r>
      <w:r>
        <w:t>laciones, abusos deshonestos o trata de mujeres.</w:t>
      </w:r>
    </w:p>
    <w:p w:rsidR="00000000" w:rsidRDefault="00000000">
      <w:pPr>
        <w:pStyle w:val="DualTxt"/>
        <w:numPr>
          <w:ilvl w:val="0"/>
          <w:numId w:val="183"/>
        </w:numPr>
        <w:tabs>
          <w:tab w:val="clear" w:pos="960"/>
          <w:tab w:val="left" w:pos="475"/>
          <w:tab w:val="left" w:pos="965"/>
          <w:tab w:val="left" w:pos="1440"/>
          <w:tab w:val="left" w:pos="1915"/>
          <w:tab w:val="left" w:pos="2405"/>
          <w:tab w:val="left" w:pos="2880"/>
          <w:tab w:val="left" w:pos="3355"/>
        </w:tabs>
      </w:pPr>
      <w:r>
        <w:t>El Comité no ha cesado de insistir en el reparto de responsabilidades entre los padres y en la impo</w:t>
      </w:r>
      <w:r>
        <w:t>r</w:t>
      </w:r>
      <w:r>
        <w:t>tante función de los hombres en la prevención y elim</w:t>
      </w:r>
      <w:r>
        <w:t>i</w:t>
      </w:r>
      <w:r>
        <w:t>nación de la discriminación de la mujer, así como en el respeto y la promoción de los derechos humanos de la mujer y el niño.</w:t>
      </w:r>
    </w:p>
    <w:p w:rsidR="00000000" w:rsidRDefault="00000000">
      <w:pPr>
        <w:pStyle w:val="DualTxt"/>
        <w:numPr>
          <w:ilvl w:val="0"/>
          <w:numId w:val="183"/>
        </w:numPr>
        <w:tabs>
          <w:tab w:val="clear" w:pos="960"/>
          <w:tab w:val="left" w:pos="475"/>
          <w:tab w:val="left" w:pos="965"/>
          <w:tab w:val="left" w:pos="1440"/>
          <w:tab w:val="left" w:pos="1915"/>
          <w:tab w:val="left" w:pos="2405"/>
          <w:tab w:val="left" w:pos="2880"/>
          <w:tab w:val="left" w:pos="3355"/>
        </w:tabs>
      </w:pPr>
      <w:r>
        <w:t>En la labor del Comité, son numerosos los casos en que los grupos de mujeres y los defensores de su causa han aportado una contribución sustancial al logro de los derechos del niño al desarrollo y a la protección frente a la e</w:t>
      </w:r>
      <w:r>
        <w:t>x</w:t>
      </w:r>
      <w:r>
        <w:t>plotación y los malos tratos.</w:t>
      </w:r>
    </w:p>
    <w:p w:rsidR="00000000" w:rsidRDefault="00000000">
      <w:pPr>
        <w:pStyle w:val="DualTxt"/>
        <w:numPr>
          <w:ilvl w:val="0"/>
          <w:numId w:val="183"/>
        </w:numPr>
        <w:tabs>
          <w:tab w:val="clear" w:pos="960"/>
          <w:tab w:val="left" w:pos="475"/>
          <w:tab w:val="left" w:pos="965"/>
          <w:tab w:val="left" w:pos="1440"/>
          <w:tab w:val="left" w:pos="1915"/>
          <w:tab w:val="left" w:pos="2405"/>
          <w:tab w:val="left" w:pos="2880"/>
          <w:tab w:val="left" w:pos="3355"/>
        </w:tabs>
      </w:pPr>
      <w:r>
        <w:t>En su examen de los informes de varios Estados partes, el Comité ha observado que las sanciones ec</w:t>
      </w:r>
      <w:r>
        <w:t>o</w:t>
      </w:r>
      <w:r>
        <w:t>nómicas y los bloqueos afectan adversamente a las mujeres y las niñas y sus repercusiones socavan el adelanto de la mujer y su bienestar socioec</w:t>
      </w:r>
      <w:r>
        <w:t>o</w:t>
      </w:r>
      <w:r>
        <w:t>nómico.</w:t>
      </w:r>
    </w:p>
    <w:p w:rsidR="00000000" w:rsidRDefault="00000000">
      <w:pPr>
        <w:pStyle w:val="DualTxt"/>
        <w:numPr>
          <w:ilvl w:val="0"/>
          <w:numId w:val="183"/>
        </w:numPr>
        <w:tabs>
          <w:tab w:val="clear" w:pos="960"/>
          <w:tab w:val="left" w:pos="475"/>
          <w:tab w:val="left" w:pos="965"/>
          <w:tab w:val="left" w:pos="1440"/>
          <w:tab w:val="left" w:pos="1915"/>
          <w:tab w:val="left" w:pos="2405"/>
          <w:tab w:val="left" w:pos="2880"/>
          <w:tab w:val="left" w:pos="3355"/>
        </w:tabs>
      </w:pPr>
      <w:r>
        <w:t>Convencido de que el desarrollo humano sosten</w:t>
      </w:r>
      <w:r>
        <w:t>i</w:t>
      </w:r>
      <w:r>
        <w:t>ble y el interés superior del niño no se pueden alcanzar en ninguna sociedad sin una firme voluntad de garant</w:t>
      </w:r>
      <w:r>
        <w:t>i</w:t>
      </w:r>
      <w:r>
        <w:t>zar los derechos humanos de la mujer en general y de la niña en particular, el Comité propone que en el d</w:t>
      </w:r>
      <w:r>
        <w:t>o</w:t>
      </w:r>
      <w:r>
        <w:t>cumento final:</w:t>
      </w:r>
    </w:p>
    <w:p w:rsidR="00000000" w:rsidRDefault="00000000">
      <w:pPr>
        <w:pStyle w:val="DualTxt"/>
      </w:pPr>
      <w:r>
        <w:tab/>
        <w:t>a)</w:t>
      </w:r>
      <w:r>
        <w:tab/>
        <w:t>Se refuerce la perspectiva de género hacie</w:t>
      </w:r>
      <w:r>
        <w:t>n</w:t>
      </w:r>
      <w:r>
        <w:t>do referencia a la necesidad de eliminar la discrimin</w:t>
      </w:r>
      <w:r>
        <w:t>a</w:t>
      </w:r>
      <w:r>
        <w:t>ción de las niñas e integrando la Convención sobre la eliminación de todas las formas de discriminación contra la mujer, la Plataforma de Acción de Beijing, uno de cuyos principales ámbitos de interés es la pr</w:t>
      </w:r>
      <w:r>
        <w:t>o</w:t>
      </w:r>
      <w:r>
        <w:t>blemática de la niña, y el documento final del vigésimo tercer período extraordinario de sesiones de la Asa</w:t>
      </w:r>
      <w:r>
        <w:t>m</w:t>
      </w:r>
      <w:r>
        <w:t>blea General en las legislaciones, las políticas y los progr</w:t>
      </w:r>
      <w:r>
        <w:t>a</w:t>
      </w:r>
      <w:r>
        <w:t>mas;</w:t>
      </w:r>
    </w:p>
    <w:p w:rsidR="00000000" w:rsidRDefault="00000000">
      <w:pPr>
        <w:pStyle w:val="DualTxt"/>
      </w:pPr>
      <w:r>
        <w:tab/>
        <w:t>b)</w:t>
      </w:r>
      <w:r>
        <w:tab/>
        <w:t>Se incluyan referencias a los problemas e</w:t>
      </w:r>
      <w:r>
        <w:t>s</w:t>
      </w:r>
      <w:r>
        <w:t>pecíficos y críticos de la discriminación de la niña, así como las medidas necesarias para garantizarle un fut</w:t>
      </w:r>
      <w:r>
        <w:t>u</w:t>
      </w:r>
      <w:r>
        <w:t>ro mejor. Se debería prestar la debida atención al pr</w:t>
      </w:r>
      <w:r>
        <w:t>o</w:t>
      </w:r>
      <w:r>
        <w:t>blema de la violencia y la explotación de carácter s</w:t>
      </w:r>
      <w:r>
        <w:t>e</w:t>
      </w:r>
      <w:r>
        <w:t>xual en relación con la trata de blancas y el conflicto arm</w:t>
      </w:r>
      <w:r>
        <w:t>a</w:t>
      </w:r>
      <w:r>
        <w:t>do;</w:t>
      </w:r>
    </w:p>
    <w:p w:rsidR="00000000" w:rsidRDefault="00000000">
      <w:pPr>
        <w:pStyle w:val="DualTxt"/>
      </w:pPr>
      <w:r>
        <w:tab/>
        <w:t>c)</w:t>
      </w:r>
      <w:r>
        <w:tab/>
        <w:t>Se reconozca que la problemática de las adolescentes se inscribe en el ámbito de aplicación de la Convención sobre la eliminación de todas las formas de discrimin</w:t>
      </w:r>
      <w:r>
        <w:t>a</w:t>
      </w:r>
      <w:r>
        <w:t>ción contra la mujer;</w:t>
      </w:r>
    </w:p>
    <w:p w:rsidR="00000000" w:rsidRDefault="00000000">
      <w:pPr>
        <w:pStyle w:val="DualTxt"/>
      </w:pPr>
      <w:r>
        <w:tab/>
        <w:t>d)</w:t>
      </w:r>
      <w:r>
        <w:tab/>
        <w:t>Se haga referencia a las disposiciones de la Convención relativas a las adolescentes. En particular, se debería hacer alusión al acceso a la educación s</w:t>
      </w:r>
      <w:r>
        <w:t>e</w:t>
      </w:r>
      <w:r>
        <w:t>cundaria y a una adecuada asistencia sanitaria, inclu</w:t>
      </w:r>
      <w:r>
        <w:t>i</w:t>
      </w:r>
      <w:r>
        <w:t>das la salud reproductiva y la protección contra el VIH/SIDA, así como a la importancia de garantizar los derechos de participación de las niñas y su pleno acc</w:t>
      </w:r>
      <w:r>
        <w:t>e</w:t>
      </w:r>
      <w:r>
        <w:t>so a la información y la adopción de decisiones en los asuntos que sean de su incumbe</w:t>
      </w:r>
      <w:r>
        <w:t>n</w:t>
      </w:r>
      <w:r>
        <w:t>cia;</w:t>
      </w:r>
    </w:p>
    <w:p w:rsidR="00000000" w:rsidRDefault="00000000">
      <w:pPr>
        <w:pStyle w:val="DualTxt"/>
      </w:pPr>
      <w:r>
        <w:tab/>
        <w:t>e)</w:t>
      </w:r>
      <w:r>
        <w:tab/>
        <w:t>Se reconozca a los grupos de mujeres como importantes copartícipes en la consecución de los der</w:t>
      </w:r>
      <w:r>
        <w:t>e</w:t>
      </w:r>
      <w:r>
        <w:t>chos del niño;</w:t>
      </w:r>
    </w:p>
    <w:p w:rsidR="00000000" w:rsidRDefault="00000000">
      <w:pPr>
        <w:pStyle w:val="DualTxt"/>
      </w:pPr>
      <w:r>
        <w:tab/>
        <w:t>f)</w:t>
      </w:r>
      <w:r>
        <w:tab/>
        <w:t>Se aclare que la asignación de recursos debe tener en cuenta el género a fin de dar la prioridad ad</w:t>
      </w:r>
      <w:r>
        <w:t>e</w:t>
      </w:r>
      <w:r>
        <w:t>cuada al logro de un futuro mejor para la mujer y el n</w:t>
      </w:r>
      <w:r>
        <w:t>i</w:t>
      </w:r>
      <w:r>
        <w:t>ño en general, y para la niña en particular;</w:t>
      </w:r>
    </w:p>
    <w:p w:rsidR="00000000" w:rsidRDefault="00000000">
      <w:pPr>
        <w:pStyle w:val="DualTxt"/>
        <w:rPr>
          <w:spacing w:val="2"/>
        </w:rPr>
      </w:pPr>
      <w:r>
        <w:rPr>
          <w:spacing w:val="2"/>
        </w:rPr>
        <w:tab/>
        <w:t>g)</w:t>
      </w:r>
      <w:r>
        <w:rPr>
          <w:spacing w:val="2"/>
        </w:rPr>
        <w:tab/>
        <w:t>Se reconozca la conveniencia de elaborar políticas y programas específicos para evitar que los sistemas financiero y de comercio multilateral aumenten las diferencias basadas en el género o graven las cargas económicas que soportan las mujeres y las n</w:t>
      </w:r>
      <w:r>
        <w:rPr>
          <w:spacing w:val="2"/>
        </w:rPr>
        <w:t>i</w:t>
      </w:r>
      <w:r>
        <w:rPr>
          <w:spacing w:val="2"/>
        </w:rPr>
        <w:t>ñas.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Directrices en relación con los informes presentados por los órganos y organismos especializados de las Naciones Unidas</w:t>
      </w:r>
    </w:p>
    <w:p w:rsidR="00000000" w:rsidRDefault="00000000">
      <w:pPr>
        <w:pStyle w:val="DualTxt"/>
        <w:spacing w:after="0" w:line="120" w:lineRule="exact"/>
        <w:rPr>
          <w:sz w:val="10"/>
        </w:rPr>
      </w:pPr>
    </w:p>
    <w:p w:rsidR="00000000" w:rsidRDefault="00000000">
      <w:pPr>
        <w:pStyle w:val="DualTxt"/>
        <w:numPr>
          <w:ilvl w:val="0"/>
          <w:numId w:val="183"/>
        </w:numPr>
        <w:tabs>
          <w:tab w:val="clear" w:pos="960"/>
          <w:tab w:val="left" w:pos="475"/>
          <w:tab w:val="left" w:pos="965"/>
          <w:tab w:val="left" w:pos="1440"/>
          <w:tab w:val="left" w:pos="1915"/>
          <w:tab w:val="left" w:pos="2405"/>
          <w:tab w:val="left" w:pos="2880"/>
          <w:tab w:val="left" w:pos="3355"/>
        </w:tabs>
      </w:pPr>
      <w:r>
        <w:t>A juicio del Comité, es fundamental disponer de información específica sobre cada uno de los Estados partes cuyos informes sean objeto de examen en cada período de sesiones. Al recabar dicha información, se deben tener presentes las cuestiones y los puntos pla</w:t>
      </w:r>
      <w:r>
        <w:t>n</w:t>
      </w:r>
      <w:r>
        <w:t>teados a cada Estado parte por el grupo de trabajo ant</w:t>
      </w:r>
      <w:r>
        <w:t>e</w:t>
      </w:r>
      <w:r>
        <w:t>rior al período de sesiones del Comité y se deben cot</w:t>
      </w:r>
      <w:r>
        <w:t>e</w:t>
      </w:r>
      <w:r>
        <w:t>jar con los datos y las tendencias mundiales y region</w:t>
      </w:r>
      <w:r>
        <w:t>a</w:t>
      </w:r>
      <w:r>
        <w:t>les en la materia.</w:t>
      </w:r>
    </w:p>
    <w:p w:rsidR="00000000" w:rsidRDefault="00000000">
      <w:pPr>
        <w:pStyle w:val="DualTxt"/>
        <w:numPr>
          <w:ilvl w:val="0"/>
          <w:numId w:val="183"/>
        </w:numPr>
        <w:tabs>
          <w:tab w:val="clear" w:pos="960"/>
          <w:tab w:val="left" w:pos="475"/>
          <w:tab w:val="left" w:pos="965"/>
          <w:tab w:val="left" w:pos="1440"/>
          <w:tab w:val="left" w:pos="1915"/>
          <w:tab w:val="left" w:pos="2405"/>
          <w:tab w:val="left" w:pos="2880"/>
          <w:tab w:val="left" w:pos="3355"/>
        </w:tabs>
      </w:pPr>
      <w:r>
        <w:t>El Comité propone complementar esa inform</w:t>
      </w:r>
      <w:r>
        <w:t>a</w:t>
      </w:r>
      <w:r>
        <w:t>ción específica de cada país con datos adicionales rel</w:t>
      </w:r>
      <w:r>
        <w:t>a</w:t>
      </w:r>
      <w:r>
        <w:t>tivos a los programas del organismo en el país o la r</w:t>
      </w:r>
      <w:r>
        <w:t>e</w:t>
      </w:r>
      <w:r>
        <w:t>gión c</w:t>
      </w:r>
      <w:r>
        <w:t>o</w:t>
      </w:r>
      <w:r>
        <w:t>rrespondientes.</w:t>
      </w:r>
    </w:p>
    <w:p w:rsidR="00000000" w:rsidRDefault="00000000">
      <w:pPr>
        <w:pStyle w:val="DualTxt"/>
        <w:numPr>
          <w:ilvl w:val="0"/>
          <w:numId w:val="183"/>
        </w:numPr>
        <w:tabs>
          <w:tab w:val="clear" w:pos="960"/>
          <w:tab w:val="left" w:pos="475"/>
          <w:tab w:val="left" w:pos="965"/>
          <w:tab w:val="left" w:pos="1440"/>
          <w:tab w:val="left" w:pos="1915"/>
          <w:tab w:val="left" w:pos="2405"/>
          <w:tab w:val="left" w:pos="2880"/>
          <w:tab w:val="left" w:pos="3355"/>
        </w:tabs>
      </w:pPr>
      <w:r>
        <w:t>El Comité considera de gran utilidad los informes escritos que se le facilitan, cuyos contenidos son res</w:t>
      </w:r>
      <w:r>
        <w:t>u</w:t>
      </w:r>
      <w:r>
        <w:t>midos por el representante del órgano u organismo e</w:t>
      </w:r>
      <w:r>
        <w:t>s</w:t>
      </w:r>
      <w:r>
        <w:t>pecializado pertinente de las Naciones Unidas dura</w:t>
      </w:r>
      <w:r>
        <w:t>n</w:t>
      </w:r>
      <w:r>
        <w:t>te el breve tiempo que se le concede al efecto en la s</w:t>
      </w:r>
      <w:r>
        <w:t>e</w:t>
      </w:r>
      <w:r>
        <w:t>sión privada. En este contexto, la experiencia del C</w:t>
      </w:r>
      <w:r>
        <w:t>o</w:t>
      </w:r>
      <w:r>
        <w:t>mité indica que para sacar el máximo provecho de la información suministrada, es primordial que el órgano u organismo especializado esté representado por una persona capaz de responder a las eventuales preguntas y observaciones de los mie</w:t>
      </w:r>
      <w:r>
        <w:t>m</w:t>
      </w:r>
      <w:r>
        <w:t>bros del Comité.</w:t>
      </w:r>
    </w:p>
    <w:p w:rsidR="00000000" w:rsidRDefault="00000000">
      <w:pPr>
        <w:pStyle w:val="DualTxt"/>
        <w:numPr>
          <w:ilvl w:val="0"/>
          <w:numId w:val="183"/>
        </w:numPr>
        <w:tabs>
          <w:tab w:val="clear" w:pos="960"/>
          <w:tab w:val="left" w:pos="475"/>
          <w:tab w:val="left" w:pos="965"/>
          <w:tab w:val="left" w:pos="1440"/>
          <w:tab w:val="left" w:pos="1915"/>
          <w:tab w:val="left" w:pos="2405"/>
          <w:tab w:val="left" w:pos="2880"/>
          <w:tab w:val="left" w:pos="3355"/>
        </w:tabs>
      </w:pPr>
      <w:r>
        <w:t>Por último, en vista de la reciente entrada en v</w:t>
      </w:r>
      <w:r>
        <w:t>i</w:t>
      </w:r>
      <w:r>
        <w:t>gor del Protocolo Facultativo de la Convención, el Comité invita a los órganos y organismos especializ</w:t>
      </w:r>
      <w:r>
        <w:t>a</w:t>
      </w:r>
      <w:r>
        <w:t>dos de las Naciones Unidas a que, en la medida de lo posible, incluyan en sus informes datos sobre las med</w:t>
      </w:r>
      <w:r>
        <w:t>i</w:t>
      </w:r>
      <w:r>
        <w:t>das que se estén tomando en apoyo de la ratificación del Protocolo Facultat</w:t>
      </w:r>
      <w:r>
        <w:t>i</w:t>
      </w:r>
      <w:r>
        <w:t>vo.</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VIII</w:t>
      </w: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Programa provisional para el 26º período de sesiones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83"/>
        </w:numPr>
        <w:tabs>
          <w:tab w:val="clear" w:pos="960"/>
          <w:tab w:val="left" w:pos="475"/>
          <w:tab w:val="left" w:pos="965"/>
          <w:tab w:val="left" w:pos="1440"/>
          <w:tab w:val="left" w:pos="1915"/>
          <w:tab w:val="left" w:pos="2405"/>
          <w:tab w:val="left" w:pos="2880"/>
          <w:tab w:val="left" w:pos="3355"/>
        </w:tabs>
      </w:pPr>
      <w:r>
        <w:t>En su 528ª sesión, el Comité examinó el proyecto de programa provisional de su 26º período de sesiones (véase CEDAW/C/SR.528) y decidió aprobar el s</w:t>
      </w:r>
      <w:r>
        <w:t>i</w:t>
      </w:r>
      <w:r>
        <w:t>guiente programa pr</w:t>
      </w:r>
      <w:r>
        <w:t>o</w:t>
      </w:r>
      <w:r>
        <w:t>visional:</w:t>
      </w:r>
    </w:p>
    <w:p w:rsidR="00000000" w:rsidRDefault="00000000">
      <w:pPr>
        <w:pStyle w:val="DualTxt"/>
        <w:suppressAutoHyphens/>
        <w:jc w:val="left"/>
      </w:pPr>
      <w:r>
        <w:tab/>
        <w:t>1.</w:t>
      </w:r>
      <w:r>
        <w:tab/>
        <w:t>Apertura del período de sesi</w:t>
      </w:r>
      <w:r>
        <w:t>o</w:t>
      </w:r>
      <w:r>
        <w:t>nes.</w:t>
      </w:r>
    </w:p>
    <w:p w:rsidR="00000000" w:rsidRDefault="00000000">
      <w:pPr>
        <w:pStyle w:val="DualTxt"/>
        <w:suppressAutoHyphens/>
        <w:ind w:left="960" w:hanging="960"/>
        <w:jc w:val="left"/>
      </w:pPr>
      <w:r>
        <w:tab/>
        <w:t>2.</w:t>
      </w:r>
      <w:r>
        <w:tab/>
        <w:t>Aprobación del programa y organización de los trabajos.</w:t>
      </w:r>
    </w:p>
    <w:p w:rsidR="00000000" w:rsidRDefault="00000000">
      <w:pPr>
        <w:pStyle w:val="DualTxt"/>
        <w:suppressAutoHyphens/>
        <w:ind w:left="960" w:hanging="960"/>
        <w:jc w:val="left"/>
      </w:pPr>
      <w:r>
        <w:tab/>
        <w:t>3.</w:t>
      </w:r>
      <w:r>
        <w:tab/>
        <w:t>Informe de la Presidenta sobre las actividades realizadas entre los períodos de sesiones 25º y 26º del Comité.</w:t>
      </w:r>
    </w:p>
    <w:p w:rsidR="00000000" w:rsidRDefault="00000000">
      <w:pPr>
        <w:pStyle w:val="DualTxt"/>
        <w:suppressAutoHyphens/>
        <w:ind w:left="960" w:hanging="960"/>
        <w:jc w:val="left"/>
        <w:rPr>
          <w:spacing w:val="2"/>
        </w:rPr>
      </w:pPr>
      <w:r>
        <w:rPr>
          <w:spacing w:val="2"/>
        </w:rPr>
        <w:tab/>
        <w:t>4.</w:t>
      </w:r>
      <w:r>
        <w:rPr>
          <w:spacing w:val="2"/>
        </w:rPr>
        <w:tab/>
        <w:t>Examen de los informes presentados por los Estados partes con arreglo al artículo 18 de la Convención sobre la eliminación de todas las formas de discriminación contra la m</w:t>
      </w:r>
      <w:r>
        <w:rPr>
          <w:spacing w:val="2"/>
        </w:rPr>
        <w:t>u</w:t>
      </w:r>
      <w:r>
        <w:rPr>
          <w:spacing w:val="2"/>
        </w:rPr>
        <w:t>jer.</w:t>
      </w:r>
    </w:p>
    <w:p w:rsidR="00000000" w:rsidRDefault="00000000">
      <w:pPr>
        <w:pStyle w:val="DualTxt"/>
        <w:suppressAutoHyphens/>
        <w:ind w:left="960" w:hanging="960"/>
        <w:jc w:val="left"/>
      </w:pPr>
      <w:r>
        <w:tab/>
        <w:t>5.</w:t>
      </w:r>
      <w:r>
        <w:tab/>
        <w:t>Aplicación del artículo 21 de la Convención sobre la eliminación de todas las formas de discrimin</w:t>
      </w:r>
      <w:r>
        <w:t>a</w:t>
      </w:r>
      <w:r>
        <w:t>ción contra la mujer.</w:t>
      </w:r>
    </w:p>
    <w:p w:rsidR="00000000" w:rsidRDefault="00000000">
      <w:pPr>
        <w:pStyle w:val="DualTxt"/>
        <w:suppressAutoHyphens/>
        <w:jc w:val="left"/>
      </w:pPr>
      <w:r>
        <w:tab/>
        <w:t>6.</w:t>
      </w:r>
      <w:r>
        <w:tab/>
        <w:t>Medios de agilizar los trabajos del Comité.</w:t>
      </w:r>
    </w:p>
    <w:p w:rsidR="00000000" w:rsidRDefault="00000000">
      <w:pPr>
        <w:pStyle w:val="DualTxt"/>
        <w:suppressAutoHyphens/>
        <w:ind w:left="960" w:hanging="960"/>
        <w:jc w:val="left"/>
      </w:pPr>
      <w:r>
        <w:tab/>
        <w:t>7.</w:t>
      </w:r>
      <w:r>
        <w:tab/>
        <w:t>Programa provisional del 27º período de sesiones del Comité.</w:t>
      </w:r>
    </w:p>
    <w:p w:rsidR="00000000" w:rsidRDefault="00000000">
      <w:pPr>
        <w:pStyle w:val="DualTxt"/>
        <w:suppressAutoHyphens/>
        <w:ind w:left="960" w:hanging="960"/>
        <w:jc w:val="left"/>
      </w:pPr>
      <w:r>
        <w:tab/>
        <w:t>8.</w:t>
      </w:r>
      <w:r>
        <w:tab/>
        <w:t>Aprobación del informe del Comité sobre su 26º período de sesiones.</w:t>
      </w:r>
    </w:p>
    <w:p w:rsidR="00000000" w:rsidRDefault="00000000">
      <w:pPr>
        <w:pStyle w:val="DualTxt"/>
        <w:spacing w:after="0" w:line="120" w:lineRule="exact"/>
        <w:ind w:left="960" w:hanging="960"/>
        <w:rPr>
          <w:sz w:val="10"/>
        </w:rPr>
      </w:pPr>
    </w:p>
    <w:p w:rsidR="00000000" w:rsidRDefault="00000000">
      <w:pPr>
        <w:pStyle w:val="DualTxt"/>
        <w:spacing w:after="0" w:line="120" w:lineRule="exact"/>
        <w:ind w:left="960" w:hanging="960"/>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IX</w:t>
      </w: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Aprobación del informe</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DualTxt"/>
        <w:keepNext/>
        <w:keepLines/>
        <w:numPr>
          <w:ilvl w:val="0"/>
          <w:numId w:val="183"/>
        </w:numPr>
        <w:tabs>
          <w:tab w:val="clear" w:pos="960"/>
          <w:tab w:val="left" w:pos="475"/>
          <w:tab w:val="left" w:pos="965"/>
          <w:tab w:val="left" w:pos="1440"/>
          <w:tab w:val="left" w:pos="1915"/>
          <w:tab w:val="left" w:pos="2405"/>
          <w:tab w:val="left" w:pos="2880"/>
          <w:tab w:val="left" w:pos="3355"/>
        </w:tabs>
      </w:pPr>
      <w:r>
        <w:rPr>
          <w:spacing w:val="2"/>
        </w:rPr>
        <w:t xml:space="preserve">El Comité examinó el proyecto de informe sobre su 25º período de sesiones (CEDAW/C/2001/II/L.1 a 3 y </w:t>
      </w:r>
      <w:r>
        <w:t>CEDAW/C/2001/II/CRP.3 y Add.1 a 7) en su 258ª s</w:t>
      </w:r>
      <w:r>
        <w:t>e</w:t>
      </w:r>
      <w:r>
        <w:t>sión (véase CEDAW/C/SR.528) y lo aprobó en su fo</w:t>
      </w:r>
      <w:r>
        <w:t>r</w:t>
      </w:r>
      <w:r>
        <w:t>ma oralmente revisada durante el d</w:t>
      </w:r>
      <w:r>
        <w:t>e</w:t>
      </w:r>
      <w:r>
        <w:t>bate.</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EndnoteText"/>
        <w:tabs>
          <w:tab w:val="clear" w:pos="418"/>
        </w:tabs>
        <w:spacing w:after="240"/>
        <w:ind w:left="0" w:firstLine="0"/>
        <w:rPr>
          <w:i/>
          <w:sz w:val="20"/>
        </w:rPr>
      </w:pPr>
      <w:r>
        <w:rPr>
          <w:i/>
          <w:sz w:val="20"/>
        </w:rPr>
        <w:t>Notas</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1</w:t>
      </w:r>
      <w:r>
        <w:tab/>
        <w:t>Véase en el anexo VII la exposición sobre las consecuencias para el presupuesto por programas de la decisión, presentada de conformidad con el artículo 23 del reglamento del Comité.</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2</w:t>
      </w:r>
      <w:r>
        <w:tab/>
      </w:r>
      <w:r>
        <w:rPr>
          <w:i/>
        </w:rPr>
        <w:t>Documentos Oficiales de la Asamblea General, quincuagésimo cuarto período de sesiones, Suplemento No. 38</w:t>
      </w:r>
      <w:r>
        <w:t xml:space="preserve"> (A/54/38/Rev.1), cap. I, secc. A.</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3</w:t>
      </w:r>
      <w:r>
        <w:tab/>
      </w:r>
      <w:r>
        <w:rPr>
          <w:i/>
        </w:rPr>
        <w:t>Informe de la Cuarta Conferencia Mundial sobre la Mujer, Beijing, 4 a 15 de septiembre de 1995</w:t>
      </w:r>
      <w:r>
        <w:t xml:space="preserve"> (publicación de las Naciones Unidas, número de venta S.96.IV.13), cap. I, resolución 7, anexos I y II.</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4</w:t>
      </w:r>
      <w:r>
        <w:tab/>
        <w:t>Resolución S-23/3 de la Asamblea General, anexo.</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5</w:t>
      </w:r>
      <w:r>
        <w:tab/>
      </w:r>
      <w:r>
        <w:rPr>
          <w:i/>
        </w:rPr>
        <w:t>Documentos Oficiales de la Asamblea General cuadragésimo séptimo período de sesiones, Suplemento No. 38</w:t>
      </w:r>
      <w:r>
        <w:t xml:space="preserve"> (A/47/38), cap. I.</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6</w:t>
      </w:r>
      <w:r>
        <w:tab/>
        <w:t xml:space="preserve">Ibíd., </w:t>
      </w:r>
      <w:r>
        <w:rPr>
          <w:i/>
        </w:rPr>
        <w:t>cuadragésimo quinto período de sesiones, Suplemento No. 38</w:t>
      </w:r>
      <w:r>
        <w:t xml:space="preserve"> (A/45/38), párr. 438.</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7</w:t>
      </w:r>
      <w:r>
        <w:tab/>
        <w:t>Véase la primera parte del presente informe, párr. 366.</w:t>
      </w:r>
    </w:p>
    <w:p w:rsidR="00000000" w:rsidRDefault="00000000">
      <w:pPr>
        <w:pStyle w:val="DualTxt"/>
      </w:pPr>
    </w:p>
    <w:p w:rsidR="00000000" w:rsidRDefault="00000000">
      <w:pPr>
        <w:pStyle w:val="SingleTxt"/>
        <w:sectPr w:rsidR="00000000">
          <w:headerReference w:type="first" r:id="rId21"/>
          <w:footerReference w:type="first" r:id="rId22"/>
          <w:endnotePr>
            <w:numFmt w:val="decimal"/>
          </w:endnotePr>
          <w:type w:val="continuous"/>
          <w:pgSz w:w="12240" w:h="15840" w:code="1"/>
          <w:pgMar w:top="1742" w:right="1195" w:bottom="1898" w:left="1195" w:header="576" w:footer="1030" w:gutter="0"/>
          <w:cols w:num="2" w:space="240"/>
          <w:noEndnote/>
        </w:sect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Anexo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Reglamento del Comité para la Eliminación de la Discriminación 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260"/>
        <w:gridCol w:w="6210"/>
        <w:gridCol w:w="1620"/>
        <w:gridCol w:w="20"/>
        <w:gridCol w:w="792"/>
      </w:tblGrid>
      <w:tr w:rsidR="00000000">
        <w:tblPrEx>
          <w:tblCellMar>
            <w:top w:w="0" w:type="dxa"/>
            <w:left w:w="0" w:type="dxa"/>
            <w:bottom w:w="0" w:type="dxa"/>
            <w:right w:w="0" w:type="dxa"/>
          </w:tblCellMar>
        </w:tblPrEx>
        <w:tc>
          <w:tcPr>
            <w:tcW w:w="1260" w:type="dxa"/>
          </w:tcPr>
          <w:p w:rsidR="00000000" w:rsidRDefault="00000000">
            <w:pPr>
              <w:spacing w:after="120" w:line="240" w:lineRule="auto"/>
              <w:jc w:val="right"/>
              <w:rPr>
                <w:i/>
                <w:sz w:val="14"/>
              </w:rPr>
            </w:pPr>
            <w:r>
              <w:rPr>
                <w:i/>
                <w:sz w:val="14"/>
              </w:rPr>
              <w:t>Artículo</w:t>
            </w:r>
          </w:p>
        </w:tc>
        <w:tc>
          <w:tcPr>
            <w:tcW w:w="6210" w:type="dxa"/>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line="240" w:lineRule="auto"/>
            </w:pPr>
          </w:p>
        </w:tc>
        <w:tc>
          <w:tcPr>
            <w:tcW w:w="1620" w:type="dxa"/>
          </w:tcPr>
          <w:p w:rsidR="00000000" w:rsidRDefault="00000000">
            <w:pPr>
              <w:spacing w:after="120" w:line="240" w:lineRule="auto"/>
              <w:ind w:right="40"/>
              <w:jc w:val="right"/>
              <w:rPr>
                <w:i/>
                <w:sz w:val="14"/>
              </w:rPr>
            </w:pPr>
          </w:p>
        </w:tc>
        <w:tc>
          <w:tcPr>
            <w:tcW w:w="812" w:type="dxa"/>
            <w:gridSpan w:val="2"/>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090" w:type="dxa"/>
            <w:gridSpan w:val="3"/>
            <w:vAlign w:val="bottom"/>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before="40" w:after="40"/>
              <w:ind w:right="40"/>
              <w:rPr>
                <w:i/>
                <w:spacing w:val="60"/>
                <w:sz w:val="17"/>
              </w:rPr>
            </w:pPr>
            <w:r>
              <w:tab/>
            </w:r>
            <w:r>
              <w:tab/>
              <w:t>Primera parte</w:t>
            </w:r>
            <w:r>
              <w:br/>
            </w:r>
            <w:r>
              <w:tab/>
            </w:r>
            <w:r>
              <w:tab/>
              <w:t>Artículos de carácter general</w:t>
            </w:r>
          </w:p>
        </w:tc>
        <w:tc>
          <w:tcPr>
            <w:tcW w:w="812" w:type="dxa"/>
            <w:gridSpan w:val="2"/>
          </w:tcPr>
          <w:p w:rsidR="00000000" w:rsidRDefault="00000000">
            <w:pPr>
              <w:tabs>
                <w:tab w:val="right" w:pos="1080"/>
                <w:tab w:val="right" w:leader="dot" w:pos="9101"/>
              </w:tabs>
              <w:spacing w:before="40" w:after="40"/>
              <w:ind w:right="40"/>
              <w:jc w:val="right"/>
              <w:rPr>
                <w:spacing w:val="60"/>
                <w:sz w:val="17"/>
              </w:rPr>
            </w:pPr>
            <w:r>
              <w:rPr>
                <w:spacing w:val="60"/>
                <w:sz w:val="17"/>
              </w:rPr>
              <w:tab/>
            </w:r>
          </w:p>
        </w:tc>
      </w:tr>
      <w:tr w:rsidR="00000000">
        <w:tblPrEx>
          <w:tblCellMar>
            <w:top w:w="0" w:type="dxa"/>
            <w:left w:w="0" w:type="dxa"/>
            <w:bottom w:w="0" w:type="dxa"/>
            <w:right w:w="0" w:type="dxa"/>
          </w:tblCellMar>
        </w:tblPrEx>
        <w:trPr>
          <w:cantSplit/>
        </w:trPr>
        <w:tc>
          <w:tcPr>
            <w:tcW w:w="909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before="40" w:after="40"/>
              <w:rPr>
                <w:i/>
                <w:spacing w:val="60"/>
                <w:sz w:val="17"/>
              </w:rPr>
            </w:pPr>
            <w:r>
              <w:tab/>
              <w:t>I.</w:t>
            </w:r>
            <w:r>
              <w:tab/>
              <w:t>Período de sesiones</w:t>
            </w:r>
          </w:p>
        </w:tc>
        <w:tc>
          <w:tcPr>
            <w:tcW w:w="812" w:type="dxa"/>
            <w:gridSpan w:val="2"/>
          </w:tcPr>
          <w:p w:rsidR="00000000" w:rsidRDefault="00000000">
            <w:pPr>
              <w:spacing w:before="40" w:after="40"/>
              <w:ind w:right="40"/>
              <w:jc w:val="right"/>
            </w:pP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990"/>
                <w:tab w:val="left" w:pos="1296"/>
                <w:tab w:val="left" w:pos="1710"/>
                <w:tab w:val="left" w:pos="2160"/>
                <w:tab w:val="left" w:pos="2592"/>
                <w:tab w:val="left" w:pos="3024"/>
                <w:tab w:val="right" w:leader="dot" w:pos="9101"/>
              </w:tabs>
              <w:spacing w:before="40" w:after="40"/>
              <w:ind w:left="1836" w:hanging="540"/>
            </w:pPr>
            <w:r>
              <w:t>Períodos de sesiones</w:t>
            </w:r>
            <w:r>
              <w:rPr>
                <w:spacing w:val="60"/>
                <w:sz w:val="17"/>
              </w:rPr>
              <w:tab/>
            </w:r>
          </w:p>
        </w:tc>
        <w:tc>
          <w:tcPr>
            <w:tcW w:w="792" w:type="dxa"/>
            <w:vAlign w:val="bottom"/>
          </w:tcPr>
          <w:p w:rsidR="00000000" w:rsidRDefault="00000000">
            <w:pPr>
              <w:spacing w:before="40" w:after="40"/>
              <w:ind w:right="40"/>
              <w:jc w:val="right"/>
            </w:pPr>
            <w:r>
              <w:t>94</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right" w:leader="dot" w:pos="9101"/>
              </w:tabs>
              <w:spacing w:before="40" w:after="40"/>
              <w:ind w:left="1836" w:hanging="540"/>
            </w:pPr>
            <w:r>
              <w:t>Períodos ordinarios de sesiones</w:t>
            </w:r>
            <w:r>
              <w:rPr>
                <w:spacing w:val="60"/>
                <w:sz w:val="17"/>
              </w:rPr>
              <w:tab/>
            </w:r>
          </w:p>
        </w:tc>
        <w:tc>
          <w:tcPr>
            <w:tcW w:w="792" w:type="dxa"/>
            <w:vAlign w:val="bottom"/>
          </w:tcPr>
          <w:p w:rsidR="00000000" w:rsidRDefault="00000000">
            <w:pPr>
              <w:spacing w:before="40" w:after="40"/>
              <w:ind w:right="40"/>
              <w:jc w:val="right"/>
            </w:pPr>
            <w:r>
              <w:t>94</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right" w:leader="dot" w:pos="9101"/>
              </w:tabs>
              <w:spacing w:before="40" w:after="40"/>
              <w:ind w:left="1836" w:hanging="540"/>
            </w:pPr>
            <w:r>
              <w:t>Períodos extraordinarios de sesiones</w:t>
            </w:r>
            <w:r>
              <w:rPr>
                <w:spacing w:val="60"/>
                <w:sz w:val="17"/>
              </w:rPr>
              <w:tab/>
            </w:r>
          </w:p>
        </w:tc>
        <w:tc>
          <w:tcPr>
            <w:tcW w:w="792" w:type="dxa"/>
            <w:vAlign w:val="bottom"/>
          </w:tcPr>
          <w:p w:rsidR="00000000" w:rsidRDefault="00000000">
            <w:pPr>
              <w:spacing w:before="40" w:after="40"/>
              <w:ind w:right="40"/>
              <w:jc w:val="right"/>
            </w:pPr>
            <w:r>
              <w:t>94</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before="40" w:after="40"/>
              <w:ind w:left="1836" w:hanging="540"/>
            </w:pPr>
            <w:r>
              <w:t>Grupo de Trabajo anterior al período de sesiones</w:t>
            </w:r>
            <w:r>
              <w:rPr>
                <w:spacing w:val="60"/>
                <w:sz w:val="17"/>
              </w:rPr>
              <w:tab/>
            </w:r>
          </w:p>
        </w:tc>
        <w:tc>
          <w:tcPr>
            <w:tcW w:w="792" w:type="dxa"/>
            <w:vAlign w:val="bottom"/>
          </w:tcPr>
          <w:p w:rsidR="00000000" w:rsidRDefault="00000000">
            <w:pPr>
              <w:spacing w:before="40" w:after="40"/>
              <w:ind w:right="40"/>
              <w:jc w:val="right"/>
            </w:pPr>
            <w:r>
              <w:t>94</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before="40" w:after="40"/>
              <w:ind w:left="1836" w:hanging="540"/>
            </w:pPr>
            <w:r>
              <w:t>Lugar de celebración de los períodos de sesiones</w:t>
            </w:r>
            <w:r>
              <w:rPr>
                <w:spacing w:val="60"/>
                <w:sz w:val="17"/>
              </w:rPr>
              <w:tab/>
            </w:r>
          </w:p>
        </w:tc>
        <w:tc>
          <w:tcPr>
            <w:tcW w:w="792" w:type="dxa"/>
            <w:vAlign w:val="bottom"/>
          </w:tcPr>
          <w:p w:rsidR="00000000" w:rsidRDefault="00000000">
            <w:pPr>
              <w:spacing w:before="40" w:after="40"/>
              <w:ind w:right="40"/>
              <w:jc w:val="right"/>
            </w:pPr>
            <w:r>
              <w:t>95</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before="40" w:after="40"/>
              <w:ind w:left="1836" w:hanging="540"/>
            </w:pPr>
            <w:r>
              <w:t>Notificación de la fecha de apertura de los períodos de sesiones</w:t>
            </w:r>
          </w:p>
        </w:tc>
        <w:tc>
          <w:tcPr>
            <w:tcW w:w="792" w:type="dxa"/>
            <w:vAlign w:val="bottom"/>
          </w:tcPr>
          <w:p w:rsidR="00000000" w:rsidRDefault="00000000">
            <w:pPr>
              <w:spacing w:before="40" w:after="40"/>
              <w:ind w:right="40"/>
              <w:jc w:val="right"/>
            </w:pPr>
            <w:r>
              <w:t>95</w:t>
            </w:r>
          </w:p>
        </w:tc>
      </w:tr>
      <w:tr w:rsidR="00000000">
        <w:tblPrEx>
          <w:tblCellMar>
            <w:top w:w="0" w:type="dxa"/>
            <w:left w:w="0" w:type="dxa"/>
            <w:bottom w:w="0" w:type="dxa"/>
            <w:right w:w="0" w:type="dxa"/>
          </w:tblCellMar>
        </w:tblPrEx>
        <w:trPr>
          <w:cantSplit/>
        </w:trPr>
        <w:tc>
          <w:tcPr>
            <w:tcW w:w="9090" w:type="dxa"/>
            <w:gridSpan w:val="3"/>
          </w:tcPr>
          <w:p w:rsidR="00000000" w:rsidRDefault="00000000">
            <w:pPr>
              <w:tabs>
                <w:tab w:val="right" w:pos="1080"/>
                <w:tab w:val="left" w:pos="1296"/>
                <w:tab w:val="left" w:pos="1728"/>
                <w:tab w:val="right" w:leader="dot" w:pos="9101"/>
              </w:tabs>
              <w:spacing w:before="40" w:after="40"/>
              <w:rPr>
                <w:i/>
                <w:spacing w:val="60"/>
                <w:sz w:val="17"/>
              </w:rPr>
            </w:pPr>
            <w:r>
              <w:tab/>
              <w:t>II.</w:t>
            </w:r>
            <w:r>
              <w:tab/>
              <w:t>Programa</w:t>
            </w:r>
          </w:p>
        </w:tc>
        <w:tc>
          <w:tcPr>
            <w:tcW w:w="812" w:type="dxa"/>
            <w:gridSpan w:val="2"/>
          </w:tcPr>
          <w:p w:rsidR="00000000" w:rsidRDefault="00000000">
            <w:pPr>
              <w:spacing w:before="40" w:after="40"/>
              <w:ind w:right="40"/>
              <w:jc w:val="right"/>
            </w:pP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right" w:leader="dot" w:pos="9101"/>
              </w:tabs>
              <w:spacing w:before="40" w:after="40"/>
              <w:ind w:left="1602" w:hanging="306"/>
            </w:pPr>
            <w:r>
              <w:t>Programa provisional</w:t>
            </w:r>
            <w:r>
              <w:rPr>
                <w:spacing w:val="60"/>
                <w:sz w:val="17"/>
              </w:rPr>
              <w:tab/>
            </w:r>
          </w:p>
        </w:tc>
        <w:tc>
          <w:tcPr>
            <w:tcW w:w="792" w:type="dxa"/>
            <w:vAlign w:val="bottom"/>
          </w:tcPr>
          <w:p w:rsidR="00000000" w:rsidRDefault="00000000">
            <w:pPr>
              <w:spacing w:before="40" w:after="40"/>
              <w:ind w:right="40"/>
              <w:jc w:val="right"/>
            </w:pPr>
            <w:r>
              <w:t>95</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right" w:leader="dot" w:pos="9101"/>
              </w:tabs>
              <w:spacing w:before="40" w:after="40"/>
              <w:ind w:left="1602" w:hanging="306"/>
            </w:pPr>
            <w:r>
              <w:t>Transmisión del programa provisional</w:t>
            </w:r>
            <w:r>
              <w:rPr>
                <w:spacing w:val="60"/>
                <w:sz w:val="17"/>
              </w:rPr>
              <w:tab/>
            </w:r>
          </w:p>
        </w:tc>
        <w:tc>
          <w:tcPr>
            <w:tcW w:w="792" w:type="dxa"/>
            <w:vAlign w:val="bottom"/>
          </w:tcPr>
          <w:p w:rsidR="00000000" w:rsidRDefault="00000000">
            <w:pPr>
              <w:spacing w:before="40" w:after="40"/>
              <w:ind w:right="40"/>
              <w:jc w:val="right"/>
            </w:pPr>
            <w:r>
              <w:t>95</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right" w:leader="dot" w:pos="9101"/>
              </w:tabs>
              <w:spacing w:before="40" w:after="40"/>
              <w:ind w:left="1602" w:hanging="306"/>
            </w:pPr>
            <w:r>
              <w:t>Aprobación del programa</w:t>
            </w:r>
            <w:r>
              <w:rPr>
                <w:spacing w:val="60"/>
                <w:sz w:val="17"/>
              </w:rPr>
              <w:tab/>
            </w:r>
          </w:p>
        </w:tc>
        <w:tc>
          <w:tcPr>
            <w:tcW w:w="792" w:type="dxa"/>
            <w:vAlign w:val="bottom"/>
          </w:tcPr>
          <w:p w:rsidR="00000000" w:rsidRDefault="00000000">
            <w:pPr>
              <w:spacing w:before="40" w:after="40"/>
              <w:ind w:right="40"/>
              <w:jc w:val="right"/>
            </w:pPr>
            <w:r>
              <w:t>95</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right" w:leader="dot" w:pos="9101"/>
              </w:tabs>
              <w:spacing w:before="40" w:after="40"/>
              <w:ind w:left="1836" w:hanging="540"/>
            </w:pPr>
            <w:r>
              <w:t>Revisión del programa</w:t>
            </w:r>
            <w:r>
              <w:rPr>
                <w:spacing w:val="60"/>
                <w:sz w:val="17"/>
              </w:rPr>
              <w:tab/>
            </w:r>
          </w:p>
        </w:tc>
        <w:tc>
          <w:tcPr>
            <w:tcW w:w="792" w:type="dxa"/>
            <w:vAlign w:val="bottom"/>
          </w:tcPr>
          <w:p w:rsidR="00000000" w:rsidRDefault="00000000">
            <w:pPr>
              <w:spacing w:before="40" w:after="40"/>
              <w:ind w:right="40"/>
              <w:jc w:val="right"/>
            </w:pPr>
            <w:r>
              <w:t>96</w:t>
            </w:r>
          </w:p>
        </w:tc>
      </w:tr>
      <w:tr w:rsidR="00000000">
        <w:tblPrEx>
          <w:tblCellMar>
            <w:top w:w="0" w:type="dxa"/>
            <w:left w:w="0" w:type="dxa"/>
            <w:bottom w:w="0" w:type="dxa"/>
            <w:right w:w="0" w:type="dxa"/>
          </w:tblCellMar>
        </w:tblPrEx>
        <w:trPr>
          <w:cantSplit/>
        </w:trPr>
        <w:tc>
          <w:tcPr>
            <w:tcW w:w="9090" w:type="dxa"/>
            <w:gridSpan w:val="3"/>
          </w:tcPr>
          <w:p w:rsidR="00000000" w:rsidRDefault="00000000">
            <w:pPr>
              <w:tabs>
                <w:tab w:val="right" w:pos="1080"/>
                <w:tab w:val="left" w:pos="1296"/>
                <w:tab w:val="left" w:pos="1728"/>
                <w:tab w:val="left" w:pos="2160"/>
                <w:tab w:val="left" w:pos="2592"/>
                <w:tab w:val="left" w:pos="3024"/>
                <w:tab w:val="right" w:leader="dot" w:pos="9101"/>
              </w:tabs>
              <w:spacing w:before="40" w:after="40"/>
              <w:rPr>
                <w:i/>
                <w:spacing w:val="60"/>
                <w:sz w:val="17"/>
              </w:rPr>
            </w:pPr>
            <w:r>
              <w:tab/>
              <w:t>III.</w:t>
            </w:r>
            <w:r>
              <w:tab/>
              <w:t>Miembros del Comité</w:t>
            </w:r>
          </w:p>
        </w:tc>
        <w:tc>
          <w:tcPr>
            <w:tcW w:w="812" w:type="dxa"/>
            <w:gridSpan w:val="2"/>
          </w:tcPr>
          <w:p w:rsidR="00000000" w:rsidRDefault="00000000">
            <w:pPr>
              <w:spacing w:before="40" w:after="40"/>
              <w:ind w:right="40"/>
              <w:jc w:val="right"/>
            </w:pP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right" w:leader="dot" w:pos="9101"/>
              </w:tabs>
              <w:spacing w:before="40" w:after="40"/>
              <w:ind w:left="1836" w:hanging="540"/>
            </w:pPr>
            <w:r>
              <w:t>Miembros del Comité</w:t>
            </w:r>
            <w:r>
              <w:rPr>
                <w:spacing w:val="60"/>
                <w:sz w:val="17"/>
              </w:rPr>
              <w:tab/>
            </w:r>
          </w:p>
        </w:tc>
        <w:tc>
          <w:tcPr>
            <w:tcW w:w="792" w:type="dxa"/>
            <w:vAlign w:val="bottom"/>
          </w:tcPr>
          <w:p w:rsidR="00000000" w:rsidRDefault="00000000">
            <w:pPr>
              <w:spacing w:before="40" w:after="40"/>
              <w:ind w:right="40"/>
              <w:jc w:val="right"/>
            </w:pPr>
            <w:r>
              <w:t>96</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right" w:leader="dot" w:pos="9101"/>
              </w:tabs>
              <w:spacing w:before="40" w:after="40"/>
              <w:ind w:left="1836" w:hanging="540"/>
            </w:pPr>
            <w:r>
              <w:t>Mandato</w:t>
            </w:r>
            <w:r>
              <w:rPr>
                <w:spacing w:val="60"/>
                <w:sz w:val="17"/>
              </w:rPr>
              <w:tab/>
            </w:r>
          </w:p>
        </w:tc>
        <w:tc>
          <w:tcPr>
            <w:tcW w:w="792" w:type="dxa"/>
            <w:vAlign w:val="bottom"/>
          </w:tcPr>
          <w:p w:rsidR="00000000" w:rsidRDefault="00000000">
            <w:pPr>
              <w:spacing w:before="40" w:after="40"/>
              <w:ind w:right="40"/>
              <w:jc w:val="right"/>
            </w:pPr>
            <w:r>
              <w:t>96</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right" w:leader="dot" w:pos="9101"/>
              </w:tabs>
              <w:spacing w:before="40" w:after="40"/>
              <w:ind w:left="1836" w:hanging="540"/>
            </w:pPr>
            <w:r>
              <w:t>Vacantes imprevistas</w:t>
            </w:r>
            <w:r>
              <w:rPr>
                <w:spacing w:val="60"/>
                <w:sz w:val="17"/>
              </w:rPr>
              <w:tab/>
            </w:r>
          </w:p>
        </w:tc>
        <w:tc>
          <w:tcPr>
            <w:tcW w:w="792" w:type="dxa"/>
            <w:vAlign w:val="bottom"/>
          </w:tcPr>
          <w:p w:rsidR="00000000" w:rsidRDefault="00000000">
            <w:pPr>
              <w:spacing w:before="40" w:after="40"/>
              <w:ind w:right="40"/>
              <w:jc w:val="right"/>
            </w:pPr>
            <w:r>
              <w:t>96</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before="40" w:after="40"/>
              <w:ind w:left="1836" w:hanging="540"/>
            </w:pPr>
            <w:r>
              <w:t>Nombramientos para llenar vacantes imprevistas</w:t>
            </w:r>
            <w:r>
              <w:rPr>
                <w:spacing w:val="60"/>
                <w:sz w:val="17"/>
              </w:rPr>
              <w:tab/>
            </w:r>
          </w:p>
        </w:tc>
        <w:tc>
          <w:tcPr>
            <w:tcW w:w="792" w:type="dxa"/>
            <w:vAlign w:val="bottom"/>
          </w:tcPr>
          <w:p w:rsidR="00000000" w:rsidRDefault="00000000">
            <w:pPr>
              <w:spacing w:before="40" w:after="40"/>
              <w:ind w:right="40"/>
              <w:jc w:val="right"/>
            </w:pPr>
            <w:r>
              <w:t>97</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right" w:leader="dot" w:pos="9101"/>
              </w:tabs>
              <w:spacing w:before="40" w:after="40"/>
              <w:ind w:left="1836" w:hanging="540"/>
            </w:pPr>
            <w:r>
              <w:t>Declaración solemne</w:t>
            </w:r>
            <w:r>
              <w:rPr>
                <w:spacing w:val="60"/>
                <w:sz w:val="17"/>
              </w:rPr>
              <w:tab/>
            </w:r>
          </w:p>
        </w:tc>
        <w:tc>
          <w:tcPr>
            <w:tcW w:w="792" w:type="dxa"/>
            <w:vAlign w:val="bottom"/>
          </w:tcPr>
          <w:p w:rsidR="00000000" w:rsidRDefault="00000000">
            <w:pPr>
              <w:spacing w:before="40" w:after="40"/>
              <w:ind w:right="40"/>
              <w:jc w:val="right"/>
            </w:pPr>
            <w:r>
              <w:t>97</w:t>
            </w:r>
          </w:p>
        </w:tc>
      </w:tr>
      <w:tr w:rsidR="00000000">
        <w:tblPrEx>
          <w:tblCellMar>
            <w:top w:w="0" w:type="dxa"/>
            <w:left w:w="0" w:type="dxa"/>
            <w:bottom w:w="0" w:type="dxa"/>
            <w:right w:w="0" w:type="dxa"/>
          </w:tblCellMar>
        </w:tblPrEx>
        <w:trPr>
          <w:cantSplit/>
        </w:trPr>
        <w:tc>
          <w:tcPr>
            <w:tcW w:w="9090" w:type="dxa"/>
            <w:gridSpan w:val="3"/>
          </w:tcPr>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before="40" w:after="40"/>
              <w:rPr>
                <w:i/>
                <w:spacing w:val="60"/>
                <w:sz w:val="17"/>
              </w:rPr>
            </w:pPr>
            <w:r>
              <w:tab/>
              <w:t>IV.</w:t>
            </w:r>
            <w:r>
              <w:tab/>
              <w:t>Mesa del Comité</w:t>
            </w:r>
          </w:p>
        </w:tc>
        <w:tc>
          <w:tcPr>
            <w:tcW w:w="812" w:type="dxa"/>
            <w:gridSpan w:val="2"/>
          </w:tcPr>
          <w:p w:rsidR="00000000" w:rsidRDefault="00000000">
            <w:pPr>
              <w:spacing w:before="40" w:after="40"/>
              <w:ind w:right="40"/>
              <w:jc w:val="right"/>
            </w:pP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right" w:leader="dot" w:pos="9101"/>
              </w:tabs>
              <w:spacing w:before="40" w:after="40"/>
              <w:ind w:left="1836" w:hanging="540"/>
            </w:pPr>
            <w:r>
              <w:t>Elección de la Mesa del Comité</w:t>
            </w:r>
            <w:r>
              <w:rPr>
                <w:spacing w:val="60"/>
                <w:sz w:val="17"/>
              </w:rPr>
              <w:tab/>
            </w:r>
          </w:p>
        </w:tc>
        <w:tc>
          <w:tcPr>
            <w:tcW w:w="792" w:type="dxa"/>
            <w:vAlign w:val="bottom"/>
          </w:tcPr>
          <w:p w:rsidR="00000000" w:rsidRDefault="00000000">
            <w:pPr>
              <w:spacing w:before="40" w:after="40"/>
              <w:ind w:right="40"/>
              <w:jc w:val="right"/>
            </w:pPr>
            <w:r>
              <w:t>97</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right" w:leader="dot" w:pos="9101"/>
              </w:tabs>
              <w:spacing w:before="40" w:after="40"/>
              <w:ind w:left="1836" w:hanging="540"/>
            </w:pPr>
            <w:r>
              <w:t>Mandato</w:t>
            </w:r>
            <w:r>
              <w:rPr>
                <w:spacing w:val="60"/>
                <w:sz w:val="17"/>
              </w:rPr>
              <w:tab/>
            </w:r>
          </w:p>
        </w:tc>
        <w:tc>
          <w:tcPr>
            <w:tcW w:w="792" w:type="dxa"/>
            <w:vAlign w:val="bottom"/>
          </w:tcPr>
          <w:p w:rsidR="00000000" w:rsidRDefault="00000000">
            <w:pPr>
              <w:spacing w:before="40" w:after="40"/>
              <w:ind w:right="40"/>
              <w:jc w:val="right"/>
            </w:pPr>
            <w:r>
              <w:t>97</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right" w:leader="dot" w:pos="9101"/>
              </w:tabs>
              <w:spacing w:before="40" w:after="40"/>
              <w:ind w:left="1836" w:hanging="540"/>
            </w:pPr>
            <w:r>
              <w:t>Funciones del Presidente</w:t>
            </w:r>
            <w:r>
              <w:rPr>
                <w:spacing w:val="60"/>
                <w:sz w:val="17"/>
              </w:rPr>
              <w:tab/>
            </w:r>
          </w:p>
        </w:tc>
        <w:tc>
          <w:tcPr>
            <w:tcW w:w="792" w:type="dxa"/>
            <w:vAlign w:val="bottom"/>
          </w:tcPr>
          <w:p w:rsidR="00000000" w:rsidRDefault="00000000">
            <w:pPr>
              <w:spacing w:before="40" w:after="40"/>
              <w:ind w:right="40"/>
              <w:jc w:val="right"/>
            </w:pPr>
            <w:r>
              <w:t>97</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before="40" w:after="40"/>
              <w:ind w:left="1836" w:hanging="540"/>
            </w:pPr>
            <w:r>
              <w:t>Ausencia del Presidente en las sesiones del Comité</w:t>
            </w:r>
            <w:r>
              <w:rPr>
                <w:spacing w:val="60"/>
                <w:sz w:val="17"/>
              </w:rPr>
              <w:tab/>
            </w:r>
          </w:p>
        </w:tc>
        <w:tc>
          <w:tcPr>
            <w:tcW w:w="792" w:type="dxa"/>
            <w:vAlign w:val="bottom"/>
          </w:tcPr>
          <w:p w:rsidR="00000000" w:rsidRDefault="00000000">
            <w:pPr>
              <w:spacing w:before="40" w:after="40"/>
              <w:ind w:right="40"/>
              <w:jc w:val="right"/>
            </w:pPr>
            <w:r>
              <w:t>98</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right" w:leader="dot" w:pos="9101"/>
              </w:tabs>
              <w:spacing w:before="40" w:after="40"/>
              <w:ind w:left="1836" w:hanging="540"/>
            </w:pPr>
            <w:r>
              <w:t>Sustitución de los miembros de la Mesa</w:t>
            </w:r>
            <w:r>
              <w:rPr>
                <w:spacing w:val="60"/>
                <w:sz w:val="17"/>
              </w:rPr>
              <w:tab/>
            </w:r>
          </w:p>
        </w:tc>
        <w:tc>
          <w:tcPr>
            <w:tcW w:w="792" w:type="dxa"/>
            <w:vAlign w:val="bottom"/>
          </w:tcPr>
          <w:p w:rsidR="00000000" w:rsidRDefault="00000000">
            <w:pPr>
              <w:spacing w:before="40" w:after="40"/>
              <w:ind w:right="40"/>
              <w:jc w:val="right"/>
            </w:pPr>
            <w:r>
              <w:t>98</w:t>
            </w:r>
          </w:p>
        </w:tc>
      </w:tr>
      <w:tr w:rsidR="00000000">
        <w:tblPrEx>
          <w:tblCellMar>
            <w:top w:w="0" w:type="dxa"/>
            <w:left w:w="0" w:type="dxa"/>
            <w:bottom w:w="0" w:type="dxa"/>
            <w:right w:w="0" w:type="dxa"/>
          </w:tblCellMar>
        </w:tblPrEx>
        <w:trPr>
          <w:cantSplit/>
        </w:trPr>
        <w:tc>
          <w:tcPr>
            <w:tcW w:w="9090" w:type="dxa"/>
            <w:gridSpan w:val="3"/>
          </w:tcPr>
          <w:p w:rsidR="00000000" w:rsidRDefault="00000000">
            <w:pPr>
              <w:tabs>
                <w:tab w:val="right" w:pos="1080"/>
                <w:tab w:val="left" w:pos="1296"/>
                <w:tab w:val="left" w:pos="1728"/>
                <w:tab w:val="left" w:pos="2160"/>
                <w:tab w:val="right" w:leader="dot" w:pos="9101"/>
              </w:tabs>
              <w:spacing w:before="40" w:after="40"/>
              <w:ind w:right="40"/>
              <w:rPr>
                <w:i/>
                <w:spacing w:val="60"/>
                <w:sz w:val="17"/>
              </w:rPr>
            </w:pPr>
            <w:r>
              <w:tab/>
              <w:t>V.</w:t>
            </w:r>
            <w:r>
              <w:tab/>
              <w:t>Secretaría</w:t>
            </w:r>
            <w:r>
              <w:rPr>
                <w:spacing w:val="60"/>
                <w:sz w:val="17"/>
              </w:rPr>
              <w:tab/>
            </w:r>
          </w:p>
        </w:tc>
        <w:tc>
          <w:tcPr>
            <w:tcW w:w="812" w:type="dxa"/>
            <w:gridSpan w:val="2"/>
          </w:tcPr>
          <w:p w:rsidR="00000000" w:rsidRDefault="00000000">
            <w:pPr>
              <w:spacing w:before="40" w:after="40"/>
              <w:ind w:right="40"/>
              <w:jc w:val="right"/>
            </w:pP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right" w:leader="dot" w:pos="9101"/>
              </w:tabs>
              <w:spacing w:before="40" w:after="40"/>
              <w:ind w:left="1836" w:hanging="540"/>
            </w:pPr>
            <w:r>
              <w:t>Obligaciones del Secretario General</w:t>
            </w:r>
            <w:r>
              <w:rPr>
                <w:spacing w:val="60"/>
                <w:sz w:val="17"/>
              </w:rPr>
              <w:tab/>
            </w:r>
          </w:p>
        </w:tc>
        <w:tc>
          <w:tcPr>
            <w:tcW w:w="792" w:type="dxa"/>
            <w:vAlign w:val="bottom"/>
          </w:tcPr>
          <w:p w:rsidR="00000000" w:rsidRDefault="00000000">
            <w:pPr>
              <w:spacing w:before="40" w:after="40"/>
              <w:ind w:right="40"/>
              <w:jc w:val="right"/>
            </w:pPr>
            <w:r>
              <w:t>98</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right" w:leader="dot" w:pos="9101"/>
              </w:tabs>
              <w:spacing w:before="40" w:after="40"/>
              <w:ind w:left="1836" w:hanging="540"/>
            </w:pPr>
            <w:r>
              <w:t>Declaraciones</w:t>
            </w:r>
            <w:r>
              <w:rPr>
                <w:spacing w:val="60"/>
                <w:sz w:val="17"/>
              </w:rPr>
              <w:tab/>
            </w:r>
          </w:p>
        </w:tc>
        <w:tc>
          <w:tcPr>
            <w:tcW w:w="792" w:type="dxa"/>
            <w:vAlign w:val="bottom"/>
          </w:tcPr>
          <w:p w:rsidR="00000000" w:rsidRDefault="00000000">
            <w:pPr>
              <w:spacing w:before="40" w:after="40"/>
              <w:ind w:right="40"/>
              <w:jc w:val="right"/>
            </w:pPr>
            <w:r>
              <w:t>98</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right" w:leader="dot" w:pos="9101"/>
              </w:tabs>
              <w:spacing w:before="40" w:after="40"/>
              <w:ind w:left="1836" w:hanging="540"/>
            </w:pPr>
            <w:r>
              <w:t>Consecuencias financieras</w:t>
            </w:r>
            <w:r>
              <w:rPr>
                <w:spacing w:val="60"/>
                <w:sz w:val="17"/>
              </w:rPr>
              <w:tab/>
            </w:r>
          </w:p>
        </w:tc>
        <w:tc>
          <w:tcPr>
            <w:tcW w:w="792" w:type="dxa"/>
            <w:vAlign w:val="bottom"/>
          </w:tcPr>
          <w:p w:rsidR="00000000" w:rsidRDefault="00000000">
            <w:pPr>
              <w:spacing w:before="40" w:after="40"/>
              <w:ind w:right="40"/>
              <w:jc w:val="right"/>
            </w:pPr>
            <w:r>
              <w:t>99</w:t>
            </w:r>
          </w:p>
        </w:tc>
      </w:tr>
      <w:tr w:rsidR="00000000">
        <w:tblPrEx>
          <w:tblCellMar>
            <w:top w:w="0" w:type="dxa"/>
            <w:left w:w="0" w:type="dxa"/>
            <w:bottom w:w="0" w:type="dxa"/>
            <w:right w:w="0" w:type="dxa"/>
          </w:tblCellMar>
        </w:tblPrEx>
        <w:trPr>
          <w:cantSplit/>
        </w:trPr>
        <w:tc>
          <w:tcPr>
            <w:tcW w:w="9090" w:type="dxa"/>
            <w:gridSpan w:val="3"/>
          </w:tcPr>
          <w:p w:rsidR="00000000" w:rsidRDefault="00000000">
            <w:pPr>
              <w:tabs>
                <w:tab w:val="right" w:pos="1080"/>
                <w:tab w:val="left" w:pos="1296"/>
                <w:tab w:val="left" w:pos="1728"/>
                <w:tab w:val="left" w:pos="2160"/>
                <w:tab w:val="right" w:leader="dot" w:pos="9101"/>
              </w:tabs>
              <w:spacing w:before="40" w:after="40"/>
              <w:ind w:right="40"/>
              <w:rPr>
                <w:i/>
                <w:spacing w:val="60"/>
                <w:sz w:val="17"/>
              </w:rPr>
            </w:pPr>
            <w:r>
              <w:tab/>
              <w:t>VI.</w:t>
            </w:r>
            <w:r>
              <w:tab/>
              <w:t>Idiomas</w:t>
            </w:r>
            <w:r>
              <w:rPr>
                <w:spacing w:val="60"/>
                <w:sz w:val="17"/>
              </w:rPr>
              <w:tab/>
            </w:r>
          </w:p>
        </w:tc>
        <w:tc>
          <w:tcPr>
            <w:tcW w:w="812" w:type="dxa"/>
            <w:gridSpan w:val="2"/>
          </w:tcPr>
          <w:p w:rsidR="00000000" w:rsidRDefault="00000000">
            <w:pPr>
              <w:spacing w:before="40" w:after="40"/>
              <w:ind w:right="40"/>
              <w:jc w:val="right"/>
            </w:pP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right" w:leader="dot" w:pos="9101"/>
              </w:tabs>
              <w:spacing w:before="40" w:after="40"/>
              <w:ind w:left="1836" w:hanging="540"/>
            </w:pPr>
            <w:r>
              <w:t>Idiomas oficiales</w:t>
            </w:r>
            <w:r>
              <w:rPr>
                <w:spacing w:val="60"/>
                <w:sz w:val="17"/>
              </w:rPr>
              <w:tab/>
            </w:r>
          </w:p>
        </w:tc>
        <w:tc>
          <w:tcPr>
            <w:tcW w:w="792" w:type="dxa"/>
            <w:vAlign w:val="bottom"/>
          </w:tcPr>
          <w:p w:rsidR="00000000" w:rsidRDefault="00000000">
            <w:pPr>
              <w:spacing w:before="40" w:after="40"/>
              <w:ind w:right="40"/>
              <w:jc w:val="right"/>
            </w:pPr>
            <w:r>
              <w:t>99</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right" w:leader="dot" w:pos="9101"/>
              </w:tabs>
              <w:spacing w:before="40" w:after="40"/>
              <w:ind w:left="1836" w:hanging="540"/>
            </w:pPr>
            <w:r>
              <w:t>Interpretación</w:t>
            </w:r>
            <w:r>
              <w:rPr>
                <w:spacing w:val="60"/>
                <w:sz w:val="17"/>
              </w:rPr>
              <w:tab/>
            </w:r>
          </w:p>
        </w:tc>
        <w:tc>
          <w:tcPr>
            <w:tcW w:w="792" w:type="dxa"/>
            <w:vAlign w:val="bottom"/>
          </w:tcPr>
          <w:p w:rsidR="00000000" w:rsidRDefault="00000000">
            <w:pPr>
              <w:spacing w:before="40" w:after="40"/>
              <w:ind w:right="40"/>
              <w:jc w:val="right"/>
            </w:pPr>
            <w:r>
              <w:t>99</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right" w:leader="dot" w:pos="9101"/>
              </w:tabs>
              <w:spacing w:before="40" w:after="40"/>
              <w:ind w:left="1836" w:hanging="540"/>
            </w:pPr>
            <w:r>
              <w:t>Idiomas de los documentos</w:t>
            </w:r>
            <w:r>
              <w:rPr>
                <w:spacing w:val="60"/>
                <w:sz w:val="17"/>
              </w:rPr>
              <w:tab/>
            </w:r>
          </w:p>
        </w:tc>
        <w:tc>
          <w:tcPr>
            <w:tcW w:w="792" w:type="dxa"/>
            <w:vAlign w:val="bottom"/>
          </w:tcPr>
          <w:p w:rsidR="00000000" w:rsidRDefault="00000000">
            <w:pPr>
              <w:spacing w:before="40" w:after="40"/>
              <w:ind w:right="40"/>
              <w:jc w:val="right"/>
            </w:pPr>
            <w:r>
              <w:t>99</w:t>
            </w:r>
          </w:p>
        </w:tc>
      </w:tr>
      <w:tr w:rsidR="00000000">
        <w:tblPrEx>
          <w:tblCellMar>
            <w:top w:w="0" w:type="dxa"/>
            <w:left w:w="0" w:type="dxa"/>
            <w:bottom w:w="0" w:type="dxa"/>
            <w:right w:w="0" w:type="dxa"/>
          </w:tblCellMar>
        </w:tblPrEx>
        <w:trPr>
          <w:cantSplit/>
        </w:trPr>
        <w:tc>
          <w:tcPr>
            <w:tcW w:w="9090" w:type="dxa"/>
            <w:gridSpan w:val="3"/>
          </w:tcPr>
          <w:p w:rsidR="00000000" w:rsidRDefault="00000000">
            <w:pPr>
              <w:tabs>
                <w:tab w:val="right" w:pos="1080"/>
                <w:tab w:val="left" w:pos="1296"/>
                <w:tab w:val="left" w:pos="1728"/>
                <w:tab w:val="left" w:pos="2160"/>
                <w:tab w:val="right" w:leader="dot" w:pos="9101"/>
              </w:tabs>
              <w:spacing w:before="40" w:after="40"/>
              <w:ind w:right="40"/>
              <w:rPr>
                <w:i/>
                <w:spacing w:val="60"/>
                <w:sz w:val="17"/>
              </w:rPr>
            </w:pPr>
            <w:r>
              <w:tab/>
              <w:t>VII.</w:t>
            </w:r>
            <w:r>
              <w:tab/>
              <w:t>Actas</w:t>
            </w:r>
            <w:r>
              <w:rPr>
                <w:spacing w:val="60"/>
                <w:sz w:val="17"/>
              </w:rPr>
              <w:tab/>
            </w:r>
          </w:p>
        </w:tc>
        <w:tc>
          <w:tcPr>
            <w:tcW w:w="812" w:type="dxa"/>
            <w:gridSpan w:val="2"/>
          </w:tcPr>
          <w:p w:rsidR="00000000" w:rsidRDefault="00000000">
            <w:pPr>
              <w:spacing w:before="40" w:after="40"/>
              <w:ind w:right="40"/>
              <w:jc w:val="right"/>
            </w:pP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right" w:leader="dot" w:pos="9101"/>
              </w:tabs>
              <w:spacing w:before="40" w:after="40"/>
              <w:ind w:left="1836" w:hanging="540"/>
            </w:pPr>
            <w:r>
              <w:t>Actas</w:t>
            </w:r>
            <w:r>
              <w:rPr>
                <w:spacing w:val="60"/>
                <w:sz w:val="17"/>
              </w:rPr>
              <w:tab/>
            </w:r>
          </w:p>
        </w:tc>
        <w:tc>
          <w:tcPr>
            <w:tcW w:w="792" w:type="dxa"/>
            <w:vAlign w:val="bottom"/>
          </w:tcPr>
          <w:p w:rsidR="00000000" w:rsidRDefault="00000000">
            <w:pPr>
              <w:spacing w:before="40" w:after="40"/>
              <w:ind w:right="40"/>
              <w:jc w:val="right"/>
            </w:pPr>
            <w:r>
              <w:t>99</w:t>
            </w:r>
          </w:p>
        </w:tc>
      </w:tr>
      <w:tr w:rsidR="00000000">
        <w:tblPrEx>
          <w:tblCellMar>
            <w:top w:w="0" w:type="dxa"/>
            <w:left w:w="0" w:type="dxa"/>
            <w:bottom w:w="0" w:type="dxa"/>
            <w:right w:w="0" w:type="dxa"/>
          </w:tblCellMar>
        </w:tblPrEx>
        <w:trPr>
          <w:cantSplit/>
        </w:trPr>
        <w:tc>
          <w:tcPr>
            <w:tcW w:w="9090" w:type="dxa"/>
            <w:gridSpan w:val="3"/>
          </w:tcPr>
          <w:p w:rsidR="00000000" w:rsidRDefault="00000000">
            <w:pPr>
              <w:tabs>
                <w:tab w:val="right" w:pos="1080"/>
                <w:tab w:val="left" w:pos="1296"/>
                <w:tab w:val="left" w:pos="1728"/>
                <w:tab w:val="left" w:pos="2160"/>
                <w:tab w:val="left" w:pos="2592"/>
                <w:tab w:val="left" w:pos="3024"/>
                <w:tab w:val="right" w:leader="dot" w:pos="9101"/>
              </w:tabs>
              <w:spacing w:before="40" w:after="40"/>
              <w:ind w:right="40"/>
              <w:rPr>
                <w:i/>
                <w:spacing w:val="60"/>
                <w:sz w:val="17"/>
              </w:rPr>
            </w:pPr>
            <w:r>
              <w:tab/>
              <w:t>VIII.</w:t>
            </w:r>
            <w:r>
              <w:tab/>
              <w:t>Dirección de los debates</w:t>
            </w:r>
          </w:p>
        </w:tc>
        <w:tc>
          <w:tcPr>
            <w:tcW w:w="812" w:type="dxa"/>
            <w:gridSpan w:val="2"/>
          </w:tcPr>
          <w:p w:rsidR="00000000" w:rsidRDefault="00000000">
            <w:pPr>
              <w:spacing w:before="40" w:after="40"/>
              <w:ind w:right="40"/>
              <w:jc w:val="right"/>
            </w:pP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right" w:leader="dot" w:pos="9101"/>
              </w:tabs>
              <w:spacing w:before="40" w:after="40"/>
              <w:ind w:left="1836" w:hanging="540"/>
            </w:pPr>
            <w:r>
              <w:t>Sesiones públicas y privadas</w:t>
            </w:r>
            <w:r>
              <w:rPr>
                <w:spacing w:val="60"/>
                <w:sz w:val="17"/>
              </w:rPr>
              <w:tab/>
            </w:r>
          </w:p>
        </w:tc>
        <w:tc>
          <w:tcPr>
            <w:tcW w:w="792" w:type="dxa"/>
            <w:vAlign w:val="bottom"/>
          </w:tcPr>
          <w:p w:rsidR="00000000" w:rsidRDefault="00000000">
            <w:pPr>
              <w:spacing w:before="40" w:after="40"/>
              <w:ind w:right="40"/>
              <w:jc w:val="right"/>
            </w:pPr>
            <w:r>
              <w:t>100</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right" w:leader="dot" w:pos="9101"/>
              </w:tabs>
              <w:spacing w:before="40" w:after="40"/>
              <w:ind w:left="1836" w:hanging="540"/>
            </w:pPr>
            <w:r>
              <w:t>Quórum</w:t>
            </w:r>
            <w:r>
              <w:rPr>
                <w:spacing w:val="60"/>
                <w:sz w:val="17"/>
              </w:rPr>
              <w:tab/>
            </w:r>
          </w:p>
        </w:tc>
        <w:tc>
          <w:tcPr>
            <w:tcW w:w="792" w:type="dxa"/>
            <w:vAlign w:val="bottom"/>
          </w:tcPr>
          <w:p w:rsidR="00000000" w:rsidRDefault="00000000">
            <w:pPr>
              <w:spacing w:before="40" w:after="40"/>
              <w:ind w:right="40"/>
              <w:jc w:val="right"/>
            </w:pPr>
            <w:r>
              <w:t>100</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right" w:leader="dot" w:pos="9101"/>
              </w:tabs>
              <w:spacing w:before="40" w:after="40"/>
              <w:ind w:left="1836" w:hanging="540"/>
            </w:pPr>
            <w:r>
              <w:t>Atribuciones del Presidente</w:t>
            </w:r>
            <w:r>
              <w:rPr>
                <w:spacing w:val="60"/>
                <w:sz w:val="17"/>
              </w:rPr>
              <w:tab/>
            </w:r>
          </w:p>
        </w:tc>
        <w:tc>
          <w:tcPr>
            <w:tcW w:w="792" w:type="dxa"/>
            <w:vAlign w:val="bottom"/>
          </w:tcPr>
          <w:p w:rsidR="00000000" w:rsidRDefault="00000000">
            <w:pPr>
              <w:spacing w:before="40" w:after="40"/>
              <w:ind w:right="40"/>
              <w:jc w:val="right"/>
            </w:pPr>
            <w:r>
              <w:t>100</w:t>
            </w:r>
          </w:p>
        </w:tc>
      </w:tr>
      <w:tr w:rsidR="00000000">
        <w:tblPrEx>
          <w:tblCellMar>
            <w:top w:w="0" w:type="dxa"/>
            <w:left w:w="0" w:type="dxa"/>
            <w:bottom w:w="0" w:type="dxa"/>
            <w:right w:w="0" w:type="dxa"/>
          </w:tblCellMar>
        </w:tblPrEx>
        <w:trPr>
          <w:cantSplit/>
        </w:trPr>
        <w:tc>
          <w:tcPr>
            <w:tcW w:w="9090" w:type="dxa"/>
            <w:gridSpan w:val="3"/>
          </w:tcPr>
          <w:p w:rsidR="00000000" w:rsidRDefault="00000000">
            <w:pPr>
              <w:tabs>
                <w:tab w:val="right" w:pos="1080"/>
                <w:tab w:val="left" w:pos="1296"/>
                <w:tab w:val="left" w:pos="1728"/>
                <w:tab w:val="left" w:pos="2160"/>
                <w:tab w:val="right" w:leader="dot" w:pos="9101"/>
              </w:tabs>
              <w:spacing w:before="40" w:after="40"/>
              <w:ind w:right="40"/>
              <w:rPr>
                <w:i/>
                <w:spacing w:val="60"/>
                <w:sz w:val="17"/>
              </w:rPr>
            </w:pPr>
            <w:r>
              <w:tab/>
              <w:t>IX.</w:t>
            </w:r>
            <w:r>
              <w:tab/>
              <w:t>Votación</w:t>
            </w:r>
            <w:r>
              <w:rPr>
                <w:spacing w:val="60"/>
                <w:sz w:val="17"/>
              </w:rPr>
              <w:tab/>
            </w:r>
          </w:p>
        </w:tc>
        <w:tc>
          <w:tcPr>
            <w:tcW w:w="812" w:type="dxa"/>
            <w:gridSpan w:val="2"/>
          </w:tcPr>
          <w:p w:rsidR="00000000" w:rsidRDefault="00000000">
            <w:pPr>
              <w:spacing w:before="40" w:after="40"/>
              <w:ind w:right="40"/>
              <w:jc w:val="right"/>
            </w:pP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right" w:leader="dot" w:pos="9101"/>
              </w:tabs>
              <w:spacing w:before="40" w:after="40"/>
              <w:ind w:left="1836" w:hanging="540"/>
            </w:pPr>
            <w:r>
              <w:t>Adopción de decisiones</w:t>
            </w:r>
            <w:r>
              <w:rPr>
                <w:spacing w:val="60"/>
                <w:sz w:val="17"/>
              </w:rPr>
              <w:tab/>
            </w:r>
          </w:p>
        </w:tc>
        <w:tc>
          <w:tcPr>
            <w:tcW w:w="792" w:type="dxa"/>
            <w:vAlign w:val="bottom"/>
          </w:tcPr>
          <w:p w:rsidR="00000000" w:rsidRDefault="00000000">
            <w:pPr>
              <w:spacing w:before="40" w:after="40"/>
              <w:ind w:right="40"/>
              <w:jc w:val="right"/>
            </w:pPr>
            <w:r>
              <w:t>101</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right" w:leader="dot" w:pos="9101"/>
              </w:tabs>
              <w:spacing w:before="40" w:after="40"/>
              <w:ind w:left="1836" w:hanging="540"/>
            </w:pPr>
            <w:r>
              <w:t>Derecho de voto</w:t>
            </w:r>
            <w:r>
              <w:rPr>
                <w:spacing w:val="60"/>
                <w:sz w:val="17"/>
              </w:rPr>
              <w:tab/>
            </w:r>
          </w:p>
        </w:tc>
        <w:tc>
          <w:tcPr>
            <w:tcW w:w="792" w:type="dxa"/>
            <w:vAlign w:val="bottom"/>
          </w:tcPr>
          <w:p w:rsidR="00000000" w:rsidRDefault="00000000">
            <w:pPr>
              <w:spacing w:before="40" w:after="40"/>
              <w:ind w:right="40"/>
              <w:jc w:val="right"/>
            </w:pPr>
            <w:r>
              <w:t>101</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right" w:leader="dot" w:pos="9101"/>
              </w:tabs>
              <w:spacing w:before="40" w:after="40"/>
              <w:ind w:left="1836" w:hanging="540"/>
            </w:pPr>
            <w:r>
              <w:t>Empates</w:t>
            </w:r>
            <w:r>
              <w:rPr>
                <w:spacing w:val="60"/>
                <w:sz w:val="17"/>
              </w:rPr>
              <w:tab/>
            </w:r>
          </w:p>
        </w:tc>
        <w:tc>
          <w:tcPr>
            <w:tcW w:w="792" w:type="dxa"/>
            <w:vAlign w:val="bottom"/>
          </w:tcPr>
          <w:p w:rsidR="00000000" w:rsidRDefault="00000000">
            <w:pPr>
              <w:spacing w:before="40" w:after="40"/>
              <w:ind w:right="40"/>
              <w:jc w:val="right"/>
            </w:pPr>
            <w:r>
              <w:t>101</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right" w:leader="dot" w:pos="9101"/>
              </w:tabs>
              <w:spacing w:before="40" w:after="40"/>
              <w:ind w:left="1836" w:hanging="540"/>
            </w:pPr>
            <w:r>
              <w:t>Procedimiento de votación</w:t>
            </w:r>
            <w:r>
              <w:rPr>
                <w:spacing w:val="60"/>
                <w:sz w:val="17"/>
              </w:rPr>
              <w:tab/>
            </w:r>
          </w:p>
        </w:tc>
        <w:tc>
          <w:tcPr>
            <w:tcW w:w="792" w:type="dxa"/>
            <w:vAlign w:val="bottom"/>
          </w:tcPr>
          <w:p w:rsidR="00000000" w:rsidRDefault="00000000">
            <w:pPr>
              <w:spacing w:before="40" w:after="40"/>
              <w:ind w:right="40"/>
              <w:jc w:val="right"/>
            </w:pPr>
            <w:r>
              <w:t>101</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before="40" w:after="40"/>
              <w:ind w:left="1836" w:hanging="540"/>
            </w:pPr>
            <w:r>
              <w:t>Normas que deben observarse durante la votación y explicación de voto</w:t>
            </w:r>
            <w:r>
              <w:rPr>
                <w:spacing w:val="60"/>
                <w:sz w:val="17"/>
              </w:rPr>
              <w:tab/>
            </w:r>
          </w:p>
        </w:tc>
        <w:tc>
          <w:tcPr>
            <w:tcW w:w="792" w:type="dxa"/>
            <w:vAlign w:val="bottom"/>
          </w:tcPr>
          <w:p w:rsidR="00000000" w:rsidRDefault="00000000">
            <w:pPr>
              <w:spacing w:before="40" w:after="40"/>
              <w:ind w:right="40"/>
              <w:jc w:val="right"/>
            </w:pPr>
            <w:r>
              <w:t>101</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right" w:leader="dot" w:pos="9101"/>
              </w:tabs>
              <w:spacing w:before="40" w:after="40"/>
              <w:ind w:left="1836" w:hanging="540"/>
            </w:pPr>
            <w:r>
              <w:t>División de las propuestas</w:t>
            </w:r>
            <w:r>
              <w:rPr>
                <w:spacing w:val="60"/>
                <w:sz w:val="17"/>
              </w:rPr>
              <w:tab/>
            </w:r>
          </w:p>
        </w:tc>
        <w:tc>
          <w:tcPr>
            <w:tcW w:w="792" w:type="dxa"/>
            <w:vAlign w:val="bottom"/>
          </w:tcPr>
          <w:p w:rsidR="00000000" w:rsidRDefault="00000000">
            <w:pPr>
              <w:spacing w:before="40" w:after="40"/>
              <w:ind w:right="40"/>
              <w:jc w:val="right"/>
            </w:pPr>
            <w:r>
              <w:t>101</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right" w:leader="dot" w:pos="9101"/>
              </w:tabs>
              <w:spacing w:before="40" w:after="40"/>
              <w:ind w:left="1836" w:hanging="540"/>
            </w:pPr>
            <w:r>
              <w:t>Orden de votación de las enmiendas</w:t>
            </w:r>
            <w:r>
              <w:rPr>
                <w:spacing w:val="60"/>
                <w:sz w:val="17"/>
              </w:rPr>
              <w:tab/>
            </w:r>
          </w:p>
        </w:tc>
        <w:tc>
          <w:tcPr>
            <w:tcW w:w="792" w:type="dxa"/>
            <w:vAlign w:val="bottom"/>
          </w:tcPr>
          <w:p w:rsidR="00000000" w:rsidRDefault="00000000">
            <w:pPr>
              <w:spacing w:before="40" w:after="40"/>
              <w:ind w:right="40"/>
              <w:jc w:val="right"/>
            </w:pPr>
            <w:r>
              <w:t>102</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right" w:leader="dot" w:pos="9101"/>
              </w:tabs>
              <w:spacing w:before="40" w:after="40"/>
              <w:ind w:left="1836" w:hanging="540"/>
            </w:pPr>
            <w:r>
              <w:t>Orden de votación de las propuestas</w:t>
            </w:r>
            <w:r>
              <w:rPr>
                <w:spacing w:val="60"/>
                <w:sz w:val="17"/>
              </w:rPr>
              <w:tab/>
            </w:r>
          </w:p>
        </w:tc>
        <w:tc>
          <w:tcPr>
            <w:tcW w:w="792" w:type="dxa"/>
            <w:vAlign w:val="bottom"/>
          </w:tcPr>
          <w:p w:rsidR="00000000" w:rsidRDefault="00000000">
            <w:pPr>
              <w:spacing w:before="40" w:after="40"/>
              <w:ind w:right="40"/>
              <w:jc w:val="right"/>
            </w:pPr>
            <w:r>
              <w:t>102</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right" w:leader="dot" w:pos="9101"/>
              </w:tabs>
              <w:spacing w:before="40" w:after="40"/>
              <w:ind w:left="1836" w:hanging="540"/>
            </w:pPr>
            <w:r>
              <w:t>Procedimiento de elección</w:t>
            </w:r>
            <w:r>
              <w:rPr>
                <w:spacing w:val="60"/>
                <w:sz w:val="17"/>
              </w:rPr>
              <w:tab/>
            </w:r>
          </w:p>
        </w:tc>
        <w:tc>
          <w:tcPr>
            <w:tcW w:w="792" w:type="dxa"/>
            <w:vAlign w:val="bottom"/>
          </w:tcPr>
          <w:p w:rsidR="00000000" w:rsidRDefault="00000000">
            <w:pPr>
              <w:spacing w:before="40" w:after="40"/>
              <w:ind w:right="40"/>
              <w:jc w:val="right"/>
            </w:pPr>
            <w:r>
              <w:t>102</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before="40" w:after="40"/>
              <w:ind w:left="1836" w:hanging="540"/>
            </w:pPr>
            <w:r>
              <w:t>Normas que deben observarse durante las elecciones para llenar un puesto electivo</w:t>
            </w:r>
            <w:r>
              <w:rPr>
                <w:spacing w:val="60"/>
                <w:sz w:val="17"/>
              </w:rPr>
              <w:tab/>
            </w:r>
          </w:p>
        </w:tc>
        <w:tc>
          <w:tcPr>
            <w:tcW w:w="792" w:type="dxa"/>
            <w:vAlign w:val="bottom"/>
          </w:tcPr>
          <w:p w:rsidR="00000000" w:rsidRDefault="00000000">
            <w:pPr>
              <w:spacing w:before="40" w:after="40"/>
              <w:ind w:right="40"/>
              <w:jc w:val="right"/>
            </w:pPr>
            <w:r>
              <w:t>102</w:t>
            </w:r>
          </w:p>
        </w:tc>
      </w:tr>
      <w:tr w:rsidR="00000000">
        <w:tblPrEx>
          <w:tblCellMar>
            <w:top w:w="0" w:type="dxa"/>
            <w:left w:w="0" w:type="dxa"/>
            <w:bottom w:w="0" w:type="dxa"/>
            <w:right w:w="0" w:type="dxa"/>
          </w:tblCellMar>
        </w:tblPrEx>
        <w:trPr>
          <w:cantSplit/>
        </w:trPr>
        <w:tc>
          <w:tcPr>
            <w:tcW w:w="909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before="40" w:after="40"/>
              <w:ind w:left="950" w:right="40"/>
              <w:rPr>
                <w:i/>
                <w:spacing w:val="60"/>
                <w:sz w:val="17"/>
              </w:rPr>
            </w:pPr>
            <w:r>
              <w:tab/>
              <w:t>X.</w:t>
            </w:r>
            <w:r>
              <w:tab/>
              <w:t>Órganos subsidiarios</w:t>
            </w:r>
            <w:r>
              <w:rPr>
                <w:spacing w:val="60"/>
                <w:sz w:val="17"/>
              </w:rPr>
              <w:tab/>
            </w:r>
            <w:r>
              <w:rPr>
                <w:spacing w:val="60"/>
                <w:sz w:val="17"/>
              </w:rPr>
              <w:tab/>
            </w:r>
          </w:p>
        </w:tc>
        <w:tc>
          <w:tcPr>
            <w:tcW w:w="812" w:type="dxa"/>
            <w:gridSpan w:val="2"/>
          </w:tcPr>
          <w:p w:rsidR="00000000" w:rsidRDefault="00000000">
            <w:pPr>
              <w:spacing w:before="40" w:after="40"/>
              <w:ind w:right="40"/>
              <w:jc w:val="right"/>
            </w:pP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right" w:leader="dot" w:pos="9101"/>
              </w:tabs>
              <w:spacing w:before="40" w:after="40"/>
              <w:ind w:left="1836" w:hanging="540"/>
            </w:pPr>
            <w:r>
              <w:t>Órganos subsidiarios</w:t>
            </w:r>
            <w:r>
              <w:rPr>
                <w:spacing w:val="60"/>
                <w:sz w:val="17"/>
              </w:rPr>
              <w:tab/>
            </w:r>
          </w:p>
        </w:tc>
        <w:tc>
          <w:tcPr>
            <w:tcW w:w="792" w:type="dxa"/>
            <w:vAlign w:val="bottom"/>
          </w:tcPr>
          <w:p w:rsidR="00000000" w:rsidRDefault="00000000">
            <w:pPr>
              <w:spacing w:before="40" w:after="40"/>
              <w:ind w:right="40"/>
              <w:jc w:val="right"/>
            </w:pPr>
            <w:r>
              <w:t>103</w:t>
            </w:r>
          </w:p>
        </w:tc>
      </w:tr>
      <w:tr w:rsidR="00000000">
        <w:tblPrEx>
          <w:tblCellMar>
            <w:top w:w="0" w:type="dxa"/>
            <w:left w:w="0" w:type="dxa"/>
            <w:bottom w:w="0" w:type="dxa"/>
            <w:right w:w="0" w:type="dxa"/>
          </w:tblCellMar>
        </w:tblPrEx>
        <w:trPr>
          <w:cantSplit/>
        </w:trPr>
        <w:tc>
          <w:tcPr>
            <w:tcW w:w="909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before="40" w:after="40"/>
              <w:ind w:right="40"/>
              <w:rPr>
                <w:i/>
                <w:spacing w:val="60"/>
                <w:sz w:val="17"/>
              </w:rPr>
            </w:pPr>
            <w:r>
              <w:tab/>
              <w:t>XI.</w:t>
            </w:r>
            <w:r>
              <w:tab/>
              <w:t>Informe anual del Comité</w:t>
            </w:r>
            <w:r>
              <w:rPr>
                <w:spacing w:val="60"/>
                <w:sz w:val="17"/>
              </w:rPr>
              <w:tab/>
            </w:r>
            <w:r>
              <w:rPr>
                <w:spacing w:val="60"/>
                <w:sz w:val="17"/>
              </w:rPr>
              <w:tab/>
            </w:r>
          </w:p>
        </w:tc>
        <w:tc>
          <w:tcPr>
            <w:tcW w:w="812" w:type="dxa"/>
            <w:gridSpan w:val="2"/>
          </w:tcPr>
          <w:p w:rsidR="00000000" w:rsidRDefault="00000000">
            <w:pPr>
              <w:spacing w:before="40" w:after="40"/>
              <w:ind w:right="40"/>
              <w:jc w:val="right"/>
            </w:pP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right" w:leader="dot" w:pos="9101"/>
              </w:tabs>
              <w:spacing w:before="40" w:after="40"/>
              <w:ind w:left="1836" w:hanging="540"/>
            </w:pPr>
            <w:r>
              <w:t>Informe anual del Comité</w:t>
            </w:r>
            <w:r>
              <w:rPr>
                <w:spacing w:val="60"/>
                <w:sz w:val="17"/>
              </w:rPr>
              <w:tab/>
            </w:r>
          </w:p>
        </w:tc>
        <w:tc>
          <w:tcPr>
            <w:tcW w:w="792" w:type="dxa"/>
            <w:vAlign w:val="bottom"/>
          </w:tcPr>
          <w:p w:rsidR="00000000" w:rsidRDefault="00000000">
            <w:pPr>
              <w:spacing w:before="40" w:after="40"/>
              <w:ind w:right="40"/>
              <w:jc w:val="right"/>
            </w:pPr>
            <w:r>
              <w:t>103</w:t>
            </w:r>
          </w:p>
        </w:tc>
      </w:tr>
      <w:tr w:rsidR="00000000">
        <w:tblPrEx>
          <w:tblCellMar>
            <w:top w:w="0" w:type="dxa"/>
            <w:left w:w="0" w:type="dxa"/>
            <w:bottom w:w="0" w:type="dxa"/>
            <w:right w:w="0" w:type="dxa"/>
          </w:tblCellMar>
        </w:tblPrEx>
        <w:trPr>
          <w:cantSplit/>
        </w:trPr>
        <w:tc>
          <w:tcPr>
            <w:tcW w:w="9090" w:type="dxa"/>
            <w:gridSpan w:val="3"/>
          </w:tcPr>
          <w:p w:rsidR="00000000" w:rsidRDefault="00000000">
            <w:pPr>
              <w:tabs>
                <w:tab w:val="right" w:pos="1080"/>
                <w:tab w:val="left" w:pos="1296"/>
                <w:tab w:val="left" w:pos="1728"/>
                <w:tab w:val="left" w:pos="2160"/>
                <w:tab w:val="left" w:pos="2592"/>
                <w:tab w:val="left" w:pos="3024"/>
                <w:tab w:val="right" w:leader="dot" w:pos="9101"/>
              </w:tabs>
              <w:spacing w:before="40" w:after="40"/>
              <w:ind w:right="40"/>
              <w:rPr>
                <w:i/>
                <w:spacing w:val="60"/>
                <w:sz w:val="17"/>
              </w:rPr>
            </w:pPr>
            <w:r>
              <w:tab/>
              <w:t>XII.</w:t>
            </w:r>
            <w:r>
              <w:tab/>
              <w:t>Distribución de informes y otros documentos oficiales</w:t>
            </w:r>
          </w:p>
        </w:tc>
        <w:tc>
          <w:tcPr>
            <w:tcW w:w="812" w:type="dxa"/>
            <w:gridSpan w:val="2"/>
          </w:tcPr>
          <w:p w:rsidR="00000000" w:rsidRDefault="00000000">
            <w:pPr>
              <w:spacing w:before="40" w:after="40"/>
              <w:ind w:right="40"/>
              <w:jc w:val="right"/>
            </w:pP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right" w:leader="dot" w:pos="9101"/>
              </w:tabs>
              <w:spacing w:before="40" w:after="40"/>
              <w:ind w:left="1836" w:hanging="540"/>
            </w:pPr>
            <w:r>
              <w:t>Distribución de informes y otros documentos oficiales</w:t>
            </w:r>
            <w:r>
              <w:rPr>
                <w:spacing w:val="60"/>
                <w:sz w:val="17"/>
              </w:rPr>
              <w:tab/>
            </w:r>
          </w:p>
        </w:tc>
        <w:tc>
          <w:tcPr>
            <w:tcW w:w="792" w:type="dxa"/>
            <w:vAlign w:val="bottom"/>
          </w:tcPr>
          <w:p w:rsidR="00000000" w:rsidRDefault="00000000">
            <w:pPr>
              <w:spacing w:before="40" w:after="40"/>
              <w:ind w:right="40"/>
              <w:jc w:val="right"/>
            </w:pPr>
            <w:r>
              <w:t>103</w:t>
            </w:r>
          </w:p>
        </w:tc>
      </w:tr>
      <w:tr w:rsidR="00000000">
        <w:tblPrEx>
          <w:tblCellMar>
            <w:top w:w="0" w:type="dxa"/>
            <w:left w:w="0" w:type="dxa"/>
            <w:bottom w:w="0" w:type="dxa"/>
            <w:right w:w="0" w:type="dxa"/>
          </w:tblCellMar>
        </w:tblPrEx>
        <w:trPr>
          <w:cantSplit/>
        </w:trPr>
        <w:tc>
          <w:tcPr>
            <w:tcW w:w="909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before="40" w:after="40"/>
              <w:ind w:left="1296" w:right="40" w:hanging="1296"/>
              <w:rPr>
                <w:i/>
                <w:spacing w:val="60"/>
                <w:sz w:val="17"/>
              </w:rPr>
            </w:pPr>
            <w:r>
              <w:tab/>
              <w:t>XIII.</w:t>
            </w:r>
            <w:r>
              <w:tab/>
              <w:t>Participación de organismos especializados y órganos de las Naciones Unidas y organizaciones intergubernamentales y no gubernamentales</w:t>
            </w:r>
          </w:p>
        </w:tc>
        <w:tc>
          <w:tcPr>
            <w:tcW w:w="812" w:type="dxa"/>
            <w:gridSpan w:val="2"/>
          </w:tcPr>
          <w:p w:rsidR="00000000" w:rsidRDefault="00000000">
            <w:pPr>
              <w:keepNext/>
              <w:keepLines/>
              <w:spacing w:before="40" w:after="40"/>
              <w:ind w:right="40"/>
              <w:jc w:val="right"/>
            </w:pPr>
          </w:p>
        </w:tc>
      </w:tr>
      <w:tr w:rsidR="00000000">
        <w:tblPrEx>
          <w:tblCellMar>
            <w:top w:w="0" w:type="dxa"/>
            <w:left w:w="0" w:type="dxa"/>
            <w:bottom w:w="0" w:type="dxa"/>
            <w:right w:w="0" w:type="dxa"/>
          </w:tblCellMar>
        </w:tblPrEx>
        <w:trPr>
          <w:cantSplit/>
        </w:trPr>
        <w:tc>
          <w:tcPr>
            <w:tcW w:w="9090" w:type="dxa"/>
            <w:gridSpan w:val="3"/>
          </w:tcPr>
          <w:p w:rsidR="00000000" w:rsidRDefault="00000000">
            <w:pPr>
              <w:keepNext/>
              <w:keepLines/>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before="40" w:after="40"/>
              <w:ind w:left="1728" w:hanging="432"/>
            </w:pPr>
            <w:r>
              <w:t>Participación de organismos especializados y órganos de las Naciones Unidas y organizaciones intergubernamentales no gubernamentales</w:t>
            </w:r>
            <w:r>
              <w:rPr>
                <w:spacing w:val="60"/>
                <w:sz w:val="17"/>
              </w:rPr>
              <w:tab/>
            </w:r>
          </w:p>
        </w:tc>
        <w:tc>
          <w:tcPr>
            <w:tcW w:w="812" w:type="dxa"/>
            <w:gridSpan w:val="2"/>
          </w:tcPr>
          <w:p w:rsidR="00000000" w:rsidRDefault="00000000">
            <w:pPr>
              <w:keepNext/>
              <w:keepLines/>
              <w:spacing w:before="40" w:after="40"/>
              <w:ind w:right="40"/>
              <w:jc w:val="right"/>
            </w:pPr>
            <w:r>
              <w:t>103</w:t>
            </w:r>
          </w:p>
        </w:tc>
      </w:tr>
      <w:tr w:rsidR="00000000">
        <w:tblPrEx>
          <w:tblCellMar>
            <w:top w:w="0" w:type="dxa"/>
            <w:left w:w="0" w:type="dxa"/>
            <w:bottom w:w="0" w:type="dxa"/>
            <w:right w:w="0" w:type="dxa"/>
          </w:tblCellMar>
        </w:tblPrEx>
        <w:trPr>
          <w:cantSplit/>
        </w:trPr>
        <w:tc>
          <w:tcPr>
            <w:tcW w:w="9110" w:type="dxa"/>
            <w:gridSpan w:val="4"/>
          </w:tcPr>
          <w:p w:rsidR="00000000" w:rsidRDefault="00000000">
            <w:pPr>
              <w:keepNext/>
              <w:keepLines/>
              <w:numPr>
                <w:ilvl w:val="0"/>
                <w:numId w:val="195"/>
              </w:numPr>
              <w:tabs>
                <w:tab w:val="right" w:pos="1080"/>
                <w:tab w:val="left" w:pos="1296"/>
                <w:tab w:val="left" w:pos="1728"/>
                <w:tab w:val="left" w:pos="2160"/>
                <w:tab w:val="left" w:pos="2592"/>
                <w:tab w:val="left" w:pos="3024"/>
                <w:tab w:val="left" w:pos="3456"/>
                <w:tab w:val="right" w:leader="dot" w:pos="9101"/>
              </w:tabs>
              <w:spacing w:before="40" w:after="40"/>
              <w:ind w:left="1836" w:hanging="540"/>
            </w:pPr>
            <w:r>
              <w:t>Organismos especializados</w:t>
            </w:r>
            <w:r>
              <w:rPr>
                <w:spacing w:val="60"/>
                <w:sz w:val="17"/>
              </w:rPr>
              <w:tab/>
            </w:r>
          </w:p>
        </w:tc>
        <w:tc>
          <w:tcPr>
            <w:tcW w:w="792" w:type="dxa"/>
            <w:vAlign w:val="bottom"/>
          </w:tcPr>
          <w:p w:rsidR="00000000" w:rsidRDefault="00000000">
            <w:pPr>
              <w:spacing w:before="40" w:after="40"/>
              <w:ind w:right="40"/>
              <w:jc w:val="right"/>
            </w:pPr>
            <w:r>
              <w:t>104</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before="40" w:after="40"/>
              <w:ind w:left="1836" w:hanging="540"/>
            </w:pPr>
            <w:r>
              <w:t>Organizaciones intergubernamentales y órganos de las Naciones Unidas</w:t>
            </w:r>
            <w:r>
              <w:rPr>
                <w:spacing w:val="60"/>
                <w:sz w:val="17"/>
              </w:rPr>
              <w:tab/>
            </w:r>
          </w:p>
        </w:tc>
        <w:tc>
          <w:tcPr>
            <w:tcW w:w="792" w:type="dxa"/>
            <w:vAlign w:val="bottom"/>
          </w:tcPr>
          <w:p w:rsidR="00000000" w:rsidRDefault="00000000">
            <w:pPr>
              <w:spacing w:before="40" w:after="40"/>
              <w:ind w:right="40"/>
              <w:jc w:val="right"/>
            </w:pPr>
            <w:r>
              <w:t>104</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right" w:leader="dot" w:pos="9101"/>
              </w:tabs>
              <w:spacing w:before="40" w:after="40"/>
              <w:ind w:left="1836" w:hanging="540"/>
            </w:pPr>
            <w:r>
              <w:t>Organizaciones no gubernamentales</w:t>
            </w:r>
            <w:r>
              <w:rPr>
                <w:spacing w:val="60"/>
                <w:sz w:val="17"/>
              </w:rPr>
              <w:tab/>
            </w:r>
          </w:p>
        </w:tc>
        <w:tc>
          <w:tcPr>
            <w:tcW w:w="792" w:type="dxa"/>
            <w:vAlign w:val="bottom"/>
          </w:tcPr>
          <w:p w:rsidR="00000000" w:rsidRDefault="00000000">
            <w:pPr>
              <w:spacing w:before="40" w:after="40"/>
              <w:ind w:right="40"/>
              <w:jc w:val="right"/>
            </w:pPr>
            <w:r>
              <w:t>104</w:t>
            </w:r>
          </w:p>
        </w:tc>
      </w:tr>
      <w:tr w:rsidR="00000000">
        <w:tblPrEx>
          <w:tblCellMar>
            <w:top w:w="0" w:type="dxa"/>
            <w:left w:w="0" w:type="dxa"/>
            <w:bottom w:w="0" w:type="dxa"/>
            <w:right w:w="0" w:type="dxa"/>
          </w:tblCellMar>
        </w:tblPrEx>
        <w:trPr>
          <w:cantSplit/>
        </w:trPr>
        <w:tc>
          <w:tcPr>
            <w:tcW w:w="9090" w:type="dxa"/>
            <w:gridSpan w:val="3"/>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before="40" w:after="40"/>
              <w:ind w:right="40"/>
              <w:rPr>
                <w:i/>
                <w:spacing w:val="60"/>
                <w:sz w:val="17"/>
              </w:rPr>
            </w:pPr>
            <w:r>
              <w:tab/>
            </w:r>
            <w:r>
              <w:tab/>
              <w:t>Segunda parte</w:t>
            </w:r>
            <w:r>
              <w:br/>
            </w:r>
            <w:r>
              <w:tab/>
            </w:r>
            <w:r>
              <w:tab/>
              <w:t>Artículos relativos a las funciones del Comité</w:t>
            </w:r>
          </w:p>
        </w:tc>
        <w:tc>
          <w:tcPr>
            <w:tcW w:w="812" w:type="dxa"/>
            <w:gridSpan w:val="2"/>
          </w:tcPr>
          <w:p w:rsidR="00000000" w:rsidRDefault="00000000">
            <w:pPr>
              <w:spacing w:before="40" w:after="40"/>
              <w:ind w:right="40"/>
              <w:jc w:val="right"/>
              <w:rPr>
                <w:i/>
                <w:sz w:val="14"/>
              </w:rPr>
            </w:pPr>
          </w:p>
        </w:tc>
      </w:tr>
      <w:tr w:rsidR="00000000">
        <w:tblPrEx>
          <w:tblCellMar>
            <w:top w:w="0" w:type="dxa"/>
            <w:left w:w="0" w:type="dxa"/>
            <w:bottom w:w="0" w:type="dxa"/>
            <w:right w:w="0" w:type="dxa"/>
          </w:tblCellMar>
        </w:tblPrEx>
        <w:trPr>
          <w:cantSplit/>
        </w:trPr>
        <w:tc>
          <w:tcPr>
            <w:tcW w:w="9090" w:type="dxa"/>
            <w:gridSpan w:val="3"/>
          </w:tcPr>
          <w:p w:rsidR="00000000" w:rsidRDefault="00000000">
            <w:pPr>
              <w:tabs>
                <w:tab w:val="right" w:pos="1080"/>
                <w:tab w:val="left" w:pos="1296"/>
                <w:tab w:val="right" w:leader="dot" w:pos="9101"/>
              </w:tabs>
              <w:spacing w:before="40" w:after="40"/>
              <w:ind w:left="1296" w:right="40" w:hanging="1296"/>
              <w:rPr>
                <w:i/>
                <w:spacing w:val="60"/>
                <w:sz w:val="17"/>
              </w:rPr>
            </w:pPr>
            <w:r>
              <w:tab/>
              <w:t>XIV.</w:t>
            </w:r>
            <w:r>
              <w:tab/>
              <w:t>Informes presentados por los Estados partes de conformidad con el artículo 18 de la Convención</w:t>
            </w:r>
          </w:p>
        </w:tc>
        <w:tc>
          <w:tcPr>
            <w:tcW w:w="812" w:type="dxa"/>
            <w:gridSpan w:val="2"/>
          </w:tcPr>
          <w:p w:rsidR="00000000" w:rsidRDefault="00000000">
            <w:pPr>
              <w:spacing w:before="40" w:after="40"/>
              <w:ind w:right="40"/>
              <w:jc w:val="right"/>
            </w:pP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990"/>
                <w:tab w:val="left" w:pos="1296"/>
                <w:tab w:val="left" w:pos="1710"/>
                <w:tab w:val="left" w:pos="2160"/>
                <w:tab w:val="left" w:pos="2592"/>
                <w:tab w:val="left" w:pos="3024"/>
                <w:tab w:val="right" w:leader="dot" w:pos="9101"/>
              </w:tabs>
              <w:spacing w:before="40" w:after="40"/>
              <w:ind w:left="1836" w:hanging="540"/>
            </w:pPr>
            <w:r>
              <w:t>Presentación de informes de conformidad con el artículo 18 de la Convención</w:t>
            </w:r>
            <w:r>
              <w:rPr>
                <w:spacing w:val="60"/>
                <w:sz w:val="17"/>
              </w:rPr>
              <w:tab/>
            </w:r>
          </w:p>
        </w:tc>
        <w:tc>
          <w:tcPr>
            <w:tcW w:w="792" w:type="dxa"/>
            <w:vAlign w:val="bottom"/>
          </w:tcPr>
          <w:p w:rsidR="00000000" w:rsidRDefault="00000000">
            <w:pPr>
              <w:spacing w:before="40" w:after="40"/>
              <w:ind w:right="40"/>
              <w:jc w:val="right"/>
            </w:pPr>
            <w:r>
              <w:t>104</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before="40" w:after="40"/>
              <w:ind w:left="1836" w:hanging="540"/>
            </w:pPr>
            <w:r>
              <w:t>Casos en que los informes no se presentan o se presentan tarde</w:t>
            </w:r>
            <w:r>
              <w:rPr>
                <w:spacing w:val="60"/>
                <w:sz w:val="17"/>
              </w:rPr>
              <w:tab/>
            </w:r>
          </w:p>
        </w:tc>
        <w:tc>
          <w:tcPr>
            <w:tcW w:w="792" w:type="dxa"/>
            <w:vAlign w:val="bottom"/>
          </w:tcPr>
          <w:p w:rsidR="00000000" w:rsidRDefault="00000000">
            <w:pPr>
              <w:spacing w:before="40" w:after="40"/>
              <w:ind w:right="40"/>
              <w:jc w:val="right"/>
            </w:pPr>
            <w:r>
              <w:t>105</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right" w:leader="dot" w:pos="9101"/>
              </w:tabs>
              <w:spacing w:before="40" w:after="40"/>
              <w:ind w:left="1836" w:hanging="540"/>
            </w:pPr>
            <w:r>
              <w:t>Solicitudes de información adicional</w:t>
            </w:r>
            <w:r>
              <w:rPr>
                <w:spacing w:val="60"/>
                <w:sz w:val="17"/>
              </w:rPr>
              <w:tab/>
            </w:r>
          </w:p>
        </w:tc>
        <w:tc>
          <w:tcPr>
            <w:tcW w:w="792" w:type="dxa"/>
            <w:vAlign w:val="bottom"/>
          </w:tcPr>
          <w:p w:rsidR="00000000" w:rsidRDefault="00000000">
            <w:pPr>
              <w:spacing w:before="40" w:after="40"/>
              <w:ind w:right="40"/>
              <w:jc w:val="right"/>
            </w:pPr>
            <w:r>
              <w:t>105</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before="40" w:after="40"/>
              <w:ind w:left="1836" w:hanging="540"/>
            </w:pPr>
            <w:r>
              <w:t>Examen de los informes de los Estados partes</w:t>
            </w:r>
            <w:r>
              <w:rPr>
                <w:spacing w:val="60"/>
                <w:sz w:val="17"/>
              </w:rPr>
              <w:tab/>
            </w:r>
          </w:p>
        </w:tc>
        <w:tc>
          <w:tcPr>
            <w:tcW w:w="792" w:type="dxa"/>
            <w:vAlign w:val="bottom"/>
          </w:tcPr>
          <w:p w:rsidR="00000000" w:rsidRDefault="00000000">
            <w:pPr>
              <w:spacing w:before="40" w:after="40"/>
              <w:ind w:right="40"/>
              <w:jc w:val="right"/>
            </w:pPr>
            <w:r>
              <w:t>106</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before="40" w:after="40"/>
              <w:ind w:left="1836" w:hanging="540"/>
            </w:pPr>
            <w:r>
              <w:t>Sugerencias y recomendaciones de carácter general</w:t>
            </w:r>
            <w:r>
              <w:rPr>
                <w:spacing w:val="60"/>
                <w:sz w:val="17"/>
              </w:rPr>
              <w:tab/>
            </w:r>
          </w:p>
        </w:tc>
        <w:tc>
          <w:tcPr>
            <w:tcW w:w="792" w:type="dxa"/>
            <w:vAlign w:val="bottom"/>
          </w:tcPr>
          <w:p w:rsidR="00000000" w:rsidRDefault="00000000">
            <w:pPr>
              <w:spacing w:before="40" w:after="40"/>
              <w:ind w:right="40"/>
              <w:jc w:val="right"/>
            </w:pPr>
            <w:r>
              <w:t>106</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right" w:leader="dot" w:pos="9101"/>
              </w:tabs>
              <w:spacing w:before="40" w:after="40"/>
              <w:ind w:left="1836" w:hanging="540"/>
            </w:pPr>
            <w:r>
              <w:t>Observaciones finales</w:t>
            </w:r>
            <w:r>
              <w:rPr>
                <w:spacing w:val="60"/>
                <w:sz w:val="17"/>
              </w:rPr>
              <w:tab/>
            </w:r>
          </w:p>
        </w:tc>
        <w:tc>
          <w:tcPr>
            <w:tcW w:w="792" w:type="dxa"/>
            <w:vAlign w:val="bottom"/>
          </w:tcPr>
          <w:p w:rsidR="00000000" w:rsidRDefault="00000000">
            <w:pPr>
              <w:spacing w:before="40" w:after="40"/>
              <w:ind w:right="40"/>
              <w:jc w:val="right"/>
            </w:pPr>
            <w:r>
              <w:t>107</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before="40" w:after="40"/>
              <w:ind w:left="1836" w:hanging="540"/>
            </w:pPr>
            <w:r>
              <w:t>Métodos de trabajo para examinar los informes</w:t>
            </w:r>
            <w:r>
              <w:rPr>
                <w:spacing w:val="60"/>
                <w:sz w:val="17"/>
              </w:rPr>
              <w:tab/>
            </w:r>
          </w:p>
        </w:tc>
        <w:tc>
          <w:tcPr>
            <w:tcW w:w="792" w:type="dxa"/>
            <w:vAlign w:val="bottom"/>
          </w:tcPr>
          <w:p w:rsidR="00000000" w:rsidRDefault="00000000">
            <w:pPr>
              <w:spacing w:before="40" w:after="40"/>
              <w:ind w:right="40"/>
              <w:jc w:val="right"/>
            </w:pPr>
            <w:r>
              <w:t>107</w:t>
            </w:r>
          </w:p>
        </w:tc>
      </w:tr>
      <w:tr w:rsidR="00000000">
        <w:tblPrEx>
          <w:tblCellMar>
            <w:top w:w="0" w:type="dxa"/>
            <w:left w:w="0" w:type="dxa"/>
            <w:bottom w:w="0" w:type="dxa"/>
            <w:right w:w="0" w:type="dxa"/>
          </w:tblCellMar>
        </w:tblPrEx>
        <w:trPr>
          <w:cantSplit/>
        </w:trPr>
        <w:tc>
          <w:tcPr>
            <w:tcW w:w="9090" w:type="dxa"/>
            <w:gridSpan w:val="3"/>
            <w:vAlign w:val="bottom"/>
          </w:tcPr>
          <w:p w:rsidR="00000000" w:rsidRDefault="00000000">
            <w:pPr>
              <w:tabs>
                <w:tab w:val="right" w:pos="1080"/>
                <w:tab w:val="left" w:pos="1296"/>
                <w:tab w:val="right" w:leader="dot" w:pos="8122"/>
              </w:tabs>
              <w:spacing w:before="40" w:after="40"/>
              <w:ind w:right="40"/>
              <w:rPr>
                <w:i/>
                <w:spacing w:val="60"/>
                <w:sz w:val="17"/>
              </w:rPr>
            </w:pPr>
            <w:r>
              <w:tab/>
              <w:t>XV.</w:t>
            </w:r>
            <w:r>
              <w:tab/>
              <w:t>Debate general</w:t>
            </w:r>
          </w:p>
        </w:tc>
        <w:tc>
          <w:tcPr>
            <w:tcW w:w="812" w:type="dxa"/>
            <w:gridSpan w:val="2"/>
          </w:tcPr>
          <w:p w:rsidR="00000000" w:rsidRDefault="00000000">
            <w:pPr>
              <w:spacing w:before="40" w:after="40"/>
              <w:ind w:right="40"/>
              <w:jc w:val="right"/>
            </w:pP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right" w:leader="dot" w:pos="9101"/>
              </w:tabs>
              <w:spacing w:before="40" w:after="40"/>
              <w:ind w:left="1836" w:hanging="540"/>
            </w:pPr>
            <w:r>
              <w:t>Debate general</w:t>
            </w:r>
            <w:r>
              <w:rPr>
                <w:spacing w:val="60"/>
                <w:sz w:val="17"/>
              </w:rPr>
              <w:tab/>
            </w:r>
          </w:p>
        </w:tc>
        <w:tc>
          <w:tcPr>
            <w:tcW w:w="792" w:type="dxa"/>
            <w:vAlign w:val="bottom"/>
          </w:tcPr>
          <w:p w:rsidR="00000000" w:rsidRDefault="00000000">
            <w:pPr>
              <w:spacing w:before="40" w:after="40"/>
              <w:ind w:right="40"/>
              <w:jc w:val="right"/>
            </w:pPr>
            <w:r>
              <w:t>107</w:t>
            </w:r>
          </w:p>
        </w:tc>
      </w:tr>
      <w:tr w:rsidR="00000000">
        <w:tblPrEx>
          <w:tblCellMar>
            <w:top w:w="0" w:type="dxa"/>
            <w:left w:w="0" w:type="dxa"/>
            <w:bottom w:w="0" w:type="dxa"/>
            <w:right w:w="0" w:type="dxa"/>
          </w:tblCellMar>
        </w:tblPrEx>
        <w:trPr>
          <w:cantSplit/>
        </w:trPr>
        <w:tc>
          <w:tcPr>
            <w:tcW w:w="9090" w:type="dxa"/>
            <w:gridSpan w:val="3"/>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before="40" w:after="40"/>
              <w:ind w:left="1296" w:right="40" w:hanging="1296"/>
              <w:rPr>
                <w:i/>
                <w:spacing w:val="60"/>
                <w:sz w:val="17"/>
              </w:rPr>
            </w:pPr>
            <w:r>
              <w:tab/>
            </w:r>
            <w:r>
              <w:tab/>
              <w:t>Tercera parte</w:t>
            </w:r>
            <w:r>
              <w:br/>
              <w:t>Reglamento para el Protocolo Facultativo de la Convención sobre la eliminación de todas las formas de discriminación contra la mujer</w:t>
            </w:r>
          </w:p>
        </w:tc>
        <w:tc>
          <w:tcPr>
            <w:tcW w:w="812" w:type="dxa"/>
            <w:gridSpan w:val="2"/>
          </w:tcPr>
          <w:p w:rsidR="00000000" w:rsidRDefault="00000000">
            <w:pPr>
              <w:spacing w:before="40" w:after="40"/>
              <w:ind w:right="40"/>
              <w:jc w:val="right"/>
              <w:rPr>
                <w:i/>
                <w:sz w:val="14"/>
              </w:rPr>
            </w:pPr>
          </w:p>
        </w:tc>
      </w:tr>
      <w:tr w:rsidR="00000000">
        <w:tblPrEx>
          <w:tblCellMar>
            <w:top w:w="0" w:type="dxa"/>
            <w:left w:w="0" w:type="dxa"/>
            <w:bottom w:w="0" w:type="dxa"/>
            <w:right w:w="0" w:type="dxa"/>
          </w:tblCellMar>
        </w:tblPrEx>
        <w:trPr>
          <w:cantSplit/>
        </w:trPr>
        <w:tc>
          <w:tcPr>
            <w:tcW w:w="909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before="40" w:after="40"/>
              <w:ind w:left="1296" w:right="40" w:hanging="1296"/>
              <w:rPr>
                <w:i/>
                <w:spacing w:val="60"/>
                <w:sz w:val="17"/>
              </w:rPr>
            </w:pPr>
            <w:r>
              <w:tab/>
              <w:t>XVI.</w:t>
            </w:r>
            <w:r>
              <w:tab/>
              <w:t>Procedimientos para el examen de las comunicaciones recibidas en virtud del Protocolo Facultativo</w:t>
            </w:r>
            <w:r>
              <w:rPr>
                <w:spacing w:val="60"/>
                <w:sz w:val="17"/>
              </w:rPr>
              <w:tab/>
            </w:r>
          </w:p>
        </w:tc>
        <w:tc>
          <w:tcPr>
            <w:tcW w:w="812" w:type="dxa"/>
            <w:gridSpan w:val="2"/>
          </w:tcPr>
          <w:p w:rsidR="00000000" w:rsidRDefault="00000000">
            <w:pPr>
              <w:spacing w:before="40" w:after="40"/>
              <w:ind w:right="40"/>
              <w:jc w:val="right"/>
            </w:pP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right" w:leader="dot" w:pos="9101"/>
              </w:tabs>
              <w:spacing w:before="40" w:after="40"/>
              <w:ind w:left="1836" w:hanging="540"/>
            </w:pPr>
            <w:r>
              <w:t>Transmisión de comunicaciones al Comité</w:t>
            </w:r>
            <w:r>
              <w:rPr>
                <w:spacing w:val="60"/>
                <w:sz w:val="17"/>
              </w:rPr>
              <w:tab/>
            </w:r>
          </w:p>
        </w:tc>
        <w:tc>
          <w:tcPr>
            <w:tcW w:w="792" w:type="dxa"/>
            <w:vAlign w:val="bottom"/>
          </w:tcPr>
          <w:p w:rsidR="00000000" w:rsidRDefault="00000000">
            <w:pPr>
              <w:spacing w:before="40" w:after="40"/>
              <w:ind w:right="40"/>
              <w:jc w:val="right"/>
            </w:pPr>
            <w:r>
              <w:t>107</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right" w:leader="dot" w:pos="9101"/>
              </w:tabs>
              <w:spacing w:before="40" w:after="40"/>
              <w:ind w:left="1836" w:hanging="540"/>
            </w:pPr>
            <w:r>
              <w:t>Lista y registro de comunicaciones</w:t>
            </w:r>
            <w:r>
              <w:rPr>
                <w:spacing w:val="60"/>
                <w:sz w:val="17"/>
              </w:rPr>
              <w:tab/>
            </w:r>
          </w:p>
        </w:tc>
        <w:tc>
          <w:tcPr>
            <w:tcW w:w="792" w:type="dxa"/>
            <w:vAlign w:val="bottom"/>
          </w:tcPr>
          <w:p w:rsidR="00000000" w:rsidRDefault="00000000">
            <w:pPr>
              <w:spacing w:before="40" w:after="40"/>
              <w:ind w:right="40"/>
              <w:jc w:val="right"/>
            </w:pPr>
            <w:r>
              <w:t>108</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right" w:leader="dot" w:pos="9101"/>
              </w:tabs>
              <w:spacing w:before="40" w:after="40"/>
              <w:ind w:left="1836" w:hanging="540"/>
            </w:pPr>
            <w:r>
              <w:t>Solicitud de aclaraciones o información adicional</w:t>
            </w:r>
            <w:r>
              <w:rPr>
                <w:spacing w:val="60"/>
                <w:sz w:val="17"/>
              </w:rPr>
              <w:tab/>
            </w:r>
          </w:p>
        </w:tc>
        <w:tc>
          <w:tcPr>
            <w:tcW w:w="792" w:type="dxa"/>
            <w:vAlign w:val="bottom"/>
          </w:tcPr>
          <w:p w:rsidR="00000000" w:rsidRDefault="00000000">
            <w:pPr>
              <w:spacing w:before="40" w:after="40"/>
              <w:ind w:right="40"/>
              <w:jc w:val="right"/>
            </w:pPr>
            <w:r>
              <w:t>108</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right" w:leader="dot" w:pos="9101"/>
              </w:tabs>
              <w:spacing w:before="40" w:after="40"/>
              <w:ind w:left="1836" w:hanging="540"/>
            </w:pPr>
            <w:r>
              <w:t xml:space="preserve">Resumen de la información </w:t>
            </w:r>
            <w:r>
              <w:rPr>
                <w:spacing w:val="60"/>
                <w:sz w:val="17"/>
              </w:rPr>
              <w:tab/>
            </w:r>
          </w:p>
        </w:tc>
        <w:tc>
          <w:tcPr>
            <w:tcW w:w="792" w:type="dxa"/>
            <w:vAlign w:val="bottom"/>
          </w:tcPr>
          <w:p w:rsidR="00000000" w:rsidRDefault="00000000">
            <w:pPr>
              <w:spacing w:before="40" w:after="40"/>
              <w:ind w:right="40"/>
              <w:jc w:val="right"/>
            </w:pPr>
            <w:r>
              <w:t>109</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before="40" w:after="40"/>
              <w:ind w:left="1836" w:hanging="540"/>
            </w:pPr>
            <w:r>
              <w:t>Incapacidad de un miembro para participar en el examen de una comunicación</w:t>
            </w:r>
            <w:r>
              <w:rPr>
                <w:spacing w:val="60"/>
                <w:sz w:val="17"/>
              </w:rPr>
              <w:tab/>
            </w:r>
          </w:p>
        </w:tc>
        <w:tc>
          <w:tcPr>
            <w:tcW w:w="792" w:type="dxa"/>
            <w:vAlign w:val="bottom"/>
          </w:tcPr>
          <w:p w:rsidR="00000000" w:rsidRDefault="00000000">
            <w:pPr>
              <w:spacing w:before="40" w:after="40"/>
              <w:ind w:right="40"/>
              <w:jc w:val="right"/>
            </w:pPr>
            <w:r>
              <w:t>109</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right" w:leader="dot" w:pos="9101"/>
              </w:tabs>
              <w:spacing w:before="40" w:after="40"/>
              <w:ind w:left="1836" w:hanging="540"/>
            </w:pPr>
            <w:r>
              <w:t>Retirada de un miembro</w:t>
            </w:r>
            <w:r>
              <w:rPr>
                <w:spacing w:val="60"/>
                <w:sz w:val="17"/>
              </w:rPr>
              <w:tab/>
            </w:r>
          </w:p>
        </w:tc>
        <w:tc>
          <w:tcPr>
            <w:tcW w:w="792" w:type="dxa"/>
            <w:vAlign w:val="bottom"/>
          </w:tcPr>
          <w:p w:rsidR="00000000" w:rsidRDefault="00000000">
            <w:pPr>
              <w:spacing w:before="40" w:after="40"/>
              <w:ind w:right="40"/>
              <w:jc w:val="right"/>
            </w:pPr>
            <w:r>
              <w:t>109</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before="40" w:after="40"/>
              <w:ind w:left="1836" w:hanging="540"/>
            </w:pPr>
            <w:r>
              <w:t>Establecimiento de grupos de trabajo y nombramiento de relatores</w:t>
            </w:r>
            <w:r>
              <w:rPr>
                <w:spacing w:val="60"/>
                <w:sz w:val="17"/>
              </w:rPr>
              <w:tab/>
            </w:r>
          </w:p>
        </w:tc>
        <w:tc>
          <w:tcPr>
            <w:tcW w:w="792" w:type="dxa"/>
            <w:vAlign w:val="bottom"/>
          </w:tcPr>
          <w:p w:rsidR="00000000" w:rsidRDefault="00000000">
            <w:pPr>
              <w:spacing w:before="40" w:after="40"/>
              <w:ind w:right="40"/>
              <w:jc w:val="right"/>
            </w:pPr>
            <w:r>
              <w:t>109</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right" w:leader="dot" w:pos="9101"/>
              </w:tabs>
              <w:spacing w:before="40" w:after="40"/>
              <w:ind w:left="1836" w:hanging="540"/>
            </w:pPr>
            <w:r>
              <w:t>Medidas provisionales</w:t>
            </w:r>
            <w:r>
              <w:rPr>
                <w:spacing w:val="60"/>
                <w:sz w:val="17"/>
              </w:rPr>
              <w:tab/>
            </w:r>
          </w:p>
        </w:tc>
        <w:tc>
          <w:tcPr>
            <w:tcW w:w="792" w:type="dxa"/>
            <w:vAlign w:val="bottom"/>
          </w:tcPr>
          <w:p w:rsidR="00000000" w:rsidRDefault="00000000">
            <w:pPr>
              <w:spacing w:before="40" w:after="40"/>
              <w:ind w:right="40"/>
              <w:jc w:val="right"/>
            </w:pPr>
            <w:r>
              <w:t>109</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before="40" w:after="40"/>
              <w:ind w:left="1836" w:hanging="540"/>
            </w:pPr>
            <w:r>
              <w:t>Procedimiento para determinar la admisibilidad</w:t>
            </w:r>
            <w:r>
              <w:rPr>
                <w:spacing w:val="60"/>
                <w:sz w:val="17"/>
              </w:rPr>
              <w:tab/>
            </w:r>
          </w:p>
        </w:tc>
        <w:tc>
          <w:tcPr>
            <w:tcW w:w="792" w:type="dxa"/>
            <w:vAlign w:val="bottom"/>
          </w:tcPr>
          <w:p w:rsidR="00000000" w:rsidRDefault="00000000">
            <w:pPr>
              <w:spacing w:before="40" w:after="40"/>
              <w:ind w:right="40"/>
              <w:jc w:val="right"/>
            </w:pPr>
            <w:r>
              <w:t>110</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right" w:leader="dot" w:pos="9101"/>
              </w:tabs>
              <w:spacing w:before="40" w:after="40"/>
              <w:ind w:left="1836" w:hanging="540"/>
            </w:pPr>
            <w:r>
              <w:t>Orden de las comunicaciones</w:t>
            </w:r>
            <w:r>
              <w:rPr>
                <w:spacing w:val="60"/>
                <w:sz w:val="17"/>
              </w:rPr>
              <w:tab/>
            </w:r>
          </w:p>
        </w:tc>
        <w:tc>
          <w:tcPr>
            <w:tcW w:w="792" w:type="dxa"/>
            <w:vAlign w:val="bottom"/>
          </w:tcPr>
          <w:p w:rsidR="00000000" w:rsidRDefault="00000000">
            <w:pPr>
              <w:spacing w:before="40" w:after="40"/>
              <w:ind w:right="40"/>
              <w:jc w:val="right"/>
            </w:pPr>
            <w:r>
              <w:t>110</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before="40" w:after="40"/>
              <w:ind w:left="1836" w:hanging="540"/>
            </w:pPr>
            <w:r>
              <w:t>Examen por separado de la admisibilidad y el fondo</w:t>
            </w:r>
            <w:r>
              <w:rPr>
                <w:spacing w:val="60"/>
                <w:sz w:val="17"/>
              </w:rPr>
              <w:tab/>
            </w:r>
          </w:p>
        </w:tc>
        <w:tc>
          <w:tcPr>
            <w:tcW w:w="792" w:type="dxa"/>
            <w:vAlign w:val="bottom"/>
          </w:tcPr>
          <w:p w:rsidR="00000000" w:rsidRDefault="00000000">
            <w:pPr>
              <w:spacing w:before="40" w:after="40"/>
              <w:ind w:right="40"/>
              <w:jc w:val="right"/>
            </w:pPr>
            <w:r>
              <w:t>110</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before="40" w:after="40"/>
              <w:ind w:left="1836" w:hanging="540"/>
            </w:pPr>
            <w:r>
              <w:t>Condiciones para la admisibilidad de las comunicaciones</w:t>
            </w:r>
            <w:r>
              <w:rPr>
                <w:spacing w:val="60"/>
                <w:sz w:val="17"/>
              </w:rPr>
              <w:tab/>
            </w:r>
          </w:p>
        </w:tc>
        <w:tc>
          <w:tcPr>
            <w:tcW w:w="792" w:type="dxa"/>
            <w:vAlign w:val="bottom"/>
          </w:tcPr>
          <w:p w:rsidR="00000000" w:rsidRDefault="00000000">
            <w:pPr>
              <w:spacing w:before="40" w:after="40"/>
              <w:ind w:right="40"/>
              <w:jc w:val="right"/>
            </w:pPr>
            <w:r>
              <w:t>110</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right" w:leader="dot" w:pos="9101"/>
              </w:tabs>
              <w:spacing w:before="40" w:after="40"/>
              <w:ind w:left="1836" w:hanging="540"/>
            </w:pPr>
            <w:r>
              <w:t>Autores de las comunicaciones</w:t>
            </w:r>
            <w:r>
              <w:rPr>
                <w:spacing w:val="60"/>
                <w:sz w:val="17"/>
              </w:rPr>
              <w:tab/>
            </w:r>
          </w:p>
        </w:tc>
        <w:tc>
          <w:tcPr>
            <w:tcW w:w="792" w:type="dxa"/>
            <w:vAlign w:val="bottom"/>
          </w:tcPr>
          <w:p w:rsidR="00000000" w:rsidRDefault="00000000">
            <w:pPr>
              <w:spacing w:before="40" w:after="40"/>
              <w:ind w:right="40"/>
              <w:jc w:val="right"/>
            </w:pPr>
            <w:r>
              <w:t>110</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before="40" w:after="40"/>
              <w:ind w:left="1836" w:hanging="540"/>
            </w:pPr>
            <w:r>
              <w:t>Procedimiento relativo a las comunicaciones recibidas</w:t>
            </w:r>
            <w:r>
              <w:rPr>
                <w:spacing w:val="60"/>
                <w:sz w:val="17"/>
              </w:rPr>
              <w:tab/>
            </w:r>
          </w:p>
        </w:tc>
        <w:tc>
          <w:tcPr>
            <w:tcW w:w="792" w:type="dxa"/>
            <w:vAlign w:val="bottom"/>
          </w:tcPr>
          <w:p w:rsidR="00000000" w:rsidRDefault="00000000">
            <w:pPr>
              <w:spacing w:before="40" w:after="40"/>
              <w:ind w:right="40"/>
              <w:jc w:val="right"/>
            </w:pPr>
            <w:r>
              <w:t>111</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right" w:leader="dot" w:pos="9101"/>
              </w:tabs>
              <w:spacing w:before="40" w:after="40"/>
              <w:ind w:left="1836" w:hanging="540"/>
            </w:pPr>
            <w:r>
              <w:t>Comunicaciones inadmisibles</w:t>
            </w:r>
            <w:r>
              <w:rPr>
                <w:spacing w:val="60"/>
                <w:sz w:val="17"/>
              </w:rPr>
              <w:tab/>
            </w:r>
          </w:p>
        </w:tc>
        <w:tc>
          <w:tcPr>
            <w:tcW w:w="792" w:type="dxa"/>
            <w:vAlign w:val="bottom"/>
          </w:tcPr>
          <w:p w:rsidR="00000000" w:rsidRDefault="00000000">
            <w:pPr>
              <w:spacing w:before="40" w:after="40"/>
              <w:ind w:right="40"/>
              <w:jc w:val="right"/>
            </w:pPr>
            <w:r>
              <w:t>112</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before="40" w:after="40"/>
              <w:ind w:left="1728" w:hanging="432"/>
            </w:pPr>
            <w:r>
              <w:t>Procedimientos adicionales con arreglo a los cuales la admisibilidad de una comunicación podrá examinarse separadamente de su fondo</w:t>
            </w:r>
            <w:r>
              <w:rPr>
                <w:spacing w:val="60"/>
                <w:sz w:val="17"/>
              </w:rPr>
              <w:tab/>
            </w:r>
            <w:r>
              <w:rPr>
                <w:spacing w:val="60"/>
                <w:sz w:val="17"/>
              </w:rPr>
              <w:tab/>
            </w:r>
          </w:p>
        </w:tc>
        <w:tc>
          <w:tcPr>
            <w:tcW w:w="792" w:type="dxa"/>
            <w:vAlign w:val="bottom"/>
          </w:tcPr>
          <w:p w:rsidR="00000000" w:rsidRDefault="00000000">
            <w:pPr>
              <w:spacing w:before="40" w:after="40"/>
              <w:ind w:right="40"/>
              <w:jc w:val="right"/>
            </w:pPr>
            <w:r>
              <w:t>112</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before="40" w:after="40"/>
              <w:ind w:left="1728" w:hanging="432"/>
            </w:pPr>
            <w:r>
              <w:t>Observaciones del Comité sobre las comunicaciones admisibles</w:t>
            </w:r>
            <w:r>
              <w:rPr>
                <w:spacing w:val="60"/>
                <w:sz w:val="17"/>
              </w:rPr>
              <w:tab/>
            </w:r>
          </w:p>
        </w:tc>
        <w:tc>
          <w:tcPr>
            <w:tcW w:w="792" w:type="dxa"/>
            <w:vAlign w:val="bottom"/>
          </w:tcPr>
          <w:p w:rsidR="00000000" w:rsidRDefault="00000000">
            <w:pPr>
              <w:spacing w:before="40" w:after="40"/>
              <w:ind w:right="40"/>
              <w:jc w:val="right"/>
            </w:pPr>
            <w:r>
              <w:t>112</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before="40" w:after="40"/>
              <w:ind w:left="1728" w:hanging="432"/>
            </w:pPr>
            <w:r>
              <w:t>Seguimiento de las observaciones del Comité</w:t>
            </w:r>
            <w:r>
              <w:rPr>
                <w:spacing w:val="60"/>
                <w:sz w:val="17"/>
              </w:rPr>
              <w:tab/>
            </w:r>
          </w:p>
        </w:tc>
        <w:tc>
          <w:tcPr>
            <w:tcW w:w="792" w:type="dxa"/>
            <w:vAlign w:val="bottom"/>
          </w:tcPr>
          <w:p w:rsidR="00000000" w:rsidRDefault="00000000">
            <w:pPr>
              <w:spacing w:before="40" w:after="40"/>
              <w:ind w:right="40"/>
              <w:jc w:val="right"/>
            </w:pPr>
            <w:r>
              <w:t>113</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before="40" w:after="40"/>
              <w:ind w:left="1728" w:hanging="432"/>
            </w:pPr>
            <w:r>
              <w:t>Carácter confidencial de las comunicaciones</w:t>
            </w:r>
            <w:r>
              <w:rPr>
                <w:spacing w:val="60"/>
                <w:sz w:val="17"/>
              </w:rPr>
              <w:tab/>
            </w:r>
          </w:p>
        </w:tc>
        <w:tc>
          <w:tcPr>
            <w:tcW w:w="792" w:type="dxa"/>
            <w:vAlign w:val="bottom"/>
          </w:tcPr>
          <w:p w:rsidR="00000000" w:rsidRDefault="00000000">
            <w:pPr>
              <w:spacing w:before="40" w:after="40"/>
              <w:ind w:right="40"/>
              <w:jc w:val="right"/>
            </w:pPr>
            <w:r>
              <w:t>114</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195"/>
              </w:numPr>
              <w:tabs>
                <w:tab w:val="right" w:pos="1080"/>
                <w:tab w:val="left" w:pos="1296"/>
                <w:tab w:val="left" w:pos="1728"/>
                <w:tab w:val="left" w:pos="2160"/>
                <w:tab w:val="left" w:pos="2592"/>
                <w:tab w:val="right" w:leader="dot" w:pos="9101"/>
              </w:tabs>
              <w:spacing w:before="40" w:after="40"/>
              <w:ind w:left="1728" w:hanging="432"/>
            </w:pPr>
            <w:r>
              <w:t>Comunicados</w:t>
            </w:r>
            <w:r>
              <w:rPr>
                <w:spacing w:val="60"/>
                <w:sz w:val="17"/>
              </w:rPr>
              <w:tab/>
            </w:r>
          </w:p>
        </w:tc>
        <w:tc>
          <w:tcPr>
            <w:tcW w:w="792" w:type="dxa"/>
            <w:vAlign w:val="bottom"/>
          </w:tcPr>
          <w:p w:rsidR="00000000" w:rsidRDefault="00000000">
            <w:pPr>
              <w:spacing w:before="40" w:after="40"/>
              <w:ind w:right="40"/>
              <w:jc w:val="right"/>
            </w:pPr>
            <w:r>
              <w:t>115</w:t>
            </w:r>
          </w:p>
        </w:tc>
      </w:tr>
      <w:tr w:rsidR="00000000">
        <w:tblPrEx>
          <w:tblCellMar>
            <w:top w:w="0" w:type="dxa"/>
            <w:left w:w="0" w:type="dxa"/>
            <w:bottom w:w="0" w:type="dxa"/>
            <w:right w:w="0" w:type="dxa"/>
          </w:tblCellMar>
        </w:tblPrEx>
        <w:trPr>
          <w:cantSplit/>
        </w:trPr>
        <w:tc>
          <w:tcPr>
            <w:tcW w:w="9110"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before="40" w:after="40"/>
            </w:pPr>
            <w:r>
              <w:tab/>
              <w:t>XVII.</w:t>
            </w:r>
            <w:r>
              <w:tab/>
              <w:t>Actuaciones en relación con el procedimiento de investigación del Protocolo Facultativo</w:t>
            </w:r>
          </w:p>
        </w:tc>
        <w:tc>
          <w:tcPr>
            <w:tcW w:w="792" w:type="dxa"/>
            <w:vAlign w:val="bottom"/>
          </w:tcPr>
          <w:p w:rsidR="00000000" w:rsidRDefault="00000000">
            <w:pPr>
              <w:spacing w:before="40" w:after="40"/>
              <w:ind w:right="40"/>
              <w:jc w:val="right"/>
            </w:pP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242"/>
              </w:numPr>
              <w:tabs>
                <w:tab w:val="right" w:pos="1080"/>
                <w:tab w:val="left" w:pos="1296"/>
                <w:tab w:val="left" w:pos="2160"/>
                <w:tab w:val="left" w:pos="2592"/>
                <w:tab w:val="right" w:leader="dot" w:pos="9101"/>
              </w:tabs>
              <w:spacing w:before="40" w:after="40"/>
            </w:pPr>
            <w:r>
              <w:t>Aplicabilidad</w:t>
            </w:r>
            <w:r>
              <w:rPr>
                <w:spacing w:val="60"/>
                <w:sz w:val="17"/>
              </w:rPr>
              <w:tab/>
            </w:r>
          </w:p>
        </w:tc>
        <w:tc>
          <w:tcPr>
            <w:tcW w:w="792" w:type="dxa"/>
            <w:vAlign w:val="bottom"/>
          </w:tcPr>
          <w:p w:rsidR="00000000" w:rsidRDefault="00000000">
            <w:pPr>
              <w:spacing w:before="40" w:after="40"/>
              <w:ind w:right="40"/>
              <w:jc w:val="right"/>
            </w:pPr>
            <w:r>
              <w:t>115</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242"/>
              </w:numPr>
              <w:tabs>
                <w:tab w:val="right" w:pos="1080"/>
                <w:tab w:val="left" w:pos="1296"/>
                <w:tab w:val="left" w:pos="2160"/>
                <w:tab w:val="left" w:pos="2592"/>
                <w:tab w:val="left" w:pos="3024"/>
                <w:tab w:val="left" w:pos="3456"/>
                <w:tab w:val="left" w:pos="3888"/>
                <w:tab w:val="left" w:pos="4320"/>
                <w:tab w:val="left" w:pos="4752"/>
                <w:tab w:val="right" w:leader="dot" w:pos="9101"/>
              </w:tabs>
              <w:spacing w:before="40" w:after="40"/>
            </w:pPr>
            <w:r>
              <w:t>Transmisión de información al Comité</w:t>
            </w:r>
            <w:r>
              <w:rPr>
                <w:spacing w:val="60"/>
                <w:sz w:val="17"/>
              </w:rPr>
              <w:tab/>
            </w:r>
          </w:p>
        </w:tc>
        <w:tc>
          <w:tcPr>
            <w:tcW w:w="792" w:type="dxa"/>
            <w:vAlign w:val="bottom"/>
          </w:tcPr>
          <w:p w:rsidR="00000000" w:rsidRDefault="00000000">
            <w:pPr>
              <w:spacing w:before="40" w:after="40"/>
              <w:ind w:right="40"/>
              <w:jc w:val="right"/>
            </w:pPr>
            <w:r>
              <w:t>115</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242"/>
              </w:numPr>
              <w:tabs>
                <w:tab w:val="right" w:pos="1080"/>
                <w:tab w:val="left" w:pos="1296"/>
                <w:tab w:val="left" w:pos="2160"/>
                <w:tab w:val="left" w:pos="2592"/>
                <w:tab w:val="left" w:pos="3024"/>
                <w:tab w:val="left" w:pos="3456"/>
                <w:tab w:val="left" w:pos="3888"/>
                <w:tab w:val="right" w:leader="dot" w:pos="9101"/>
              </w:tabs>
              <w:spacing w:before="40" w:after="40"/>
            </w:pPr>
            <w:r>
              <w:t>Registro de la información</w:t>
            </w:r>
            <w:r>
              <w:rPr>
                <w:spacing w:val="60"/>
                <w:sz w:val="17"/>
              </w:rPr>
              <w:tab/>
            </w:r>
          </w:p>
        </w:tc>
        <w:tc>
          <w:tcPr>
            <w:tcW w:w="792" w:type="dxa"/>
            <w:vAlign w:val="bottom"/>
          </w:tcPr>
          <w:p w:rsidR="00000000" w:rsidRDefault="00000000">
            <w:pPr>
              <w:spacing w:before="40" w:after="40"/>
              <w:ind w:right="40"/>
              <w:jc w:val="right"/>
            </w:pPr>
            <w:r>
              <w:t>115</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242"/>
              </w:numPr>
              <w:tabs>
                <w:tab w:val="right" w:pos="1080"/>
                <w:tab w:val="left" w:pos="1296"/>
                <w:tab w:val="left" w:pos="2160"/>
                <w:tab w:val="left" w:pos="2592"/>
                <w:tab w:val="left" w:pos="3024"/>
                <w:tab w:val="left" w:pos="3456"/>
                <w:tab w:val="left" w:pos="3888"/>
                <w:tab w:val="right" w:leader="dot" w:pos="9101"/>
              </w:tabs>
              <w:spacing w:before="40" w:after="40"/>
            </w:pPr>
            <w:r>
              <w:t>Resumen de la información</w:t>
            </w:r>
            <w:r>
              <w:rPr>
                <w:spacing w:val="60"/>
                <w:sz w:val="17"/>
              </w:rPr>
              <w:tab/>
            </w:r>
          </w:p>
        </w:tc>
        <w:tc>
          <w:tcPr>
            <w:tcW w:w="792" w:type="dxa"/>
            <w:vAlign w:val="bottom"/>
          </w:tcPr>
          <w:p w:rsidR="00000000" w:rsidRDefault="00000000">
            <w:pPr>
              <w:spacing w:before="40" w:after="40"/>
              <w:ind w:right="40"/>
              <w:jc w:val="right"/>
            </w:pPr>
            <w:r>
              <w:t>115</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242"/>
              </w:numPr>
              <w:tabs>
                <w:tab w:val="right" w:pos="1080"/>
                <w:tab w:val="left" w:pos="1296"/>
                <w:tab w:val="left" w:pos="2160"/>
                <w:tab w:val="left" w:pos="2592"/>
                <w:tab w:val="left" w:pos="3024"/>
                <w:tab w:val="right" w:leader="dot" w:pos="9101"/>
              </w:tabs>
              <w:spacing w:before="40" w:after="40"/>
            </w:pPr>
            <w:r>
              <w:t>Carácter confidencial de los documentos y procedimientos</w:t>
            </w:r>
            <w:r>
              <w:rPr>
                <w:spacing w:val="60"/>
                <w:sz w:val="17"/>
              </w:rPr>
              <w:tab/>
            </w:r>
          </w:p>
        </w:tc>
        <w:tc>
          <w:tcPr>
            <w:tcW w:w="792" w:type="dxa"/>
            <w:vAlign w:val="bottom"/>
          </w:tcPr>
          <w:p w:rsidR="00000000" w:rsidRDefault="00000000">
            <w:pPr>
              <w:spacing w:before="40" w:after="40"/>
              <w:ind w:right="40"/>
              <w:jc w:val="right"/>
            </w:pPr>
            <w:r>
              <w:t>115</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242"/>
              </w:numPr>
              <w:tabs>
                <w:tab w:val="clear" w:pos="1742"/>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before="40" w:after="40"/>
            </w:pPr>
            <w:r>
              <w:t>Sesiones relacionadas con los procedimientos de conformidad con el artículo 8</w:t>
            </w:r>
            <w:r>
              <w:rPr>
                <w:spacing w:val="60"/>
                <w:sz w:val="17"/>
              </w:rPr>
              <w:tab/>
            </w:r>
            <w:r>
              <w:rPr>
                <w:spacing w:val="60"/>
                <w:sz w:val="17"/>
              </w:rPr>
              <w:tab/>
            </w:r>
          </w:p>
        </w:tc>
        <w:tc>
          <w:tcPr>
            <w:tcW w:w="792" w:type="dxa"/>
            <w:vAlign w:val="bottom"/>
          </w:tcPr>
          <w:p w:rsidR="00000000" w:rsidRDefault="00000000">
            <w:pPr>
              <w:spacing w:before="40" w:after="40"/>
              <w:ind w:right="40"/>
              <w:jc w:val="right"/>
            </w:pPr>
            <w:r>
              <w:t>116</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242"/>
              </w:numPr>
              <w:tabs>
                <w:tab w:val="right" w:pos="1080"/>
                <w:tab w:val="left" w:pos="1296"/>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before="40" w:after="40"/>
            </w:pPr>
            <w:r>
              <w:t>Examen preliminar de la información por el Comité</w:t>
            </w:r>
            <w:r>
              <w:rPr>
                <w:spacing w:val="60"/>
                <w:sz w:val="17"/>
              </w:rPr>
              <w:tab/>
            </w:r>
          </w:p>
        </w:tc>
        <w:tc>
          <w:tcPr>
            <w:tcW w:w="792" w:type="dxa"/>
            <w:vAlign w:val="bottom"/>
          </w:tcPr>
          <w:p w:rsidR="00000000" w:rsidRDefault="00000000">
            <w:pPr>
              <w:spacing w:before="40" w:after="40"/>
              <w:ind w:right="40"/>
              <w:jc w:val="right"/>
            </w:pPr>
            <w:r>
              <w:t>116</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242"/>
              </w:numPr>
              <w:tabs>
                <w:tab w:val="right" w:pos="1080"/>
                <w:tab w:val="left" w:pos="1296"/>
                <w:tab w:val="left" w:pos="2160"/>
                <w:tab w:val="left" w:pos="2592"/>
                <w:tab w:val="left" w:pos="3024"/>
                <w:tab w:val="left" w:pos="3456"/>
                <w:tab w:val="left" w:pos="3888"/>
                <w:tab w:val="right" w:leader="dot" w:pos="9101"/>
              </w:tabs>
              <w:spacing w:before="40" w:after="40"/>
            </w:pPr>
            <w:r>
              <w:t>Examen de la información</w:t>
            </w:r>
            <w:r>
              <w:rPr>
                <w:spacing w:val="60"/>
                <w:sz w:val="17"/>
              </w:rPr>
              <w:tab/>
            </w:r>
          </w:p>
        </w:tc>
        <w:tc>
          <w:tcPr>
            <w:tcW w:w="792" w:type="dxa"/>
            <w:vAlign w:val="bottom"/>
          </w:tcPr>
          <w:p w:rsidR="00000000" w:rsidRDefault="00000000">
            <w:pPr>
              <w:spacing w:before="40" w:after="40"/>
              <w:ind w:right="40"/>
              <w:jc w:val="right"/>
            </w:pPr>
            <w:r>
              <w:t>116</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242"/>
              </w:numPr>
              <w:tabs>
                <w:tab w:val="right" w:pos="1080"/>
                <w:tab w:val="left" w:pos="1296"/>
                <w:tab w:val="left" w:pos="2160"/>
                <w:tab w:val="left" w:pos="2592"/>
                <w:tab w:val="left" w:pos="3024"/>
                <w:tab w:val="left" w:pos="3456"/>
                <w:tab w:val="left" w:pos="3888"/>
                <w:tab w:val="right" w:leader="dot" w:pos="9101"/>
              </w:tabs>
              <w:spacing w:before="40" w:after="40"/>
            </w:pPr>
            <w:r>
              <w:t>Apertura de una investigación</w:t>
            </w:r>
            <w:r>
              <w:rPr>
                <w:spacing w:val="60"/>
                <w:sz w:val="17"/>
              </w:rPr>
              <w:tab/>
            </w:r>
          </w:p>
        </w:tc>
        <w:tc>
          <w:tcPr>
            <w:tcW w:w="792" w:type="dxa"/>
            <w:vAlign w:val="bottom"/>
          </w:tcPr>
          <w:p w:rsidR="00000000" w:rsidRDefault="00000000">
            <w:pPr>
              <w:spacing w:before="40" w:after="40"/>
              <w:ind w:right="40"/>
              <w:jc w:val="right"/>
            </w:pPr>
            <w:r>
              <w:t>116</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242"/>
              </w:numPr>
              <w:tabs>
                <w:tab w:val="right" w:pos="1080"/>
                <w:tab w:val="left" w:pos="1296"/>
                <w:tab w:val="left" w:pos="2160"/>
                <w:tab w:val="left" w:pos="2592"/>
                <w:tab w:val="left" w:pos="3024"/>
                <w:tab w:val="left" w:pos="3456"/>
                <w:tab w:val="left" w:pos="3888"/>
                <w:tab w:val="left" w:pos="4320"/>
                <w:tab w:val="left" w:pos="4752"/>
                <w:tab w:val="left" w:pos="5184"/>
                <w:tab w:val="right" w:leader="dot" w:pos="9101"/>
              </w:tabs>
              <w:spacing w:before="40" w:after="40"/>
            </w:pPr>
            <w:r>
              <w:t>Cooperación del Estado parte interesado</w:t>
            </w:r>
            <w:r>
              <w:rPr>
                <w:spacing w:val="60"/>
                <w:sz w:val="17"/>
              </w:rPr>
              <w:tab/>
            </w:r>
          </w:p>
        </w:tc>
        <w:tc>
          <w:tcPr>
            <w:tcW w:w="792" w:type="dxa"/>
            <w:vAlign w:val="bottom"/>
          </w:tcPr>
          <w:p w:rsidR="00000000" w:rsidRDefault="00000000">
            <w:pPr>
              <w:spacing w:before="40" w:after="40"/>
              <w:ind w:right="40"/>
              <w:jc w:val="right"/>
            </w:pPr>
            <w:r>
              <w:t>117</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242"/>
              </w:numPr>
              <w:tabs>
                <w:tab w:val="right" w:pos="1080"/>
                <w:tab w:val="left" w:pos="1296"/>
                <w:tab w:val="left" w:pos="2160"/>
                <w:tab w:val="right" w:leader="dot" w:pos="9101"/>
              </w:tabs>
              <w:spacing w:before="40" w:after="40"/>
            </w:pPr>
            <w:r>
              <w:t>Visitas</w:t>
            </w:r>
            <w:r>
              <w:rPr>
                <w:spacing w:val="60"/>
                <w:sz w:val="17"/>
              </w:rPr>
              <w:tab/>
            </w:r>
          </w:p>
        </w:tc>
        <w:tc>
          <w:tcPr>
            <w:tcW w:w="792" w:type="dxa"/>
            <w:vAlign w:val="bottom"/>
          </w:tcPr>
          <w:p w:rsidR="00000000" w:rsidRDefault="00000000">
            <w:pPr>
              <w:spacing w:before="40" w:after="40"/>
              <w:ind w:right="40"/>
              <w:jc w:val="right"/>
            </w:pPr>
            <w:r>
              <w:t>117</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242"/>
              </w:numPr>
              <w:tabs>
                <w:tab w:val="right" w:pos="1080"/>
                <w:tab w:val="left" w:pos="1296"/>
                <w:tab w:val="left" w:pos="2160"/>
                <w:tab w:val="left" w:pos="2592"/>
                <w:tab w:val="right" w:leader="dot" w:pos="9101"/>
              </w:tabs>
              <w:spacing w:before="40" w:after="40"/>
            </w:pPr>
            <w:r>
              <w:t>Audiencias</w:t>
            </w:r>
            <w:r>
              <w:rPr>
                <w:spacing w:val="60"/>
                <w:sz w:val="17"/>
              </w:rPr>
              <w:tab/>
            </w:r>
          </w:p>
        </w:tc>
        <w:tc>
          <w:tcPr>
            <w:tcW w:w="792" w:type="dxa"/>
            <w:vAlign w:val="bottom"/>
          </w:tcPr>
          <w:p w:rsidR="00000000" w:rsidRDefault="00000000">
            <w:pPr>
              <w:spacing w:before="40" w:after="40"/>
              <w:ind w:right="40"/>
              <w:jc w:val="right"/>
            </w:pPr>
            <w:r>
              <w:t>117</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242"/>
              </w:numPr>
              <w:tabs>
                <w:tab w:val="right" w:pos="1080"/>
                <w:tab w:val="left" w:pos="1296"/>
                <w:tab w:val="left" w:pos="2160"/>
                <w:tab w:val="left" w:pos="2592"/>
                <w:tab w:val="left" w:pos="3024"/>
                <w:tab w:val="left" w:pos="3456"/>
                <w:tab w:val="left" w:pos="3888"/>
                <w:tab w:val="left" w:pos="4320"/>
                <w:tab w:val="left" w:pos="4752"/>
                <w:tab w:val="left" w:pos="5184"/>
                <w:tab w:val="left" w:pos="5616"/>
                <w:tab w:val="right" w:leader="dot" w:pos="9101"/>
              </w:tabs>
              <w:spacing w:before="40" w:after="40"/>
            </w:pPr>
            <w:r>
              <w:t>Asistencia prestada durante una investigación</w:t>
            </w:r>
            <w:r>
              <w:rPr>
                <w:spacing w:val="60"/>
                <w:sz w:val="17"/>
              </w:rPr>
              <w:tab/>
            </w:r>
          </w:p>
        </w:tc>
        <w:tc>
          <w:tcPr>
            <w:tcW w:w="792" w:type="dxa"/>
            <w:vAlign w:val="bottom"/>
          </w:tcPr>
          <w:p w:rsidR="00000000" w:rsidRDefault="00000000">
            <w:pPr>
              <w:spacing w:before="40" w:after="40"/>
              <w:ind w:right="40"/>
              <w:jc w:val="right"/>
            </w:pPr>
            <w:r>
              <w:t>118</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242"/>
              </w:numPr>
              <w:tabs>
                <w:tab w:val="right" w:pos="1080"/>
                <w:tab w:val="left" w:pos="1296"/>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before="40" w:after="40"/>
            </w:pPr>
            <w:r>
              <w:t>Transmisión de las conclusiones, observaciones o sugerencias</w:t>
            </w:r>
            <w:r>
              <w:rPr>
                <w:spacing w:val="60"/>
                <w:sz w:val="17"/>
              </w:rPr>
              <w:tab/>
            </w:r>
          </w:p>
        </w:tc>
        <w:tc>
          <w:tcPr>
            <w:tcW w:w="792" w:type="dxa"/>
            <w:vAlign w:val="bottom"/>
          </w:tcPr>
          <w:p w:rsidR="00000000" w:rsidRDefault="00000000">
            <w:pPr>
              <w:spacing w:before="40" w:after="40"/>
              <w:ind w:right="40"/>
              <w:jc w:val="right"/>
            </w:pPr>
            <w:r>
              <w:t>118</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242"/>
              </w:numPr>
              <w:tabs>
                <w:tab w:val="right" w:pos="1080"/>
                <w:tab w:val="left" w:pos="1296"/>
                <w:tab w:val="left" w:pos="2160"/>
                <w:tab w:val="left" w:pos="2592"/>
                <w:tab w:val="left" w:pos="3024"/>
                <w:tab w:val="left" w:pos="3456"/>
                <w:tab w:val="left" w:pos="3888"/>
                <w:tab w:val="left" w:pos="4320"/>
                <w:tab w:val="left" w:pos="4752"/>
                <w:tab w:val="left" w:pos="5184"/>
                <w:tab w:val="right" w:leader="dot" w:pos="9101"/>
              </w:tabs>
              <w:spacing w:before="40" w:after="40"/>
            </w:pPr>
            <w:r>
              <w:t>Medidas de seguimiento por el Estado parte</w:t>
            </w:r>
            <w:r>
              <w:rPr>
                <w:spacing w:val="60"/>
                <w:sz w:val="17"/>
              </w:rPr>
              <w:tab/>
            </w:r>
          </w:p>
        </w:tc>
        <w:tc>
          <w:tcPr>
            <w:tcW w:w="792" w:type="dxa"/>
            <w:vAlign w:val="bottom"/>
          </w:tcPr>
          <w:p w:rsidR="00000000" w:rsidRDefault="00000000">
            <w:pPr>
              <w:spacing w:before="40" w:after="40"/>
              <w:ind w:right="40"/>
              <w:jc w:val="right"/>
            </w:pPr>
            <w:r>
              <w:t>118</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242"/>
              </w:numPr>
              <w:tabs>
                <w:tab w:val="right" w:pos="1080"/>
                <w:tab w:val="left" w:pos="1296"/>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before="40" w:after="40"/>
            </w:pPr>
            <w:r>
              <w:t>Obligaciones de conformidad con el artículo 11 del Protocolo Facultativo</w:t>
            </w:r>
            <w:r>
              <w:rPr>
                <w:spacing w:val="60"/>
                <w:sz w:val="17"/>
              </w:rPr>
              <w:tab/>
            </w:r>
          </w:p>
        </w:tc>
        <w:tc>
          <w:tcPr>
            <w:tcW w:w="792" w:type="dxa"/>
            <w:vAlign w:val="bottom"/>
          </w:tcPr>
          <w:p w:rsidR="00000000" w:rsidRDefault="00000000">
            <w:pPr>
              <w:spacing w:before="40" w:after="40"/>
              <w:ind w:right="40"/>
              <w:jc w:val="right"/>
            </w:pPr>
            <w:r>
              <w:t>118</w:t>
            </w:r>
          </w:p>
        </w:tc>
      </w:tr>
      <w:tr w:rsidR="00000000">
        <w:tblPrEx>
          <w:tblCellMar>
            <w:top w:w="0" w:type="dxa"/>
            <w:left w:w="0" w:type="dxa"/>
            <w:bottom w:w="0" w:type="dxa"/>
            <w:right w:w="0" w:type="dxa"/>
          </w:tblCellMar>
        </w:tblPrEx>
        <w:trPr>
          <w:cantSplit/>
        </w:trPr>
        <w:tc>
          <w:tcPr>
            <w:tcW w:w="9110" w:type="dxa"/>
            <w:gridSpan w:val="4"/>
          </w:tcPr>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before="40" w:after="40"/>
            </w:pPr>
            <w:r>
              <w:tab/>
            </w:r>
            <w:r>
              <w:tab/>
              <w:t>Cuarta parte</w:t>
            </w:r>
            <w:r>
              <w:br/>
            </w:r>
            <w:r>
              <w:tab/>
            </w:r>
            <w:r>
              <w:tab/>
              <w:t>Normas de interpretación</w:t>
            </w:r>
          </w:p>
        </w:tc>
        <w:tc>
          <w:tcPr>
            <w:tcW w:w="792" w:type="dxa"/>
            <w:vAlign w:val="bottom"/>
          </w:tcPr>
          <w:p w:rsidR="00000000" w:rsidRDefault="00000000">
            <w:pPr>
              <w:spacing w:before="40" w:after="40"/>
              <w:ind w:right="40"/>
              <w:jc w:val="right"/>
            </w:pPr>
          </w:p>
        </w:tc>
      </w:tr>
      <w:tr w:rsidR="00000000">
        <w:tblPrEx>
          <w:tblCellMar>
            <w:top w:w="0" w:type="dxa"/>
            <w:left w:w="0" w:type="dxa"/>
            <w:bottom w:w="0" w:type="dxa"/>
            <w:right w:w="0" w:type="dxa"/>
          </w:tblCellMar>
        </w:tblPrEx>
        <w:trPr>
          <w:cantSplit/>
        </w:trPr>
        <w:tc>
          <w:tcPr>
            <w:tcW w:w="9110"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before="40" w:after="40"/>
              <w:rPr>
                <w:spacing w:val="60"/>
                <w:sz w:val="17"/>
              </w:rPr>
            </w:pPr>
            <w:r>
              <w:tab/>
              <w:t>XVIII.</w:t>
            </w:r>
            <w:r>
              <w:tab/>
              <w:t>Interpretación y enmiendas</w:t>
            </w:r>
          </w:p>
        </w:tc>
        <w:tc>
          <w:tcPr>
            <w:tcW w:w="792" w:type="dxa"/>
            <w:vAlign w:val="bottom"/>
          </w:tcPr>
          <w:p w:rsidR="00000000" w:rsidRDefault="00000000">
            <w:pPr>
              <w:spacing w:before="40" w:after="40"/>
              <w:ind w:right="40"/>
              <w:jc w:val="right"/>
            </w:pP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242"/>
              </w:numPr>
              <w:tabs>
                <w:tab w:val="right" w:pos="1080"/>
                <w:tab w:val="left" w:pos="1296"/>
                <w:tab w:val="left" w:pos="2160"/>
                <w:tab w:val="right" w:leader="dot" w:pos="9101"/>
              </w:tabs>
              <w:spacing w:before="40" w:after="40"/>
              <w:ind w:left="1296"/>
            </w:pPr>
            <w:r>
              <w:t>Títulos</w:t>
            </w:r>
            <w:r>
              <w:rPr>
                <w:spacing w:val="60"/>
                <w:sz w:val="17"/>
              </w:rPr>
              <w:tab/>
            </w:r>
          </w:p>
        </w:tc>
        <w:tc>
          <w:tcPr>
            <w:tcW w:w="792" w:type="dxa"/>
            <w:vAlign w:val="bottom"/>
          </w:tcPr>
          <w:p w:rsidR="00000000" w:rsidRDefault="00000000">
            <w:pPr>
              <w:spacing w:before="40" w:after="40"/>
              <w:ind w:right="40"/>
              <w:jc w:val="right"/>
            </w:pPr>
            <w:r>
              <w:t>119</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242"/>
              </w:numPr>
              <w:tabs>
                <w:tab w:val="right" w:pos="1080"/>
                <w:tab w:val="left" w:pos="1296"/>
                <w:tab w:val="left" w:pos="2160"/>
                <w:tab w:val="left" w:pos="2592"/>
                <w:tab w:val="right" w:leader="dot" w:pos="9101"/>
              </w:tabs>
              <w:spacing w:before="40" w:after="40"/>
              <w:ind w:left="1296"/>
            </w:pPr>
            <w:r>
              <w:t>Enmiendas</w:t>
            </w:r>
            <w:r>
              <w:rPr>
                <w:spacing w:val="60"/>
                <w:sz w:val="17"/>
              </w:rPr>
              <w:tab/>
            </w:r>
          </w:p>
        </w:tc>
        <w:tc>
          <w:tcPr>
            <w:tcW w:w="792" w:type="dxa"/>
            <w:vAlign w:val="bottom"/>
          </w:tcPr>
          <w:p w:rsidR="00000000" w:rsidRDefault="00000000">
            <w:pPr>
              <w:spacing w:before="40" w:after="40"/>
              <w:ind w:right="40"/>
              <w:jc w:val="right"/>
            </w:pPr>
            <w:r>
              <w:t>119</w:t>
            </w:r>
          </w:p>
        </w:tc>
      </w:tr>
      <w:tr w:rsidR="00000000">
        <w:tblPrEx>
          <w:tblCellMar>
            <w:top w:w="0" w:type="dxa"/>
            <w:left w:w="0" w:type="dxa"/>
            <w:bottom w:w="0" w:type="dxa"/>
            <w:right w:w="0" w:type="dxa"/>
          </w:tblCellMar>
        </w:tblPrEx>
        <w:trPr>
          <w:cantSplit/>
        </w:trPr>
        <w:tc>
          <w:tcPr>
            <w:tcW w:w="9110" w:type="dxa"/>
            <w:gridSpan w:val="4"/>
          </w:tcPr>
          <w:p w:rsidR="00000000" w:rsidRDefault="00000000">
            <w:pPr>
              <w:numPr>
                <w:ilvl w:val="0"/>
                <w:numId w:val="242"/>
              </w:numPr>
              <w:tabs>
                <w:tab w:val="right" w:pos="1080"/>
                <w:tab w:val="left" w:pos="1296"/>
                <w:tab w:val="left" w:pos="2160"/>
                <w:tab w:val="left" w:pos="2592"/>
                <w:tab w:val="right" w:leader="dot" w:pos="9101"/>
              </w:tabs>
              <w:spacing w:before="40" w:after="40"/>
              <w:ind w:left="1296"/>
            </w:pPr>
            <w:r>
              <w:t>Suspensión</w:t>
            </w:r>
            <w:r>
              <w:rPr>
                <w:spacing w:val="60"/>
                <w:sz w:val="17"/>
              </w:rPr>
              <w:tab/>
            </w:r>
          </w:p>
        </w:tc>
        <w:tc>
          <w:tcPr>
            <w:tcW w:w="792" w:type="dxa"/>
            <w:vAlign w:val="bottom"/>
          </w:tcPr>
          <w:p w:rsidR="00000000" w:rsidRDefault="00000000">
            <w:pPr>
              <w:spacing w:before="40" w:after="40"/>
              <w:ind w:right="40"/>
              <w:jc w:val="right"/>
            </w:pPr>
            <w:r>
              <w:t>119</w:t>
            </w:r>
          </w:p>
        </w:tc>
      </w:tr>
    </w:tbl>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r>
      <w:bookmarkStart w:id="1" w:name="_Toc505500587"/>
      <w:r>
        <w:t>Primera parte</w:t>
      </w:r>
      <w:bookmarkEnd w:id="1"/>
      <w:r>
        <w:t xml:space="preserve"> </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bookmarkStart w:id="2" w:name="_Toc505500588"/>
      <w:r>
        <w:t>Artículos de carácter general</w:t>
      </w:r>
      <w:bookmarkEnd w:id="2"/>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bookmarkStart w:id="3" w:name="_Toc505500589"/>
      <w:r>
        <w:t>I.</w:t>
      </w:r>
      <w:r>
        <w:tab/>
        <w:t>Períodos de sesiones</w:t>
      </w:r>
      <w:bookmarkEnd w:id="3"/>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 w:name="_Toc505500590"/>
      <w:r>
        <w:t>Artículo 1</w:t>
      </w:r>
      <w:r>
        <w:br/>
        <w:t>Períodos de sesiones</w:t>
      </w:r>
      <w:bookmarkEnd w:id="4"/>
    </w:p>
    <w:p w:rsidR="00000000" w:rsidRDefault="00000000">
      <w:pPr>
        <w:pStyle w:val="SingleTxt"/>
        <w:spacing w:after="0" w:line="120" w:lineRule="exact"/>
        <w:rPr>
          <w:sz w:val="10"/>
        </w:rPr>
      </w:pPr>
    </w:p>
    <w:p w:rsidR="00000000" w:rsidRDefault="00000000">
      <w:pPr>
        <w:pStyle w:val="SingleTxt"/>
      </w:pPr>
      <w:r>
        <w:tab/>
        <w:t>El Comité para la Eliminación de la Discriminación contra la Mujer (en lo s</w:t>
      </w:r>
      <w:r>
        <w:t>u</w:t>
      </w:r>
      <w:r>
        <w:t>cesivo denominado “el Comité”) celebrará los períodos de sesiones que sean neces</w:t>
      </w:r>
      <w:r>
        <w:t>a</w:t>
      </w:r>
      <w:r>
        <w:t>rios para el desempeño satisfactorio de las funciones que se le encomiendan de co</w:t>
      </w:r>
      <w:r>
        <w:t>n</w:t>
      </w:r>
      <w:r>
        <w:t>formidad con la Convención sobre la eliminación de todas las formas de discrimin</w:t>
      </w:r>
      <w:r>
        <w:t>a</w:t>
      </w:r>
      <w:r>
        <w:t>ción contra la mujer (en lo sucesivo denominada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 w:name="_Toc505500591"/>
      <w:r>
        <w:t>Artículo 2</w:t>
      </w:r>
      <w:bookmarkEnd w:id="5"/>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 w:name="_Toc505500592"/>
      <w:r>
        <w:t>Períodos ordinarios de sesiones</w:t>
      </w:r>
      <w:bookmarkEnd w:id="6"/>
    </w:p>
    <w:p w:rsidR="00000000" w:rsidRDefault="00000000">
      <w:pPr>
        <w:pStyle w:val="SingleTxt"/>
        <w:spacing w:after="0" w:line="120" w:lineRule="exact"/>
        <w:rPr>
          <w:sz w:val="10"/>
        </w:rPr>
      </w:pPr>
    </w:p>
    <w:p w:rsidR="00000000" w:rsidRDefault="00000000">
      <w:pPr>
        <w:pStyle w:val="SingleTxt"/>
      </w:pPr>
      <w:r>
        <w:t>1.</w:t>
      </w:r>
      <w:r>
        <w:tab/>
        <w:t>El Comité celebrará todos los años los períodos ordinarios de sesiones que autoricen los Estados partes en la Convención.</w:t>
      </w:r>
    </w:p>
    <w:p w:rsidR="00000000" w:rsidRDefault="00000000">
      <w:pPr>
        <w:pStyle w:val="SingleTxt"/>
      </w:pPr>
      <w:r>
        <w:t>2.</w:t>
      </w:r>
      <w:r>
        <w:tab/>
        <w:t>Los períodos ordinarios de sesiones del Comité se celebrarán en las fechas que decida éste en consulta con el Secretario General de las Naciones Unidas (en lo s</w:t>
      </w:r>
      <w:r>
        <w:t>u</w:t>
      </w:r>
      <w:r>
        <w:t>cesivo denominado el “Secretario General”), teniendo en cuenta el calendario de conferencias y reuniones aprobado por la Asamblea General.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 w:name="_Toc505500593"/>
      <w:r>
        <w:t>Artículo 3</w:t>
      </w:r>
      <w:bookmarkEnd w:id="7"/>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 w:name="_Toc505500594"/>
      <w:r>
        <w:t>Períodos extraordinarios de sesiones</w:t>
      </w:r>
      <w:bookmarkEnd w:id="8"/>
    </w:p>
    <w:p w:rsidR="00000000" w:rsidRDefault="00000000">
      <w:pPr>
        <w:pStyle w:val="SingleTxt"/>
        <w:spacing w:after="0" w:line="120" w:lineRule="exact"/>
        <w:rPr>
          <w:sz w:val="10"/>
        </w:rPr>
      </w:pPr>
    </w:p>
    <w:p w:rsidR="00000000" w:rsidRDefault="00000000">
      <w:pPr>
        <w:pStyle w:val="SingleTxt"/>
      </w:pPr>
      <w:r>
        <w:t>1.</w:t>
      </w:r>
      <w:r>
        <w:tab/>
        <w:t>Los períodos extraordinarios de sesiones del Comité se celebrarán por decisión de éste (o a petición de un Estado parte en la Convención). El Presidente del Comité también podrá convocar períodos extraord</w:t>
      </w:r>
      <w:r>
        <w:t>i</w:t>
      </w:r>
      <w:r>
        <w:t>narios de sesiones:</w:t>
      </w:r>
    </w:p>
    <w:p w:rsidR="00000000" w:rsidRDefault="00000000">
      <w:pPr>
        <w:pStyle w:val="SingleTxt"/>
      </w:pPr>
      <w:r>
        <w:tab/>
        <w:t>a)</w:t>
      </w:r>
      <w:r>
        <w:tab/>
        <w:t>A petición de la mayoría de los miembros del Comité;</w:t>
      </w:r>
    </w:p>
    <w:p w:rsidR="00000000" w:rsidRDefault="00000000">
      <w:pPr>
        <w:pStyle w:val="SingleTxt"/>
      </w:pPr>
      <w:r>
        <w:tab/>
        <w:t>b)</w:t>
      </w:r>
      <w:r>
        <w:tab/>
        <w:t>A petición de un Estado parte en la Convención.</w:t>
      </w:r>
    </w:p>
    <w:p w:rsidR="00000000" w:rsidRDefault="00000000">
      <w:pPr>
        <w:pStyle w:val="SingleTxt"/>
      </w:pPr>
      <w:r>
        <w:t>2.</w:t>
      </w:r>
      <w:r>
        <w:tab/>
        <w:t>Los períodos extraordinarios de sesiones se convocarán lo antes posible en una fecha que determine el Presidente en consulta con el Secretario General y con el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9" w:name="_Toc505500595"/>
      <w:r>
        <w:t>Artículo 4</w:t>
      </w:r>
      <w:bookmarkEnd w:id="9"/>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 w:name="_Toc505500596"/>
      <w:r>
        <w:t>Grupo de Trabajo anterior al período de sesiones</w:t>
      </w:r>
      <w:bookmarkEnd w:id="10"/>
    </w:p>
    <w:p w:rsidR="00000000" w:rsidRDefault="00000000">
      <w:pPr>
        <w:pStyle w:val="SingleTxt"/>
        <w:spacing w:after="0" w:line="120" w:lineRule="exact"/>
        <w:rPr>
          <w:sz w:val="10"/>
        </w:rPr>
      </w:pPr>
    </w:p>
    <w:p w:rsidR="00000000" w:rsidRDefault="00000000">
      <w:pPr>
        <w:pStyle w:val="SingleTxt"/>
      </w:pPr>
      <w:r>
        <w:t>1.</w:t>
      </w:r>
      <w:r>
        <w:tab/>
        <w:t>Antes de cada período ordinario de sesiones se convocará un Grupo de Trabajo anterior al período de sesiones que constará de un máximo de cinco miembros del Comité que nombrará el Presidente en consulta con el Comité en un período ordin</w:t>
      </w:r>
      <w:r>
        <w:t>a</w:t>
      </w:r>
      <w:r>
        <w:t>rio de sesiones con arreglo al principio de la representación geográfica equitat</w:t>
      </w:r>
      <w:r>
        <w:t>i</w:t>
      </w:r>
      <w:r>
        <w:t>va.</w:t>
      </w:r>
    </w:p>
    <w:p w:rsidR="00000000" w:rsidRDefault="00000000">
      <w:pPr>
        <w:pStyle w:val="SingleTxt"/>
      </w:pPr>
      <w:r>
        <w:t>2.</w:t>
      </w:r>
      <w:r>
        <w:tab/>
        <w:t>El Grupo de Trabajo anterior al período de sesiones elaborará una lista de asuntos y preguntas sobre cuestiones sustantivas que surjan de los informes prese</w:t>
      </w:r>
      <w:r>
        <w:t>n</w:t>
      </w:r>
      <w:r>
        <w:t>tados por los Estados partes de conformidad con el artículo 18 de la Convención y presentarán esa lista de asuntos y preguntas a los Estados partes en cuestión.</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 w:name="_Toc505500597"/>
      <w:r>
        <w:t>Artículo 5</w:t>
      </w:r>
      <w:bookmarkEnd w:id="11"/>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2" w:name="_Toc505500598"/>
      <w:r>
        <w:t>Lugar de celebración de los períodos de sesiones</w:t>
      </w:r>
      <w:bookmarkEnd w:id="12"/>
    </w:p>
    <w:p w:rsidR="00000000" w:rsidRDefault="00000000">
      <w:pPr>
        <w:pStyle w:val="SingleTxt"/>
        <w:spacing w:after="0" w:line="120" w:lineRule="exact"/>
        <w:rPr>
          <w:sz w:val="10"/>
        </w:rPr>
      </w:pPr>
    </w:p>
    <w:p w:rsidR="00000000" w:rsidRDefault="00000000">
      <w:pPr>
        <w:pStyle w:val="SingleTxt"/>
      </w:pPr>
      <w:r>
        <w:tab/>
        <w:t>Los períodos de sesiones del Comité se celebrarán normalmente en la Sede o en las otras oficinas de las Naciones Unidas. El Comité, en consulta con el Secret</w:t>
      </w:r>
      <w:r>
        <w:t>a</w:t>
      </w:r>
      <w:r>
        <w:t>rio General, podrá proponer otro lugar para celebrar el período de sesiones.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 w:name="_Toc505500599"/>
      <w:r>
        <w:t>Artículo 6</w:t>
      </w:r>
      <w:bookmarkEnd w:id="13"/>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4" w:name="_Toc505500600"/>
      <w:r>
        <w:t>Notificación de la fecha de apertura de los períodos de sesiones</w:t>
      </w:r>
      <w:bookmarkEnd w:id="14"/>
    </w:p>
    <w:p w:rsidR="00000000" w:rsidRDefault="00000000">
      <w:pPr>
        <w:pStyle w:val="SingleTxt"/>
        <w:spacing w:after="0" w:line="120" w:lineRule="exact"/>
        <w:rPr>
          <w:sz w:val="10"/>
        </w:rPr>
      </w:pPr>
    </w:p>
    <w:p w:rsidR="00000000" w:rsidRDefault="00000000">
      <w:pPr>
        <w:pStyle w:val="SingleTxt"/>
      </w:pPr>
      <w:r>
        <w:tab/>
        <w:t>El Secretario General notificará a los miembros del Comité la fecha, la dur</w:t>
      </w:r>
      <w:r>
        <w:t>a</w:t>
      </w:r>
      <w:r>
        <w:t>ción y el lugar de celebración de la primera sesión de cada período de sesiones. D</w:t>
      </w:r>
      <w:r>
        <w:t>i</w:t>
      </w:r>
      <w:r>
        <w:t>cha notificación se enviará, en el caso de los períodos ordinarios de sesiones, al m</w:t>
      </w:r>
      <w:r>
        <w:t>e</w:t>
      </w:r>
      <w:r>
        <w:t xml:space="preserve">nos con seis semanas de antelación.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15" w:name="_Toc505500601"/>
      <w:r>
        <w:t>II.</w:t>
      </w:r>
      <w:r>
        <w:tab/>
        <w:t>Programa</w:t>
      </w:r>
      <w:bookmarkEnd w:id="1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6" w:name="_Toc505500602"/>
      <w:r>
        <w:t>Artículo 7</w:t>
      </w:r>
      <w:bookmarkEnd w:id="16"/>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7" w:name="_Toc505500603"/>
      <w:r>
        <w:t>Programa provisional</w:t>
      </w:r>
      <w:bookmarkEnd w:id="17"/>
    </w:p>
    <w:p w:rsidR="00000000" w:rsidRDefault="00000000">
      <w:pPr>
        <w:pStyle w:val="SingleTxt"/>
        <w:spacing w:after="0" w:line="120" w:lineRule="exact"/>
        <w:rPr>
          <w:sz w:val="10"/>
        </w:rPr>
      </w:pPr>
    </w:p>
    <w:p w:rsidR="00000000" w:rsidRDefault="00000000">
      <w:pPr>
        <w:pStyle w:val="SingleTxt"/>
        <w:rPr>
          <w:w w:val="101"/>
        </w:rPr>
      </w:pPr>
      <w:r>
        <w:rPr>
          <w:w w:val="101"/>
        </w:rPr>
        <w:tab/>
        <w:t>El Secretario General, en consulta con el Presidente del Comité, preparará el programa provisional de cada período ordinario o extraordinario de sesiones, de co</w:t>
      </w:r>
      <w:r>
        <w:rPr>
          <w:w w:val="101"/>
        </w:rPr>
        <w:t>n</w:t>
      </w:r>
      <w:r>
        <w:rPr>
          <w:w w:val="101"/>
        </w:rPr>
        <w:t>formidad con las disposiciones pertinentes de la Convención, e incluirá lo s</w:t>
      </w:r>
      <w:r>
        <w:rPr>
          <w:w w:val="101"/>
        </w:rPr>
        <w:t>i</w:t>
      </w:r>
      <w:r>
        <w:rPr>
          <w:w w:val="101"/>
        </w:rPr>
        <w:t>guiente:</w:t>
      </w:r>
    </w:p>
    <w:p w:rsidR="00000000" w:rsidRDefault="00000000">
      <w:pPr>
        <w:pStyle w:val="SingleTxt"/>
      </w:pPr>
      <w:r>
        <w:tab/>
        <w:t>a)</w:t>
      </w:r>
      <w:r>
        <w:tab/>
        <w:t>Los temas cuya inclusión haya decidido el Comité en un período de s</w:t>
      </w:r>
      <w:r>
        <w:t>e</w:t>
      </w:r>
      <w:r>
        <w:t>siones anterior;</w:t>
      </w:r>
    </w:p>
    <w:p w:rsidR="00000000" w:rsidRDefault="00000000">
      <w:pPr>
        <w:pStyle w:val="SingleTxt"/>
      </w:pPr>
      <w:r>
        <w:tab/>
        <w:t>b)</w:t>
      </w:r>
      <w:r>
        <w:tab/>
        <w:t>Los temas propuestos por el Presidente del Comité;</w:t>
      </w:r>
    </w:p>
    <w:p w:rsidR="00000000" w:rsidRDefault="00000000">
      <w:pPr>
        <w:pStyle w:val="SingleTxt"/>
      </w:pPr>
      <w:r>
        <w:tab/>
        <w:t>c)</w:t>
      </w:r>
      <w:r>
        <w:tab/>
        <w:t>Los temas propuestos por un miembro del Comité;</w:t>
      </w:r>
    </w:p>
    <w:p w:rsidR="00000000" w:rsidRDefault="00000000">
      <w:pPr>
        <w:pStyle w:val="SingleTxt"/>
      </w:pPr>
      <w:r>
        <w:tab/>
        <w:t>d)</w:t>
      </w:r>
      <w:r>
        <w:tab/>
        <w:t>Los temas propuestos por un Estado parte en la Convención;</w:t>
      </w:r>
    </w:p>
    <w:p w:rsidR="00000000" w:rsidRDefault="00000000">
      <w:pPr>
        <w:pStyle w:val="SingleTxt"/>
      </w:pPr>
      <w:r>
        <w:tab/>
        <w:t>e)</w:t>
      </w:r>
      <w:r>
        <w:tab/>
        <w:t>Los temas propuestos por el Secretario General relativos a las funciones que se le encomienden en virtud de la Convención o del presente reglamento.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8" w:name="_Toc505500604"/>
      <w:r>
        <w:t>Artículo 8</w:t>
      </w:r>
      <w:bookmarkEnd w:id="18"/>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9" w:name="_Toc505500605"/>
      <w:r>
        <w:t>Transmisión del programa provisional</w:t>
      </w:r>
      <w:bookmarkEnd w:id="19"/>
    </w:p>
    <w:p w:rsidR="00000000" w:rsidRDefault="00000000">
      <w:pPr>
        <w:pStyle w:val="SingleTxt"/>
        <w:keepNext/>
        <w:keepLines/>
        <w:spacing w:after="0" w:line="120" w:lineRule="exact"/>
        <w:rPr>
          <w:sz w:val="10"/>
        </w:rPr>
      </w:pPr>
    </w:p>
    <w:p w:rsidR="00000000" w:rsidRDefault="00000000">
      <w:pPr>
        <w:pStyle w:val="SingleTxt"/>
        <w:keepNext/>
        <w:keepLines/>
      </w:pPr>
      <w:r>
        <w:tab/>
        <w:t>El Secretario General preparará en todos los idiomas oficiales de las Naciones Unidas el programa provisional y los documentos básicos relativos a cada uno de los temas incluidos en el mismo, el informe del grupo de trabajo anterior al período de sesiones, los informes de los Estados partes presentados en virtud del artículo 18 de la Convención y las respuestas de los Estados partes a las cuestiones planteadas por el grupo de trabajo anterior al período de sesiones, y procurará que los documentos se envíen a los miembros del Comité al menos seis semanas antes de la fecha de apertura del período de sesiones.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0" w:name="_Toc505500606"/>
      <w:r>
        <w:t>Artículo 9</w:t>
      </w:r>
      <w:bookmarkEnd w:id="20"/>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1" w:name="_Toc505500607"/>
      <w:r>
        <w:t>Aprobación del programa</w:t>
      </w:r>
      <w:bookmarkEnd w:id="21"/>
    </w:p>
    <w:p w:rsidR="00000000" w:rsidRDefault="00000000">
      <w:pPr>
        <w:pStyle w:val="SingleTxt"/>
        <w:spacing w:after="0" w:line="120" w:lineRule="exact"/>
        <w:rPr>
          <w:sz w:val="10"/>
        </w:rPr>
      </w:pPr>
    </w:p>
    <w:p w:rsidR="00000000" w:rsidRDefault="00000000">
      <w:pPr>
        <w:pStyle w:val="SingleTxt"/>
      </w:pPr>
      <w:r>
        <w:tab/>
        <w:t>El primer tema del programa provisional de cada período de sesiones será la aprobación del programa.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2" w:name="_Toc505500608"/>
      <w:r>
        <w:t>Artículo 10</w:t>
      </w:r>
      <w:bookmarkEnd w:id="22"/>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3" w:name="_Toc505500609"/>
      <w:r>
        <w:t>Revisión del programa</w:t>
      </w:r>
      <w:bookmarkEnd w:id="23"/>
    </w:p>
    <w:p w:rsidR="00000000" w:rsidRDefault="00000000">
      <w:pPr>
        <w:pStyle w:val="SingleTxt"/>
        <w:spacing w:after="0" w:line="120" w:lineRule="exact"/>
        <w:rPr>
          <w:sz w:val="10"/>
        </w:rPr>
      </w:pPr>
    </w:p>
    <w:p w:rsidR="00000000" w:rsidRDefault="00000000">
      <w:pPr>
        <w:pStyle w:val="SingleTxt"/>
      </w:pPr>
      <w:r>
        <w:tab/>
        <w:t>Durante un período de sesiones, el Comité podrá revisar el programa y, según proceda, suprimir o aplazar temas por decisión de la mayoría de los miembros pr</w:t>
      </w:r>
      <w:r>
        <w:t>e</w:t>
      </w:r>
      <w:r>
        <w:t>sentes y votantes. Se podrán incluir en el programa, por decisión de la mayoría de los miembros, otros temas de carácter urgente.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24" w:name="_Toc505500610"/>
      <w:r>
        <w:t>III.</w:t>
      </w:r>
      <w:r>
        <w:tab/>
        <w:t>Miembros del Comité</w:t>
      </w:r>
      <w:bookmarkEnd w:id="2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5" w:name="_Toc505500611"/>
      <w:r>
        <w:t>Artículo 11</w:t>
      </w:r>
      <w:r>
        <w:br/>
        <w:t>Miembros del Comité</w:t>
      </w:r>
      <w:bookmarkEnd w:id="25"/>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tab/>
      </w:r>
      <w:bookmarkStart w:id="26" w:name="_Toc505500612"/>
      <w:r>
        <w:rPr>
          <w:b w:val="0"/>
        </w:rPr>
        <w:t>Los miembros del Comité no podrán estar representados por suplentes.</w:t>
      </w:r>
      <w:bookmarkEnd w:id="26"/>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7" w:name="_Toc505500613"/>
      <w:r>
        <w:t>Artículo 12</w:t>
      </w:r>
      <w:bookmarkEnd w:id="27"/>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8" w:name="_Toc505500614"/>
      <w:r>
        <w:t>Mandato</w:t>
      </w:r>
      <w:bookmarkEnd w:id="28"/>
    </w:p>
    <w:p w:rsidR="00000000" w:rsidRDefault="00000000">
      <w:pPr>
        <w:pStyle w:val="SingleTxt"/>
        <w:spacing w:after="0" w:line="120" w:lineRule="exact"/>
        <w:rPr>
          <w:sz w:val="10"/>
        </w:rPr>
      </w:pPr>
    </w:p>
    <w:p w:rsidR="00000000" w:rsidRDefault="00000000">
      <w:pPr>
        <w:pStyle w:val="SingleTxt"/>
      </w:pPr>
      <w:r>
        <w:tab/>
        <w:t>Los miembros del Comité iniciarán su mandato:</w:t>
      </w:r>
    </w:p>
    <w:p w:rsidR="00000000" w:rsidRDefault="00000000">
      <w:pPr>
        <w:pStyle w:val="SingleTxt"/>
      </w:pPr>
      <w:r>
        <w:tab/>
        <w:t>a)</w:t>
      </w:r>
      <w:r>
        <w:tab/>
        <w:t>El 1° de enero del año siguiente a su elección por los Estados partes y f</w:t>
      </w:r>
      <w:r>
        <w:t>i</w:t>
      </w:r>
      <w:r>
        <w:t>nalizará el 31 de diciembre cuatro años más tarde;</w:t>
      </w:r>
    </w:p>
    <w:p w:rsidR="00000000" w:rsidRDefault="00000000">
      <w:pPr>
        <w:pStyle w:val="SingleTxt"/>
      </w:pPr>
      <w:r>
        <w:tab/>
        <w:t>b)</w:t>
      </w:r>
      <w:r>
        <w:tab/>
        <w:t>En la fecha de la aprobación por el Comité, en el caso de los miembros nombrados para cubrir una vacante imprevista, y finalizará el día en que termina el mandato del miembro o los miembros que reemplazan.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9" w:name="_Toc505500615"/>
      <w:r>
        <w:t>Artículo 13</w:t>
      </w:r>
      <w:bookmarkEnd w:id="29"/>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0" w:name="_Toc505500616"/>
      <w:r>
        <w:t>Vacantes imprevistas</w:t>
      </w:r>
      <w:bookmarkEnd w:id="30"/>
    </w:p>
    <w:p w:rsidR="00000000" w:rsidRDefault="00000000">
      <w:pPr>
        <w:pStyle w:val="SingleTxt"/>
        <w:spacing w:after="0" w:line="120" w:lineRule="exact"/>
        <w:rPr>
          <w:sz w:val="10"/>
        </w:rPr>
      </w:pPr>
    </w:p>
    <w:p w:rsidR="00000000" w:rsidRDefault="00000000">
      <w:pPr>
        <w:pStyle w:val="SingleTxt"/>
      </w:pPr>
      <w:r>
        <w:t>1.</w:t>
      </w:r>
      <w:r>
        <w:tab/>
        <w:t>Una vacante imprevista se puede producir por fallecimiento, incapacidad de un miembro del Comité para desempeñar sus funciones como miembro del Comité o renuncia de un miembro del Comité. El Presidente notificará de inmediato al Secr</w:t>
      </w:r>
      <w:r>
        <w:t>e</w:t>
      </w:r>
      <w:r>
        <w:t>tario General, que informará al Estado parte del miembro en cuestión para que se adopten medidas de conformidad con el párrafo 7 del artículo 17 de la Conve</w:t>
      </w:r>
      <w:r>
        <w:t>n</w:t>
      </w:r>
      <w:r>
        <w:t>ción.</w:t>
      </w:r>
    </w:p>
    <w:p w:rsidR="00000000" w:rsidRDefault="00000000">
      <w:pPr>
        <w:pStyle w:val="SingleTxt"/>
      </w:pPr>
      <w:r>
        <w:t>2.</w:t>
      </w:r>
      <w:r>
        <w:tab/>
        <w:t>La renuncia de un miembro del Comité deberá notificarse por escrito al Pres</w:t>
      </w:r>
      <w:r>
        <w:t>i</w:t>
      </w:r>
      <w:r>
        <w:t>dente o al Secretario General y se tomarán medidas de conformidad con el párr</w:t>
      </w:r>
      <w:r>
        <w:t>a</w:t>
      </w:r>
      <w:r>
        <w:t>fo 7 del artículo 17 de la Convención sólo después de que se haya recibido dicha not</w:t>
      </w:r>
      <w:r>
        <w:t>i</w:t>
      </w:r>
      <w:r>
        <w:t>ficación.</w:t>
      </w:r>
    </w:p>
    <w:p w:rsidR="00000000" w:rsidRDefault="00000000">
      <w:pPr>
        <w:pStyle w:val="SingleTxt"/>
        <w:numPr>
          <w:ilvl w:val="0"/>
          <w:numId w:val="200"/>
        </w:numPr>
      </w:pPr>
      <w:r>
        <w:t>El miembro que no pueda asistir a las sesiones del Comité informará lo antes posible al Secretario General y, si es posible que su incapacidad se prolongue, deb</w:t>
      </w:r>
      <w:r>
        <w:t>e</w:t>
      </w:r>
      <w:r>
        <w:t>rá renunciar al cargo.</w:t>
      </w:r>
    </w:p>
    <w:p w:rsidR="00000000" w:rsidRDefault="00000000">
      <w:pPr>
        <w:pStyle w:val="SingleTxt"/>
        <w:numPr>
          <w:ilvl w:val="0"/>
          <w:numId w:val="200"/>
        </w:numPr>
      </w:pPr>
      <w:r>
        <w:t>Cuando un miembro del Comité no pueda desempeñar sus funciones regula</w:t>
      </w:r>
      <w:r>
        <w:t>r</w:t>
      </w:r>
      <w:r>
        <w:t>mente por cualquier causa distinta de una ausencia temporal, el Presidente señalará a su atención la disposición anterior.</w:t>
      </w:r>
    </w:p>
    <w:p w:rsidR="00000000" w:rsidRDefault="00000000">
      <w:pPr>
        <w:pStyle w:val="SingleTxt"/>
        <w:numPr>
          <w:ilvl w:val="0"/>
          <w:numId w:val="200"/>
        </w:numPr>
      </w:pPr>
      <w:r>
        <w:t>Cuando se señala el párrafo 4 del artículo 13 a la atención de un mie</w:t>
      </w:r>
      <w:r>
        <w:t>m</w:t>
      </w:r>
      <w:r>
        <w:t>bro del Comité y éste no renuncia a su cargo de conformidad con dicho artículo, el Presidente notificará al Secretario General, el cual informará al Estado parte del miembro en cuestión para que se adopten medidas de conformidad con el párrafo 7 del art</w:t>
      </w:r>
      <w:r>
        <w:t>í</w:t>
      </w:r>
      <w:r>
        <w:t>culo 17 de la Convención.</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1" w:name="_Toc505500617"/>
      <w:r>
        <w:t>Artículo 14</w:t>
      </w:r>
      <w:bookmarkEnd w:id="31"/>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2" w:name="_Toc505500618"/>
      <w:r>
        <w:t>Nombramientos para llenar vacantes imprevistas</w:t>
      </w:r>
      <w:bookmarkEnd w:id="32"/>
    </w:p>
    <w:p w:rsidR="00000000" w:rsidRDefault="00000000">
      <w:pPr>
        <w:pStyle w:val="SingleTxt"/>
        <w:spacing w:after="0" w:line="120" w:lineRule="exact"/>
        <w:rPr>
          <w:sz w:val="10"/>
        </w:rPr>
      </w:pPr>
    </w:p>
    <w:p w:rsidR="00000000" w:rsidRDefault="00000000">
      <w:pPr>
        <w:pStyle w:val="SingleTxt"/>
        <w:numPr>
          <w:ilvl w:val="0"/>
          <w:numId w:val="191"/>
        </w:numPr>
      </w:pPr>
      <w:r>
        <w:t>Cuando se produzca en el Comité una vacante imprevista de conformidad con lo dispuesto en el párrafo 7 del artículo 17 de la Convención, el Secretario G</w:t>
      </w:r>
      <w:r>
        <w:t>e</w:t>
      </w:r>
      <w:r>
        <w:t>neral solicitará de inmediato al Estado parte que hubiera presentado la candidatura de dicho miembro que nombre en el plazo de dos meses a otro experto de entre sus nacionales para que preste servicios por el resto del período del mandato de su pr</w:t>
      </w:r>
      <w:r>
        <w:t>e</w:t>
      </w:r>
      <w:r>
        <w:t>decesor.</w:t>
      </w:r>
    </w:p>
    <w:p w:rsidR="00000000" w:rsidRDefault="00000000">
      <w:pPr>
        <w:pStyle w:val="SingleTxt"/>
        <w:numPr>
          <w:ilvl w:val="0"/>
          <w:numId w:val="191"/>
        </w:numPr>
      </w:pPr>
      <w:r>
        <w:t>El nombre y el curriculum vitae del experto así nombrado serán transmitidos por el Secretario General al Comité para su aprobación. Una vez que el Comité haya aprobado el nombramiento del experto, el Secretario General notificará a los Est</w:t>
      </w:r>
      <w:r>
        <w:t>a</w:t>
      </w:r>
      <w:r>
        <w:t>dos partes el nombre del miembro del Comité que ocupará la vacante imprevista.</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3" w:name="_Toc505500619"/>
      <w:r>
        <w:t>Artículo 15</w:t>
      </w:r>
      <w:bookmarkEnd w:id="33"/>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4" w:name="_Toc505500620"/>
      <w:r>
        <w:t>Declaración solemne</w:t>
      </w:r>
      <w:bookmarkEnd w:id="34"/>
    </w:p>
    <w:p w:rsidR="00000000" w:rsidRDefault="00000000">
      <w:pPr>
        <w:pStyle w:val="SingleTxt"/>
        <w:spacing w:after="0" w:line="120" w:lineRule="exact"/>
        <w:rPr>
          <w:sz w:val="10"/>
        </w:rPr>
      </w:pPr>
    </w:p>
    <w:p w:rsidR="00000000" w:rsidRDefault="00000000">
      <w:pPr>
        <w:pStyle w:val="SingleTxt"/>
      </w:pPr>
      <w:r>
        <w:tab/>
        <w:t>Al asumir sus funciones, los miembros del Comité harán la siguiente declar</w:t>
      </w:r>
      <w:r>
        <w:t>a</w:t>
      </w:r>
      <w:r>
        <w:t>ción solemne en sesión pública:</w:t>
      </w:r>
    </w:p>
    <w:p w:rsidR="00000000" w:rsidRDefault="00000000">
      <w:pPr>
        <w:pStyle w:val="SingleTxt"/>
        <w:ind w:left="1742" w:hanging="475"/>
      </w:pPr>
      <w:r>
        <w:tab/>
      </w:r>
      <w:r>
        <w:tab/>
        <w:t>“Declaro solemnemente que, en el desempeño de mis funciones y el eje</w:t>
      </w:r>
      <w:r>
        <w:t>r</w:t>
      </w:r>
      <w:r>
        <w:t>cicio de mis facultades como miembro del Comité para la Eliminación de la Discriminación contra la Mujer, actuaré con honor, fidelidad, imparcialidad y conciencia.”</w:t>
      </w:r>
    </w:p>
    <w:p w:rsidR="00000000" w:rsidRDefault="00000000">
      <w:pPr>
        <w:pStyle w:val="SingleTxt"/>
        <w:spacing w:after="0" w:line="120" w:lineRule="exact"/>
        <w:ind w:left="1742" w:hanging="475"/>
        <w:rPr>
          <w:sz w:val="10"/>
        </w:rPr>
      </w:pPr>
    </w:p>
    <w:p w:rsidR="00000000" w:rsidRDefault="00000000">
      <w:pPr>
        <w:pStyle w:val="SingleTxt"/>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35" w:name="_Toc505500621"/>
      <w:r>
        <w:t>IV.</w:t>
      </w:r>
      <w:r>
        <w:tab/>
        <w:t>Mesa del Comité</w:t>
      </w:r>
      <w:bookmarkEnd w:id="3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6" w:name="_Toc505500622"/>
      <w:r>
        <w:t>Artículo 16</w:t>
      </w:r>
      <w:bookmarkEnd w:id="36"/>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7" w:name="_Toc505500623"/>
      <w:r>
        <w:t>Elección de la Mesa del Comité</w:t>
      </w:r>
      <w:bookmarkEnd w:id="37"/>
    </w:p>
    <w:p w:rsidR="00000000" w:rsidRDefault="00000000">
      <w:pPr>
        <w:pStyle w:val="SingleTxt"/>
        <w:spacing w:after="0" w:line="120" w:lineRule="exact"/>
        <w:rPr>
          <w:sz w:val="10"/>
        </w:rPr>
      </w:pPr>
    </w:p>
    <w:p w:rsidR="00000000" w:rsidRDefault="00000000">
      <w:pPr>
        <w:pStyle w:val="SingleTxt"/>
      </w:pPr>
      <w:r>
        <w:tab/>
        <w:t>El Comité elegirá de entre sus miembros a un Presidente, tres Vicepresidentes y un Relator, teniendo debidamente en cuenta el principio de la representación ge</w:t>
      </w:r>
      <w:r>
        <w:t>o</w:t>
      </w:r>
      <w:r>
        <w:t>gráfica equitativa.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8" w:name="_Toc505500624"/>
      <w:r>
        <w:tab/>
      </w:r>
      <w:r>
        <w:tab/>
        <w:t>Artículo 17</w:t>
      </w:r>
      <w:bookmarkEnd w:id="38"/>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9" w:name="_Toc505500625"/>
      <w:r>
        <w:t>Mandato</w:t>
      </w:r>
      <w:bookmarkEnd w:id="39"/>
    </w:p>
    <w:p w:rsidR="00000000" w:rsidRDefault="00000000">
      <w:pPr>
        <w:pStyle w:val="SingleTxt"/>
        <w:spacing w:after="0" w:line="120" w:lineRule="exact"/>
        <w:rPr>
          <w:sz w:val="10"/>
        </w:rPr>
      </w:pPr>
    </w:p>
    <w:p w:rsidR="00000000" w:rsidRDefault="00000000">
      <w:pPr>
        <w:pStyle w:val="SingleTxt"/>
      </w:pPr>
      <w:r>
        <w:tab/>
        <w:t>Los miembros de la Mesa del Comité serán elegidos por un mandato de dos años y podrán ser reelegidos siempre que se mantenga el principio de la rotación. Sin embargo, ninguno de ellos podrá ejercer sus funciones si deja de ser miembro del C</w:t>
      </w:r>
      <w:r>
        <w:t>o</w:t>
      </w:r>
      <w:r>
        <w:t>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0" w:name="_Toc505500626"/>
      <w:r>
        <w:t>Artículo 18</w:t>
      </w:r>
      <w:bookmarkEnd w:id="40"/>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1" w:name="_Toc505500627"/>
      <w:r>
        <w:t>Funciones del Presidente</w:t>
      </w:r>
      <w:bookmarkEnd w:id="41"/>
    </w:p>
    <w:p w:rsidR="00000000" w:rsidRDefault="00000000">
      <w:pPr>
        <w:pStyle w:val="SingleTxt"/>
        <w:spacing w:after="0" w:line="120" w:lineRule="exact"/>
        <w:rPr>
          <w:sz w:val="10"/>
        </w:rPr>
      </w:pPr>
    </w:p>
    <w:p w:rsidR="00000000" w:rsidRDefault="00000000">
      <w:pPr>
        <w:pStyle w:val="SingleTxt"/>
      </w:pPr>
      <w:r>
        <w:t>1.</w:t>
      </w:r>
      <w:r>
        <w:tab/>
        <w:t>El Presidente desempeñará las funciones que se le han encomendado en virtud del presente reglamento y de las decisiones del Comité.</w:t>
      </w:r>
    </w:p>
    <w:p w:rsidR="00000000" w:rsidRDefault="00000000">
      <w:pPr>
        <w:pStyle w:val="SingleTxt"/>
      </w:pPr>
      <w:r>
        <w:t>2.</w:t>
      </w:r>
      <w:r>
        <w:tab/>
        <w:t>El Presidente, en el ejercicio de sus funciones, queda subordinado a la autor</w:t>
      </w:r>
      <w:r>
        <w:t>i</w:t>
      </w:r>
      <w:r>
        <w:t xml:space="preserve">dad del Comité. </w:t>
      </w:r>
    </w:p>
    <w:p w:rsidR="00000000" w:rsidRDefault="00000000">
      <w:pPr>
        <w:pStyle w:val="SingleTxt"/>
        <w:suppressAutoHyphens/>
      </w:pPr>
      <w:r>
        <w:t>3.</w:t>
      </w:r>
      <w:r>
        <w:tab/>
        <w:t>El Presidente representará al Comité en las reuniones de las Naciones Unidas a las que se invite a participar oficialmente al Comité. Si el Presidente no puede representar al Comité en esas reuniones, designará a otro miembro de la Mesa o si no estuviera disponible ningún miembro de la Mesa, a otro miembro del Comité para que asista en r</w:t>
      </w:r>
      <w:r>
        <w:t>e</w:t>
      </w:r>
      <w:r>
        <w:t>presentación suya.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2" w:name="_Toc505500628"/>
      <w:r>
        <w:t>Artículo 19</w:t>
      </w:r>
      <w:bookmarkEnd w:id="42"/>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3" w:name="_Toc505500629"/>
      <w:r>
        <w:t>Ausencia del Presidente en las sesiones del Comité</w:t>
      </w:r>
      <w:bookmarkEnd w:id="43"/>
    </w:p>
    <w:p w:rsidR="00000000" w:rsidRDefault="00000000">
      <w:pPr>
        <w:pStyle w:val="SingleTxt"/>
        <w:spacing w:after="0" w:line="120" w:lineRule="exact"/>
        <w:rPr>
          <w:sz w:val="10"/>
        </w:rPr>
      </w:pPr>
    </w:p>
    <w:p w:rsidR="00000000" w:rsidRDefault="00000000">
      <w:pPr>
        <w:pStyle w:val="SingleTxt"/>
      </w:pPr>
      <w:r>
        <w:t>1.</w:t>
      </w:r>
      <w:r>
        <w:tab/>
        <w:t>Si el Presidente no se hallase presente en una sesión o en parte de ella, desi</w:t>
      </w:r>
      <w:r>
        <w:t>g</w:t>
      </w:r>
      <w:r>
        <w:t>nará a uno de los Vicepresidentes para que actúe en su lugar.</w:t>
      </w:r>
    </w:p>
    <w:p w:rsidR="00000000" w:rsidRDefault="00000000">
      <w:pPr>
        <w:pStyle w:val="SingleTxt"/>
      </w:pPr>
      <w:r>
        <w:t>2.</w:t>
      </w:r>
      <w:r>
        <w:tab/>
        <w:t xml:space="preserve">Cuando no se haya hecho esa designación, el Vicepresidente que habrá de </w:t>
      </w:r>
      <w:r>
        <w:br/>
        <w:t xml:space="preserve">presidir será escogido siguiendo el orden alfabético inglés de los nombres de los </w:t>
      </w:r>
      <w:r>
        <w:br/>
        <w:t>Vic</w:t>
      </w:r>
      <w:r>
        <w:t>e</w:t>
      </w:r>
      <w:r>
        <w:t>presidentes.</w:t>
      </w:r>
    </w:p>
    <w:p w:rsidR="00000000" w:rsidRDefault="00000000">
      <w:pPr>
        <w:pStyle w:val="SingleTxt"/>
      </w:pPr>
      <w:r>
        <w:t>3.</w:t>
      </w:r>
      <w:r>
        <w:tab/>
        <w:t>El Vicepresidente que actúe como Presidente tendrá las mismas atribuciones y obligaciones que el Presidente.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4" w:name="_Toc505500630"/>
      <w:r>
        <w:t>Artículo 20</w:t>
      </w:r>
      <w:bookmarkEnd w:id="44"/>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5" w:name="_Toc505500631"/>
      <w:r>
        <w:t>Sustitución de los miembros de la Mesa</w:t>
      </w:r>
      <w:bookmarkEnd w:id="45"/>
    </w:p>
    <w:p w:rsidR="00000000" w:rsidRDefault="00000000">
      <w:pPr>
        <w:pStyle w:val="SingleTxt"/>
        <w:spacing w:after="0" w:line="120" w:lineRule="exact"/>
        <w:rPr>
          <w:sz w:val="10"/>
        </w:rPr>
      </w:pPr>
    </w:p>
    <w:p w:rsidR="00000000" w:rsidRDefault="00000000">
      <w:pPr>
        <w:pStyle w:val="SingleTxt"/>
      </w:pPr>
      <w:r>
        <w:tab/>
        <w:t>Si uno de los miembros de la Mesa del Comité deja de actuar como miembro de ésta o se declara incapacitado para ello, o si por cualquier razón no puede cont</w:t>
      </w:r>
      <w:r>
        <w:t>i</w:t>
      </w:r>
      <w:r>
        <w:t>nuar como miembro de la Mesa, se elegirá a un nuevo miembro de la misma región para el período que reste hasta la expiración del mandato de su predecesor.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46" w:name="_Toc505500632"/>
      <w:r>
        <w:t>V.</w:t>
      </w:r>
      <w:r>
        <w:tab/>
        <w:t>Secretaría</w:t>
      </w:r>
      <w:bookmarkEnd w:id="46"/>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7" w:name="_Toc505500633"/>
      <w:r>
        <w:t>Artículo 21</w:t>
      </w:r>
      <w:bookmarkEnd w:id="47"/>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8" w:name="_Toc505500634"/>
      <w:r>
        <w:t>Obligaciones del Secretario General</w:t>
      </w:r>
      <w:bookmarkEnd w:id="48"/>
    </w:p>
    <w:p w:rsidR="00000000" w:rsidRDefault="00000000">
      <w:pPr>
        <w:pStyle w:val="SingleTxt"/>
        <w:spacing w:after="0" w:line="120" w:lineRule="exact"/>
        <w:rPr>
          <w:sz w:val="10"/>
        </w:rPr>
      </w:pPr>
    </w:p>
    <w:p w:rsidR="00000000" w:rsidRDefault="00000000">
      <w:pPr>
        <w:pStyle w:val="SingleTxt"/>
      </w:pPr>
      <w:r>
        <w:t>1.</w:t>
      </w:r>
      <w:r>
        <w:tab/>
        <w:t>A petición del Comité, o por decisión de éste, y con la aprobación de la Asa</w:t>
      </w:r>
      <w:r>
        <w:t>m</w:t>
      </w:r>
      <w:r>
        <w:t>blea General:</w:t>
      </w:r>
    </w:p>
    <w:p w:rsidR="00000000" w:rsidRDefault="00000000">
      <w:pPr>
        <w:pStyle w:val="SingleTxt"/>
      </w:pPr>
      <w:r>
        <w:tab/>
        <w:t>a)</w:t>
      </w:r>
      <w:r>
        <w:tab/>
        <w:t>El Secretario General proporcionará los servicios de secretaría (en lo s</w:t>
      </w:r>
      <w:r>
        <w:t>u</w:t>
      </w:r>
      <w:r>
        <w:t>cesivo denominada “la secretaría”) del Comité y de los órganos subsidiarios que e</w:t>
      </w:r>
      <w:r>
        <w:t>s</w:t>
      </w:r>
      <w:r>
        <w:t>tablezca el Comité;</w:t>
      </w:r>
    </w:p>
    <w:p w:rsidR="00000000" w:rsidRDefault="00000000">
      <w:pPr>
        <w:pStyle w:val="SingleTxt"/>
      </w:pPr>
      <w:r>
        <w:tab/>
        <w:t>b)</w:t>
      </w:r>
      <w:r>
        <w:tab/>
        <w:t>El Secretario General proporcionará al Comité el personal y los servicios necesarios para el desempeño eficaz de las funciones que le corresponden con arr</w:t>
      </w:r>
      <w:r>
        <w:t>e</w:t>
      </w:r>
      <w:r>
        <w:t>glo a la Convención;</w:t>
      </w:r>
    </w:p>
    <w:p w:rsidR="00000000" w:rsidRDefault="00000000">
      <w:pPr>
        <w:pStyle w:val="SingleTxt"/>
      </w:pPr>
      <w:r>
        <w:tab/>
        <w:t>c)</w:t>
      </w:r>
      <w:r>
        <w:tab/>
        <w:t>El Secretario General será responsable de todos los arreglos necesarios para celebrar las reuniones del Comité y sus órganos subsidiarios.</w:t>
      </w:r>
    </w:p>
    <w:p w:rsidR="00000000" w:rsidRDefault="00000000">
      <w:pPr>
        <w:pStyle w:val="SingleTxt"/>
        <w:numPr>
          <w:ilvl w:val="0"/>
          <w:numId w:val="183"/>
        </w:numPr>
        <w:tabs>
          <w:tab w:val="clear" w:pos="475"/>
          <w:tab w:val="num" w:pos="1742"/>
        </w:tabs>
        <w:ind w:left="1267"/>
      </w:pPr>
      <w:r>
        <w:t>El Secretario General se encargará de informar sin demora a los miembros del Comité de toda cuestión que pueda ser presentada al Comité para su examen o de cualquier otro acontecimiento que pueda ser de importancia para el Com</w:t>
      </w:r>
      <w:r>
        <w:t>i</w:t>
      </w:r>
      <w:r>
        <w:t>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9" w:name="_Toc505500635"/>
      <w:r>
        <w:t>Artículo 22</w:t>
      </w:r>
      <w:bookmarkEnd w:id="49"/>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0" w:name="_Toc505500636"/>
      <w:r>
        <w:t>Declaraciones</w:t>
      </w:r>
      <w:bookmarkEnd w:id="50"/>
    </w:p>
    <w:p w:rsidR="00000000" w:rsidRDefault="00000000">
      <w:pPr>
        <w:pStyle w:val="SingleTxt"/>
        <w:spacing w:after="0" w:line="120" w:lineRule="exact"/>
        <w:rPr>
          <w:sz w:val="10"/>
        </w:rPr>
      </w:pPr>
    </w:p>
    <w:p w:rsidR="00000000" w:rsidRDefault="00000000">
      <w:pPr>
        <w:pStyle w:val="SingleTxt"/>
        <w:keepNext/>
        <w:keepLines/>
      </w:pPr>
      <w:r>
        <w:tab/>
        <w:t>El Secretario General, o un representante suyo, estará presente en todas las s</w:t>
      </w:r>
      <w:r>
        <w:t>e</w:t>
      </w:r>
      <w:r>
        <w:t>siones del Comité y podrá hacer declaraciones orales o por escrito en dichas sesi</w:t>
      </w:r>
      <w:r>
        <w:t>o</w:t>
      </w:r>
      <w:r>
        <w:t xml:space="preserve">nes o en las reuniones de sus órganos subsidiarios.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1" w:name="_Toc505500637"/>
      <w:r>
        <w:t>Artículo 23</w:t>
      </w:r>
      <w:bookmarkEnd w:id="51"/>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2" w:name="_Toc505500638"/>
      <w:r>
        <w:t>Consecuencias financieras</w:t>
      </w:r>
      <w:bookmarkEnd w:id="52"/>
    </w:p>
    <w:p w:rsidR="00000000" w:rsidRDefault="00000000">
      <w:pPr>
        <w:pStyle w:val="SingleTxt"/>
        <w:spacing w:after="0" w:line="120" w:lineRule="exact"/>
        <w:rPr>
          <w:sz w:val="10"/>
        </w:rPr>
      </w:pPr>
    </w:p>
    <w:p w:rsidR="00000000" w:rsidRDefault="00000000">
      <w:pPr>
        <w:pStyle w:val="SingleTxt"/>
      </w:pPr>
      <w:r>
        <w:tab/>
        <w:t xml:space="preserve">Antes de que el Comité o cualquiera de sus órganos subsidiarios apruebe una propuesta que entrañe gastos, el Secretario General preparará y distribuirá lo antes posible a los miembros del Comité o sus órganos subsidiarios, una estimación de los gastos que entraña la propuesta. El Presidente tendrá la obligación de señalar dicha estimación a la atención de los miembros e invitarlos a deliberar sobre ella cuando el Comité o un órgano subsidiario examine la propuesta.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53" w:name="_Toc505500639"/>
      <w:r>
        <w:t>VI.</w:t>
      </w:r>
      <w:r>
        <w:tab/>
        <w:t>Idiomas</w:t>
      </w:r>
      <w:bookmarkEnd w:id="5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4" w:name="_Toc505500640"/>
      <w:r>
        <w:t>Artículo 24</w:t>
      </w:r>
      <w:bookmarkEnd w:id="54"/>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5" w:name="_Toc505500641"/>
      <w:r>
        <w:t>Idiomas oficiales</w:t>
      </w:r>
      <w:bookmarkEnd w:id="55"/>
    </w:p>
    <w:p w:rsidR="00000000" w:rsidRDefault="00000000">
      <w:pPr>
        <w:pStyle w:val="SingleTxt"/>
        <w:spacing w:after="0" w:line="120" w:lineRule="exact"/>
        <w:rPr>
          <w:sz w:val="10"/>
        </w:rPr>
      </w:pPr>
    </w:p>
    <w:p w:rsidR="00000000" w:rsidRDefault="00000000">
      <w:pPr>
        <w:pStyle w:val="SingleTxt"/>
      </w:pPr>
      <w:r>
        <w:tab/>
        <w:t>Los idiomas oficiales del Comité serán el árabe, el chino, el español, el fra</w:t>
      </w:r>
      <w:r>
        <w:t>n</w:t>
      </w:r>
      <w:r>
        <w:t>cés, el inglés y el ruso.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6" w:name="_Toc505500642"/>
      <w:r>
        <w:t>Artículo 25</w:t>
      </w:r>
      <w:bookmarkEnd w:id="56"/>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7" w:name="_Toc505500643"/>
      <w:r>
        <w:t>Interpretación</w:t>
      </w:r>
      <w:bookmarkEnd w:id="57"/>
    </w:p>
    <w:p w:rsidR="00000000" w:rsidRDefault="00000000">
      <w:pPr>
        <w:pStyle w:val="SingleTxt"/>
        <w:spacing w:after="0" w:line="120" w:lineRule="exact"/>
        <w:rPr>
          <w:sz w:val="10"/>
        </w:rPr>
      </w:pPr>
    </w:p>
    <w:p w:rsidR="00000000" w:rsidRDefault="00000000">
      <w:pPr>
        <w:pStyle w:val="SingleTxt"/>
      </w:pPr>
      <w:r>
        <w:t>1.</w:t>
      </w:r>
      <w:r>
        <w:tab/>
        <w:t>Las declaraciones formuladas en un idioma oficial serán interpretadas en los demás idiomas oficiales.</w:t>
      </w:r>
    </w:p>
    <w:p w:rsidR="00000000" w:rsidRDefault="00000000">
      <w:pPr>
        <w:pStyle w:val="SingleTxt"/>
      </w:pPr>
      <w:r>
        <w:t>2.</w:t>
      </w:r>
      <w:r>
        <w:tab/>
        <w:t>Un orador que haga uso de la palabra en el Comité en un idioma distinto de los idiomas oficiales proporcionará la interpretación en uno de los idiomas oficiales. La interpretación hecha por los intérpretes de la Secretaría en los demás idiomas of</w:t>
      </w:r>
      <w:r>
        <w:t>i</w:t>
      </w:r>
      <w:r>
        <w:t>ciales se basará en la inte</w:t>
      </w:r>
      <w:r>
        <w:t>r</w:t>
      </w:r>
      <w:r>
        <w:t>pretación en el primero de esos idiomas.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8" w:name="_Toc505500644"/>
      <w:r>
        <w:t>Artículo 26</w:t>
      </w:r>
      <w:bookmarkEnd w:id="58"/>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9" w:name="_Toc505500645"/>
      <w:r>
        <w:t>Idiomas de los documentos</w:t>
      </w:r>
      <w:bookmarkEnd w:id="59"/>
    </w:p>
    <w:p w:rsidR="00000000" w:rsidRDefault="00000000">
      <w:pPr>
        <w:pStyle w:val="SingleTxt"/>
        <w:spacing w:after="0" w:line="120" w:lineRule="exact"/>
        <w:rPr>
          <w:sz w:val="10"/>
        </w:rPr>
      </w:pPr>
    </w:p>
    <w:p w:rsidR="00000000" w:rsidRDefault="00000000">
      <w:pPr>
        <w:pStyle w:val="SingleTxt"/>
        <w:keepNext/>
        <w:keepLines/>
      </w:pPr>
      <w:r>
        <w:t>1.</w:t>
      </w:r>
      <w:r>
        <w:tab/>
        <w:t>Todos los documentos oficiales del Comité se publicarán en los idiomas of</w:t>
      </w:r>
      <w:r>
        <w:t>i</w:t>
      </w:r>
      <w:r>
        <w:t>ciales de las Naciones Unidas.</w:t>
      </w:r>
    </w:p>
    <w:p w:rsidR="00000000" w:rsidRDefault="00000000">
      <w:pPr>
        <w:pStyle w:val="SingleTxt"/>
        <w:keepNext/>
        <w:keepLines/>
      </w:pPr>
      <w:r>
        <w:t>2.</w:t>
      </w:r>
      <w:r>
        <w:tab/>
        <w:t>El texto de todas las decisiones oficiales del Comité se distribuirá en los idi</w:t>
      </w:r>
      <w:r>
        <w:t>o</w:t>
      </w:r>
      <w:r>
        <w:t>mas oficiales de las Naciones Unidas.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60" w:name="_Toc505500646"/>
      <w:r>
        <w:t>VII.</w:t>
      </w:r>
      <w:r>
        <w:tab/>
        <w:t>Actas</w:t>
      </w:r>
      <w:bookmarkEnd w:id="6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1" w:name="_Toc505500647"/>
      <w:r>
        <w:t>Artículo 27</w:t>
      </w:r>
      <w:r>
        <w:br/>
        <w:t>Actas</w:t>
      </w:r>
      <w:bookmarkEnd w:id="61"/>
    </w:p>
    <w:p w:rsidR="00000000" w:rsidRDefault="00000000">
      <w:pPr>
        <w:pStyle w:val="SingleTxt"/>
        <w:spacing w:after="0" w:line="120" w:lineRule="exact"/>
        <w:rPr>
          <w:sz w:val="10"/>
        </w:rPr>
      </w:pPr>
    </w:p>
    <w:p w:rsidR="00000000" w:rsidRDefault="00000000">
      <w:pPr>
        <w:pStyle w:val="SingleTxt"/>
      </w:pPr>
      <w:r>
        <w:t>1.</w:t>
      </w:r>
      <w:r>
        <w:tab/>
        <w:t>El Secretario General proporcionará al Comité actas resumidas de sus delib</w:t>
      </w:r>
      <w:r>
        <w:t>e</w:t>
      </w:r>
      <w:r>
        <w:t>raciones, que se distribuirán a los miembros.</w:t>
      </w:r>
    </w:p>
    <w:p w:rsidR="00000000" w:rsidRDefault="00000000">
      <w:pPr>
        <w:pStyle w:val="SingleTxt"/>
      </w:pPr>
      <w:r>
        <w:t>2.</w:t>
      </w:r>
      <w:r>
        <w:tab/>
        <w:t>Las actas resumidas están sujetas a correcciones que presentarán a la Secret</w:t>
      </w:r>
      <w:r>
        <w:t>a</w:t>
      </w:r>
      <w:r>
        <w:t xml:space="preserve">ría los participantes en las sesiones en el idioma en que se publica el acta resumida. Las correcciones de las actas de las sesiones se consolidarán en un único documento que se publicará una vez terminado el período de sesiones pertinente. </w:t>
      </w:r>
    </w:p>
    <w:p w:rsidR="00000000" w:rsidRDefault="00000000">
      <w:pPr>
        <w:pStyle w:val="SingleTxt"/>
        <w:suppressAutoHyphens/>
      </w:pPr>
      <w:r>
        <w:t>3.</w:t>
      </w:r>
      <w:r>
        <w:tab/>
        <w:t>Las actas resumidas de las sesiones públicas serán documentos de distribución general a menos que en circunstancias excepcionales el Comité decida otra c</w:t>
      </w:r>
      <w:r>
        <w:t>o</w:t>
      </w:r>
      <w:r>
        <w:t>sa.</w:t>
      </w:r>
    </w:p>
    <w:p w:rsidR="00000000" w:rsidRDefault="00000000">
      <w:pPr>
        <w:pStyle w:val="SingleTxt"/>
      </w:pPr>
      <w:r>
        <w:t>4.</w:t>
      </w:r>
      <w:r>
        <w:tab/>
        <w:t>Se harán y conservarán grabaciones sonoras de las sesiones del Comité, de conformidad con la práctica habitual de las Naciones Unidas.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62" w:name="_Toc505500648"/>
      <w:r>
        <w:t>VIII.</w:t>
      </w:r>
      <w:r>
        <w:tab/>
        <w:t>Dirección de los debates</w:t>
      </w:r>
      <w:bookmarkEnd w:id="6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3" w:name="_Toc505500649"/>
      <w:r>
        <w:t>Artículo 28</w:t>
      </w:r>
      <w:bookmarkEnd w:id="63"/>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4" w:name="_Toc505500650"/>
      <w:r>
        <w:t>Sesiones públicas y privadas</w:t>
      </w:r>
      <w:bookmarkEnd w:id="64"/>
    </w:p>
    <w:p w:rsidR="00000000" w:rsidRDefault="00000000">
      <w:pPr>
        <w:pStyle w:val="SingleTxt"/>
        <w:spacing w:after="0" w:line="120" w:lineRule="exact"/>
        <w:rPr>
          <w:sz w:val="10"/>
        </w:rPr>
      </w:pPr>
    </w:p>
    <w:p w:rsidR="00000000" w:rsidRDefault="00000000">
      <w:pPr>
        <w:pStyle w:val="SingleTxt"/>
      </w:pPr>
      <w:r>
        <w:t>1.</w:t>
      </w:r>
      <w:r>
        <w:tab/>
        <w:t>Las sesiones del Comité y sus órganos subsidiarios serán públicas a menos que el Comité decida otra cosa.</w:t>
      </w:r>
    </w:p>
    <w:p w:rsidR="00000000" w:rsidRDefault="00000000">
      <w:pPr>
        <w:pStyle w:val="SingleTxt"/>
      </w:pPr>
      <w:r>
        <w:t>2.</w:t>
      </w:r>
      <w:r>
        <w:tab/>
        <w:t>Las sesiones en que se debatan observaciones finales relativas a los informes de los Estados partes, así como las sesiones del grupo de trabajo anterior al período de sesiones y de otros grupos de trabajo, serán privadas a menos que el Comité d</w:t>
      </w:r>
      <w:r>
        <w:t>e</w:t>
      </w:r>
      <w:r>
        <w:t>cida otra cosa.</w:t>
      </w:r>
    </w:p>
    <w:p w:rsidR="00000000" w:rsidRDefault="00000000">
      <w:pPr>
        <w:pStyle w:val="SingleTxt"/>
      </w:pPr>
      <w:r>
        <w:t>3.</w:t>
      </w:r>
      <w:r>
        <w:tab/>
        <w:t>Ninguna persona u órgano podrá filmar ni registrar de cualquier otra forma las deliberaciones del Comité sin autorización de éste. El Comité, antes de conceder d</w:t>
      </w:r>
      <w:r>
        <w:t>i</w:t>
      </w:r>
      <w:r>
        <w:t>cha autorización, solicitará, si fuera necesario, al Estado parte que vaya a informar al Comité de conformidad con el artículo 18 de la Convención su consentimiento p</w:t>
      </w:r>
      <w:r>
        <w:t>a</w:t>
      </w:r>
      <w:r>
        <w:t>ra filmar o regi</w:t>
      </w:r>
      <w:r>
        <w:t>s</w:t>
      </w:r>
      <w:r>
        <w:t>trar de cualquier otra forma las deliberaciones en que participe.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5" w:name="_Toc505500651"/>
      <w:r>
        <w:t>Artículo 29</w:t>
      </w:r>
      <w:bookmarkEnd w:id="65"/>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6" w:name="_Toc505500652"/>
      <w:r>
        <w:t>Quórum</w:t>
      </w:r>
      <w:bookmarkEnd w:id="66"/>
    </w:p>
    <w:p w:rsidR="00000000" w:rsidRDefault="00000000">
      <w:pPr>
        <w:pStyle w:val="SingleTxt"/>
        <w:spacing w:after="0" w:line="120" w:lineRule="exact"/>
        <w:rPr>
          <w:sz w:val="10"/>
        </w:rPr>
      </w:pPr>
    </w:p>
    <w:p w:rsidR="00000000" w:rsidRDefault="00000000">
      <w:pPr>
        <w:pStyle w:val="SingleTxt"/>
      </w:pPr>
      <w:r>
        <w:tab/>
        <w:t>Doce miembros del Comité constituirán quórum.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7" w:name="_Toc505500653"/>
      <w:r>
        <w:t>Artículo 30</w:t>
      </w:r>
      <w:bookmarkEnd w:id="67"/>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8" w:name="_Toc505500654"/>
      <w:r>
        <w:t>Atribuciones del Presidente</w:t>
      </w:r>
      <w:bookmarkEnd w:id="68"/>
    </w:p>
    <w:p w:rsidR="00000000" w:rsidRDefault="00000000">
      <w:pPr>
        <w:pStyle w:val="SingleTxt"/>
        <w:spacing w:after="0" w:line="120" w:lineRule="exact"/>
        <w:rPr>
          <w:sz w:val="10"/>
        </w:rPr>
      </w:pPr>
    </w:p>
    <w:p w:rsidR="00000000" w:rsidRDefault="00000000">
      <w:pPr>
        <w:pStyle w:val="SingleTxt"/>
        <w:keepNext/>
        <w:keepLines/>
      </w:pPr>
      <w:r>
        <w:t>1.</w:t>
      </w:r>
      <w:r>
        <w:tab/>
        <w:t>El Presidente abrirá y levantará cada una de las sesiones del Comité, dirigirá los debates, velara por la aplicación del presente reglamento, concederá la palabra, someterá a votación las cuestiones y proclamará las decisiones adoptadas.</w:t>
      </w:r>
    </w:p>
    <w:p w:rsidR="00000000" w:rsidRDefault="00000000">
      <w:pPr>
        <w:pStyle w:val="SingleTxt"/>
      </w:pPr>
      <w:r>
        <w:t>2.</w:t>
      </w:r>
      <w:r>
        <w:tab/>
        <w:t>El Presidente, con sujeción a lo dispuesto en el presente reglamento, tendrá autoridad para dirigir las deliberaciones del Comité y para mantener el orden en las s</w:t>
      </w:r>
      <w:r>
        <w:t>e</w:t>
      </w:r>
      <w:r>
        <w:t xml:space="preserve">siones. </w:t>
      </w:r>
    </w:p>
    <w:p w:rsidR="00000000" w:rsidRDefault="00000000">
      <w:pPr>
        <w:pStyle w:val="SingleTxt"/>
      </w:pPr>
      <w:r>
        <w:t>3.</w:t>
      </w:r>
      <w:r>
        <w:tab/>
        <w:t>Durante el examen de un tema, incluido el examen de informes presentados de conformidad con el artículo 18 de la Convención, el Presidente podrá proponer al Comité la limitación de la duración de las intervenciones de los oradores, la limit</w:t>
      </w:r>
      <w:r>
        <w:t>a</w:t>
      </w:r>
      <w:r>
        <w:t>ción del número de intervenciones de cada orador sobre una cuestión y el cierre de la lista de or</w:t>
      </w:r>
      <w:r>
        <w:t>a</w:t>
      </w:r>
      <w:r>
        <w:t xml:space="preserve">dores. </w:t>
      </w:r>
    </w:p>
    <w:p w:rsidR="00000000" w:rsidRDefault="00000000">
      <w:pPr>
        <w:pStyle w:val="SingleTxt"/>
      </w:pPr>
      <w:r>
        <w:t>4.</w:t>
      </w:r>
      <w:r>
        <w:tab/>
        <w:t xml:space="preserve">El Presidente decidirá sobre las cuestiones de orden. También podrá proponer el aplazamiento o el cierre del debate y la suspensión o levantamiento de una sesión. El debate se limitará a la cuestión que el Comité tenga ante sí y el Presidente podrá llamar al orden a un orador cuando sus observaciones no sean pertinentes al tema que se esté examinando. </w:t>
      </w:r>
    </w:p>
    <w:p w:rsidR="00000000" w:rsidRDefault="00000000">
      <w:pPr>
        <w:pStyle w:val="SingleTxt"/>
      </w:pPr>
      <w:r>
        <w:t>5.</w:t>
      </w:r>
      <w:r>
        <w:tab/>
        <w:t>En el curso de un debate, el Presidente podrá dar lectura a la lista de oradores y, con el consentimiento del Comité, declarar cerrada la lista.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69" w:name="_Toc505500655"/>
      <w:r>
        <w:t>IX.</w:t>
      </w:r>
      <w:r>
        <w:tab/>
        <w:t>Votación</w:t>
      </w:r>
      <w:bookmarkEnd w:id="69"/>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0" w:name="_Toc505500656"/>
      <w:r>
        <w:t>Artículo 31</w:t>
      </w:r>
      <w:bookmarkEnd w:id="70"/>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1" w:name="_Toc505500657"/>
      <w:r>
        <w:t>Adopción de decisiones</w:t>
      </w:r>
      <w:bookmarkEnd w:id="71"/>
    </w:p>
    <w:p w:rsidR="00000000" w:rsidRDefault="00000000">
      <w:pPr>
        <w:pStyle w:val="SingleTxt"/>
        <w:spacing w:after="0" w:line="120" w:lineRule="exact"/>
        <w:rPr>
          <w:sz w:val="10"/>
        </w:rPr>
      </w:pPr>
    </w:p>
    <w:p w:rsidR="00000000" w:rsidRDefault="00000000">
      <w:pPr>
        <w:pStyle w:val="SingleTxt"/>
      </w:pPr>
      <w:r>
        <w:t>1.</w:t>
      </w:r>
      <w:r>
        <w:tab/>
        <w:t>El Comité procurará adoptar sus decisiones por consenso.</w:t>
      </w:r>
    </w:p>
    <w:p w:rsidR="00000000" w:rsidRDefault="00000000">
      <w:pPr>
        <w:pStyle w:val="SingleTxt"/>
        <w:suppressAutoHyphens/>
      </w:pPr>
      <w:r>
        <w:t>2.</w:t>
      </w:r>
      <w:r>
        <w:tab/>
        <w:t>Cuando se hayan agotado todos los recursos para llegar a un consenso, el Comité adoptará sus decisiones por mayoría simple de los miembros presentes y votantes.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2" w:name="_Toc505500658"/>
      <w:r>
        <w:t>Artículo 32</w:t>
      </w:r>
      <w:bookmarkEnd w:id="72"/>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3" w:name="_Toc505500659"/>
      <w:r>
        <w:t>Derecho de voto</w:t>
      </w:r>
      <w:bookmarkEnd w:id="73"/>
    </w:p>
    <w:p w:rsidR="00000000" w:rsidRDefault="00000000">
      <w:pPr>
        <w:pStyle w:val="SingleTxt"/>
        <w:spacing w:after="0" w:line="120" w:lineRule="exact"/>
        <w:rPr>
          <w:sz w:val="10"/>
        </w:rPr>
      </w:pPr>
    </w:p>
    <w:p w:rsidR="00000000" w:rsidRDefault="00000000">
      <w:pPr>
        <w:pStyle w:val="SingleTxt"/>
      </w:pPr>
      <w:r>
        <w:t>1.</w:t>
      </w:r>
      <w:r>
        <w:tab/>
        <w:t>Cada miembro del Comité tendrá un voto.</w:t>
      </w:r>
    </w:p>
    <w:p w:rsidR="00000000" w:rsidRDefault="00000000">
      <w:pPr>
        <w:pStyle w:val="SingleTxt"/>
      </w:pPr>
      <w:r>
        <w:t>2.</w:t>
      </w:r>
      <w:r>
        <w:tab/>
        <w:t>A los efectos del presente reglamento, por “miembros presentes y votantes” se entenderá los miembros que votan a favor o en contra. Se considerará que los mie</w:t>
      </w:r>
      <w:r>
        <w:t>m</w:t>
      </w:r>
      <w:r>
        <w:t>bros que se abstienen de votar no toman parte en la votación.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4" w:name="_Toc505500660"/>
      <w:r>
        <w:t>Artículo 33</w:t>
      </w:r>
      <w:bookmarkEnd w:id="74"/>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5" w:name="_Toc505500661"/>
      <w:r>
        <w:t>Empates</w:t>
      </w:r>
      <w:bookmarkEnd w:id="75"/>
    </w:p>
    <w:p w:rsidR="00000000" w:rsidRDefault="00000000">
      <w:pPr>
        <w:pStyle w:val="SingleTxt"/>
        <w:spacing w:after="0" w:line="120" w:lineRule="exact"/>
        <w:rPr>
          <w:sz w:val="10"/>
        </w:rPr>
      </w:pPr>
    </w:p>
    <w:p w:rsidR="00000000" w:rsidRDefault="00000000">
      <w:pPr>
        <w:pStyle w:val="SingleTxt"/>
      </w:pPr>
      <w:r>
        <w:tab/>
        <w:t xml:space="preserve">En caso de empate en una votación cuyo objeto no sea una elección, se tendrá por rechazada la propuesta.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6" w:name="_Toc505500662"/>
      <w:r>
        <w:t>Artículo 34</w:t>
      </w:r>
      <w:bookmarkEnd w:id="76"/>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7" w:name="_Toc505500663"/>
      <w:r>
        <w:t>Procedimiento de votación</w:t>
      </w:r>
      <w:bookmarkEnd w:id="77"/>
    </w:p>
    <w:p w:rsidR="00000000" w:rsidRDefault="00000000">
      <w:pPr>
        <w:pStyle w:val="SingleTxt"/>
        <w:spacing w:after="0" w:line="120" w:lineRule="exact"/>
        <w:rPr>
          <w:sz w:val="10"/>
        </w:rPr>
      </w:pPr>
    </w:p>
    <w:p w:rsidR="00000000" w:rsidRDefault="00000000">
      <w:pPr>
        <w:pStyle w:val="SingleTxt"/>
        <w:keepNext/>
        <w:keepLines/>
      </w:pPr>
      <w:r>
        <w:t>1.</w:t>
      </w:r>
      <w:r>
        <w:tab/>
        <w:t>Con arreglo a lo dispuesto en el artículo 39 del presente reglamento, las vot</w:t>
      </w:r>
      <w:r>
        <w:t>a</w:t>
      </w:r>
      <w:r>
        <w:t>ciones del Comité se harán alzando la mano, salvo cuando un miembro solicite vot</w:t>
      </w:r>
      <w:r>
        <w:t>a</w:t>
      </w:r>
      <w:r>
        <w:t xml:space="preserve">ción nominal, que se efectuará siguiendo el orden alfabético inglés de los nombres de los miembros del Comité, comenzando por el miembro cuyo nombre haya sacado por sorteo el Presidente. </w:t>
      </w:r>
    </w:p>
    <w:p w:rsidR="00000000" w:rsidRDefault="00000000">
      <w:pPr>
        <w:pStyle w:val="SingleTxt"/>
      </w:pPr>
      <w:r>
        <w:t>2.</w:t>
      </w:r>
      <w:r>
        <w:tab/>
        <w:t>El voto de cada miembro que participe en una votación nominal constará en el acta de la sesión.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8" w:name="_Toc505500664"/>
      <w:r>
        <w:t>Artículo 35</w:t>
      </w:r>
      <w:bookmarkEnd w:id="78"/>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9" w:name="_Toc505500665"/>
      <w:r>
        <w:t>Normas que deben observarse durante la votación y explicación de voto</w:t>
      </w:r>
      <w:bookmarkEnd w:id="79"/>
    </w:p>
    <w:p w:rsidR="00000000" w:rsidRDefault="00000000">
      <w:pPr>
        <w:pStyle w:val="SingleTxt"/>
        <w:spacing w:after="0" w:line="120" w:lineRule="exact"/>
        <w:rPr>
          <w:sz w:val="10"/>
        </w:rPr>
      </w:pPr>
    </w:p>
    <w:p w:rsidR="00000000" w:rsidRDefault="00000000">
      <w:pPr>
        <w:pStyle w:val="SingleTxt"/>
      </w:pPr>
      <w:r>
        <w:tab/>
        <w:t>Después de comenzada la votación, ésta no se interrumpirá a menos que se trate de una cuestión de orden presentada por un miembro en relación con la forma en que se está efectuando la votación. El Presidente podrá autorizar que los mie</w:t>
      </w:r>
      <w:r>
        <w:t>m</w:t>
      </w:r>
      <w:r>
        <w:t>bros intervengan brevemente en la explicación de su voto, antes de comenzar la v</w:t>
      </w:r>
      <w:r>
        <w:t>o</w:t>
      </w:r>
      <w:r>
        <w:t>tación o una vez concluida ésta.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0" w:name="_Toc505500666"/>
      <w:r>
        <w:t>Artículo 36</w:t>
      </w:r>
      <w:bookmarkEnd w:id="80"/>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1" w:name="_Toc505500667"/>
      <w:r>
        <w:t>División de las propuestas</w:t>
      </w:r>
      <w:bookmarkEnd w:id="81"/>
    </w:p>
    <w:p w:rsidR="00000000" w:rsidRDefault="00000000">
      <w:pPr>
        <w:pStyle w:val="SingleTxt"/>
        <w:spacing w:after="0" w:line="120" w:lineRule="exact"/>
        <w:rPr>
          <w:sz w:val="10"/>
        </w:rPr>
      </w:pPr>
    </w:p>
    <w:p w:rsidR="00000000" w:rsidRDefault="00000000">
      <w:pPr>
        <w:pStyle w:val="SingleTxt"/>
      </w:pPr>
      <w:r>
        <w:tab/>
        <w:t>Si un miembro pide que se divida una propuesta, esta será sometida a votación por partes. Las partes de la propuesta que hayan sido aprobadas serán luego somet</w:t>
      </w:r>
      <w:r>
        <w:t>i</w:t>
      </w:r>
      <w:r>
        <w:t>das a votación en conjunto; si todas las partes dispositivas de una propuesta son r</w:t>
      </w:r>
      <w:r>
        <w:t>e</w:t>
      </w:r>
      <w:r>
        <w:t>chazadas, se considerará que la propuesta ha sido rechazada en su totalidad.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2" w:name="_Toc505500668"/>
      <w:r>
        <w:t>Artículo 37</w:t>
      </w:r>
      <w:bookmarkEnd w:id="82"/>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3" w:name="_Toc505500669"/>
      <w:r>
        <w:t>Orden de votación de las enmiendas</w:t>
      </w:r>
      <w:bookmarkEnd w:id="83"/>
    </w:p>
    <w:p w:rsidR="00000000" w:rsidRDefault="00000000">
      <w:pPr>
        <w:pStyle w:val="SingleTxt"/>
        <w:spacing w:after="0" w:line="120" w:lineRule="exact"/>
        <w:rPr>
          <w:sz w:val="10"/>
        </w:rPr>
      </w:pPr>
    </w:p>
    <w:p w:rsidR="00000000" w:rsidRDefault="00000000">
      <w:pPr>
        <w:pStyle w:val="SingleTxt"/>
      </w:pPr>
      <w:r>
        <w:t>1.</w:t>
      </w:r>
      <w:r>
        <w:tab/>
        <w:t>Cuando se presente una enmienda a una propuesta, se votará primero sobre la enmienda. Cuando se presenten dos o más enmiendas a una propuesta, el Comité votará primero sobre la que se aparte más, en cuanto al fondo, de la propuesta orig</w:t>
      </w:r>
      <w:r>
        <w:t>i</w:t>
      </w:r>
      <w:r>
        <w:t>nal; luego se votará sobre la enmienda que, después de la votada anteriormente, se aparte más de dicha propuesta, y así sucesivamente hasta que se haya votado sobre todas las enmiendas. Si se aprueba una o más de las enmiendas, la propuesta modif</w:t>
      </w:r>
      <w:r>
        <w:t>i</w:t>
      </w:r>
      <w:r>
        <w:t xml:space="preserve">cada se someterá a votación. </w:t>
      </w:r>
    </w:p>
    <w:p w:rsidR="00000000" w:rsidRDefault="00000000">
      <w:pPr>
        <w:pStyle w:val="SingleTxt"/>
      </w:pPr>
      <w:r>
        <w:t>2.</w:t>
      </w:r>
      <w:r>
        <w:tab/>
        <w:t>Se considerará que una moción es una enmienda a una propuesta si solamente entraña una adición, una supresión o una modificación de parte de dicha propuesta.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4" w:name="_Toc505500670"/>
      <w:r>
        <w:t>Artículo 38</w:t>
      </w:r>
      <w:bookmarkEnd w:id="84"/>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5" w:name="_Toc505500671"/>
      <w:r>
        <w:t>Orden de votación de las propuestas</w:t>
      </w:r>
      <w:bookmarkEnd w:id="85"/>
    </w:p>
    <w:p w:rsidR="00000000" w:rsidRDefault="00000000">
      <w:pPr>
        <w:pStyle w:val="SingleTxt"/>
        <w:spacing w:after="0" w:line="120" w:lineRule="exact"/>
        <w:rPr>
          <w:sz w:val="10"/>
        </w:rPr>
      </w:pPr>
    </w:p>
    <w:p w:rsidR="00000000" w:rsidRDefault="00000000">
      <w:pPr>
        <w:pStyle w:val="SingleTxt"/>
      </w:pPr>
      <w:r>
        <w:t>1.</w:t>
      </w:r>
      <w:r>
        <w:tab/>
        <w:t>Cuando dos o más propuestas se refieren a la misma cuestión, a menos que el Comité decida otra cosa, se votará sobre tales propuestas en el orden en que hayan sido presentadas.</w:t>
      </w:r>
    </w:p>
    <w:p w:rsidR="00000000" w:rsidRDefault="00000000">
      <w:pPr>
        <w:pStyle w:val="SingleTxt"/>
      </w:pPr>
      <w:r>
        <w:t>2.</w:t>
      </w:r>
      <w:r>
        <w:tab/>
        <w:t>Después de cada votación, el Comité podrá decidir votar o no sobre la pr</w:t>
      </w:r>
      <w:r>
        <w:t>o</w:t>
      </w:r>
      <w:r>
        <w:t xml:space="preserve">puesta siguiente. </w:t>
      </w:r>
    </w:p>
    <w:p w:rsidR="00000000" w:rsidRDefault="00000000">
      <w:pPr>
        <w:pStyle w:val="SingleTxt"/>
      </w:pPr>
      <w:r>
        <w:t>3.</w:t>
      </w:r>
      <w:r>
        <w:tab/>
        <w:t xml:space="preserve">Sin embargo, las mociones encaminadas a que el Comité no se pronuncie sobre el fondo de tales propuestas serán consideradas cuestiones previas y se someterán a votación antes de dichas propuestas.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6" w:name="_Toc505500672"/>
      <w:r>
        <w:t>Artículo 39</w:t>
      </w:r>
      <w:bookmarkEnd w:id="86"/>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7" w:name="_Toc505500673"/>
      <w:r>
        <w:t>Procedimiento de elección</w:t>
      </w:r>
      <w:bookmarkEnd w:id="87"/>
    </w:p>
    <w:p w:rsidR="00000000" w:rsidRDefault="00000000">
      <w:pPr>
        <w:pStyle w:val="SingleTxt"/>
        <w:spacing w:after="0" w:line="120" w:lineRule="exact"/>
        <w:rPr>
          <w:sz w:val="10"/>
        </w:rPr>
      </w:pPr>
    </w:p>
    <w:p w:rsidR="00000000" w:rsidRDefault="00000000">
      <w:pPr>
        <w:pStyle w:val="SingleTxt"/>
      </w:pPr>
      <w:r>
        <w:tab/>
        <w:t>Las elecciones se efectuarán por votación secreta, a menos que el Comité dec</w:t>
      </w:r>
      <w:r>
        <w:t>i</w:t>
      </w:r>
      <w:r>
        <w:t>da otra cosa en el caso de una elección en que haya un solo candidato.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8" w:name="_Toc505500674"/>
      <w:r>
        <w:t>Artículo 40</w:t>
      </w:r>
      <w:bookmarkEnd w:id="88"/>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9" w:name="_Toc505500675"/>
      <w:r>
        <w:t>Normas que deben observarse durante las elecciones para llenar un puesto electivo</w:t>
      </w:r>
      <w:bookmarkEnd w:id="89"/>
    </w:p>
    <w:p w:rsidR="00000000" w:rsidRDefault="00000000">
      <w:pPr>
        <w:pStyle w:val="SingleTxt"/>
        <w:spacing w:after="0" w:line="120" w:lineRule="exact"/>
        <w:rPr>
          <w:sz w:val="10"/>
        </w:rPr>
      </w:pPr>
    </w:p>
    <w:p w:rsidR="00000000" w:rsidRDefault="00000000">
      <w:pPr>
        <w:pStyle w:val="SingleTxt"/>
      </w:pPr>
      <w:r>
        <w:t>1.</w:t>
      </w:r>
      <w:r>
        <w:tab/>
        <w:t>Cuando haya de llenarse un solo cargo electivo, si ningún candidato obtiene la mayoría requerida en la primera votación, se procederá a una segunda votación l</w:t>
      </w:r>
      <w:r>
        <w:t>i</w:t>
      </w:r>
      <w:r>
        <w:t xml:space="preserve">mitada a los dos candidatos que hayan obtenido mayor número de votos. </w:t>
      </w:r>
    </w:p>
    <w:p w:rsidR="00000000" w:rsidRDefault="00000000">
      <w:pPr>
        <w:pStyle w:val="SingleTxt"/>
      </w:pPr>
      <w:r>
        <w:t>2.</w:t>
      </w:r>
      <w:r>
        <w:tab/>
        <w:t>Si en la segunda votación hay empate y se requiere la mayoría, el Presidente resolverá el empate por sorteo. Cuando se requiera mayoría de dos tercios, se cont</w:t>
      </w:r>
      <w:r>
        <w:t>i</w:t>
      </w:r>
      <w:r>
        <w:t xml:space="preserve">nuará la votación hasta que uno de los candidatos obtenga dos tercios de los votos emitidos, siempre que después del tercer escrutinio sin resultado decisivo se vote por cualquier miembro que reúna los requisitos necesarios. </w:t>
      </w:r>
    </w:p>
    <w:p w:rsidR="00000000" w:rsidRDefault="00000000">
      <w:pPr>
        <w:pStyle w:val="SingleTxt"/>
      </w:pPr>
      <w:r>
        <w:t>3.</w:t>
      </w:r>
      <w:r>
        <w:tab/>
        <w:t>Si tres votaciones no limitadas no dan resultado decisivo, las tres votaciones siguientes se limitarán a los dos candidatos que hayan obtenido mayor número de votos en la tercera votación no limitada y las tres votaciones ulteriores serán sin limitación de candidatos, y así sucesivamente hasta que se haya elegido a un mie</w:t>
      </w:r>
      <w:r>
        <w:t>m</w:t>
      </w:r>
      <w:r>
        <w:t>bro.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90" w:name="_Toc505500676"/>
      <w:r>
        <w:t>X.</w:t>
      </w:r>
      <w:r>
        <w:tab/>
        <w:t>Órganos subsidiarios</w:t>
      </w:r>
      <w:bookmarkEnd w:id="9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91" w:name="_Toc505500677"/>
      <w:r>
        <w:t>Artículo 41</w:t>
      </w:r>
      <w:r>
        <w:br/>
        <w:t>Órganos subsidiarios</w:t>
      </w:r>
      <w:bookmarkEnd w:id="91"/>
    </w:p>
    <w:p w:rsidR="00000000" w:rsidRDefault="00000000">
      <w:pPr>
        <w:pStyle w:val="SingleTxt"/>
        <w:spacing w:after="0" w:line="120" w:lineRule="exact"/>
        <w:rPr>
          <w:sz w:val="10"/>
        </w:rPr>
      </w:pPr>
    </w:p>
    <w:p w:rsidR="00000000" w:rsidRDefault="00000000">
      <w:pPr>
        <w:pStyle w:val="SingleTxt"/>
      </w:pPr>
      <w:r>
        <w:t>1.</w:t>
      </w:r>
      <w:r>
        <w:tab/>
        <w:t>El Comité podrá establecer órganos subsidiarios y definirá su composición y mandatos.</w:t>
      </w:r>
    </w:p>
    <w:p w:rsidR="00000000" w:rsidRDefault="00000000">
      <w:pPr>
        <w:pStyle w:val="SingleTxt"/>
      </w:pPr>
      <w:r>
        <w:t>2.</w:t>
      </w:r>
      <w:r>
        <w:tab/>
        <w:t xml:space="preserve">Todos los órganos subsidiarios elegirán su propia mesa y aplicarán, </w:t>
      </w:r>
      <w:r>
        <w:rPr>
          <w:i/>
        </w:rPr>
        <w:t>mutatis mutandis</w:t>
      </w:r>
      <w:r>
        <w:t>, el presente reglamento.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92" w:name="_Toc505500678"/>
      <w:r>
        <w:t>XI.</w:t>
      </w:r>
      <w:r>
        <w:tab/>
        <w:t>Informe anual del Comité</w:t>
      </w:r>
      <w:bookmarkEnd w:id="9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93" w:name="_Toc505500679"/>
      <w:r>
        <w:t>Artículo 42</w:t>
      </w:r>
      <w:r>
        <w:br/>
        <w:t>Informe anual del Comité</w:t>
      </w:r>
      <w:bookmarkEnd w:id="93"/>
    </w:p>
    <w:p w:rsidR="00000000" w:rsidRDefault="00000000">
      <w:pPr>
        <w:pStyle w:val="SingleTxt"/>
        <w:spacing w:after="0" w:line="120" w:lineRule="exact"/>
        <w:rPr>
          <w:sz w:val="10"/>
        </w:rPr>
      </w:pPr>
    </w:p>
    <w:p w:rsidR="00000000" w:rsidRDefault="00000000">
      <w:pPr>
        <w:pStyle w:val="SingleTxt"/>
      </w:pPr>
      <w:r>
        <w:t>1.</w:t>
      </w:r>
      <w:r>
        <w:tab/>
        <w:t>Como se prevé en el párrafo 1 del artículo 21 de la Convención, el Comité pr</w:t>
      </w:r>
      <w:r>
        <w:t>e</w:t>
      </w:r>
      <w:r>
        <w:t>sentará a la Asamblea General, por conducto del Consejo Económico y Social, un informe anual sobre sus actividades que contendrá, entre otras cosas, los coment</w:t>
      </w:r>
      <w:r>
        <w:t>a</w:t>
      </w:r>
      <w:r>
        <w:t>rios finales del Comité relativos al informe de cada Estado, e información relativa a su mandato conforme al Protocolo Facultativo de la Co</w:t>
      </w:r>
      <w:r>
        <w:t>n</w:t>
      </w:r>
      <w:r>
        <w:t>vención.</w:t>
      </w:r>
    </w:p>
    <w:p w:rsidR="00000000" w:rsidRDefault="00000000">
      <w:pPr>
        <w:pStyle w:val="SingleTxt"/>
      </w:pPr>
      <w:r>
        <w:t>2.</w:t>
      </w:r>
      <w:r>
        <w:tab/>
        <w:t xml:space="preserve">El Comité incluirá también en su informe sugerencias y recomendaciones </w:t>
      </w:r>
      <w:r>
        <w:br/>
        <w:t>generales, juntamente con las observaciones que se hayan recibido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94" w:name="_Toc505500680"/>
      <w:r>
        <w:t>XII.</w:t>
      </w:r>
      <w:r>
        <w:tab/>
        <w:t>Distribución de informes y otros documentos oficiales</w:t>
      </w:r>
      <w:bookmarkEnd w:id="9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95" w:name="_Toc505500681"/>
      <w:r>
        <w:t>Artículo 43</w:t>
      </w:r>
      <w:r>
        <w:br/>
        <w:t>Distribución de informes y otros documentos oficiales</w:t>
      </w:r>
      <w:bookmarkEnd w:id="95"/>
    </w:p>
    <w:p w:rsidR="00000000" w:rsidRDefault="00000000">
      <w:pPr>
        <w:pStyle w:val="SingleTxt"/>
        <w:spacing w:after="0" w:line="120" w:lineRule="exact"/>
        <w:rPr>
          <w:sz w:val="10"/>
        </w:rPr>
      </w:pPr>
    </w:p>
    <w:p w:rsidR="00000000" w:rsidRDefault="00000000">
      <w:pPr>
        <w:pStyle w:val="SingleTxt"/>
      </w:pPr>
      <w:r>
        <w:t>1.</w:t>
      </w:r>
      <w:r>
        <w:tab/>
        <w:t>Los informes, las decisiones oficiales, los documentos previos al período de sesiones y todos los demás documentos oficiales del Comité y sus órganos subsidi</w:t>
      </w:r>
      <w:r>
        <w:t>a</w:t>
      </w:r>
      <w:r>
        <w:t>rios serán documentos de distribución general a menos que el Comité decida otra cosa.</w:t>
      </w:r>
    </w:p>
    <w:p w:rsidR="00000000" w:rsidRDefault="00000000">
      <w:pPr>
        <w:pStyle w:val="SingleTxt"/>
      </w:pPr>
      <w:r>
        <w:t>2.</w:t>
      </w:r>
      <w:r>
        <w:tab/>
        <w:t>Los informes y la información adicional presentados por los Estados partes con arreglo al artículo 18 de la Convención serán documentos de distribución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96" w:name="_Toc505500682"/>
      <w:r>
        <w:t>XIII.</w:t>
      </w:r>
      <w:r>
        <w:tab/>
        <w:t>Participación de organismos especializados y órganos de las Naciones Unidas y organizaciones intergubernamentales y no gubernamentales</w:t>
      </w:r>
      <w:bookmarkEnd w:id="96"/>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97" w:name="_Toc505500683"/>
      <w:r>
        <w:t>Artículo 44</w:t>
      </w:r>
      <w:bookmarkEnd w:id="97"/>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98" w:name="_Toc505500684"/>
      <w:r>
        <w:t>Participación de organismos especializados y órganos de las Naciones Unidas y organizaciones intergubernamentales y no gubernamentales</w:t>
      </w:r>
      <w:bookmarkEnd w:id="98"/>
    </w:p>
    <w:p w:rsidR="00000000" w:rsidRDefault="00000000">
      <w:pPr>
        <w:pStyle w:val="SingleTxt"/>
        <w:spacing w:after="0" w:line="120" w:lineRule="exact"/>
        <w:rPr>
          <w:sz w:val="10"/>
        </w:rPr>
      </w:pPr>
    </w:p>
    <w:p w:rsidR="00000000" w:rsidRDefault="00000000">
      <w:pPr>
        <w:pStyle w:val="SingleTxt"/>
      </w:pPr>
      <w:r>
        <w:tab/>
        <w:t>El Secretario General notificará lo antes posible a cada organismo especializ</w:t>
      </w:r>
      <w:r>
        <w:t>a</w:t>
      </w:r>
      <w:r>
        <w:t>do y órgano de las Naciones Unidas la fecha de apertura, la duración, el lugar de celebración y el programa de cada período de sesiones del Comité y el grupo de tr</w:t>
      </w:r>
      <w:r>
        <w:t>a</w:t>
      </w:r>
      <w:r>
        <w:t>bajo anterior al período de sesiones.</w:t>
      </w: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99" w:name="_Toc505500685"/>
      <w:r>
        <w:t>Artículo 45</w:t>
      </w:r>
      <w:bookmarkEnd w:id="99"/>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0" w:name="_Toc505500686"/>
      <w:r>
        <w:t>Organismos especializados</w:t>
      </w:r>
      <w:bookmarkEnd w:id="100"/>
    </w:p>
    <w:p w:rsidR="00000000" w:rsidRDefault="00000000">
      <w:pPr>
        <w:pStyle w:val="SingleTxt"/>
        <w:spacing w:after="0" w:line="120" w:lineRule="exact"/>
        <w:rPr>
          <w:sz w:val="10"/>
        </w:rPr>
      </w:pPr>
    </w:p>
    <w:p w:rsidR="00000000" w:rsidRDefault="00000000">
      <w:pPr>
        <w:pStyle w:val="SingleTxt"/>
      </w:pPr>
      <w:r>
        <w:t>1.</w:t>
      </w:r>
      <w:r>
        <w:tab/>
        <w:t>De conformidad con lo dispuesto en el artículo 22 de la Convención, el Comité podrá invitar a los organismos especializados a que presenten informes sobre la aplicación de la Convención en sus esferas de competencia. Tales informes se p</w:t>
      </w:r>
      <w:r>
        <w:t>u</w:t>
      </w:r>
      <w:r>
        <w:t>blicarán como documentos anteriores al perí</w:t>
      </w:r>
      <w:r>
        <w:t>o</w:t>
      </w:r>
      <w:r>
        <w:t>do de sesiones.</w:t>
      </w:r>
    </w:p>
    <w:p w:rsidR="00000000" w:rsidRDefault="00000000">
      <w:pPr>
        <w:pStyle w:val="SingleTxt"/>
      </w:pPr>
      <w:r>
        <w:t>2.</w:t>
      </w:r>
      <w:r>
        <w:tab/>
        <w:t>Los organismos especializados tendrán derecho a estar representados en las s</w:t>
      </w:r>
      <w:r>
        <w:t>e</w:t>
      </w:r>
      <w:r>
        <w:t>siones del Comité o del grupo de trabajo anterior al período de sesiones cuando se examine la aplicación de las disposiciones de la Convención que correspondan al ámbito de sus actividades. El Comité podrá permitir que los representantes de los organismos especializados formulen declaraciones orales o por escrito ante el C</w:t>
      </w:r>
      <w:r>
        <w:t>o</w:t>
      </w:r>
      <w:r>
        <w:t>mité o el grupo de trabajo anterior al período de sesiones, y que presenten la info</w:t>
      </w:r>
      <w:r>
        <w:t>r</w:t>
      </w:r>
      <w:r>
        <w:t>mación que corresponda o sea pertinente a las actividades del Comité en virtud de lo dispuesto en la Convención.</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1" w:name="_Toc505500687"/>
      <w:r>
        <w:t>Artículo 46</w:t>
      </w:r>
      <w:bookmarkEnd w:id="101"/>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2" w:name="_Toc505500688"/>
      <w:r>
        <w:t>Organizaciones intergubernamentales y órganos de las Naciones Unidas</w:t>
      </w:r>
      <w:bookmarkEnd w:id="102"/>
    </w:p>
    <w:p w:rsidR="00000000" w:rsidRDefault="00000000">
      <w:pPr>
        <w:pStyle w:val="SingleTxt"/>
        <w:spacing w:after="0" w:line="120" w:lineRule="exact"/>
        <w:rPr>
          <w:sz w:val="10"/>
        </w:rPr>
      </w:pPr>
    </w:p>
    <w:p w:rsidR="00000000" w:rsidRDefault="00000000">
      <w:pPr>
        <w:pStyle w:val="SingleTxt"/>
      </w:pPr>
      <w:r>
        <w:tab/>
        <w:t>El Comité podrá invitar a representantes de organizaciones intergubername</w:t>
      </w:r>
      <w:r>
        <w:t>n</w:t>
      </w:r>
      <w:r>
        <w:t>tales y órganos de las Naciones Unidas a que formulen declaraciones orales o por escrito y presenten información o documentación sobre las esferas que sean pert</w:t>
      </w:r>
      <w:r>
        <w:t>i</w:t>
      </w:r>
      <w:r>
        <w:t>nentes a las actividades del Comité en virtud de lo dispuesto en la Convención en las sesiones del Comité o del grupo de trabajo anterior al período de sesiones.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3" w:name="_Toc505500689"/>
      <w:r>
        <w:t>Artículo 47</w:t>
      </w:r>
      <w:bookmarkEnd w:id="103"/>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4" w:name="_Toc505500690"/>
      <w:r>
        <w:t>Organizaciones no gubernamentales</w:t>
      </w:r>
      <w:bookmarkEnd w:id="104"/>
    </w:p>
    <w:p w:rsidR="00000000" w:rsidRDefault="00000000">
      <w:pPr>
        <w:pStyle w:val="SingleTxt"/>
        <w:spacing w:after="0" w:line="120" w:lineRule="exact"/>
        <w:rPr>
          <w:sz w:val="10"/>
        </w:rPr>
      </w:pPr>
    </w:p>
    <w:p w:rsidR="00000000" w:rsidRDefault="00000000">
      <w:pPr>
        <w:pStyle w:val="SingleTxt"/>
      </w:pPr>
      <w:r>
        <w:tab/>
        <w:t>El Comité podrá invitar a representantes de organizaciones no gubernament</w:t>
      </w:r>
      <w:r>
        <w:t>a</w:t>
      </w:r>
      <w:r>
        <w:t>les a que hagan declaraciones orales o por escrito y a que presenten información o documentación que sean pertinentes a las actividades del Comité en virtud de lo di</w:t>
      </w:r>
      <w:r>
        <w:t>s</w:t>
      </w:r>
      <w:r>
        <w:t>puesto en la Convención en las sesiones del Comité o del grupo de trabajo anterior al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5" w:name="_Toc505500691"/>
      <w:r>
        <w:t>Segunda parte</w:t>
      </w:r>
      <w:bookmarkEnd w:id="105"/>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6" w:name="_Toc505500692"/>
      <w:r>
        <w:t>Artículos relativos a las funciones del Comité</w:t>
      </w:r>
      <w:bookmarkEnd w:id="106"/>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107" w:name="_Toc505500693"/>
      <w:r>
        <w:t>XIV.</w:t>
      </w:r>
      <w:r>
        <w:tab/>
        <w:t>Informes presentados por los Estados partes de conformidad con el artículo 18 de la Convención</w:t>
      </w:r>
      <w:bookmarkEnd w:id="107"/>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8" w:name="_Toc505500694"/>
      <w:r>
        <w:t>Artículo 48</w:t>
      </w:r>
      <w:bookmarkEnd w:id="108"/>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9" w:name="_Toc505500695"/>
      <w:r>
        <w:t>Presentación de informes de conformidad con el artículo 18 de la Convención</w:t>
      </w:r>
      <w:bookmarkEnd w:id="109"/>
    </w:p>
    <w:p w:rsidR="00000000" w:rsidRDefault="00000000">
      <w:pPr>
        <w:pStyle w:val="SingleTxt"/>
        <w:spacing w:after="0" w:line="120" w:lineRule="exact"/>
        <w:rPr>
          <w:sz w:val="10"/>
        </w:rPr>
      </w:pPr>
    </w:p>
    <w:p w:rsidR="00000000" w:rsidRDefault="00000000">
      <w:pPr>
        <w:pStyle w:val="SingleTxt"/>
      </w:pPr>
      <w:r>
        <w:t>1.</w:t>
      </w:r>
      <w:r>
        <w:tab/>
        <w:t xml:space="preserve">El Comité examinará los progresos logrados en la aplicación de la Convención mediante el estudio de los informes que los Estados partes hayan presentado al </w:t>
      </w:r>
      <w:r>
        <w:br/>
        <w:t>Secretario General sobre las medidas legislativas, judiciales, administrativas y de otro tipo que han adoptado.</w:t>
      </w:r>
    </w:p>
    <w:p w:rsidR="00000000" w:rsidRDefault="00000000">
      <w:pPr>
        <w:pStyle w:val="SingleTxt"/>
      </w:pPr>
      <w:r>
        <w:t>2.</w:t>
      </w:r>
      <w:r>
        <w:tab/>
        <w:t>Con el fin de facilitar a los Estados partes su tarea de presentación de info</w:t>
      </w:r>
      <w:r>
        <w:t>r</w:t>
      </w:r>
      <w:r>
        <w:t>mes, el Comité publicará directrices generales sobre la preparación de los informes iniciales y los informes periódicos, teniendo presentes las directrices consolidadas comunes a todos los órganos creados en virtud de tratados de derechos humanos p</w:t>
      </w:r>
      <w:r>
        <w:t>a</w:t>
      </w:r>
      <w:r>
        <w:t>ra la primera parte de los informes iniciales y los informes periódicos de los Estados partes.</w:t>
      </w:r>
    </w:p>
    <w:p w:rsidR="00000000" w:rsidRDefault="00000000">
      <w:pPr>
        <w:pStyle w:val="SingleTxt"/>
      </w:pPr>
      <w:r>
        <w:t>3.</w:t>
      </w:r>
      <w:r>
        <w:tab/>
        <w:t>Teniendo en cuenta las directrices consolidadas relativas a los informes exig</w:t>
      </w:r>
      <w:r>
        <w:t>i</w:t>
      </w:r>
      <w:r>
        <w:t xml:space="preserve">dos en virtud de los tratados de derechos humanos de las Naciones Unidas, el </w:t>
      </w:r>
      <w:r>
        <w:br/>
        <w:t>Comité podrá formular directrices de carácter general en cuanto a la forma y el contenido del informe inicial y de los informes periódicos de los Estados partes ex</w:t>
      </w:r>
      <w:r>
        <w:t>i</w:t>
      </w:r>
      <w:r>
        <w:t>gidos en virtud de lo dispuesto en el artículo 18 de la Convención e informará a los Estados partes, por conducto del Secretario General, de sus deseos respecto de la forma y el contenido de dichos informes.</w:t>
      </w:r>
    </w:p>
    <w:p w:rsidR="00000000" w:rsidRDefault="00000000">
      <w:pPr>
        <w:pStyle w:val="SingleTxt"/>
      </w:pPr>
      <w:r>
        <w:t>4.</w:t>
      </w:r>
      <w:r>
        <w:tab/>
        <w:t>Un Estado parte que presenta un informe en un período de sesiones del Comité podrá proporcionar información adicional antes de que el Comité examine su info</w:t>
      </w:r>
      <w:r>
        <w:t>r</w:t>
      </w:r>
      <w:r>
        <w:t>me, siempre que dicha información llegue al Secretario General a más tardar cuatro meses antes de la fecha de apertura del período de sesiones en el que se examinará el informe del Estado parte.</w:t>
      </w:r>
    </w:p>
    <w:p w:rsidR="00000000" w:rsidRDefault="00000000">
      <w:pPr>
        <w:pStyle w:val="SingleTxt"/>
        <w:suppressAutoHyphens/>
      </w:pPr>
      <w:r>
        <w:t>5.</w:t>
      </w:r>
      <w:r>
        <w:tab/>
        <w:t>El Comité podrá pedir a un Estado parte que presente un informe con carácter excepcional. Tales informes se limitarán a las esferas en que se ha pedido al Estado parte que centre su atención. Salvo cuando el Comité solicite otra cosa, tales informes no se presentarán en sustitución de un informe inicial o periódico. El Comité establecerá en qué período de sesiones se examinará un informe de carácter exce</w:t>
      </w:r>
      <w:r>
        <w:t>p</w:t>
      </w:r>
      <w:r>
        <w:t>cional.</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0" w:name="_Toc505500696"/>
      <w:r>
        <w:t>Artículo 49</w:t>
      </w:r>
      <w:bookmarkEnd w:id="110"/>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1" w:name="_Toc505500697"/>
      <w:r>
        <w:t>Casos en que los informes no se presentan o se presentan tarde</w:t>
      </w:r>
      <w:bookmarkEnd w:id="111"/>
    </w:p>
    <w:p w:rsidR="00000000" w:rsidRDefault="00000000">
      <w:pPr>
        <w:pStyle w:val="SingleTxt"/>
        <w:spacing w:after="0" w:line="120" w:lineRule="exact"/>
        <w:rPr>
          <w:sz w:val="10"/>
        </w:rPr>
      </w:pPr>
    </w:p>
    <w:p w:rsidR="00000000" w:rsidRDefault="00000000">
      <w:pPr>
        <w:pStyle w:val="SingleTxt"/>
      </w:pPr>
      <w:r>
        <w:t>1.</w:t>
      </w:r>
      <w:r>
        <w:tab/>
        <w:t xml:space="preserve">En cada período de sesiones del Comité, el Secretario General notificará a éste de todos los casos en que no se hayan recibido informes y la información adicional solicitada de conformidad con lo dispuesto en los artículos </w:t>
      </w:r>
      <w:r>
        <w:rPr>
          <w:highlight w:val="yellow"/>
        </w:rPr>
        <w:t>48</w:t>
      </w:r>
      <w:r>
        <w:t xml:space="preserve"> y </w:t>
      </w:r>
      <w:r>
        <w:rPr>
          <w:highlight w:val="yellow"/>
        </w:rPr>
        <w:t>50</w:t>
      </w:r>
      <w:r>
        <w:t xml:space="preserve"> del presente r</w:t>
      </w:r>
      <w:r>
        <w:t>e</w:t>
      </w:r>
      <w:r>
        <w:t>glamento. En tales casos, el Comité podrá transmitir al Estado parte en cuestión, por conducto del Secretario General, un recordatorio relativo a la presentación del i</w:t>
      </w:r>
      <w:r>
        <w:t>n</w:t>
      </w:r>
      <w:r>
        <w:t>forme o de la información adicional.</w:t>
      </w:r>
    </w:p>
    <w:p w:rsidR="00000000" w:rsidRDefault="00000000">
      <w:pPr>
        <w:pStyle w:val="SingleTxt"/>
      </w:pPr>
      <w:r>
        <w:t>2.</w:t>
      </w:r>
      <w:r>
        <w:tab/>
        <w:t>Si aun después de que se hubiera enviado el recordatorio mencionado en el p</w:t>
      </w:r>
      <w:r>
        <w:t>á</w:t>
      </w:r>
      <w:r>
        <w:t>rrafo 1 del presente artículo el Estado parte no presentara el informe o la inform</w:t>
      </w:r>
      <w:r>
        <w:t>a</w:t>
      </w:r>
      <w:r>
        <w:t>ción adicional solicitada, el Comité podrá incluir una referencia a este respecto en su i</w:t>
      </w:r>
      <w:r>
        <w:t>n</w:t>
      </w:r>
      <w:r>
        <w:t>forme anual a la Asamblea General.</w:t>
      </w:r>
    </w:p>
    <w:p w:rsidR="00000000" w:rsidRDefault="00000000">
      <w:pPr>
        <w:pStyle w:val="SingleTxt"/>
      </w:pPr>
      <w:r>
        <w:t>3.</w:t>
      </w:r>
      <w:r>
        <w:tab/>
        <w:t>El Comité podrá permitir a los Estados partes que presenten un informe co</w:t>
      </w:r>
      <w:r>
        <w:t>m</w:t>
      </w:r>
      <w:r>
        <w:t>binado que contenga un máximo de dos informes atrasados.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2" w:name="_Toc505500698"/>
      <w:r>
        <w:t>Artículo 50</w:t>
      </w:r>
      <w:bookmarkEnd w:id="112"/>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3" w:name="_Toc505500699"/>
      <w:r>
        <w:t>Solicitudes de información adicional</w:t>
      </w:r>
      <w:bookmarkEnd w:id="113"/>
    </w:p>
    <w:p w:rsidR="00000000" w:rsidRDefault="00000000">
      <w:pPr>
        <w:pStyle w:val="SingleTxt"/>
        <w:spacing w:after="0" w:line="120" w:lineRule="exact"/>
        <w:rPr>
          <w:sz w:val="10"/>
        </w:rPr>
      </w:pPr>
    </w:p>
    <w:p w:rsidR="00000000" w:rsidRDefault="00000000">
      <w:pPr>
        <w:pStyle w:val="SingleTxt"/>
      </w:pPr>
      <w:r>
        <w:t>1.</w:t>
      </w:r>
      <w:r>
        <w:tab/>
        <w:t>Al examinar los informes presentados por un Estado parte en virtud de lo di</w:t>
      </w:r>
      <w:r>
        <w:t>s</w:t>
      </w:r>
      <w:r>
        <w:t>puesto en el artículo 18 de la Convención, el Comité, y en particular el grupo de tr</w:t>
      </w:r>
      <w:r>
        <w:t>a</w:t>
      </w:r>
      <w:r>
        <w:t>bajo anterior al período de sesiones, determinará en primer lugar si en el informe se pr</w:t>
      </w:r>
      <w:r>
        <w:t>o</w:t>
      </w:r>
      <w:r>
        <w:t xml:space="preserve">porciona suficiente información. </w:t>
      </w:r>
    </w:p>
    <w:p w:rsidR="00000000" w:rsidRDefault="00000000">
      <w:pPr>
        <w:pStyle w:val="SingleTxt"/>
      </w:pPr>
      <w:r>
        <w:t>2.</w:t>
      </w:r>
      <w:r>
        <w:tab/>
        <w:t>Si el Comité o el grupo de trabajo anterior al período de sesiones considera que un informe de un Estado parte no contiene suficiente información, podrá pedir al Estado de que se trate que presente la información adicional que sea necesaria, ind</w:t>
      </w:r>
      <w:r>
        <w:t>i</w:t>
      </w:r>
      <w:r>
        <w:t>cando el plazo en que deberá pr</w:t>
      </w:r>
      <w:r>
        <w:t>e</w:t>
      </w:r>
      <w:r>
        <w:t>sentarla.</w:t>
      </w:r>
    </w:p>
    <w:p w:rsidR="00000000" w:rsidRDefault="00000000">
      <w:pPr>
        <w:pStyle w:val="SingleTxt"/>
      </w:pPr>
      <w:r>
        <w:t>3.</w:t>
      </w:r>
      <w:r>
        <w:tab/>
        <w:t>Las preguntas o comentarios que envíe el grupo de trabajo anterior al período de sesiones al Estado parte cuyo informe se examina y la respuesta consiguiente del Estado parte se enviarán a los miembros del Comité, con arreglo al presente artículo, antes de que se cel</w:t>
      </w:r>
      <w:r>
        <w:t>e</w:t>
      </w:r>
      <w:r>
        <w:t>bre la sesión en que se ha de examinar el informe.</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4" w:name="_Toc505500700"/>
      <w:r>
        <w:t>Artículo 51</w:t>
      </w:r>
      <w:bookmarkEnd w:id="114"/>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5" w:name="_Toc505500701"/>
      <w:r>
        <w:t>Examen de los informes de los Estados partes</w:t>
      </w:r>
      <w:bookmarkEnd w:id="115"/>
    </w:p>
    <w:p w:rsidR="00000000" w:rsidRDefault="00000000">
      <w:pPr>
        <w:pStyle w:val="SingleTxt"/>
        <w:spacing w:after="0" w:line="120" w:lineRule="exact"/>
        <w:rPr>
          <w:sz w:val="10"/>
        </w:rPr>
      </w:pPr>
    </w:p>
    <w:p w:rsidR="00000000" w:rsidRDefault="00000000">
      <w:pPr>
        <w:pStyle w:val="SingleTxt"/>
      </w:pPr>
      <w:r>
        <w:t>1.</w:t>
      </w:r>
      <w:r>
        <w:tab/>
        <w:t>En cada período de sesiones, el Comité, sobre la base de la lista de los info</w:t>
      </w:r>
      <w:r>
        <w:t>r</w:t>
      </w:r>
      <w:r>
        <w:t>mes que se han de examinar, decidirá qué informes de los Estados partes examinará en su período de sesiones subsiguiente, teniendo en cuenta la duración de dicho p</w:t>
      </w:r>
      <w:r>
        <w:t>e</w:t>
      </w:r>
      <w:r>
        <w:t>ríodo de sesiones y los criterios relativos a la fecha de presentación y el equilibrio geogr</w:t>
      </w:r>
      <w:r>
        <w:t>á</w:t>
      </w:r>
      <w:r>
        <w:t>fico.</w:t>
      </w:r>
    </w:p>
    <w:p w:rsidR="00000000" w:rsidRDefault="00000000">
      <w:pPr>
        <w:pStyle w:val="SingleTxt"/>
      </w:pPr>
      <w:r>
        <w:t>2.</w:t>
      </w:r>
      <w:r>
        <w:tab/>
        <w:t>El Comité, por conducto del Secretario General, notificará lo antes posible a los Estados partes la fecha de apertura, la duración y el lugar de celebración del p</w:t>
      </w:r>
      <w:r>
        <w:t>e</w:t>
      </w:r>
      <w:r>
        <w:t>ríodo de sesiones en que se examinarán sus respectivos informes. Se pedirá a los Estados partes que confirmen por escrito en un plazo determinado si están dispue</w:t>
      </w:r>
      <w:r>
        <w:t>s</w:t>
      </w:r>
      <w:r>
        <w:t>tos a que se examinen sus informes.</w:t>
      </w:r>
    </w:p>
    <w:p w:rsidR="00000000" w:rsidRDefault="00000000">
      <w:pPr>
        <w:pStyle w:val="SingleTxt"/>
      </w:pPr>
      <w:r>
        <w:t>3.</w:t>
      </w:r>
      <w:r>
        <w:tab/>
        <w:t>En cada período de sesiones el Comité también establecerá y distribuirá a los Estados partes que corresponda una lista de reserva de los informes que ha de examinar en su período de sesiones subsiguiente en caso de que un Estado parte invitado con arreglo a lo dispuesto en el presente artículo no pueda presentar su i</w:t>
      </w:r>
      <w:r>
        <w:t>n</w:t>
      </w:r>
      <w:r>
        <w:t>forme. En tal caso, el Comité, por conducto del Secretario General, invitará al Est</w:t>
      </w:r>
      <w:r>
        <w:t>a</w:t>
      </w:r>
      <w:r>
        <w:t>do parte escogido de la lista de reserva a que presente su i</w:t>
      </w:r>
      <w:r>
        <w:t>n</w:t>
      </w:r>
      <w:r>
        <w:t>forme sin demora.</w:t>
      </w:r>
    </w:p>
    <w:p w:rsidR="00000000" w:rsidRDefault="00000000">
      <w:pPr>
        <w:pStyle w:val="SingleTxt"/>
      </w:pPr>
      <w:r>
        <w:t>4.</w:t>
      </w:r>
      <w:r>
        <w:tab/>
        <w:t>Se invitará a representantes de los Estados partes a que asistan a las sesiones del Comité en las que se han de examinar sus respectivos informes.</w:t>
      </w:r>
    </w:p>
    <w:p w:rsidR="00000000" w:rsidRDefault="00000000">
      <w:pPr>
        <w:pStyle w:val="SingleTxt"/>
      </w:pPr>
      <w:r>
        <w:t>5.</w:t>
      </w:r>
      <w:r>
        <w:tab/>
        <w:t>Si un Estado parte no responde a una invitación para que un representante asista a la sesión del Comité en que se haya de examinar su informe, el examen del informe se programará nuevamente para otro período de sesiones. Si en ese p</w:t>
      </w:r>
      <w:r>
        <w:t>e</w:t>
      </w:r>
      <w:r>
        <w:t>ríodo de sesiones el Estado parte, después de la debida notificación, no envía un r</w:t>
      </w:r>
      <w:r>
        <w:t>e</w:t>
      </w:r>
      <w:r>
        <w:t>presentante a la reunión, el Comité podrá proceder al examen del informe en ause</w:t>
      </w:r>
      <w:r>
        <w:t>n</w:t>
      </w:r>
      <w:r>
        <w:t xml:space="preserve">cia del representante del Estado parte. </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6" w:name="_Toc505500702"/>
      <w:r>
        <w:t>Artículo 52</w:t>
      </w:r>
      <w:bookmarkEnd w:id="116"/>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7" w:name="_Toc505500703"/>
      <w:r>
        <w:t>Sugerencias y recomendaciones de carácter general</w:t>
      </w:r>
      <w:bookmarkEnd w:id="117"/>
    </w:p>
    <w:p w:rsidR="00000000" w:rsidRDefault="00000000">
      <w:pPr>
        <w:pStyle w:val="SingleTxt"/>
        <w:spacing w:after="0" w:line="120" w:lineRule="exact"/>
        <w:rPr>
          <w:sz w:val="10"/>
        </w:rPr>
      </w:pPr>
    </w:p>
    <w:p w:rsidR="00000000" w:rsidRDefault="00000000">
      <w:pPr>
        <w:pStyle w:val="SingleTxt"/>
      </w:pPr>
      <w:r>
        <w:t>1.</w:t>
      </w:r>
      <w:r>
        <w:tab/>
        <w:t>De conformidad con lo dispuesto en el párrafo 1 del artículo 21 de la Conve</w:t>
      </w:r>
      <w:r>
        <w:t>n</w:t>
      </w:r>
      <w:r>
        <w:t>ción, el Comité podrá, sobre la base del examen de los informes y de los datos transmitidos por los Estados partes, hacer recomendaciones de carácter general dir</w:t>
      </w:r>
      <w:r>
        <w:t>i</w:t>
      </w:r>
      <w:r>
        <w:t>gidas a los Estados partes.</w:t>
      </w:r>
    </w:p>
    <w:p w:rsidR="00000000" w:rsidRDefault="00000000">
      <w:pPr>
        <w:pStyle w:val="SingleTxt"/>
      </w:pPr>
      <w:r>
        <w:t>2.</w:t>
      </w:r>
      <w:r>
        <w:tab/>
        <w:t xml:space="preserve">El Comité podrá hacer sugerencias dirigidas a órganos que no sean Estados partes que dimanen de su examen de los informes de los Estados partes.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8" w:name="_Toc505500704"/>
      <w:r>
        <w:t>Artículo 53</w:t>
      </w:r>
      <w:bookmarkEnd w:id="118"/>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9" w:name="_Toc505500705"/>
      <w:r>
        <w:t>Observaciones finales</w:t>
      </w:r>
      <w:bookmarkEnd w:id="119"/>
    </w:p>
    <w:p w:rsidR="00000000" w:rsidRDefault="00000000">
      <w:pPr>
        <w:pStyle w:val="SingleTxt"/>
        <w:keepNext/>
        <w:keepLines/>
        <w:spacing w:after="0" w:line="120" w:lineRule="exact"/>
        <w:rPr>
          <w:sz w:val="10"/>
        </w:rPr>
      </w:pPr>
    </w:p>
    <w:p w:rsidR="00000000" w:rsidRDefault="00000000">
      <w:pPr>
        <w:pStyle w:val="SingleTxt"/>
        <w:keepNext/>
        <w:keepLines/>
      </w:pPr>
      <w:r>
        <w:t>1.</w:t>
      </w:r>
      <w:r>
        <w:tab/>
        <w:t>El Comité podrá, después de examinar los informes de los Estados partes, fo</w:t>
      </w:r>
      <w:r>
        <w:t>r</w:t>
      </w:r>
      <w:r>
        <w:t>mular observaciones sobre los informes con miras a prestar asistencia a los Estados partes en el cumplimiento de las obligaciones que les corresponden en virtud de la Convención. El Comité podrá incluir directrices sobre cuestiones en las que se deb</w:t>
      </w:r>
      <w:r>
        <w:t>e</w:t>
      </w:r>
      <w:r>
        <w:t xml:space="preserve">ría centrar el siguiente informe periódico del Estado parte. </w:t>
      </w:r>
    </w:p>
    <w:p w:rsidR="00000000" w:rsidRDefault="00000000">
      <w:pPr>
        <w:pStyle w:val="SingleTxt"/>
      </w:pPr>
      <w:r>
        <w:t>2.</w:t>
      </w:r>
      <w:r>
        <w:tab/>
        <w:t>El Comité aprobará las observaciones finales antes de la clausura del período de sesiones en que se haya examinado el informe del Estado parte.</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20" w:name="_Toc505500706"/>
      <w:r>
        <w:t>Artículo 54</w:t>
      </w:r>
      <w:bookmarkEnd w:id="120"/>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21" w:name="_Toc505500707"/>
      <w:r>
        <w:t>Métodos de trabajo para examinar los informes</w:t>
      </w:r>
      <w:bookmarkEnd w:id="121"/>
    </w:p>
    <w:p w:rsidR="00000000" w:rsidRDefault="00000000">
      <w:pPr>
        <w:pStyle w:val="SingleTxt"/>
        <w:spacing w:after="0" w:line="120" w:lineRule="exact"/>
        <w:rPr>
          <w:sz w:val="10"/>
        </w:rPr>
      </w:pPr>
    </w:p>
    <w:p w:rsidR="00000000" w:rsidRDefault="00000000">
      <w:pPr>
        <w:pStyle w:val="SingleTxt"/>
      </w:pPr>
      <w:r>
        <w:tab/>
        <w:t>El Comité establecerá grupos de trabajo encargados de examinar y sugerir la manera de agilizar su labor y de cumplir las obligaciones que le incumben en virtud del art</w:t>
      </w:r>
      <w:r>
        <w:t>í</w:t>
      </w:r>
      <w:r>
        <w:t xml:space="preserve">culo 21 de la Convención.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2" w:name="_Toc505500708"/>
      <w:r>
        <w:tab/>
        <w:t>XV.</w:t>
      </w:r>
      <w:r>
        <w:tab/>
        <w:t>Debate general</w:t>
      </w:r>
      <w:bookmarkEnd w:id="12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23" w:name="_Toc505500709"/>
      <w:r>
        <w:t>Artículo 55</w:t>
      </w:r>
      <w:bookmarkEnd w:id="123"/>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24" w:name="_Toc505500710"/>
      <w:r>
        <w:t>Debate general</w:t>
      </w:r>
      <w:bookmarkEnd w:id="124"/>
    </w:p>
    <w:p w:rsidR="00000000" w:rsidRDefault="00000000">
      <w:pPr>
        <w:pStyle w:val="SingleTxt"/>
        <w:spacing w:after="0" w:line="120" w:lineRule="exact"/>
        <w:rPr>
          <w:sz w:val="10"/>
        </w:rPr>
      </w:pPr>
    </w:p>
    <w:p w:rsidR="00000000" w:rsidRDefault="00000000">
      <w:pPr>
        <w:pStyle w:val="SingleTxt"/>
      </w:pPr>
      <w:r>
        <w:tab/>
        <w:t>Para comprender mejor el contenido y las repercusiones de los artículos de la Convención, o para ayudar a elaborar las recomendaciones generales, el Comité p</w:t>
      </w:r>
      <w:r>
        <w:t>o</w:t>
      </w:r>
      <w:r>
        <w:t xml:space="preserve">drá dedicar una o más sesiones de sus períodos ordinarios de sesiones a un debate general de artículos específicos de la Convención o temas relacionados con ella.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25" w:name="_Toc505500711"/>
      <w:r>
        <w:t>Tercera parte</w:t>
      </w:r>
      <w:bookmarkEnd w:id="125"/>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26" w:name="_Toc505500712"/>
      <w:r>
        <w:t>Reglamento para el Protocolo Facultativo de la Convención sobre la eliminación de todas las formas de discriminación contra la mujer</w:t>
      </w:r>
      <w:bookmarkEnd w:id="126"/>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127" w:name="_Toc505500713"/>
      <w:r>
        <w:t>XVI.</w:t>
      </w:r>
      <w:r>
        <w:tab/>
        <w:t>Procedimientos para el examen de las comunicaciones recibidas en virtud del Protocolo Facultativo</w:t>
      </w:r>
      <w:bookmarkEnd w:id="127"/>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28" w:name="_Toc505500714"/>
      <w:r>
        <w:t>Artículo 56</w:t>
      </w:r>
      <w:bookmarkEnd w:id="128"/>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29" w:name="_Toc505500715"/>
      <w:r>
        <w:t>Transmisión de comunicaciones al Comité</w:t>
      </w:r>
      <w:bookmarkEnd w:id="129"/>
    </w:p>
    <w:p w:rsidR="00000000" w:rsidRDefault="00000000">
      <w:pPr>
        <w:pStyle w:val="SingleTxt"/>
        <w:spacing w:after="0" w:line="120" w:lineRule="exact"/>
        <w:rPr>
          <w:sz w:val="10"/>
        </w:rPr>
      </w:pPr>
    </w:p>
    <w:p w:rsidR="00000000" w:rsidRDefault="00000000">
      <w:pPr>
        <w:pStyle w:val="SingleTxt"/>
      </w:pPr>
      <w:r>
        <w:t>1.</w:t>
      </w:r>
      <w:r>
        <w:tab/>
        <w:t>El Secretario General señalará a la atención del Comité, de conformidad con el presente reglamento, las comunicaciones que se hayan presentado o parezcan habe</w:t>
      </w:r>
      <w:r>
        <w:t>r</w:t>
      </w:r>
      <w:r>
        <w:t>se presentado para su examen por el Comité de acuerdo con el artículo 2 del Prot</w:t>
      </w:r>
      <w:r>
        <w:t>o</w:t>
      </w:r>
      <w:r>
        <w:t>colo Facultativo.</w:t>
      </w:r>
    </w:p>
    <w:p w:rsidR="00000000" w:rsidRDefault="00000000">
      <w:pPr>
        <w:pStyle w:val="SingleTxt"/>
      </w:pPr>
      <w:r>
        <w:t>2.</w:t>
      </w:r>
      <w:r>
        <w:tab/>
        <w:t>El Secretario General podrá pedir al autor o autores de la comunicación aclar</w:t>
      </w:r>
      <w:r>
        <w:t>a</w:t>
      </w:r>
      <w:r>
        <w:t>ciones en cuanto a su deseo de que la comunicación sea sometida al Comité para su examen de acuerdo con el Protocolo Facultativo. Cuando haya dudas en cuanto al deseo del autor o los autores, el Secretario General señalará la comunicación a la ate</w:t>
      </w:r>
      <w:r>
        <w:t>n</w:t>
      </w:r>
      <w:r>
        <w:t>ción del Comité.</w:t>
      </w:r>
    </w:p>
    <w:p w:rsidR="00000000" w:rsidRDefault="00000000">
      <w:pPr>
        <w:pStyle w:val="SingleTxt"/>
      </w:pPr>
      <w:r>
        <w:t>3.</w:t>
      </w:r>
      <w:r>
        <w:tab/>
        <w:t>El Comité no recibirá comunicación alguna si ésta:</w:t>
      </w:r>
    </w:p>
    <w:p w:rsidR="00000000" w:rsidRDefault="00000000">
      <w:pPr>
        <w:pStyle w:val="SingleTxt"/>
      </w:pPr>
      <w:r>
        <w:tab/>
        <w:t>a)</w:t>
      </w:r>
      <w:r>
        <w:tab/>
        <w:t>Se refiere a un Estado que no sea parte en el Protocolo,</w:t>
      </w:r>
    </w:p>
    <w:p w:rsidR="00000000" w:rsidRDefault="00000000">
      <w:pPr>
        <w:pStyle w:val="SingleTxt"/>
      </w:pPr>
      <w:r>
        <w:tab/>
        <w:t>b)</w:t>
      </w:r>
      <w:r>
        <w:tab/>
        <w:t>No se ha presentado por escrito;</w:t>
      </w:r>
    </w:p>
    <w:p w:rsidR="00000000" w:rsidRDefault="00000000">
      <w:pPr>
        <w:pStyle w:val="SingleTxt"/>
      </w:pPr>
      <w:r>
        <w:tab/>
        <w:t>c)</w:t>
      </w:r>
      <w:r>
        <w:tab/>
        <w:t>Es anónima.</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0" w:name="_Toc505500716"/>
      <w:r>
        <w:t>Artículo 57</w:t>
      </w:r>
      <w:bookmarkEnd w:id="130"/>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1" w:name="_Toc505500717"/>
      <w:r>
        <w:t>Lista y registro de comunicaciones</w:t>
      </w:r>
      <w:bookmarkEnd w:id="131"/>
    </w:p>
    <w:p w:rsidR="00000000" w:rsidRDefault="00000000">
      <w:pPr>
        <w:pStyle w:val="SingleTxt"/>
        <w:spacing w:after="0" w:line="120" w:lineRule="exact"/>
        <w:rPr>
          <w:sz w:val="10"/>
        </w:rPr>
      </w:pPr>
    </w:p>
    <w:p w:rsidR="00000000" w:rsidRDefault="00000000">
      <w:pPr>
        <w:pStyle w:val="SingleTxt"/>
      </w:pPr>
      <w:r>
        <w:t>1.</w:t>
      </w:r>
      <w:r>
        <w:tab/>
        <w:t>El Secretario General llevará un registro permanente de todas las comunic</w:t>
      </w:r>
      <w:r>
        <w:t>a</w:t>
      </w:r>
      <w:r>
        <w:t>ciones presentadas para su examen por el Comité de acuerdo con el artículo 2 del Protocolo Facu</w:t>
      </w:r>
      <w:r>
        <w:t>l</w:t>
      </w:r>
      <w:r>
        <w:t>tativo.</w:t>
      </w:r>
    </w:p>
    <w:p w:rsidR="00000000" w:rsidRDefault="00000000">
      <w:pPr>
        <w:pStyle w:val="SingleTxt"/>
      </w:pPr>
      <w:r>
        <w:t>2.</w:t>
      </w:r>
      <w:r>
        <w:tab/>
        <w:t>El Secretario General preparará listas de las comunicaciones sometidas al C</w:t>
      </w:r>
      <w:r>
        <w:t>o</w:t>
      </w:r>
      <w:r>
        <w:t>mité, con un breve resumen de su contenido.</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2" w:name="_Toc505500718"/>
      <w:r>
        <w:t>Artículo 58</w:t>
      </w:r>
      <w:bookmarkEnd w:id="132"/>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3" w:name="_Toc505500719"/>
      <w:r>
        <w:t>Solicitud de aclaraciones o información adicional</w:t>
      </w:r>
      <w:bookmarkEnd w:id="133"/>
    </w:p>
    <w:p w:rsidR="00000000" w:rsidRDefault="00000000">
      <w:pPr>
        <w:pStyle w:val="SingleTxt"/>
        <w:spacing w:after="0" w:line="120" w:lineRule="exact"/>
        <w:rPr>
          <w:sz w:val="10"/>
        </w:rPr>
      </w:pPr>
    </w:p>
    <w:p w:rsidR="00000000" w:rsidRDefault="00000000">
      <w:pPr>
        <w:pStyle w:val="SingleTxt"/>
      </w:pPr>
      <w:r>
        <w:t>1.</w:t>
      </w:r>
      <w:r>
        <w:tab/>
        <w:t>El Secretario General podrá pedir al autor de la comunicación aclaraciones s</w:t>
      </w:r>
      <w:r>
        <w:t>o</w:t>
      </w:r>
      <w:r>
        <w:t>bre los puntos siguientes:</w:t>
      </w:r>
    </w:p>
    <w:p w:rsidR="00000000" w:rsidRDefault="00000000">
      <w:pPr>
        <w:pStyle w:val="SingleTxt"/>
      </w:pPr>
      <w:r>
        <w:tab/>
        <w:t>a)</w:t>
      </w:r>
      <w:r>
        <w:tab/>
        <w:t>Nombre, dirección, fecha de nacimiento y ocupación de la víctima y prueba de su ident</w:t>
      </w:r>
      <w:r>
        <w:t>i</w:t>
      </w:r>
      <w:r>
        <w:t>dad;</w:t>
      </w:r>
    </w:p>
    <w:p w:rsidR="00000000" w:rsidRDefault="00000000">
      <w:pPr>
        <w:pStyle w:val="SingleTxt"/>
      </w:pPr>
      <w:r>
        <w:tab/>
        <w:t>b)</w:t>
      </w:r>
      <w:r>
        <w:tab/>
        <w:t>El nombre del Estado parte contra el que se dirige la comunicación;</w:t>
      </w:r>
    </w:p>
    <w:p w:rsidR="00000000" w:rsidRDefault="00000000">
      <w:pPr>
        <w:pStyle w:val="SingleTxt"/>
      </w:pPr>
      <w:r>
        <w:tab/>
        <w:t>c)</w:t>
      </w:r>
      <w:r>
        <w:tab/>
        <w:t>El objetivo de la comunicación;</w:t>
      </w:r>
    </w:p>
    <w:p w:rsidR="00000000" w:rsidRDefault="00000000">
      <w:pPr>
        <w:pStyle w:val="SingleTxt"/>
      </w:pPr>
      <w:r>
        <w:tab/>
        <w:t>d)</w:t>
      </w:r>
      <w:r>
        <w:tab/>
        <w:t>Los hechos en que se basa la reclamación;</w:t>
      </w:r>
    </w:p>
    <w:p w:rsidR="00000000" w:rsidRDefault="00000000">
      <w:pPr>
        <w:pStyle w:val="SingleTxt"/>
      </w:pPr>
      <w:r>
        <w:tab/>
        <w:t>e)</w:t>
      </w:r>
      <w:r>
        <w:tab/>
        <w:t>Las medidas adoptadas por el autor o la víctima para agotar todos los r</w:t>
      </w:r>
      <w:r>
        <w:t>e</w:t>
      </w:r>
      <w:r>
        <w:t>cursos de la jurisdicción interna;</w:t>
      </w:r>
    </w:p>
    <w:p w:rsidR="00000000" w:rsidRDefault="00000000">
      <w:pPr>
        <w:pStyle w:val="SingleTxt"/>
      </w:pPr>
      <w:r>
        <w:tab/>
        <w:t>f)</w:t>
      </w:r>
      <w:r>
        <w:tab/>
        <w:t>La medida en que se está examinando o se ha examinado la misma cue</w:t>
      </w:r>
      <w:r>
        <w:t>s</w:t>
      </w:r>
      <w:r>
        <w:t>tión en virtud de otro procedimiento de investigación o arreglo internacional;</w:t>
      </w:r>
    </w:p>
    <w:p w:rsidR="00000000" w:rsidRDefault="00000000">
      <w:pPr>
        <w:pStyle w:val="SingleTxt"/>
      </w:pPr>
      <w:r>
        <w:tab/>
        <w:t>g)</w:t>
      </w:r>
      <w:r>
        <w:tab/>
        <w:t>La disposición o las disposiciones de la Convención cuya violación se alega.</w:t>
      </w:r>
    </w:p>
    <w:p w:rsidR="00000000" w:rsidRDefault="00000000">
      <w:pPr>
        <w:pStyle w:val="SingleTxt"/>
      </w:pPr>
      <w:r>
        <w:t>2.</w:t>
      </w:r>
      <w:r>
        <w:tab/>
        <w:t>Cuando solicite aclaraciones o información, el Secretario General indicará al autor o autores de la comunicación un plazo dentro del cual se habrá de presentar esa info</w:t>
      </w:r>
      <w:r>
        <w:t>r</w:t>
      </w:r>
      <w:r>
        <w:t>mación.</w:t>
      </w:r>
    </w:p>
    <w:p w:rsidR="00000000" w:rsidRDefault="00000000">
      <w:pPr>
        <w:pStyle w:val="SingleTxt"/>
      </w:pPr>
      <w:r>
        <w:t>3.</w:t>
      </w:r>
      <w:r>
        <w:tab/>
        <w:t>El Comité podrá aprobar un cuestionario para facilitar las solicitudes de acl</w:t>
      </w:r>
      <w:r>
        <w:t>a</w:t>
      </w:r>
      <w:r>
        <w:t>raciones o información dirigidas a la víctima o el autor de una comunicación.</w:t>
      </w:r>
    </w:p>
    <w:p w:rsidR="00000000" w:rsidRDefault="00000000">
      <w:pPr>
        <w:pStyle w:val="SingleTxt"/>
      </w:pPr>
      <w:r>
        <w:t>4.</w:t>
      </w:r>
      <w:r>
        <w:tab/>
        <w:t>La solicitud de aclaraciones o información no impedirá la inclusión de la c</w:t>
      </w:r>
      <w:r>
        <w:t>o</w:t>
      </w:r>
      <w:r>
        <w:t>munic</w:t>
      </w:r>
      <w:r>
        <w:t>a</w:t>
      </w:r>
      <w:r>
        <w:t xml:space="preserve">ción en la lista mencionada en el artículo 57 </w:t>
      </w:r>
      <w:r>
        <w:rPr>
          <w:i/>
        </w:rPr>
        <w:t>supra</w:t>
      </w:r>
      <w:r>
        <w:t>.</w:t>
      </w:r>
    </w:p>
    <w:p w:rsidR="00000000" w:rsidRDefault="00000000">
      <w:pPr>
        <w:pStyle w:val="SingleTxt"/>
      </w:pPr>
      <w:r>
        <w:t>5.</w:t>
      </w:r>
      <w:r>
        <w:tab/>
        <w:t>El Secretario General informará al autor de una comunicación acerca del pr</w:t>
      </w:r>
      <w:r>
        <w:t>o</w:t>
      </w:r>
      <w:r>
        <w:t>cedimiento que se seguirá y, en particular, de que, siempre que la víctima consienta en revelar su identidad al Estado Parte interesado, la comunicación se señalará co</w:t>
      </w:r>
      <w:r>
        <w:t>n</w:t>
      </w:r>
      <w:r>
        <w:t>fidencialmente a la atención de ese Estado Parte.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4" w:name="_Toc505500720"/>
      <w:r>
        <w:t>Artículo 59</w:t>
      </w:r>
      <w:bookmarkEnd w:id="134"/>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5" w:name="_Toc505500721"/>
      <w:r>
        <w:t>Resumen de la información</w:t>
      </w:r>
      <w:bookmarkEnd w:id="135"/>
    </w:p>
    <w:p w:rsidR="00000000" w:rsidRDefault="00000000">
      <w:pPr>
        <w:pStyle w:val="SingleTxt"/>
        <w:keepNext/>
        <w:keepLines/>
        <w:spacing w:after="0" w:line="120" w:lineRule="exact"/>
        <w:rPr>
          <w:sz w:val="10"/>
        </w:rPr>
      </w:pPr>
    </w:p>
    <w:p w:rsidR="00000000" w:rsidRDefault="00000000">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w:t>
      </w:r>
      <w:r>
        <w:tab/>
        <w:t>En relación con cada comunicación registrada el Secretario General preparará un resumen de la información pertinente obtenida y lo hará distribuir a los miembros del Comité en su siguiente período ordinario de sesiones.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w:t>
      </w:r>
      <w:r>
        <w:tab/>
        <w:t>El texto completo de toda comunicación señalada a la atención del Comité se facilitará a cualquier miembro del Comité que lo solicite.</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6" w:name="_Toc505500722"/>
      <w:r>
        <w:t>Artículo 60</w:t>
      </w:r>
      <w:bookmarkEnd w:id="136"/>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7" w:name="_Toc505500723"/>
      <w:r>
        <w:t>Incapacidad de un miembro para participar en el examen de una comunicación</w:t>
      </w:r>
      <w:bookmarkEnd w:id="137"/>
    </w:p>
    <w:p w:rsidR="00000000" w:rsidRDefault="00000000">
      <w:pPr>
        <w:pStyle w:val="SingleTxt"/>
        <w:spacing w:after="0" w:line="120" w:lineRule="exact"/>
        <w:rPr>
          <w:sz w:val="10"/>
        </w:rPr>
      </w:pPr>
    </w:p>
    <w:p w:rsidR="00000000" w:rsidRDefault="00000000">
      <w:pPr>
        <w:pStyle w:val="SingleTxt"/>
      </w:pPr>
      <w:r>
        <w:t>1.</w:t>
      </w:r>
      <w:r>
        <w:tab/>
        <w:t>No participará en el examen de una comunicación ningún miembro del</w:t>
      </w:r>
      <w:r>
        <w:br/>
        <w:t>Com</w:t>
      </w:r>
      <w:r>
        <w:t>i</w:t>
      </w:r>
      <w:r>
        <w:t>té:</w:t>
      </w:r>
    </w:p>
    <w:p w:rsidR="00000000" w:rsidRDefault="00000000">
      <w:pPr>
        <w:pStyle w:val="SingleTxt"/>
        <w:tabs>
          <w:tab w:val="left" w:pos="1742"/>
        </w:tabs>
      </w:pPr>
      <w:r>
        <w:tab/>
        <w:t>a)</w:t>
      </w:r>
      <w:r>
        <w:tab/>
        <w:t xml:space="preserve">Que tenga algún interés personal en el asunto; </w:t>
      </w:r>
    </w:p>
    <w:p w:rsidR="00000000" w:rsidRDefault="00000000">
      <w:pPr>
        <w:pStyle w:val="SingleTxt"/>
        <w:tabs>
          <w:tab w:val="left" w:pos="1742"/>
        </w:tabs>
      </w:pPr>
      <w:r>
        <w:tab/>
        <w:t>b)</w:t>
      </w:r>
      <w:r>
        <w:tab/>
        <w:t>Que haya participado de algún modo en la adopción de cualquier decisión sobre el asunto a que se refiere la comunicación, salvo conforme a los proced</w:t>
      </w:r>
      <w:r>
        <w:t>i</w:t>
      </w:r>
      <w:r>
        <w:t>mientos aplicables a este Protocolo Facultativo;</w:t>
      </w:r>
    </w:p>
    <w:p w:rsidR="00000000" w:rsidRDefault="00000000">
      <w:pPr>
        <w:pStyle w:val="SingleTxt"/>
        <w:tabs>
          <w:tab w:val="left" w:pos="1742"/>
        </w:tabs>
      </w:pPr>
      <w:r>
        <w:tab/>
        <w:t>c)</w:t>
      </w:r>
      <w:r>
        <w:tab/>
        <w:t>Que sea nacional del Estado Parte interesado.</w:t>
      </w:r>
    </w:p>
    <w:p w:rsidR="00000000" w:rsidRDefault="00000000">
      <w:pPr>
        <w:pStyle w:val="SingleTxt"/>
      </w:pPr>
      <w:r>
        <w:t>2.</w:t>
      </w:r>
      <w:r>
        <w:tab/>
        <w:t>El Comité adoptará decisiones sobre cualquier cuestión que pueda plantearse en relación con el párrafo 1 del presente artículo sin la participación del miembro de que se trate.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8" w:name="_Toc505500724"/>
      <w:r>
        <w:tab/>
      </w:r>
      <w:r>
        <w:tab/>
        <w:t>Artículo 61</w:t>
      </w:r>
      <w:bookmarkEnd w:id="138"/>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9" w:name="_Toc505500725"/>
      <w:r>
        <w:t>Retirada de un miembro</w:t>
      </w:r>
      <w:bookmarkEnd w:id="139"/>
    </w:p>
    <w:p w:rsidR="00000000" w:rsidRDefault="00000000">
      <w:pPr>
        <w:pStyle w:val="SingleTxt"/>
        <w:spacing w:after="0" w:line="120" w:lineRule="exact"/>
        <w:rPr>
          <w:sz w:val="10"/>
        </w:rPr>
      </w:pPr>
    </w:p>
    <w:p w:rsidR="00000000" w:rsidRDefault="00000000">
      <w:pPr>
        <w:pStyle w:val="SingleTxt"/>
        <w:keepNext/>
        <w:keepLines/>
        <w:tabs>
          <w:tab w:val="left" w:pos="1742"/>
        </w:tabs>
      </w:pPr>
      <w:r>
        <w:tab/>
        <w:t>Si, por cualquier razón, un miembro considera que no debe participar o seguir participando en el examen de una comunicación, informará al Presidente de que se retira.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40" w:name="_Toc505500726"/>
      <w:r>
        <w:t>Artículo 62</w:t>
      </w:r>
      <w:bookmarkEnd w:id="140"/>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41" w:name="_Toc505500727"/>
      <w:r>
        <w:t>Establecimiento de grupos de trabajo y nombramiento de relatores</w:t>
      </w:r>
      <w:bookmarkEnd w:id="141"/>
    </w:p>
    <w:p w:rsidR="00000000" w:rsidRDefault="00000000">
      <w:pPr>
        <w:pStyle w:val="SingleTxt"/>
        <w:spacing w:after="0" w:line="120" w:lineRule="exact"/>
        <w:rPr>
          <w:sz w:val="10"/>
        </w:rPr>
      </w:pPr>
    </w:p>
    <w:p w:rsidR="00000000" w:rsidRDefault="00000000">
      <w:pPr>
        <w:pStyle w:val="SingleTxt"/>
      </w:pPr>
      <w:r>
        <w:t>1.</w:t>
      </w:r>
      <w:r>
        <w:tab/>
        <w:t>El Comité podrá establecer uno o más grupos de trabajo, cada uno de los cu</w:t>
      </w:r>
      <w:r>
        <w:t>a</w:t>
      </w:r>
      <w:r>
        <w:t>les estará integrado por un máximo de cinco de sus miembros, y podrá nombrar uno o más relatores para que formulen recomendaciones y presten asistencia al Comité en la forma en que éste decida.</w:t>
      </w:r>
    </w:p>
    <w:p w:rsidR="00000000" w:rsidRDefault="00000000">
      <w:pPr>
        <w:pStyle w:val="SingleTxt"/>
      </w:pPr>
      <w:r>
        <w:t>2.</w:t>
      </w:r>
      <w:r>
        <w:tab/>
        <w:t>En la presente parte del reglamento, toda mención de un grupo de trabajo o un relator se referirá a un grupo de trabajo o un relator establecidos en virtud del pr</w:t>
      </w:r>
      <w:r>
        <w:t>e</w:t>
      </w:r>
      <w:r>
        <w:t>sente r</w:t>
      </w:r>
      <w:r>
        <w:t>e</w:t>
      </w:r>
      <w:r>
        <w:t>glamento.</w:t>
      </w:r>
    </w:p>
    <w:p w:rsidR="00000000" w:rsidRDefault="00000000">
      <w:pPr>
        <w:pStyle w:val="SingleTxt"/>
      </w:pPr>
      <w:r>
        <w:t>3.</w:t>
      </w:r>
      <w:r>
        <w:tab/>
        <w:t>El reglamento del Comité se aplicará, en la medida de lo posible, a las sesiones de sus grupos de trabajo.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42" w:name="_Toc505500728"/>
      <w:r>
        <w:t>Artículo 63</w:t>
      </w:r>
      <w:bookmarkEnd w:id="142"/>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43" w:name="_Toc505500729"/>
      <w:r>
        <w:t>Medidas provisionales</w:t>
      </w:r>
      <w:bookmarkEnd w:id="143"/>
    </w:p>
    <w:p w:rsidR="00000000" w:rsidRDefault="00000000">
      <w:pPr>
        <w:pStyle w:val="SingleTxt"/>
        <w:spacing w:after="0" w:line="120" w:lineRule="exact"/>
        <w:rPr>
          <w:sz w:val="10"/>
        </w:rPr>
      </w:pPr>
    </w:p>
    <w:p w:rsidR="00000000" w:rsidRDefault="00000000">
      <w:pPr>
        <w:pStyle w:val="SingleTxt"/>
      </w:pPr>
      <w:r>
        <w:t>1.</w:t>
      </w:r>
      <w:r>
        <w:tab/>
        <w:t>En cualquier momento después de recibir una comunicación y antes de tomar una decisión sobre el fondo de la comunicación, el Comité podrá transmitir al Est</w:t>
      </w:r>
      <w:r>
        <w:t>a</w:t>
      </w:r>
      <w:r>
        <w:t>do Parte interesado, para su examen urgente, una petición a fin de que adopte las medidas provisionales que el Comité considere necesarias para evitar un daño irr</w:t>
      </w:r>
      <w:r>
        <w:t>e</w:t>
      </w:r>
      <w:r>
        <w:t>parable a la víctima o las víctimas de la violación alegada.</w:t>
      </w:r>
    </w:p>
    <w:p w:rsidR="00000000" w:rsidRDefault="00000000">
      <w:pPr>
        <w:pStyle w:val="SingleTxt"/>
      </w:pPr>
      <w:r>
        <w:t>2.</w:t>
      </w:r>
      <w:r>
        <w:tab/>
        <w:t>Un grupo de trabajo o un relator también podrán pedir que el Estado parte int</w:t>
      </w:r>
      <w:r>
        <w:t>e</w:t>
      </w:r>
      <w:r>
        <w:t>resado tome las medidas provisionales que el grupo de trabajo o el relator consid</w:t>
      </w:r>
      <w:r>
        <w:t>e</w:t>
      </w:r>
      <w:r>
        <w:t>ren necesarias para evitar un daño irreparable a la víctima o las víctimas de la viol</w:t>
      </w:r>
      <w:r>
        <w:t>a</w:t>
      </w:r>
      <w:r>
        <w:t>ción al</w:t>
      </w:r>
      <w:r>
        <w:t>e</w:t>
      </w:r>
      <w:r>
        <w:t>gada.</w:t>
      </w:r>
    </w:p>
    <w:p w:rsidR="00000000" w:rsidRDefault="00000000">
      <w:pPr>
        <w:pStyle w:val="SingleTxt"/>
      </w:pPr>
      <w:r>
        <w:t>3.</w:t>
      </w:r>
      <w:r>
        <w:tab/>
        <w:t>Cuando una petición de adopción de medidas provisionales sea formulada por un grupo de trabajo o un relator en virtud del presente artículo, el grupo de trabajo o el relator informarán inmediatamente a los miembros del Comité de la naturaleza de la petición y la comunicación a que se refiere.</w:t>
      </w:r>
    </w:p>
    <w:p w:rsidR="00000000" w:rsidRDefault="00000000">
      <w:pPr>
        <w:pStyle w:val="SingleTxt"/>
      </w:pPr>
      <w:r>
        <w:t>4.</w:t>
      </w:r>
      <w:r>
        <w:tab/>
        <w:t>Cuando el Comité, un grupo de trabajo o un relator, soliciten la adopción de medidas provisionales conforme a este artículo, se indicará en la petición que ello no entraña ninguna conclusión sobre el fondo de la comunicación.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44" w:name="_Toc505500730"/>
      <w:r>
        <w:t>Artículo 64</w:t>
      </w:r>
      <w:bookmarkEnd w:id="144"/>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45" w:name="_Toc505500731"/>
      <w:r>
        <w:t>Procedimiento para determinar la admisibilidad</w:t>
      </w:r>
      <w:bookmarkEnd w:id="145"/>
    </w:p>
    <w:p w:rsidR="00000000" w:rsidRDefault="00000000">
      <w:pPr>
        <w:pStyle w:val="SingleTxt"/>
        <w:spacing w:after="0" w:line="120" w:lineRule="exact"/>
        <w:rPr>
          <w:sz w:val="10"/>
        </w:rPr>
      </w:pPr>
    </w:p>
    <w:p w:rsidR="00000000" w:rsidRDefault="00000000">
      <w:pPr>
        <w:pStyle w:val="SingleTxt"/>
      </w:pPr>
      <w:r>
        <w:t>1.</w:t>
      </w:r>
      <w:r>
        <w:tab/>
        <w:t>El Comité, por mayoría simple y de conformidad con los artículos siguie</w:t>
      </w:r>
      <w:r>
        <w:t>n</w:t>
      </w:r>
      <w:r>
        <w:t>tes, decidirá si la comunicación es admisible o inadmisible con arreglo al Protocolo F</w:t>
      </w:r>
      <w:r>
        <w:t>a</w:t>
      </w:r>
      <w:r>
        <w:t>cultativo.</w:t>
      </w:r>
    </w:p>
    <w:p w:rsidR="00000000" w:rsidRDefault="00000000">
      <w:pPr>
        <w:pStyle w:val="SingleTxt"/>
      </w:pPr>
      <w:r>
        <w:t>2.</w:t>
      </w:r>
      <w:r>
        <w:tab/>
        <w:t>También un grupo de trabajo podrá declarar que una comunicación es admis</w:t>
      </w:r>
      <w:r>
        <w:t>i</w:t>
      </w:r>
      <w:r>
        <w:t>ble conforme al Protocolo Facultativo, siempre que el grupo esté integrado por cinco miembros y todos ellos así lo decidan.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46" w:name="_Toc505500732"/>
      <w:r>
        <w:t>Artículo 65</w:t>
      </w:r>
      <w:bookmarkEnd w:id="146"/>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47" w:name="_Toc505500733"/>
      <w:r>
        <w:t>Orden de las comunicaciones</w:t>
      </w:r>
      <w:bookmarkEnd w:id="147"/>
    </w:p>
    <w:p w:rsidR="00000000" w:rsidRDefault="00000000">
      <w:pPr>
        <w:pStyle w:val="SingleTxt"/>
        <w:spacing w:after="0" w:line="120" w:lineRule="exact"/>
        <w:rPr>
          <w:sz w:val="10"/>
        </w:rPr>
      </w:pPr>
    </w:p>
    <w:p w:rsidR="00000000" w:rsidRDefault="00000000">
      <w:pPr>
        <w:pStyle w:val="SingleTxt"/>
      </w:pPr>
      <w:r>
        <w:t>1.</w:t>
      </w:r>
      <w:r>
        <w:tab/>
        <w:t>A menos que el Comité o un grupo de trabajo decidan otra cosa, las comunic</w:t>
      </w:r>
      <w:r>
        <w:t>a</w:t>
      </w:r>
      <w:r>
        <w:t>ciones se examinarán en el orden en que hayan sido recibidas por la Secretaría.</w:t>
      </w:r>
    </w:p>
    <w:p w:rsidR="00000000" w:rsidRDefault="00000000">
      <w:pPr>
        <w:pStyle w:val="SingleTxt"/>
      </w:pPr>
      <w:r>
        <w:t>2.</w:t>
      </w:r>
      <w:r>
        <w:tab/>
        <w:t>El Comité podrá decidir el examen conjunto de dos o más comunicaciones.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48" w:name="_Toc505500734"/>
      <w:r>
        <w:t>Artículo 66</w:t>
      </w:r>
      <w:bookmarkEnd w:id="148"/>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49" w:name="_Toc505500735"/>
      <w:r>
        <w:t>Examen por separado de la admisibilidad y el fondo</w:t>
      </w:r>
      <w:bookmarkEnd w:id="149"/>
    </w:p>
    <w:p w:rsidR="00000000" w:rsidRDefault="00000000">
      <w:pPr>
        <w:pStyle w:val="SingleTxt"/>
        <w:keepNext/>
        <w:keepLines/>
        <w:spacing w:after="0" w:line="120" w:lineRule="exact"/>
        <w:rPr>
          <w:sz w:val="10"/>
        </w:rPr>
      </w:pPr>
    </w:p>
    <w:p w:rsidR="00000000" w:rsidRDefault="00000000">
      <w:pPr>
        <w:pStyle w:val="SingleTxt"/>
        <w:keepNext/>
        <w:keepLines/>
      </w:pPr>
      <w:r>
        <w:tab/>
        <w:t>El Comité podrá decidir separar el examen de la cuestión de la admisibilidad de una comunicación del examen del fondo del asunto.</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50" w:name="_Toc505500736"/>
      <w:r>
        <w:t>Artículo 67</w:t>
      </w:r>
      <w:bookmarkEnd w:id="150"/>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51" w:name="_Toc505500737"/>
      <w:r>
        <w:t>Condiciones para la admisibilidad de las comunicaciones</w:t>
      </w:r>
      <w:bookmarkEnd w:id="151"/>
    </w:p>
    <w:p w:rsidR="00000000" w:rsidRDefault="00000000">
      <w:pPr>
        <w:pStyle w:val="SingleTxt"/>
        <w:keepNext/>
        <w:keepLines/>
        <w:spacing w:after="0" w:line="120" w:lineRule="exact"/>
        <w:rPr>
          <w:sz w:val="10"/>
        </w:rPr>
      </w:pPr>
    </w:p>
    <w:p w:rsidR="00000000" w:rsidRDefault="00000000">
      <w:pPr>
        <w:pStyle w:val="SingleTxt"/>
      </w:pPr>
      <w:r>
        <w:tab/>
        <w:t>Para decidir acerca de la admisibilidad de una comunicación, el Comité o un grupo de trabajo aplicarán los criterios enunciados en los artículos 2, 3 y 4 del Pr</w:t>
      </w:r>
      <w:r>
        <w:t>o</w:t>
      </w:r>
      <w:r>
        <w:t>tocolo Facultativo.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52" w:name="_Toc505500738"/>
      <w:r>
        <w:t>Artículo 68</w:t>
      </w:r>
      <w:r>
        <w:br/>
        <w:t>Autores de las comunicaciones</w:t>
      </w:r>
      <w:bookmarkEnd w:id="152"/>
    </w:p>
    <w:p w:rsidR="00000000" w:rsidRDefault="00000000">
      <w:pPr>
        <w:pStyle w:val="SingleTxt"/>
        <w:spacing w:after="0" w:line="120" w:lineRule="exact"/>
        <w:rPr>
          <w:sz w:val="10"/>
        </w:rPr>
      </w:pPr>
    </w:p>
    <w:p w:rsidR="00000000" w:rsidRDefault="00000000">
      <w:pPr>
        <w:pStyle w:val="SingleTxt"/>
      </w:pPr>
      <w:r>
        <w:t>1.</w:t>
      </w:r>
      <w:r>
        <w:tab/>
        <w:t>Las comunicaciones podrán ser presentadas por personas o grupos de personas que aleguen ser víctimas de violaciones de los derechos enunciados en la Conve</w:t>
      </w:r>
      <w:r>
        <w:t>n</w:t>
      </w:r>
      <w:r>
        <w:t>ción, por sus representantes designados, o por terceros en nombre de una presunta víctima cuando ésta consienta en ello.</w:t>
      </w:r>
    </w:p>
    <w:p w:rsidR="00000000" w:rsidRDefault="00000000">
      <w:pPr>
        <w:pStyle w:val="SingleTxt"/>
      </w:pPr>
      <w:r>
        <w:t>2.</w:t>
      </w:r>
      <w:r>
        <w:tab/>
        <w:t>En los casos en que el autor pueda justificar su actuación, las comunicaciones podrán ser presentadas en nombre de una presunta víctima sin su consent</w:t>
      </w:r>
      <w:r>
        <w:t>i</w:t>
      </w:r>
      <w:r>
        <w:t>miento.</w:t>
      </w:r>
    </w:p>
    <w:p w:rsidR="00000000" w:rsidRDefault="00000000">
      <w:pPr>
        <w:pStyle w:val="SingleTxt"/>
      </w:pPr>
      <w:r>
        <w:t>3.</w:t>
      </w:r>
      <w:r>
        <w:tab/>
        <w:t>En el caso en que el autor desee presentar una comunicación con arreglo al p</w:t>
      </w:r>
      <w:r>
        <w:t>á</w:t>
      </w:r>
      <w:r>
        <w:t>rrafo 2 del presente artículo, deberá presentar por escrito las razones que justifiquen su actuación.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53" w:name="_Toc505500739"/>
      <w:r>
        <w:t>Artículo 69</w:t>
      </w:r>
      <w:r>
        <w:br/>
        <w:t>Procedimiento relativo a las comunicaciones recibidas</w:t>
      </w:r>
      <w:bookmarkEnd w:id="153"/>
    </w:p>
    <w:p w:rsidR="00000000" w:rsidRDefault="00000000">
      <w:pPr>
        <w:pStyle w:val="SingleTxt"/>
        <w:spacing w:after="0" w:line="120" w:lineRule="exact"/>
        <w:rPr>
          <w:sz w:val="10"/>
        </w:rPr>
      </w:pPr>
    </w:p>
    <w:p w:rsidR="00000000" w:rsidRDefault="00000000">
      <w:pPr>
        <w:pStyle w:val="SingleTxt"/>
        <w:keepNext/>
        <w:keepLines/>
      </w:pPr>
      <w:r>
        <w:t>1.</w:t>
      </w:r>
      <w:r>
        <w:tab/>
        <w:t>Tan pronto como el Comité haya recibido la comunicación, y siempre que la persona, o el grupo de personas, consienta en que se revele su identidad al Estado parte interesado, el Comité o el grupo de trabajo o relator señalarán confidencia</w:t>
      </w:r>
      <w:r>
        <w:t>l</w:t>
      </w:r>
      <w:r>
        <w:t>mente la comunicación a la atención del Estado parte y le pedirán que presente por escrito una respuesta a la comunicación.</w:t>
      </w:r>
    </w:p>
    <w:p w:rsidR="00000000" w:rsidRDefault="00000000">
      <w:pPr>
        <w:pStyle w:val="SingleTxt"/>
        <w:suppressAutoHyphens/>
      </w:pPr>
      <w:r>
        <w:t>2.</w:t>
      </w:r>
      <w:r>
        <w:tab/>
        <w:t>Toda solicitud formulada de conformidad con el párrafo 1 del presente artículo incluirá una declaración en la que se indique que esa solicitud no entraña que se haya tomado ninguna decisión sobre la cuestión de la admisibilidad de la comunicación.</w:t>
      </w:r>
    </w:p>
    <w:p w:rsidR="00000000" w:rsidRDefault="00000000">
      <w:pPr>
        <w:pStyle w:val="SingleTxt"/>
      </w:pPr>
      <w:r>
        <w:t>3.</w:t>
      </w:r>
      <w:r>
        <w:tab/>
        <w:t>En el plazo de seis meses después de recibida la solicitud del Comité conforme al presente artículo, el Estado Parte presentará por escrito al Comité explicaciones o declaraciones relativas a la admisibilidad y al fondo de la comunicación, así como sobre cualquier remedio que haya podido utilizarse en este asunto.</w:t>
      </w:r>
    </w:p>
    <w:p w:rsidR="00000000" w:rsidRDefault="00000000">
      <w:pPr>
        <w:pStyle w:val="SingleTxt"/>
      </w:pPr>
      <w:r>
        <w:t>4.</w:t>
      </w:r>
      <w:r>
        <w:tab/>
        <w:t>El Comité, un grupo de trabajo o un relator podrán solicitar una explicación o declaración por escrito que se refiera solamente a la admisibilidad de la comunic</w:t>
      </w:r>
      <w:r>
        <w:t>a</w:t>
      </w:r>
      <w:r>
        <w:t>ción, pero en tal caso el Estado parte podrá no obstante presentar por escrito una e</w:t>
      </w:r>
      <w:r>
        <w:t>x</w:t>
      </w:r>
      <w:r>
        <w:t>plicación o declaración que se refiera tanto a la admisibilidad como al fondo de una comunicación, siempre que esa explicación o declaración por escrito se presente dentro del plazo de seis meses después de recibida la solicitud del Comité.</w:t>
      </w:r>
    </w:p>
    <w:p w:rsidR="00000000" w:rsidRDefault="00000000">
      <w:pPr>
        <w:pStyle w:val="SingleTxt"/>
      </w:pPr>
      <w:r>
        <w:t>5.</w:t>
      </w:r>
      <w:r>
        <w:tab/>
        <w:t>Un Estado parte que haya recibido una solicitud de respuesta por escrito de conformidad con el párrafo 1 del presente artículo, podrá presentar por escrito una solicitud para que se rechace por inadmisible la comunicación, exponiendo las raz</w:t>
      </w:r>
      <w:r>
        <w:t>o</w:t>
      </w:r>
      <w:r>
        <w:t>nes de esa inadmisibilidad, siempre que esa solicitud se presente al Comité en el plazo de dos meses contados desde la fecha de la solicitud formulada conforme al párrafo 1.</w:t>
      </w:r>
    </w:p>
    <w:p w:rsidR="00000000" w:rsidRDefault="00000000">
      <w:pPr>
        <w:pStyle w:val="SingleTxt"/>
      </w:pPr>
      <w:r>
        <w:t>6.</w:t>
      </w:r>
      <w:r>
        <w:tab/>
        <w:t>Si un Estado parte interesado impugna la alegación del autor o autores, co</w:t>
      </w:r>
      <w:r>
        <w:t>n</w:t>
      </w:r>
      <w:r>
        <w:t>forme al párrafo 1 del artículo 4 del Protocolo Facultativo de que se han agotado t</w:t>
      </w:r>
      <w:r>
        <w:t>o</w:t>
      </w:r>
      <w:r>
        <w:t>dos los recursos de la jurisdicción interna disponibles, el Estado parte explicará d</w:t>
      </w:r>
      <w:r>
        <w:t>e</w:t>
      </w:r>
      <w:r>
        <w:t>talladamente los recursos efectivos de que dispone la presunta víctima o víctimas en las circunstancias part</w:t>
      </w:r>
      <w:r>
        <w:t>i</w:t>
      </w:r>
      <w:r>
        <w:t>culares del caso.</w:t>
      </w:r>
    </w:p>
    <w:p w:rsidR="00000000" w:rsidRDefault="00000000">
      <w:pPr>
        <w:pStyle w:val="SingleTxt"/>
      </w:pPr>
      <w:r>
        <w:t>7.</w:t>
      </w:r>
      <w:r>
        <w:tab/>
        <w:t>La presentación por el Estado parte de una solicitud de conformidad con el p</w:t>
      </w:r>
      <w:r>
        <w:t>á</w:t>
      </w:r>
      <w:r>
        <w:t>rrafo 5 del presente artículo no modificará el plazo de seis meses concedido al Est</w:t>
      </w:r>
      <w:r>
        <w:t>a</w:t>
      </w:r>
      <w:r>
        <w:t>do parte para presentar por escrito su explicación o declaración, a menos que el C</w:t>
      </w:r>
      <w:r>
        <w:t>o</w:t>
      </w:r>
      <w:r>
        <w:t>mité, un grupo de trabajo o un relator decidan prorrogar el plazo para la present</w:t>
      </w:r>
      <w:r>
        <w:t>a</w:t>
      </w:r>
      <w:r>
        <w:t>ción de esa respuesta por el tiempo que el Comité considere apropiado.</w:t>
      </w:r>
    </w:p>
    <w:p w:rsidR="00000000" w:rsidRDefault="00000000">
      <w:pPr>
        <w:pStyle w:val="SingleTxt"/>
      </w:pPr>
      <w:r>
        <w:t>8.</w:t>
      </w:r>
      <w:r>
        <w:tab/>
        <w:t>El Comité, un grupo de trabajo o un relator podrán solicitar al Estado parte o al autor de la comunicación que presenten por escrito, dentro de un plazo determinado, explicaciones o declaraciones adicionales que sean pertinentes para la cuestión de la admisibil</w:t>
      </w:r>
      <w:r>
        <w:t>i</w:t>
      </w:r>
      <w:r>
        <w:t>dad o del fondo de una comunicación.</w:t>
      </w:r>
    </w:p>
    <w:p w:rsidR="00000000" w:rsidRDefault="00000000">
      <w:pPr>
        <w:pStyle w:val="SingleTxt"/>
      </w:pPr>
      <w:r>
        <w:t>9.</w:t>
      </w:r>
      <w:r>
        <w:tab/>
        <w:t>El Comité, un grupo de trabajo o un relator transmitirán a cada parte las expl</w:t>
      </w:r>
      <w:r>
        <w:t>i</w:t>
      </w:r>
      <w:r>
        <w:t>caciones o declaraciones presentadas por la otra parte en virtud del presente artículo y darán a cada parte la oportunidad de presentar sus observaciones al respecto de</w:t>
      </w:r>
      <w:r>
        <w:t>n</w:t>
      </w:r>
      <w:r>
        <w:t>tro de un plazo fijo.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54" w:name="_Toc505500740"/>
      <w:r>
        <w:t>Artículo 70</w:t>
      </w:r>
      <w:r>
        <w:br/>
        <w:t>Comunicaciones inadmisibles</w:t>
      </w:r>
      <w:bookmarkEnd w:id="154"/>
    </w:p>
    <w:p w:rsidR="00000000" w:rsidRDefault="00000000">
      <w:pPr>
        <w:pStyle w:val="SingleTxt"/>
        <w:spacing w:after="0" w:line="120" w:lineRule="exact"/>
        <w:rPr>
          <w:sz w:val="10"/>
        </w:rPr>
      </w:pPr>
    </w:p>
    <w:p w:rsidR="00000000" w:rsidRDefault="00000000">
      <w:pPr>
        <w:pStyle w:val="SingleTxt"/>
      </w:pPr>
      <w:r>
        <w:t>1.</w:t>
      </w:r>
      <w:r>
        <w:tab/>
        <w:t>Si el Comité decide que una comunicación es inadmisible, comunicará lo antes posible, por conducto del Secretario General, su decisión y las razones de la misma al autor de la comunicación y al Estado parte interesado.</w:t>
      </w:r>
    </w:p>
    <w:p w:rsidR="00000000" w:rsidRDefault="00000000">
      <w:pPr>
        <w:pStyle w:val="SingleTxt"/>
      </w:pPr>
      <w:r>
        <w:t>2.</w:t>
      </w:r>
      <w:r>
        <w:tab/>
        <w:t>Toda decisión del Comité por la que se declare inadmisible una comunicación podrá ser revisada por el Comité si recibe una solicitud por escrito, presentada por el autor o autores de la comunicación, o en su nombre, que incluya información que ind</w:t>
      </w:r>
      <w:r>
        <w:t>i</w:t>
      </w:r>
      <w:r>
        <w:t>que que ya no son válidas las razones de la inadmisibilidad.</w:t>
      </w:r>
    </w:p>
    <w:p w:rsidR="00000000" w:rsidRDefault="00000000">
      <w:pPr>
        <w:pStyle w:val="SingleTxt"/>
        <w:suppressAutoHyphens/>
      </w:pPr>
      <w:r>
        <w:t>3.</w:t>
      </w:r>
      <w:r>
        <w:tab/>
        <w:t>Cualquier miembro del Comité que haya participado en la adopción de la decisión sobre la admisibilidad podrá pedir que su opinión particular se agregue como apéndice a la decisión del Comité por la que se declara inadmisible una comunic</w:t>
      </w:r>
      <w:r>
        <w:t>a</w:t>
      </w:r>
      <w:r>
        <w:t>ción.</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55" w:name="_Toc505500741"/>
      <w:r>
        <w:t>Artículo 71</w:t>
      </w:r>
      <w:r>
        <w:br/>
        <w:t>Procedimientos adicionales con arreglo a los cuales la admisibilidad de una comunicación podrá examinarse separadamente de su fondo</w:t>
      </w:r>
      <w:bookmarkEnd w:id="155"/>
    </w:p>
    <w:p w:rsidR="00000000" w:rsidRDefault="00000000">
      <w:pPr>
        <w:pStyle w:val="SingleTxt"/>
        <w:keepNext/>
        <w:keepLines/>
        <w:spacing w:after="0" w:line="120" w:lineRule="exact"/>
        <w:rPr>
          <w:sz w:val="10"/>
        </w:rPr>
      </w:pPr>
    </w:p>
    <w:p w:rsidR="00000000" w:rsidRDefault="00000000">
      <w:pPr>
        <w:pStyle w:val="SingleTxt"/>
        <w:keepNext/>
        <w:keepLines/>
      </w:pPr>
      <w:r>
        <w:t>1.</w:t>
      </w:r>
      <w:r>
        <w:tab/>
        <w:t>En los casos en que el Comité o un grupo de trabajo decida la cuestión de la admisibilidad antes de haber recibido por escrito del Estado parte explicaciones o declaraciones acerca del fondo de la comunicación, esa decisión y toda la demás i</w:t>
      </w:r>
      <w:r>
        <w:t>n</w:t>
      </w:r>
      <w:r>
        <w:t>formación pertinente se presentarán, a través del Secretario General, al Estado parte interesado. También se comunicará la decisión, por conducto del Secretario General, al autor de la comunicación.</w:t>
      </w:r>
    </w:p>
    <w:p w:rsidR="00000000" w:rsidRDefault="00000000">
      <w:pPr>
        <w:pStyle w:val="SingleTxt"/>
      </w:pPr>
      <w:r>
        <w:t>2.</w:t>
      </w:r>
      <w:r>
        <w:tab/>
        <w:t>El Comité podrá revocar su decisión de que una comunicación es admisible a la luz de las explicaciones o declaraciones que presente el Estado parte.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56" w:name="_Toc505500742"/>
      <w:r>
        <w:t>Artículo 72</w:t>
      </w:r>
      <w:r>
        <w:br/>
        <w:t>Observaciones del Comité sobre las comunicaciones admisibles</w:t>
      </w:r>
      <w:bookmarkEnd w:id="156"/>
    </w:p>
    <w:p w:rsidR="00000000" w:rsidRDefault="00000000">
      <w:pPr>
        <w:pStyle w:val="SingleTxt"/>
        <w:spacing w:after="0" w:line="120" w:lineRule="exact"/>
        <w:rPr>
          <w:sz w:val="10"/>
        </w:rPr>
      </w:pPr>
    </w:p>
    <w:p w:rsidR="00000000" w:rsidRDefault="00000000">
      <w:pPr>
        <w:pStyle w:val="SingleTxt"/>
      </w:pPr>
      <w:r>
        <w:t>1.</w:t>
      </w:r>
      <w:r>
        <w:tab/>
        <w:t>Cuando las partes hayan presentado información relacionada tanto con la admisibilidad como con el fondo de una comunicación, o cuando ya se haya adoptado una decisión sobre la admisibilidad y las partes hayan presentado inform</w:t>
      </w:r>
      <w:r>
        <w:t>a</w:t>
      </w:r>
      <w:r>
        <w:t>ción sobre el fondo de dicha comunicación, el Comité examinará la comunicación y formulará sus observaciones al respecto, habida cuenta de toda la información que le hayan facilitado por escrito el autor o los autores de la comunicación y el Estado parte interesado, siempre que la información haya sido transmitida a la otra parte inter</w:t>
      </w:r>
      <w:r>
        <w:t>e</w:t>
      </w:r>
      <w:r>
        <w:t>sada.</w:t>
      </w:r>
    </w:p>
    <w:p w:rsidR="00000000" w:rsidRDefault="00000000">
      <w:pPr>
        <w:pStyle w:val="SingleTxt"/>
      </w:pPr>
      <w:r>
        <w:t>2.</w:t>
      </w:r>
      <w:r>
        <w:tab/>
        <w:t>El Comité o el grupo de trabajo que éste haya establecido para examinar una comunicación podrán, en cualquier momento durante el examen, obtener de las o</w:t>
      </w:r>
      <w:r>
        <w:t>r</w:t>
      </w:r>
      <w:r>
        <w:t>ganizaciones del sistema de las Naciones Unidas y  otros órganos, por intermedio del Secretario General, cualquier documentación que pueda ayudarles a solucionar el caso, si bien el Comité deberá dar a cada una de las partes la oportunidad de formular observaciones sobre dicha documentación o información en un plazo determin</w:t>
      </w:r>
      <w:r>
        <w:t>a</w:t>
      </w:r>
      <w:r>
        <w:t>do.</w:t>
      </w:r>
    </w:p>
    <w:p w:rsidR="00000000" w:rsidRDefault="00000000">
      <w:pPr>
        <w:pStyle w:val="SingleTxt"/>
      </w:pPr>
      <w:r>
        <w:t>3.</w:t>
      </w:r>
      <w:r>
        <w:tab/>
        <w:t>El Comité podrá remitir cualquier comunicación a un grupo de trabajo para que le formule recomendaciones s</w:t>
      </w:r>
      <w:r>
        <w:t>o</w:t>
      </w:r>
      <w:r>
        <w:t>bre el fondo de la comunicación.</w:t>
      </w:r>
    </w:p>
    <w:p w:rsidR="00000000" w:rsidRDefault="00000000">
      <w:pPr>
        <w:pStyle w:val="SingleTxt"/>
      </w:pPr>
      <w:r>
        <w:t>4.</w:t>
      </w:r>
      <w:r>
        <w:tab/>
        <w:t>El Comité no tomará una decisión sobre el fondo de la comunicación sin haber examinado antes la aplicabilidad de todos los motivos de admisibilidad a que hacen r</w:t>
      </w:r>
      <w:r>
        <w:t>e</w:t>
      </w:r>
      <w:r>
        <w:t>ferencia los artículos 2, 3 y 4 del Protocolo Facultativo.</w:t>
      </w:r>
    </w:p>
    <w:p w:rsidR="00000000" w:rsidRDefault="00000000">
      <w:pPr>
        <w:pStyle w:val="SingleTxt"/>
      </w:pPr>
      <w:r>
        <w:t>5.</w:t>
      </w:r>
      <w:r>
        <w:tab/>
        <w:t>El Secretario General transmitirá las observaciones del Comité, aprobadas por mayoría simple, juntamente con cualquier recomendación, al autor o los autores de la comunicación y al Estado parte interesado.</w:t>
      </w:r>
    </w:p>
    <w:p w:rsidR="00000000" w:rsidRDefault="00000000">
      <w:pPr>
        <w:pStyle w:val="SingleTxt"/>
      </w:pPr>
      <w:r>
        <w:t>6.</w:t>
      </w:r>
      <w:r>
        <w:tab/>
        <w:t>Cualquier miembro del Comité que haya participado en la decisión podrá pedir que se adjunte a las observaciones del Comité un resumen de su opinión pers</w:t>
      </w:r>
      <w:r>
        <w:t>o</w:t>
      </w:r>
      <w:r>
        <w:t>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57" w:name="_Toc505500743"/>
      <w:r>
        <w:t>Artículo 73</w:t>
      </w:r>
      <w:r>
        <w:br/>
        <w:t>Seguimiento de las observaciones del Comité</w:t>
      </w:r>
      <w:bookmarkEnd w:id="157"/>
    </w:p>
    <w:p w:rsidR="00000000" w:rsidRDefault="00000000">
      <w:pPr>
        <w:pStyle w:val="SingleTxt"/>
        <w:spacing w:after="0" w:line="120" w:lineRule="exact"/>
        <w:rPr>
          <w:sz w:val="10"/>
        </w:rPr>
      </w:pPr>
    </w:p>
    <w:p w:rsidR="00000000" w:rsidRDefault="00000000">
      <w:pPr>
        <w:pStyle w:val="SingleTxt"/>
      </w:pPr>
      <w:r>
        <w:t>1.</w:t>
      </w:r>
      <w:r>
        <w:tab/>
        <w:t>En el plazo de seis meses desde que el Comité haya dado a conocer sus obse</w:t>
      </w:r>
      <w:r>
        <w:t>r</w:t>
      </w:r>
      <w:r>
        <w:t>vaciones sobre una comunicación, el Estado parte interesado transmitirá al Comité una respuesta por escrito que incluirá cualquier información sobre las medidas adoptadas en respuesta a las observaciones y rec</w:t>
      </w:r>
      <w:r>
        <w:t>o</w:t>
      </w:r>
      <w:r>
        <w:t>mendaciones del Comité.</w:t>
      </w:r>
    </w:p>
    <w:p w:rsidR="00000000" w:rsidRDefault="00000000">
      <w:pPr>
        <w:pStyle w:val="SingleTxt"/>
      </w:pPr>
      <w:r>
        <w:t>2.</w:t>
      </w:r>
      <w:r>
        <w:tab/>
        <w:t>Transcurrido el período de seis meses mencionado en el párrafo 1 del presente artículo, el Comité podrá invitar al Estado parte interesado a que presente inform</w:t>
      </w:r>
      <w:r>
        <w:t>a</w:t>
      </w:r>
      <w:r>
        <w:t>ción adicional sobre las medidas que el Estado parte haya adoptado en respuesta a sus observaciones o recomendaciones.</w:t>
      </w:r>
    </w:p>
    <w:p w:rsidR="00000000" w:rsidRDefault="00000000">
      <w:pPr>
        <w:pStyle w:val="SingleTxt"/>
      </w:pPr>
      <w:r>
        <w:t>3.</w:t>
      </w:r>
      <w:r>
        <w:tab/>
        <w:t>El Comité podrá pedir al Estado parte que en los informes que presente ult</w:t>
      </w:r>
      <w:r>
        <w:t>e</w:t>
      </w:r>
      <w:r>
        <w:t>riormente de conformidad con el artículo 18 de la Convención incluya información sobre las med</w:t>
      </w:r>
      <w:r>
        <w:t>i</w:t>
      </w:r>
      <w:r>
        <w:t>das adoptadas en respuesta a sus observaciones o recomendaciones.</w:t>
      </w:r>
    </w:p>
    <w:p w:rsidR="00000000" w:rsidRDefault="00000000">
      <w:pPr>
        <w:pStyle w:val="SingleTxt"/>
      </w:pPr>
      <w:r>
        <w:t>4.</w:t>
      </w:r>
      <w:r>
        <w:tab/>
        <w:t>El Comité designará, para el seguimiento de las observaciones formuladas de conformidad con el artículo 7 del Protocolo Facultativo, un relator o grupo de tr</w:t>
      </w:r>
      <w:r>
        <w:t>a</w:t>
      </w:r>
      <w:r>
        <w:t>bajo que deberá verificar las medidas adoptadas por los Estados partes para poner en práctica las observaciones y recomendaciones del C</w:t>
      </w:r>
      <w:r>
        <w:t>o</w:t>
      </w:r>
      <w:r>
        <w:t>mité.</w:t>
      </w:r>
    </w:p>
    <w:p w:rsidR="00000000" w:rsidRDefault="00000000">
      <w:pPr>
        <w:pStyle w:val="SingleTxt"/>
        <w:suppressAutoHyphens/>
      </w:pPr>
      <w:r>
        <w:t>5.</w:t>
      </w:r>
      <w:r>
        <w:tab/>
        <w:t>El relator o el grupo de trabajo podrán establecer los contactos y adoptar las medidas que consideren adecuadas para el desempeño de sus funciones, y formularán al Comité recomendaciones sobre la adopción de las medidas que sean neces</w:t>
      </w:r>
      <w:r>
        <w:t>a</w:t>
      </w:r>
      <w:r>
        <w:t>rias.</w:t>
      </w:r>
    </w:p>
    <w:p w:rsidR="00000000" w:rsidRDefault="00000000">
      <w:pPr>
        <w:pStyle w:val="SingleTxt"/>
      </w:pPr>
      <w:r>
        <w:t>6.</w:t>
      </w:r>
      <w:r>
        <w:tab/>
        <w:t>El relator o el grupo de trabajo informarán periódicamente al Comité de las actividades de seguimiento.</w:t>
      </w:r>
    </w:p>
    <w:p w:rsidR="00000000" w:rsidRDefault="00000000">
      <w:pPr>
        <w:pStyle w:val="SingleTxt"/>
      </w:pPr>
      <w:r>
        <w:t>7.</w:t>
      </w:r>
      <w:r>
        <w:tab/>
        <w:t>El Comité incluirá información sobre las actividades de seguimiento en su i</w:t>
      </w:r>
      <w:r>
        <w:t>n</w:t>
      </w:r>
      <w:r>
        <w:t>forme anual de conformidad con el artículo 21 de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58" w:name="_Toc505500744"/>
      <w:r>
        <w:t>Artículo 74</w:t>
      </w:r>
      <w:r>
        <w:br/>
        <w:t>Carácter confidencial de las comunicaciones</w:t>
      </w:r>
      <w:bookmarkEnd w:id="158"/>
    </w:p>
    <w:p w:rsidR="00000000" w:rsidRDefault="00000000">
      <w:pPr>
        <w:pStyle w:val="SingleTxt"/>
        <w:keepNext/>
        <w:keepLines/>
        <w:spacing w:after="0" w:line="120" w:lineRule="exact"/>
        <w:rPr>
          <w:sz w:val="10"/>
        </w:rPr>
      </w:pPr>
    </w:p>
    <w:p w:rsidR="00000000" w:rsidRDefault="00000000">
      <w:pPr>
        <w:pStyle w:val="SingleTxt"/>
        <w:keepNext/>
        <w:keepLines/>
      </w:pPr>
      <w:r>
        <w:t>1.</w:t>
      </w:r>
      <w:r>
        <w:tab/>
        <w:t>Las comunicaciones presentadas de conformidad con el Protocolo Facultat</w:t>
      </w:r>
      <w:r>
        <w:t>i</w:t>
      </w:r>
      <w:r>
        <w:t>vo serán examinadas por el Comité, un grupo de trabajo o un relator en sesiones</w:t>
      </w:r>
      <w:r>
        <w:br/>
        <w:t>priv</w:t>
      </w:r>
      <w:r>
        <w:t>a</w:t>
      </w:r>
      <w:r>
        <w:t>das.</w:t>
      </w:r>
    </w:p>
    <w:p w:rsidR="00000000" w:rsidRDefault="00000000">
      <w:pPr>
        <w:pStyle w:val="SingleTxt"/>
      </w:pPr>
      <w:r>
        <w:t>2.</w:t>
      </w:r>
      <w:r>
        <w:tab/>
        <w:t>Todos los documentos de trabajo preparados por la Secretaría para el Comité, el grupo de trabajo o el relator, incluidos los resúmenes de las comunicaciones pr</w:t>
      </w:r>
      <w:r>
        <w:t>e</w:t>
      </w:r>
      <w:r>
        <w:t>paradas con anterioridad al registro y la lista de resúmenes de las comunicaciones, tendrán carácter confidencial a menos que el Comité decida otra cosa.</w:t>
      </w:r>
    </w:p>
    <w:p w:rsidR="00000000" w:rsidRDefault="00000000">
      <w:pPr>
        <w:pStyle w:val="SingleTxt"/>
      </w:pPr>
      <w:r>
        <w:t>3.</w:t>
      </w:r>
      <w:r>
        <w:tab/>
        <w:t>El Comité, el grupo de trabajo o el relator no harán pública ninguna comunic</w:t>
      </w:r>
      <w:r>
        <w:t>a</w:t>
      </w:r>
      <w:r>
        <w:t>ción o información relativa a una comunicación con anterioridad a la fecha en que dé a c</w:t>
      </w:r>
      <w:r>
        <w:t>o</w:t>
      </w:r>
      <w:r>
        <w:t>nocer sus observaciones.</w:t>
      </w:r>
    </w:p>
    <w:p w:rsidR="00000000" w:rsidRDefault="00000000">
      <w:pPr>
        <w:pStyle w:val="SingleTxt"/>
      </w:pPr>
      <w:r>
        <w:t>4.</w:t>
      </w:r>
      <w:r>
        <w:tab/>
        <w:t>El autor o los autores de una comunicación, o las personas que aleguen haber sido víctimas de una violación de los derechos enunciados en la Convención, podrán pedir que no se hagan públicos los nombres de la presunta víctima o las víctimas (o de cua</w:t>
      </w:r>
      <w:r>
        <w:t>l</w:t>
      </w:r>
      <w:r>
        <w:t>quiera de ellas) y otros datos que permitan determinar su identidad.</w:t>
      </w:r>
    </w:p>
    <w:p w:rsidR="00000000" w:rsidRDefault="00000000">
      <w:pPr>
        <w:pStyle w:val="SingleTxt"/>
      </w:pPr>
      <w:r>
        <w:t>5.</w:t>
      </w:r>
      <w:r>
        <w:tab/>
        <w:t>Si el Comité, el grupo de trabajo o el relator así lo deciden, el Comité, el autor o el Estado parte interesado no podrán dar a conocer el nombre o los nombres ni datos que permitan determinar la identidad del autor o los autores de una comunic</w:t>
      </w:r>
      <w:r>
        <w:t>a</w:t>
      </w:r>
      <w:r>
        <w:t>ción o de las personas que alegan haber sido víctimas de una violación de los der</w:t>
      </w:r>
      <w:r>
        <w:t>e</w:t>
      </w:r>
      <w:r>
        <w:t>chos enunciados en la Convención.</w:t>
      </w:r>
    </w:p>
    <w:p w:rsidR="00000000" w:rsidRDefault="00000000">
      <w:pPr>
        <w:pStyle w:val="SingleTxt"/>
        <w:suppressAutoHyphens/>
      </w:pPr>
      <w:r>
        <w:t>6.</w:t>
      </w:r>
      <w:r>
        <w:tab/>
        <w:t xml:space="preserve">El Comité, el grupo de trabajo o el relator podrán pedir al autor de una comunicación o al Estado </w:t>
      </w:r>
      <w:r>
        <w:rPr>
          <w:w w:val="102"/>
        </w:rPr>
        <w:t>parte</w:t>
      </w:r>
      <w:r>
        <w:t xml:space="preserve"> interesado que mantengan el carácter confidencial de la totalidad o parte de las comunicaciones o informaciones relativas a los procedimientos.</w:t>
      </w:r>
    </w:p>
    <w:p w:rsidR="00000000" w:rsidRDefault="00000000">
      <w:pPr>
        <w:pStyle w:val="SingleTxt"/>
        <w:suppressAutoHyphens/>
      </w:pPr>
      <w:r>
        <w:t>7.</w:t>
      </w:r>
      <w:r>
        <w:tab/>
        <w:t>A reserva de lo dispuesto en los párrafos 5 y 6 del presente artículo, ninguna disposición del mismo afectará al derecho del autor o los autores o del Estado parte interesado de hacer pública cualquier comunicación o información relativa a los proc</w:t>
      </w:r>
      <w:r>
        <w:t>e</w:t>
      </w:r>
      <w:r>
        <w:t>dimientos.</w:t>
      </w:r>
    </w:p>
    <w:p w:rsidR="00000000" w:rsidRDefault="00000000">
      <w:pPr>
        <w:pStyle w:val="SingleTxt"/>
      </w:pPr>
      <w:r>
        <w:t>8.</w:t>
      </w:r>
      <w:r>
        <w:tab/>
        <w:t>A reserva de lo dispuesto en los párrafos 5 y 6 del presente artículo, sí se harán públicas las decisiones del Comité sobre la admisibilidad, el fondo del asunto o el desistimiento.</w:t>
      </w:r>
    </w:p>
    <w:p w:rsidR="00000000" w:rsidRDefault="00000000">
      <w:pPr>
        <w:pStyle w:val="SingleTxt"/>
      </w:pPr>
      <w:r>
        <w:t>9.</w:t>
      </w:r>
      <w:r>
        <w:tab/>
        <w:t>La Secretaría se encargará de distribuir las decisiones finales del Comité al autor o los autores y al Estado parte interesado.</w:t>
      </w:r>
    </w:p>
    <w:p w:rsidR="00000000" w:rsidRDefault="00000000">
      <w:pPr>
        <w:pStyle w:val="SingleTxt"/>
      </w:pPr>
      <w:r>
        <w:t>10.</w:t>
      </w:r>
      <w:r>
        <w:tab/>
        <w:t>El Comité incluirá en el informe anual que debe presentar de conformidad con el artículo 21 de la Convención un resumen de las comunicaciones examinadas y, cuando corresponda, un resumen de las explicaciones y declaraciones de los Estados partes interesados, así como de sus propias sugerencias y recomendaciones.</w:t>
      </w:r>
    </w:p>
    <w:p w:rsidR="00000000" w:rsidRDefault="00000000">
      <w:pPr>
        <w:pStyle w:val="SingleTxt"/>
      </w:pPr>
      <w:r>
        <w:t>11.</w:t>
      </w:r>
      <w:r>
        <w:tab/>
        <w:t>A menos que el Comité decida otra cosa, la información facilitada por las partes para dar seguimiento a las observaciones y recomendaciones del Comité, de conformidad con los párrafos 4 y 5 del artículo 7 del Protocolo Facultativo, no tendrán carácter confidencial. A menos que el Comité decida otra cosa, las decisi</w:t>
      </w:r>
      <w:r>
        <w:t>o</w:t>
      </w:r>
      <w:r>
        <w:t>nes del Comité en relación con las actividades de seguimiento no tendrán carácter confide</w:t>
      </w:r>
      <w:r>
        <w:t>n</w:t>
      </w:r>
      <w:r>
        <w:t>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59" w:name="_Toc505500745"/>
      <w:r>
        <w:t>Artículo 75</w:t>
      </w:r>
      <w:r>
        <w:br/>
        <w:t>Comunicados</w:t>
      </w:r>
      <w:bookmarkEnd w:id="159"/>
    </w:p>
    <w:p w:rsidR="00000000" w:rsidRDefault="00000000">
      <w:pPr>
        <w:pStyle w:val="SingleTxt"/>
        <w:spacing w:after="0" w:line="120" w:lineRule="exact"/>
        <w:rPr>
          <w:sz w:val="10"/>
        </w:rPr>
      </w:pPr>
    </w:p>
    <w:p w:rsidR="00000000" w:rsidRDefault="00000000">
      <w:pPr>
        <w:pStyle w:val="SingleTxt"/>
      </w:pPr>
      <w:r>
        <w:tab/>
        <w:t>El Comité podrá emitir, por conducto del Secretario General, comunicados destinados a los medios de información y al público en general sobre sus actuaci</w:t>
      </w:r>
      <w:r>
        <w:t>o</w:t>
      </w:r>
      <w:r>
        <w:t>nes de conformidad con los artículos 1 a 7 del Protocolo Facultativo.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160" w:name="_Toc505500746"/>
      <w:r>
        <w:t>XVII.</w:t>
      </w:r>
      <w:r>
        <w:tab/>
        <w:t>Actuaciones en relación con el procedimiento de investigación del Protocolo Facultativo</w:t>
      </w:r>
      <w:bookmarkEnd w:id="16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61" w:name="_Toc505500747"/>
      <w:r>
        <w:t>Artículo 76</w:t>
      </w:r>
      <w:r>
        <w:br/>
        <w:t>Aplicabilidad</w:t>
      </w:r>
      <w:bookmarkEnd w:id="161"/>
    </w:p>
    <w:p w:rsidR="00000000" w:rsidRDefault="00000000">
      <w:pPr>
        <w:pStyle w:val="SingleTxt"/>
        <w:spacing w:after="0" w:line="120" w:lineRule="exact"/>
        <w:rPr>
          <w:sz w:val="10"/>
        </w:rPr>
      </w:pPr>
    </w:p>
    <w:p w:rsidR="00000000" w:rsidRDefault="00000000">
      <w:pPr>
        <w:pStyle w:val="SingleTxt"/>
      </w:pPr>
      <w:r>
        <w:tab/>
        <w:t>Los artículos 77 a 90 del presente reglamento no se aplicarán al Estado parte que, de conformidad con el párrafo 1 del artículo 10 del Protocolo Facultativo al momento de la ratificación del Protocolo Facultativo, o de la adhesión a él, declare que no reconoce la competencia del Comité establecida en el artículo 8, a menos que ese Estado parte haya retirado posteriormente su declaración, de conformidad con el párrafo 2 del artíc</w:t>
      </w:r>
      <w:r>
        <w:t>u</w:t>
      </w:r>
      <w:r>
        <w:t>lo 10 del Protocolo Facultativo.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62" w:name="_Toc505500748"/>
      <w:r>
        <w:t>Artículo 77</w:t>
      </w:r>
      <w:r>
        <w:br/>
        <w:t>Transmisión de información al Comité</w:t>
      </w:r>
      <w:bookmarkEnd w:id="162"/>
    </w:p>
    <w:p w:rsidR="00000000" w:rsidRDefault="00000000">
      <w:pPr>
        <w:pStyle w:val="SingleTxt"/>
        <w:spacing w:after="0" w:line="120" w:lineRule="exact"/>
        <w:rPr>
          <w:sz w:val="10"/>
        </w:rPr>
      </w:pPr>
    </w:p>
    <w:p w:rsidR="00000000" w:rsidRDefault="00000000">
      <w:pPr>
        <w:pStyle w:val="SingleTxt"/>
      </w:pPr>
      <w:r>
        <w:tab/>
        <w:t>De conformidad con el presente reglamento, el Secretario General señalará a la atención del Comité la información que se haya presentado o parezca haberse pr</w:t>
      </w:r>
      <w:r>
        <w:t>e</w:t>
      </w:r>
      <w:r>
        <w:t>sentado para su examen por el Comité de conformidad con el párrafo 1 del artículo 8 del Prot</w:t>
      </w:r>
      <w:r>
        <w:t>o</w:t>
      </w:r>
      <w:r>
        <w:t>colo Facultativo.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63" w:name="_Toc505500749"/>
      <w:r>
        <w:t>Artículo 78</w:t>
      </w:r>
      <w:bookmarkEnd w:id="163"/>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64" w:name="_Toc505500750"/>
      <w:r>
        <w:t>Registro de la información</w:t>
      </w:r>
      <w:bookmarkEnd w:id="164"/>
    </w:p>
    <w:p w:rsidR="00000000" w:rsidRDefault="00000000">
      <w:pPr>
        <w:pStyle w:val="SingleTxt"/>
        <w:spacing w:after="0" w:line="120" w:lineRule="exact"/>
        <w:rPr>
          <w:sz w:val="10"/>
        </w:rPr>
      </w:pPr>
    </w:p>
    <w:p w:rsidR="00000000" w:rsidRDefault="00000000">
      <w:pPr>
        <w:pStyle w:val="SingleTxt"/>
        <w:keepNext/>
        <w:keepLines/>
      </w:pPr>
      <w:r>
        <w:tab/>
        <w:t>El Secretario General mantendrá un registro permanente de la información s</w:t>
      </w:r>
      <w:r>
        <w:t>e</w:t>
      </w:r>
      <w:r>
        <w:t>ñalada a la atención del Comité de conformidad con el artículo 77 del presente r</w:t>
      </w:r>
      <w:r>
        <w:t>e</w:t>
      </w:r>
      <w:r>
        <w:t>glamento, y pondrá esta información a disposición de cualquier miembro del Comité que lo solicite.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65" w:name="_Toc505500751"/>
      <w:r>
        <w:t>Artículo 79</w:t>
      </w:r>
      <w:bookmarkEnd w:id="165"/>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66" w:name="_Toc505500752"/>
      <w:r>
        <w:t>Resumen de la información</w:t>
      </w:r>
      <w:bookmarkEnd w:id="166"/>
    </w:p>
    <w:p w:rsidR="00000000" w:rsidRDefault="00000000">
      <w:pPr>
        <w:pStyle w:val="SingleTxt"/>
        <w:spacing w:after="0" w:line="120" w:lineRule="exact"/>
        <w:rPr>
          <w:sz w:val="10"/>
        </w:rPr>
      </w:pPr>
    </w:p>
    <w:p w:rsidR="00000000" w:rsidRDefault="00000000">
      <w:pPr>
        <w:pStyle w:val="SingleTxt"/>
      </w:pPr>
      <w:r>
        <w:tab/>
        <w:t>El Secretario General, en caso necesario, preparará y distribuirá a los mie</w:t>
      </w:r>
      <w:r>
        <w:t>m</w:t>
      </w:r>
      <w:r>
        <w:t>bros del Comité un breve resumen de la información presentada de conformidad con el artículo 77 del presente reglamento.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67" w:name="_Toc505500753"/>
      <w:r>
        <w:t>Artículo 80</w:t>
      </w:r>
      <w:bookmarkEnd w:id="167"/>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68" w:name="_Toc505500754"/>
      <w:r>
        <w:t xml:space="preserve">Carácter confidencial de los documentos y procedimientos </w:t>
      </w:r>
      <w:bookmarkEnd w:id="168"/>
    </w:p>
    <w:p w:rsidR="00000000" w:rsidRDefault="00000000">
      <w:pPr>
        <w:spacing w:line="120" w:lineRule="exact"/>
        <w:rPr>
          <w:sz w:val="10"/>
        </w:rPr>
      </w:pPr>
    </w:p>
    <w:p w:rsidR="00000000" w:rsidRDefault="00000000">
      <w:pPr>
        <w:pStyle w:val="SingleTxt"/>
      </w:pPr>
      <w:r>
        <w:t>1.</w:t>
      </w:r>
      <w:r>
        <w:tab/>
        <w:t>Salvo para dar cumplimiento a las obligaciones del Comité de conformidad con el artículo 12 del Protocolo Facultativo, todos los documentos y procedimientos del Comité relativos a la organización de la investigación de conformidad con el a</w:t>
      </w:r>
      <w:r>
        <w:t>r</w:t>
      </w:r>
      <w:r>
        <w:t>tículo 8 del Protocolo Facultativo tendrán carácter confidencial.</w:t>
      </w:r>
    </w:p>
    <w:p w:rsidR="00000000" w:rsidRDefault="00000000">
      <w:pPr>
        <w:pStyle w:val="SingleTxt"/>
      </w:pPr>
      <w:r>
        <w:t>2.</w:t>
      </w:r>
      <w:r>
        <w:tab/>
        <w:t>Antes de incluir un resumen de las actividades realizadas de conformidad con los artículos 8 ó 9 del Protocolo Facultativo en el informe anual preparado de conformidad con el artículo 21 de la Convención y el artículo 12 del Protocolo F</w:t>
      </w:r>
      <w:r>
        <w:t>a</w:t>
      </w:r>
      <w:r>
        <w:t>cultativo, el Comité podrá consultar con el Estado parte con respecto a la cuestión del res</w:t>
      </w:r>
      <w:r>
        <w:t>u</w:t>
      </w:r>
      <w:r>
        <w:t>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69" w:name="_Toc505500755"/>
      <w:r>
        <w:t>Artículo 81</w:t>
      </w:r>
      <w:bookmarkEnd w:id="169"/>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70" w:name="_Toc505500756"/>
      <w:r>
        <w:t>Sesiones relacionadas con los procedimientos de conformidad con el artículo 8</w:t>
      </w:r>
      <w:bookmarkEnd w:id="170"/>
    </w:p>
    <w:p w:rsidR="00000000" w:rsidRDefault="00000000">
      <w:pPr>
        <w:pStyle w:val="SingleTxt"/>
        <w:spacing w:after="0" w:line="120" w:lineRule="exact"/>
        <w:rPr>
          <w:sz w:val="10"/>
        </w:rPr>
      </w:pPr>
    </w:p>
    <w:p w:rsidR="00000000" w:rsidRDefault="00000000">
      <w:pPr>
        <w:pStyle w:val="SingleTxt"/>
      </w:pPr>
      <w:r>
        <w:tab/>
        <w:t>Las sesiones del Comité en las que se examinen las investigaciones realizadas de co</w:t>
      </w:r>
      <w:r>
        <w:t>n</w:t>
      </w:r>
      <w:r>
        <w:t>formidad con el artículo 8 del Protocolo Facultativo serán privadas.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71" w:name="_Toc505500757"/>
      <w:r>
        <w:t>Artículo 82</w:t>
      </w:r>
      <w:bookmarkEnd w:id="171"/>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72" w:name="_Toc505500758"/>
      <w:r>
        <w:t>Examen preliminar de la información por el Comité</w:t>
      </w:r>
      <w:bookmarkEnd w:id="172"/>
    </w:p>
    <w:p w:rsidR="00000000" w:rsidRDefault="00000000">
      <w:pPr>
        <w:pStyle w:val="SingleTxt"/>
        <w:spacing w:after="0" w:line="120" w:lineRule="exact"/>
        <w:rPr>
          <w:sz w:val="10"/>
        </w:rPr>
      </w:pPr>
    </w:p>
    <w:p w:rsidR="00000000" w:rsidRDefault="00000000">
      <w:pPr>
        <w:pStyle w:val="SingleTxt"/>
        <w:numPr>
          <w:ilvl w:val="0"/>
          <w:numId w:val="229"/>
        </w:numPr>
      </w:pPr>
      <w:r>
        <w:t>El Comité podrá tratar de verificar, por conducto del Secretario General, la fiabilidad de la información y/o la fuente de información señaladas a su atención de conformidad con el artículo 8 del Protocolo Facultativo, y podrá solicitar la info</w:t>
      </w:r>
      <w:r>
        <w:t>r</w:t>
      </w:r>
      <w:r>
        <w:t>mación ad</w:t>
      </w:r>
      <w:r>
        <w:t>i</w:t>
      </w:r>
      <w:r>
        <w:t>cional pertinente que corrobore los hechos de la situación.</w:t>
      </w:r>
    </w:p>
    <w:p w:rsidR="00000000" w:rsidRDefault="00000000">
      <w:pPr>
        <w:pStyle w:val="SingleTxt"/>
        <w:numPr>
          <w:ilvl w:val="0"/>
          <w:numId w:val="229"/>
        </w:numPr>
      </w:pPr>
      <w:r>
        <w:t>El Comité determinará si considera que la información recibida contiene i</w:t>
      </w:r>
      <w:r>
        <w:t>n</w:t>
      </w:r>
      <w:r>
        <w:t>formación fidedigna que revele violaciones graves o sistemáticas por el Estado parte int</w:t>
      </w:r>
      <w:r>
        <w:t>e</w:t>
      </w:r>
      <w:r>
        <w:t>resado de los derechos proclamados en la Convención.</w:t>
      </w:r>
    </w:p>
    <w:p w:rsidR="00000000" w:rsidRDefault="00000000">
      <w:pPr>
        <w:pStyle w:val="SingleTxt"/>
        <w:numPr>
          <w:ilvl w:val="0"/>
          <w:numId w:val="229"/>
        </w:numPr>
      </w:pPr>
      <w:r>
        <w:t>El Comité podrá pedir a un grupo de trabajo que le preste asistencia en el cu</w:t>
      </w:r>
      <w:r>
        <w:t>m</w:t>
      </w:r>
      <w:r>
        <w:t>plimiento de sus obligaciones con arreglo al presente artículo.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73" w:name="_Toc505500759"/>
      <w:r>
        <w:t>Artículo 83</w:t>
      </w:r>
      <w:bookmarkEnd w:id="173"/>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74" w:name="_Toc505500760"/>
      <w:r>
        <w:t>Examen de la información</w:t>
      </w:r>
      <w:bookmarkEnd w:id="174"/>
    </w:p>
    <w:p w:rsidR="00000000" w:rsidRDefault="00000000">
      <w:pPr>
        <w:pStyle w:val="SingleTxt"/>
        <w:spacing w:after="0" w:line="120" w:lineRule="exact"/>
        <w:rPr>
          <w:sz w:val="10"/>
        </w:rPr>
      </w:pPr>
    </w:p>
    <w:p w:rsidR="00000000" w:rsidRDefault="00000000">
      <w:pPr>
        <w:pStyle w:val="SingleTxt"/>
        <w:numPr>
          <w:ilvl w:val="0"/>
          <w:numId w:val="230"/>
        </w:numPr>
        <w:rPr>
          <w:w w:val="101"/>
        </w:rPr>
      </w:pPr>
      <w:r>
        <w:rPr>
          <w:w w:val="101"/>
        </w:rPr>
        <w:t>Si al Comité le consta que la información recibida es fiable y revela violaciones graves o sistemáticas por el Estado parte interesado de los derechos establecidos en la Convención, invitará al Estado parte, por conducto del Secretario General, a que pr</w:t>
      </w:r>
      <w:r>
        <w:rPr>
          <w:w w:val="101"/>
        </w:rPr>
        <w:t>e</w:t>
      </w:r>
      <w:r>
        <w:rPr>
          <w:w w:val="101"/>
        </w:rPr>
        <w:t>sente observaciones con respecto a la información en los plazos establec</w:t>
      </w:r>
      <w:r>
        <w:rPr>
          <w:w w:val="101"/>
        </w:rPr>
        <w:t>i</w:t>
      </w:r>
      <w:r>
        <w:rPr>
          <w:w w:val="101"/>
        </w:rPr>
        <w:t>dos.</w:t>
      </w:r>
    </w:p>
    <w:p w:rsidR="00000000" w:rsidRDefault="00000000">
      <w:pPr>
        <w:pStyle w:val="SingleTxt"/>
        <w:numPr>
          <w:ilvl w:val="0"/>
          <w:numId w:val="230"/>
        </w:numPr>
      </w:pPr>
      <w:r>
        <w:t>El Comité tendrá en cuenta cualesquiera observaciones presentadas por el E</w:t>
      </w:r>
      <w:r>
        <w:t>s</w:t>
      </w:r>
      <w:r>
        <w:t>tado parte interesado así como cualquier otra información pertinente.</w:t>
      </w:r>
    </w:p>
    <w:p w:rsidR="00000000" w:rsidRDefault="00000000">
      <w:pPr>
        <w:pStyle w:val="SingleTxt"/>
        <w:numPr>
          <w:ilvl w:val="0"/>
          <w:numId w:val="230"/>
        </w:numPr>
        <w:suppressAutoHyphens/>
      </w:pPr>
      <w:r>
        <w:t>El Comité podrá decidir solicitar información adicional de las siguientes fuentes:</w:t>
      </w:r>
    </w:p>
    <w:p w:rsidR="00000000" w:rsidRDefault="00000000">
      <w:pPr>
        <w:pStyle w:val="SingleTxt"/>
        <w:tabs>
          <w:tab w:val="left" w:pos="1742"/>
        </w:tabs>
      </w:pPr>
      <w:r>
        <w:tab/>
        <w:t>a)</w:t>
      </w:r>
      <w:r>
        <w:tab/>
        <w:t>Representantes del Estado parte interesado;</w:t>
      </w:r>
    </w:p>
    <w:p w:rsidR="00000000" w:rsidRDefault="00000000">
      <w:pPr>
        <w:pStyle w:val="SingleTxt"/>
        <w:tabs>
          <w:tab w:val="left" w:pos="1742"/>
        </w:tabs>
      </w:pPr>
      <w:r>
        <w:tab/>
        <w:t>b)</w:t>
      </w:r>
      <w:r>
        <w:tab/>
        <w:t>Organizaciones gubernamentales;</w:t>
      </w:r>
    </w:p>
    <w:p w:rsidR="00000000" w:rsidRDefault="00000000">
      <w:pPr>
        <w:pStyle w:val="SingleTxt"/>
        <w:tabs>
          <w:tab w:val="left" w:pos="1742"/>
        </w:tabs>
      </w:pPr>
      <w:r>
        <w:tab/>
        <w:t>c)</w:t>
      </w:r>
      <w:r>
        <w:tab/>
        <w:t>Organizaciones no gubernamentales;</w:t>
      </w:r>
    </w:p>
    <w:p w:rsidR="00000000" w:rsidRDefault="00000000">
      <w:pPr>
        <w:pStyle w:val="SingleTxt"/>
        <w:tabs>
          <w:tab w:val="left" w:pos="1742"/>
        </w:tabs>
      </w:pPr>
      <w:r>
        <w:tab/>
        <w:t>d)</w:t>
      </w:r>
      <w:r>
        <w:tab/>
        <w:t>Particulares.</w:t>
      </w:r>
    </w:p>
    <w:p w:rsidR="00000000" w:rsidRDefault="00000000">
      <w:pPr>
        <w:pStyle w:val="SingleTxt"/>
        <w:numPr>
          <w:ilvl w:val="0"/>
          <w:numId w:val="230"/>
        </w:numPr>
      </w:pPr>
      <w:r>
        <w:t>El Comité decidirá la forma de obtener esta información adicional.</w:t>
      </w:r>
    </w:p>
    <w:p w:rsidR="00000000" w:rsidRDefault="00000000">
      <w:pPr>
        <w:pStyle w:val="SingleTxt"/>
        <w:numPr>
          <w:ilvl w:val="0"/>
          <w:numId w:val="230"/>
        </w:numPr>
      </w:pPr>
      <w:r>
        <w:t>El Comité podrá solicitar, por conducto del Secretario General, cualquier d</w:t>
      </w:r>
      <w:r>
        <w:t>o</w:t>
      </w:r>
      <w:r>
        <w:t>cumentación pertinente del sistema de las Naciones Unidas.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75" w:name="_Toc505500761"/>
      <w:r>
        <w:t>Artículo 84</w:t>
      </w:r>
      <w:r>
        <w:br/>
        <w:t>Apertura de una investigación</w:t>
      </w:r>
      <w:bookmarkEnd w:id="175"/>
    </w:p>
    <w:p w:rsidR="00000000" w:rsidRDefault="00000000">
      <w:pPr>
        <w:pStyle w:val="SingleTxt"/>
        <w:spacing w:after="0" w:line="120" w:lineRule="exact"/>
        <w:rPr>
          <w:sz w:val="10"/>
        </w:rPr>
      </w:pPr>
    </w:p>
    <w:p w:rsidR="00000000" w:rsidRDefault="00000000">
      <w:pPr>
        <w:pStyle w:val="SingleTxt"/>
        <w:numPr>
          <w:ilvl w:val="0"/>
          <w:numId w:val="231"/>
        </w:numPr>
      </w:pPr>
      <w:r>
        <w:t>Teniendo en cuenta las observaciones que pueda formular el Estado parte int</w:t>
      </w:r>
      <w:r>
        <w:t>e</w:t>
      </w:r>
      <w:r>
        <w:t>resado, así como otra información fiable, el Comité podrá designar a uno o más de sus miembros para que lleven a cabo la investigación y presenten un informe en un pl</w:t>
      </w:r>
      <w:r>
        <w:t>a</w:t>
      </w:r>
      <w:r>
        <w:t>zo determinado.</w:t>
      </w:r>
    </w:p>
    <w:p w:rsidR="00000000" w:rsidRDefault="00000000">
      <w:pPr>
        <w:pStyle w:val="SingleTxt"/>
        <w:numPr>
          <w:ilvl w:val="0"/>
          <w:numId w:val="231"/>
        </w:numPr>
      </w:pPr>
      <w:r>
        <w:t>La investigación se llevará a cabo con carácter confidencial y de conformidad con las mod</w:t>
      </w:r>
      <w:r>
        <w:t>a</w:t>
      </w:r>
      <w:r>
        <w:t>lidades que determine el Comité.</w:t>
      </w:r>
    </w:p>
    <w:p w:rsidR="00000000" w:rsidRDefault="00000000">
      <w:pPr>
        <w:pStyle w:val="SingleTxt"/>
        <w:numPr>
          <w:ilvl w:val="0"/>
          <w:numId w:val="231"/>
        </w:numPr>
      </w:pPr>
      <w:r>
        <w:t>Teniendo en cuenta la Convención, el Protocolo Facultativo y el reglamento del Comité, los miembros designados por el Comité para llevar a cabo la investig</w:t>
      </w:r>
      <w:r>
        <w:t>a</w:t>
      </w:r>
      <w:r>
        <w:t>ción decidirán sus propios mét</w:t>
      </w:r>
      <w:r>
        <w:t>o</w:t>
      </w:r>
      <w:r>
        <w:t>dos de trabajo.</w:t>
      </w:r>
    </w:p>
    <w:p w:rsidR="00000000" w:rsidRDefault="00000000">
      <w:pPr>
        <w:pStyle w:val="SingleTxt"/>
        <w:numPr>
          <w:ilvl w:val="0"/>
          <w:numId w:val="231"/>
        </w:numPr>
      </w:pPr>
      <w:r>
        <w:t>Durante el período de la investigación, el Comité podrá aplazar el examen de cualquier informe que el Estado parte interesado haya presentado de conformidad con el artículo 18 de la Co</w:t>
      </w:r>
      <w:r>
        <w:t>n</w:t>
      </w:r>
      <w:r>
        <w:t>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76" w:name="_Toc505500762"/>
      <w:r>
        <w:t>Artículo 85</w:t>
      </w:r>
      <w:r>
        <w:br/>
        <w:t>Cooperación del Estado parte interesado</w:t>
      </w:r>
      <w:bookmarkEnd w:id="176"/>
    </w:p>
    <w:p w:rsidR="00000000" w:rsidRDefault="00000000">
      <w:pPr>
        <w:pStyle w:val="SingleTxt"/>
        <w:spacing w:after="0" w:line="120" w:lineRule="exact"/>
        <w:rPr>
          <w:sz w:val="10"/>
        </w:rPr>
      </w:pPr>
    </w:p>
    <w:p w:rsidR="00000000" w:rsidRDefault="00000000">
      <w:pPr>
        <w:pStyle w:val="SingleTxt"/>
        <w:numPr>
          <w:ilvl w:val="0"/>
          <w:numId w:val="232"/>
        </w:numPr>
      </w:pPr>
      <w:r>
        <w:t>El Comité solicitará la cooperación del Estado parte interesado en todas las f</w:t>
      </w:r>
      <w:r>
        <w:t>a</w:t>
      </w:r>
      <w:r>
        <w:t>ses de la investigación.</w:t>
      </w:r>
    </w:p>
    <w:p w:rsidR="00000000" w:rsidRDefault="00000000">
      <w:pPr>
        <w:pStyle w:val="SingleTxt"/>
        <w:numPr>
          <w:ilvl w:val="0"/>
          <w:numId w:val="232"/>
        </w:numPr>
      </w:pPr>
      <w:r>
        <w:t>El Comité podrá pedir al Estado parte interesado que designe un representante para reunirse con uno o varios miembros designados por el Comité.</w:t>
      </w:r>
    </w:p>
    <w:p w:rsidR="00000000" w:rsidRDefault="00000000">
      <w:pPr>
        <w:pStyle w:val="SingleTxt"/>
        <w:numPr>
          <w:ilvl w:val="0"/>
          <w:numId w:val="232"/>
        </w:numPr>
      </w:pPr>
      <w:r>
        <w:t>El Comité podrá pedir al Estado parte interesado que facilite al miembro o miembros designados por el Comité cualquier información que ellos o el Estado parte consideren que guarda relación con la investigación.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77" w:name="_Toc505500763"/>
      <w:r>
        <w:t>Artículo 86</w:t>
      </w:r>
      <w:r>
        <w:br/>
        <w:t>Visitas</w:t>
      </w:r>
      <w:bookmarkEnd w:id="177"/>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233"/>
        </w:numPr>
        <w:rPr>
          <w:w w:val="102"/>
        </w:rPr>
      </w:pPr>
      <w:r>
        <w:rPr>
          <w:w w:val="102"/>
        </w:rPr>
        <w:t>Cuando el Comité lo considere justificado, la investigación podrá incluir una visita al territorio del Estado parte inter</w:t>
      </w:r>
      <w:r>
        <w:rPr>
          <w:w w:val="102"/>
        </w:rPr>
        <w:t>e</w:t>
      </w:r>
      <w:r>
        <w:rPr>
          <w:w w:val="102"/>
        </w:rPr>
        <w:t>sado.</w:t>
      </w:r>
    </w:p>
    <w:p w:rsidR="00000000" w:rsidRDefault="00000000">
      <w:pPr>
        <w:pStyle w:val="SingleTxt"/>
        <w:numPr>
          <w:ilvl w:val="0"/>
          <w:numId w:val="233"/>
        </w:numPr>
      </w:pPr>
      <w:r>
        <w:t>Cuando el Comité decida, como parte de su investigación, que se debe visitar el territorio del Estado parte interesado, solicitará, por conducto del Secretario G</w:t>
      </w:r>
      <w:r>
        <w:t>e</w:t>
      </w:r>
      <w:r>
        <w:t>neral, el co</w:t>
      </w:r>
      <w:r>
        <w:t>n</w:t>
      </w:r>
      <w:r>
        <w:t>sentimiento del Estado parte para esta visita.</w:t>
      </w:r>
    </w:p>
    <w:p w:rsidR="00000000" w:rsidRDefault="00000000">
      <w:pPr>
        <w:pStyle w:val="SingleTxt"/>
        <w:numPr>
          <w:ilvl w:val="0"/>
          <w:numId w:val="233"/>
        </w:numPr>
      </w:pPr>
      <w:r>
        <w:t>El Comité informará al Estado parte interesado de sus deseos con respecto al momento de la visita y las facilidades necesarias para que los miembros designados por el Comité para realizar la investigación puedan llevar a cabo su labor.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78" w:name="_Toc505500764"/>
      <w:r>
        <w:t>Artículo 87</w:t>
      </w:r>
      <w:r>
        <w:br/>
        <w:t>Audiencias</w:t>
      </w:r>
      <w:bookmarkEnd w:id="178"/>
    </w:p>
    <w:p w:rsidR="00000000" w:rsidRDefault="00000000">
      <w:pPr>
        <w:pStyle w:val="SingleTxt"/>
        <w:spacing w:after="0" w:line="120" w:lineRule="exact"/>
        <w:rPr>
          <w:sz w:val="10"/>
        </w:rPr>
      </w:pPr>
    </w:p>
    <w:p w:rsidR="00000000" w:rsidRDefault="00000000">
      <w:pPr>
        <w:pStyle w:val="SingleTxt"/>
        <w:numPr>
          <w:ilvl w:val="0"/>
          <w:numId w:val="234"/>
        </w:numPr>
      </w:pPr>
      <w:r>
        <w:t>Con el consentimiento del Estado parte interesado, las visitas pueden incluir audiencias que permitan a los miembros designados del Comité determinar hechos o cuestiones pertinentes para la investigación.</w:t>
      </w:r>
    </w:p>
    <w:p w:rsidR="00000000" w:rsidRDefault="00000000">
      <w:pPr>
        <w:pStyle w:val="SingleTxt"/>
        <w:numPr>
          <w:ilvl w:val="0"/>
          <w:numId w:val="234"/>
        </w:numPr>
      </w:pPr>
      <w:r>
        <w:t>Las condiciones y garantías con respecto a las audiencias celebradas de co</w:t>
      </w:r>
      <w:r>
        <w:t>n</w:t>
      </w:r>
      <w:r>
        <w:t>formidad con el párrafo 1 del presente artículo serán determinadas por los miembros designados por el Comité que visiten el Estado parte en relación con la investigación y por el Estado parte interes</w:t>
      </w:r>
      <w:r>
        <w:t>a</w:t>
      </w:r>
      <w:r>
        <w:t>do.</w:t>
      </w:r>
    </w:p>
    <w:p w:rsidR="00000000" w:rsidRDefault="00000000">
      <w:pPr>
        <w:pStyle w:val="SingleTxt"/>
        <w:numPr>
          <w:ilvl w:val="0"/>
          <w:numId w:val="234"/>
        </w:numPr>
      </w:pPr>
      <w:r>
        <w:t>Toda persona que comparezca ante los miembros designados del Comité para prestar testimonio hará una declaración solemne en cuanto a la veracidad de su te</w:t>
      </w:r>
      <w:r>
        <w:t>s</w:t>
      </w:r>
      <w:r>
        <w:t>timonio y el carácter confidencial del procedimiento.</w:t>
      </w:r>
    </w:p>
    <w:p w:rsidR="00000000" w:rsidRDefault="00000000">
      <w:pPr>
        <w:pStyle w:val="SingleTxt"/>
        <w:numPr>
          <w:ilvl w:val="0"/>
          <w:numId w:val="234"/>
        </w:numPr>
        <w:rPr>
          <w:w w:val="101"/>
        </w:rPr>
      </w:pPr>
      <w:r>
        <w:rPr>
          <w:w w:val="101"/>
        </w:rPr>
        <w:t>El Comité informará al Estado parte de que tomará todas las medidas adecuadas para garantizar que las personas sometidas a su jurisdicción no sean objeto de malos tratos o intimidación por haber participado en una audiencia relacionada con una i</w:t>
      </w:r>
      <w:r>
        <w:rPr>
          <w:w w:val="101"/>
        </w:rPr>
        <w:t>n</w:t>
      </w:r>
      <w:r>
        <w:rPr>
          <w:w w:val="101"/>
        </w:rPr>
        <w:t>vestigación o por haberse reunido con los miembros designados del Comité que llevan a cabo la investig</w:t>
      </w:r>
      <w:r>
        <w:rPr>
          <w:w w:val="101"/>
        </w:rPr>
        <w:t>a</w:t>
      </w:r>
      <w:r>
        <w:rPr>
          <w:w w:val="101"/>
        </w:rPr>
        <w:t>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r>
      <w:bookmarkStart w:id="179" w:name="_Toc505500765"/>
      <w:r>
        <w:t>Artículo 88</w:t>
      </w:r>
      <w:r>
        <w:br/>
        <w:t>Asistencia prestada durante una investigación</w:t>
      </w:r>
      <w:bookmarkEnd w:id="179"/>
    </w:p>
    <w:p w:rsidR="00000000" w:rsidRDefault="00000000">
      <w:pPr>
        <w:pStyle w:val="SingleTxt"/>
        <w:keepNext/>
        <w:keepLines/>
        <w:spacing w:after="0" w:line="120" w:lineRule="exact"/>
        <w:rPr>
          <w:sz w:val="10"/>
        </w:rPr>
      </w:pPr>
    </w:p>
    <w:p w:rsidR="00000000" w:rsidRDefault="00000000">
      <w:pPr>
        <w:pStyle w:val="SingleTxt"/>
        <w:keepNext/>
        <w:keepLines/>
        <w:rPr>
          <w:w w:val="102"/>
        </w:rPr>
      </w:pPr>
      <w:r>
        <w:rPr>
          <w:w w:val="102"/>
        </w:rPr>
        <w:t>1.</w:t>
      </w:r>
      <w:r>
        <w:rPr>
          <w:w w:val="102"/>
        </w:rPr>
        <w:tab/>
        <w:t>Además del personal y las instalaciones que facilite el Secretario General en relación con una investigación, incluso durante la visita al Estado parte interesado, los miembros designados del Comité podrán, por mediación del Secretario General, invitar a intérpretes y/o a las personas con conocimientos especializados en las esf</w:t>
      </w:r>
      <w:r>
        <w:rPr>
          <w:w w:val="102"/>
        </w:rPr>
        <w:t>e</w:t>
      </w:r>
      <w:r>
        <w:rPr>
          <w:w w:val="102"/>
        </w:rPr>
        <w:t>ras abarcadas por la Convención que el Comité considere necesarias para que presten asistencia en todas las fases de la investig</w:t>
      </w:r>
      <w:r>
        <w:rPr>
          <w:w w:val="102"/>
        </w:rPr>
        <w:t>a</w:t>
      </w:r>
      <w:r>
        <w:rPr>
          <w:w w:val="102"/>
        </w:rPr>
        <w:t>ción.</w:t>
      </w:r>
    </w:p>
    <w:p w:rsidR="00000000" w:rsidRDefault="00000000">
      <w:pPr>
        <w:pStyle w:val="SingleTxt"/>
      </w:pPr>
      <w:r>
        <w:t>2.</w:t>
      </w:r>
      <w:r>
        <w:tab/>
        <w:t>Cuando estos intérpretes o personas con conocimientos especializados no estén obligados por el juramento de fidelidad a las Naciones Unidas, se les exigirá que d</w:t>
      </w:r>
      <w:r>
        <w:t>e</w:t>
      </w:r>
      <w:r>
        <w:t>claren solemnemente que desempeñarán su trabajo con honradez, fidelidad e impa</w:t>
      </w:r>
      <w:r>
        <w:t>r</w:t>
      </w:r>
      <w:r>
        <w:t>cialidad, y que respetarán el carácter co</w:t>
      </w:r>
      <w:r>
        <w:t>n</w:t>
      </w:r>
      <w:r>
        <w:t>fidencial de los procedimientos.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80" w:name="_Toc505500766"/>
      <w:r>
        <w:t>Artículo 89</w:t>
      </w:r>
      <w:r>
        <w:br/>
        <w:t>Transmisión de las conclusiones, observaciones o sugerencias</w:t>
      </w:r>
      <w:bookmarkEnd w:id="180"/>
    </w:p>
    <w:p w:rsidR="00000000" w:rsidRDefault="00000000">
      <w:pPr>
        <w:pStyle w:val="SingleTxt"/>
        <w:keepNext/>
        <w:keepLines/>
        <w:spacing w:after="0" w:line="120" w:lineRule="exact"/>
        <w:rPr>
          <w:sz w:val="10"/>
        </w:rPr>
      </w:pPr>
    </w:p>
    <w:p w:rsidR="00000000" w:rsidRDefault="00000000">
      <w:pPr>
        <w:pStyle w:val="SingleTxt"/>
        <w:keepNext/>
        <w:keepLines/>
      </w:pPr>
      <w:r>
        <w:t>1.</w:t>
      </w:r>
      <w:r>
        <w:tab/>
        <w:t xml:space="preserve">Después de examinar las conclusiones de los miembros designados presentadas de conformidad con el artículo 84 del presente reglamento, el Comité transmitirá estas conclusiones, por conducto del Secretario General, al Estado </w:t>
      </w:r>
      <w:r>
        <w:rPr>
          <w:w w:val="102"/>
        </w:rPr>
        <w:t>parte</w:t>
      </w:r>
      <w:r>
        <w:t xml:space="preserve"> interesado, junto con las posibles observaciones y recomendaciones.</w:t>
      </w:r>
    </w:p>
    <w:p w:rsidR="00000000" w:rsidRDefault="00000000">
      <w:pPr>
        <w:pStyle w:val="SingleTxt"/>
      </w:pPr>
      <w:r>
        <w:t>2.</w:t>
      </w:r>
      <w:r>
        <w:tab/>
        <w:t xml:space="preserve">El Estado </w:t>
      </w:r>
      <w:r>
        <w:rPr>
          <w:w w:val="102"/>
        </w:rPr>
        <w:t>parte</w:t>
      </w:r>
      <w:r>
        <w:t xml:space="preserve"> interesado formulará sus observaciones sobre estas conclusi</w:t>
      </w:r>
      <w:r>
        <w:t>o</w:t>
      </w:r>
      <w:r>
        <w:t>nes, observaciones y recomendaciones al Comité, por conducto del Secretario Gen</w:t>
      </w:r>
      <w:r>
        <w:t>e</w:t>
      </w:r>
      <w:r>
        <w:t>ral, en el plazo de seis meses a partir de la fecha en que se reciban.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81" w:name="_Toc505500767"/>
      <w:r>
        <w:t>Artículo 90</w:t>
      </w:r>
      <w:r>
        <w:br/>
        <w:t xml:space="preserve">Medidas de seguimiento por el Estado </w:t>
      </w:r>
      <w:r>
        <w:rPr>
          <w:w w:val="102"/>
        </w:rPr>
        <w:t>parte</w:t>
      </w:r>
      <w:bookmarkEnd w:id="181"/>
    </w:p>
    <w:p w:rsidR="00000000" w:rsidRDefault="00000000">
      <w:pPr>
        <w:pStyle w:val="SingleTxt"/>
        <w:spacing w:after="0" w:line="120" w:lineRule="exact"/>
        <w:rPr>
          <w:sz w:val="10"/>
        </w:rPr>
      </w:pPr>
    </w:p>
    <w:p w:rsidR="00000000" w:rsidRDefault="00000000">
      <w:pPr>
        <w:pStyle w:val="SingleTxt"/>
      </w:pPr>
      <w:r>
        <w:t>1.</w:t>
      </w:r>
      <w:r>
        <w:tab/>
        <w:t xml:space="preserve">El Comité, por conducto del Secretario General, podrá invitar a un Estado </w:t>
      </w:r>
      <w:r>
        <w:rPr>
          <w:w w:val="102"/>
        </w:rPr>
        <w:t>parte</w:t>
      </w:r>
      <w:r>
        <w:t xml:space="preserve"> que haya sido objeto de una investigación a que en su informe presentado de conformidad con el artículo 18 de la Convención incluya detalles sobre las medidas adoptadas en respuesta a las conclusiones, observaciones y recomendaciones del Comité.</w:t>
      </w:r>
    </w:p>
    <w:p w:rsidR="00000000" w:rsidRDefault="00000000">
      <w:pPr>
        <w:pStyle w:val="SingleTxt"/>
      </w:pPr>
      <w:r>
        <w:t>2.</w:t>
      </w:r>
      <w:r>
        <w:tab/>
        <w:t xml:space="preserve">El Comité podrá, transcurrido el período de seis meses a que se hace referencia en el párrafo 2 del artículo 89 </w:t>
      </w:r>
      <w:r>
        <w:rPr>
          <w:i/>
        </w:rPr>
        <w:t>supra</w:t>
      </w:r>
      <w:r>
        <w:t xml:space="preserve">, invitar al Estado </w:t>
      </w:r>
      <w:r>
        <w:rPr>
          <w:w w:val="102"/>
        </w:rPr>
        <w:t>parte</w:t>
      </w:r>
      <w:r>
        <w:t xml:space="preserve"> interesado, por conducto del Secret</w:t>
      </w:r>
      <w:r>
        <w:t>a</w:t>
      </w:r>
      <w:r>
        <w:t xml:space="preserve">rio General, a que le informe de las medidas adoptadas en respuesta a una </w:t>
      </w:r>
      <w:r>
        <w:br/>
        <w:t>i</w:t>
      </w:r>
      <w:r>
        <w:t>n</w:t>
      </w:r>
      <w:r>
        <w:t>vestigación.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82" w:name="_Toc505500768"/>
      <w:r>
        <w:t>Artículo 91</w:t>
      </w:r>
      <w:r>
        <w:br/>
        <w:t>Obligaciones de conformidad con el artículo 11 del Protocolo Facultativo</w:t>
      </w:r>
      <w:bookmarkEnd w:id="182"/>
    </w:p>
    <w:p w:rsidR="00000000" w:rsidRDefault="00000000">
      <w:pPr>
        <w:pStyle w:val="SingleTxt"/>
        <w:spacing w:after="0" w:line="120" w:lineRule="exact"/>
        <w:rPr>
          <w:sz w:val="10"/>
        </w:rPr>
      </w:pPr>
    </w:p>
    <w:p w:rsidR="00000000" w:rsidRDefault="00000000">
      <w:pPr>
        <w:pStyle w:val="SingleTxt"/>
      </w:pPr>
      <w:r>
        <w:t>1.</w:t>
      </w:r>
      <w:r>
        <w:tab/>
        <w:t xml:space="preserve">El Comité señalará a la atención del Estado </w:t>
      </w:r>
      <w:r>
        <w:rPr>
          <w:w w:val="102"/>
        </w:rPr>
        <w:t>parte</w:t>
      </w:r>
      <w:r>
        <w:t xml:space="preserve"> interesado su obligación de conformidad con el artículo 11 del Protocolo Facultativo de adoptar todas las med</w:t>
      </w:r>
      <w:r>
        <w:t>i</w:t>
      </w:r>
      <w:r>
        <w:t>das necesarias para garantizar que las personas que se hallen bajo su jurisdicción no sean objeto de malos tratos ni intimidación por ponerse en comunicación con el Comité de conformidad con el Protocolo Facultativo.</w:t>
      </w:r>
    </w:p>
    <w:p w:rsidR="00000000" w:rsidRDefault="00000000">
      <w:pPr>
        <w:pStyle w:val="SingleTxt"/>
      </w:pPr>
      <w:r>
        <w:t>2.</w:t>
      </w:r>
      <w:r>
        <w:tab/>
        <w:t xml:space="preserve">Cuando el Comité reciba información fidedigna de que un Estado </w:t>
      </w:r>
      <w:r>
        <w:rPr>
          <w:w w:val="102"/>
        </w:rPr>
        <w:t>parte</w:t>
      </w:r>
      <w:r>
        <w:t xml:space="preserve"> no ha cumplido con su obligación de conformidad con el artículo 11, podrá invitar al Est</w:t>
      </w:r>
      <w:r>
        <w:t>a</w:t>
      </w:r>
      <w:r>
        <w:t xml:space="preserve">do </w:t>
      </w:r>
      <w:r>
        <w:rPr>
          <w:w w:val="102"/>
        </w:rPr>
        <w:t>parte</w:t>
      </w:r>
      <w:r>
        <w:t xml:space="preserve"> interesado a presentar explicaciones o declaraciones por escrito para escl</w:t>
      </w:r>
      <w:r>
        <w:t>a</w:t>
      </w:r>
      <w:r>
        <w:t>recer la cuestión y describir cualquier otra medida que adopte para garantizar el cumplimiento de sus obligaciones de conformidad con el artículo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83" w:name="_Toc505500769"/>
      <w:r>
        <w:tab/>
      </w:r>
      <w:r>
        <w:tab/>
        <w:t>Cuarta parte</w:t>
      </w:r>
      <w:bookmarkEnd w:id="183"/>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bookmarkStart w:id="184" w:name="_Toc505500770"/>
      <w:r>
        <w:t>Normas de interpretación</w:t>
      </w:r>
      <w:bookmarkEnd w:id="184"/>
    </w:p>
    <w:p w:rsidR="00000000" w:rsidRDefault="00000000">
      <w:pPr>
        <w:pStyle w:val="SingleTxt"/>
        <w:keepNext/>
        <w:keepLines/>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185" w:name="_Toc505500771"/>
      <w:r>
        <w:t>XVIII.</w:t>
      </w:r>
      <w:r>
        <w:tab/>
        <w:t>Interpretación y enmiendas</w:t>
      </w:r>
      <w:bookmarkEnd w:id="18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86" w:name="_Toc505500772"/>
      <w:r>
        <w:t>Artículo 92</w:t>
      </w:r>
      <w:bookmarkEnd w:id="186"/>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87" w:name="_Toc505500773"/>
      <w:r>
        <w:t>Títulos</w:t>
      </w:r>
      <w:bookmarkEnd w:id="187"/>
    </w:p>
    <w:p w:rsidR="00000000" w:rsidRDefault="00000000">
      <w:pPr>
        <w:pStyle w:val="SingleTxt"/>
        <w:spacing w:after="0" w:line="120" w:lineRule="exact"/>
        <w:rPr>
          <w:sz w:val="10"/>
        </w:rPr>
      </w:pPr>
    </w:p>
    <w:p w:rsidR="00000000" w:rsidRDefault="00000000">
      <w:pPr>
        <w:pStyle w:val="SingleTxt"/>
      </w:pPr>
      <w:r>
        <w:tab/>
        <w:t>A los fines de la interpretación del presente reglamento, no se tendrán en cuenta los títulos que se añadieron con fines de consulta únicamente.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88" w:name="_Toc505500774"/>
      <w:r>
        <w:t>Artículo 93</w:t>
      </w:r>
      <w:bookmarkEnd w:id="188"/>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89" w:name="_Toc505500775"/>
      <w:r>
        <w:t>Enmiendas</w:t>
      </w:r>
      <w:bookmarkEnd w:id="189"/>
    </w:p>
    <w:p w:rsidR="00000000" w:rsidRDefault="00000000">
      <w:pPr>
        <w:pStyle w:val="SingleTxt"/>
        <w:spacing w:after="0" w:line="120" w:lineRule="exact"/>
        <w:rPr>
          <w:sz w:val="10"/>
        </w:rPr>
      </w:pPr>
    </w:p>
    <w:p w:rsidR="00000000" w:rsidRDefault="00000000">
      <w:pPr>
        <w:pStyle w:val="SingleTxt"/>
      </w:pPr>
      <w:r>
        <w:tab/>
        <w:t>El presente reglamento podrá ser enmendado por una decisión del Comité adoptada por mayoría de dos tercios de los miembros presentes y votantes por lo menos 24 horas después de que se haya distribuido la propuesta relativa a la e</w:t>
      </w:r>
      <w:r>
        <w:t>n</w:t>
      </w:r>
      <w:r>
        <w:t>mienda, a condición de que la enmienda no sea incompatible con las disposiciones de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90" w:name="_Toc505500776"/>
      <w:r>
        <w:t>Artículo 94</w:t>
      </w:r>
      <w:bookmarkEnd w:id="190"/>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91" w:name="_Toc505500777"/>
      <w:r>
        <w:t>Suspensión</w:t>
      </w:r>
      <w:bookmarkEnd w:id="191"/>
    </w:p>
    <w:p w:rsidR="00000000" w:rsidRDefault="00000000">
      <w:pPr>
        <w:pStyle w:val="SingleTxt"/>
        <w:keepNext/>
        <w:keepLines/>
        <w:spacing w:after="0" w:line="120" w:lineRule="exact"/>
        <w:rPr>
          <w:sz w:val="10"/>
        </w:rPr>
      </w:pPr>
    </w:p>
    <w:p w:rsidR="00000000" w:rsidRDefault="00000000">
      <w:pPr>
        <w:pStyle w:val="SingleTxt"/>
      </w:pPr>
      <w:r>
        <w:tab/>
        <w:t>La aplicación de cualquiera de los artículos del presente reglamento podrá su</w:t>
      </w:r>
      <w:r>
        <w:t>s</w:t>
      </w:r>
      <w:r>
        <w:t>penderse por decisión del Comité adoptada por mayoría de dos tercios de los mie</w:t>
      </w:r>
      <w:r>
        <w:t>m</w:t>
      </w:r>
      <w:r>
        <w:t>bros presentes y votantes, siempre que la suspensión no sea incompatible con las disposiciones de la Convención y esté limitada a las circunstancias de la situación particular que exige la suspensión.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Estados partes en la Convención sobre la eliminación de todas las formas de discriminación contra la mujer, </w:t>
      </w:r>
      <w:r>
        <w:br/>
        <w:t>al 1</w:t>
      </w:r>
      <w:r>
        <w:rPr>
          <w:rFonts w:ascii="Symbol" w:hAnsi="Symbol"/>
        </w:rPr>
        <w:t></w:t>
      </w:r>
      <w:r>
        <w:rPr>
          <w:rFonts w:ascii="Symbol" w:hAnsi="Symbol"/>
        </w:rPr>
        <w:t></w:t>
      </w:r>
      <w:r>
        <w:t>de agosto de 2001</w:t>
      </w:r>
    </w:p>
    <w:p w:rsidR="00000000" w:rsidRDefault="00000000">
      <w:pPr>
        <w:pStyle w:val="SingleTxt"/>
        <w:spacing w:after="0" w:line="120" w:lineRule="exact"/>
        <w:rPr>
          <w:rStyle w:val="TTable3E"/>
          <w:kern w:val="2"/>
          <w:sz w:val="10"/>
        </w:rPr>
      </w:pPr>
    </w:p>
    <w:p w:rsidR="00000000" w:rsidRDefault="00000000">
      <w:pPr>
        <w:pStyle w:val="SingleTxt"/>
        <w:spacing w:after="0" w:line="120" w:lineRule="exact"/>
        <w:rPr>
          <w:rStyle w:val="TTable3E"/>
          <w:kern w:val="2"/>
          <w:sz w:val="10"/>
        </w:rPr>
      </w:pPr>
    </w:p>
    <w:tbl>
      <w:tblPr>
        <w:tblW w:w="0" w:type="auto"/>
        <w:tblInd w:w="2" w:type="dxa"/>
        <w:tblLayout w:type="fixed"/>
        <w:tblCellMar>
          <w:left w:w="72" w:type="dxa"/>
          <w:right w:w="72" w:type="dxa"/>
        </w:tblCellMar>
        <w:tblLook w:val="0000" w:firstRow="0" w:lastRow="0" w:firstColumn="0" w:lastColumn="0" w:noHBand="0" w:noVBand="0"/>
      </w:tblPr>
      <w:tblGrid>
        <w:gridCol w:w="4410"/>
        <w:gridCol w:w="2700"/>
        <w:gridCol w:w="2700"/>
      </w:tblGrid>
      <w:tr w:rsidR="00000000">
        <w:tblPrEx>
          <w:tblCellMar>
            <w:top w:w="0" w:type="dxa"/>
            <w:bottom w:w="0" w:type="dxa"/>
          </w:tblCellMar>
        </w:tblPrEx>
        <w:trPr>
          <w:tblHeader/>
        </w:trPr>
        <w:tc>
          <w:tcPr>
            <w:tcW w:w="4410" w:type="dxa"/>
            <w:tcBorders>
              <w:top w:val="single" w:sz="6" w:space="0" w:color="000000"/>
              <w:left w:val="single" w:sz="6" w:space="0" w:color="FFFFFF"/>
              <w:right w:val="single" w:sz="6" w:space="0" w:color="FFFFFF"/>
            </w:tcBorders>
            <w:vAlign w:val="bottom"/>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80" w:after="80" w:line="160" w:lineRule="exact"/>
              <w:ind w:right="43"/>
              <w:rPr>
                <w:rStyle w:val="TTable3E"/>
                <w:i/>
                <w:kern w:val="2"/>
                <w:sz w:val="12"/>
              </w:rPr>
            </w:pPr>
            <w:r>
              <w:rPr>
                <w:rStyle w:val="TTable3E"/>
                <w:i/>
                <w:kern w:val="2"/>
                <w:sz w:val="12"/>
              </w:rPr>
              <w:t>Estado parte</w:t>
            </w:r>
          </w:p>
        </w:tc>
        <w:tc>
          <w:tcPr>
            <w:tcW w:w="2700" w:type="dxa"/>
            <w:tcBorders>
              <w:top w:val="single" w:sz="6" w:space="0" w:color="000000"/>
              <w:left w:val="single" w:sz="6" w:space="0" w:color="FFFFFF"/>
              <w:right w:val="single" w:sz="6" w:space="0" w:color="FFFFFF"/>
            </w:tcBorders>
            <w:vAlign w:val="bottom"/>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80" w:after="80" w:line="160" w:lineRule="exact"/>
              <w:ind w:right="43"/>
              <w:rPr>
                <w:rStyle w:val="TTable3E"/>
                <w:i/>
                <w:kern w:val="2"/>
                <w:sz w:val="12"/>
              </w:rPr>
            </w:pPr>
            <w:r>
              <w:rPr>
                <w:rStyle w:val="TTable3E"/>
                <w:i/>
                <w:kern w:val="2"/>
                <w:sz w:val="12"/>
              </w:rPr>
              <w:t>Fecha de recepción del instrumento de ratificación o adhesión</w:t>
            </w:r>
          </w:p>
        </w:tc>
        <w:tc>
          <w:tcPr>
            <w:tcW w:w="2700" w:type="dxa"/>
            <w:tcBorders>
              <w:top w:val="single" w:sz="6" w:space="0" w:color="000000"/>
              <w:left w:val="single" w:sz="6" w:space="0" w:color="FFFFFF"/>
              <w:right w:val="single" w:sz="6" w:space="0" w:color="FFFFFF"/>
            </w:tcBorders>
            <w:vAlign w:val="bottom"/>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80" w:after="80" w:line="160" w:lineRule="exact"/>
              <w:ind w:right="43"/>
              <w:rPr>
                <w:rStyle w:val="TTable3E"/>
                <w:i/>
                <w:kern w:val="2"/>
                <w:sz w:val="12"/>
              </w:rPr>
            </w:pPr>
            <w:r>
              <w:rPr>
                <w:rStyle w:val="TTable3E"/>
                <w:i/>
                <w:kern w:val="2"/>
                <w:sz w:val="12"/>
              </w:rPr>
              <w:t>Fecha de entrada en vigor</w:t>
            </w:r>
          </w:p>
        </w:tc>
      </w:tr>
      <w:tr w:rsidR="00000000">
        <w:tblPrEx>
          <w:tblCellMar>
            <w:top w:w="0" w:type="dxa"/>
            <w:bottom w:w="0" w:type="dxa"/>
          </w:tblCellMar>
        </w:tblPrEx>
        <w:trPr>
          <w:trHeight w:hRule="exact" w:val="115"/>
          <w:tblHeader/>
        </w:trPr>
        <w:tc>
          <w:tcPr>
            <w:tcW w:w="4410" w:type="dxa"/>
            <w:tcBorders>
              <w:top w:val="single" w:sz="12" w:space="0" w:color="000000"/>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p>
        </w:tc>
        <w:tc>
          <w:tcPr>
            <w:tcW w:w="2700" w:type="dxa"/>
            <w:tcBorders>
              <w:top w:val="single" w:sz="12" w:space="0" w:color="000000"/>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p>
        </w:tc>
        <w:tc>
          <w:tcPr>
            <w:tcW w:w="2700" w:type="dxa"/>
            <w:tcBorders>
              <w:top w:val="single" w:sz="12" w:space="0" w:color="000000"/>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p>
        </w:tc>
      </w:tr>
      <w:tr w:rsidR="00000000">
        <w:tblPrEx>
          <w:tblCellMar>
            <w:top w:w="0" w:type="dxa"/>
            <w:bottom w:w="0" w:type="dxa"/>
          </w:tblCellMar>
        </w:tblPrEx>
        <w:tc>
          <w:tcPr>
            <w:tcW w:w="441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Albania</w:t>
            </w:r>
          </w:p>
        </w:tc>
        <w:tc>
          <w:tcPr>
            <w:tcW w:w="270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mayo de 1994</w:t>
            </w:r>
            <w:r>
              <w:rPr>
                <w:rStyle w:val="TTable3E"/>
                <w:i/>
                <w:kern w:val="2"/>
                <w:vertAlign w:val="superscript"/>
              </w:rPr>
              <w:t>a</w:t>
            </w:r>
          </w:p>
        </w:tc>
        <w:tc>
          <w:tcPr>
            <w:tcW w:w="270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junio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Alemania</w:t>
            </w:r>
            <w:r>
              <w:rPr>
                <w:rStyle w:val="TTable3E"/>
                <w:i/>
                <w:kern w:val="2"/>
                <w:vertAlign w:val="superscript"/>
              </w:rPr>
              <w:t>g</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julio de 1985</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agosto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Andorra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15 de enero de 1997</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febrero de 1997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Angola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septiembre de 1986</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octubre de 1986</w:t>
            </w:r>
          </w:p>
        </w:tc>
      </w:tr>
      <w:tr w:rsidR="00000000">
        <w:tblPrEx>
          <w:tblCellMar>
            <w:top w:w="0" w:type="dxa"/>
            <w:bottom w:w="0" w:type="dxa"/>
          </w:tblCellMar>
        </w:tblPrEx>
        <w:trPr>
          <w:trHeight w:val="304"/>
        </w:trPr>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Antigua y Barbuda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 de agosto de 1989</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agosto de 1989</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Argelia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mayo de 1996</w:t>
            </w:r>
            <w:r>
              <w:rPr>
                <w:rStyle w:val="TTable3E"/>
                <w:i/>
                <w:kern w:val="2"/>
                <w:vertAlign w:val="superscript"/>
              </w:rPr>
              <w:t>a,</w:t>
            </w:r>
            <w:r>
              <w:rPr>
                <w:rStyle w:val="TTable3E"/>
                <w:i/>
                <w:kern w:val="2"/>
              </w:rPr>
              <w:t xml:space="preserve"> </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junio de 1996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Argentina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15 de julio de 1985</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agosto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Armenia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septiembre de 1993</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octubre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Australia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28 de julio de 1983</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27 de agosto de 1983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Austria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marzo de 1982</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30 de abril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Azerbaiyán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julio de 1995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agosto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Bahamas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octubre de 1993</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noviembre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Bangladesh</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6 de noviembre de 1984</w:t>
            </w:r>
            <w:r>
              <w:rPr>
                <w:rStyle w:val="TTable3E"/>
                <w:i/>
                <w:kern w:val="2"/>
                <w:vertAlign w:val="superscript"/>
              </w:rPr>
              <w:t>a, 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6 de diciembre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Barbados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octubre de 1980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Belarús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febrero de 1981</w:t>
            </w:r>
            <w:r>
              <w:rPr>
                <w:rStyle w:val="TTable3E"/>
                <w:i/>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Bélgica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julio de 1985</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agosto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Belice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mayo de 1990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15 de junio de 1990</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Benin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marzo de 1992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abril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Bhután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agosto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30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Bolivia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junio de 1990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julio de 1990</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Bosnia y Herzegovina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 de septiembre de 1993</w:t>
            </w:r>
            <w:r>
              <w:rPr>
                <w:rStyle w:val="TTable3E"/>
                <w:i/>
                <w:kern w:val="2"/>
                <w:vertAlign w:val="superscript"/>
              </w:rPr>
              <w:t>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 de octubre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Botswana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agosto de 1996</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septiembre de 1996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Brasil</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 de febrero de 1984</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marzo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Bulgaria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febrero de 1982</w:t>
            </w:r>
            <w:r>
              <w:rPr>
                <w:rStyle w:val="TTable3E"/>
                <w:i/>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marzo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Burkina Faso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octubre de 1987</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noviembre de 1987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Burundi</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enero de 1992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febrero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Cabo Verde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diciembre de 1980</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Camboya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15 de octubre de 1992</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noviembre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Camerún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agosto de 1994</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septiembre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Canadá</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diciembre de 1981</w:t>
            </w:r>
            <w:r>
              <w:rPr>
                <w:rStyle w:val="TTable3E"/>
                <w:i/>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enero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Chad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junio de 1995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julio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Chile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diciembre de 1989</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6 de enero de 1990</w:t>
            </w:r>
          </w:p>
        </w:tc>
      </w:tr>
      <w:tr w:rsidR="00000000">
        <w:tblPrEx>
          <w:tblCellMar>
            <w:top w:w="0" w:type="dxa"/>
            <w:bottom w:w="0" w:type="dxa"/>
          </w:tblCellMar>
        </w:tblPrEx>
        <w:tc>
          <w:tcPr>
            <w:tcW w:w="441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China</w:t>
            </w:r>
          </w:p>
        </w:tc>
        <w:tc>
          <w:tcPr>
            <w:tcW w:w="270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noviembre de 1980</w:t>
            </w:r>
            <w:r>
              <w:rPr>
                <w:rStyle w:val="TTable3E"/>
                <w:i/>
                <w:kern w:val="2"/>
                <w:vertAlign w:val="superscript"/>
              </w:rPr>
              <w:t>b</w:t>
            </w:r>
          </w:p>
        </w:tc>
        <w:tc>
          <w:tcPr>
            <w:tcW w:w="270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rPr>
          <w:trHeight w:hRule="exact" w:val="115"/>
        </w:trPr>
        <w:tc>
          <w:tcPr>
            <w:tcW w:w="441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p>
        </w:tc>
        <w:tc>
          <w:tcPr>
            <w:tcW w:w="270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p>
        </w:tc>
        <w:tc>
          <w:tcPr>
            <w:tcW w:w="270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p>
        </w:tc>
      </w:tr>
      <w:tr w:rsidR="00000000">
        <w:tblPrEx>
          <w:tblCellMar>
            <w:top w:w="0" w:type="dxa"/>
            <w:bottom w:w="0" w:type="dxa"/>
          </w:tblCellMar>
        </w:tblPrEx>
        <w:tc>
          <w:tcPr>
            <w:tcW w:w="441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Chipre</w:t>
            </w:r>
          </w:p>
        </w:tc>
        <w:tc>
          <w:tcPr>
            <w:tcW w:w="270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julio de 1985</w:t>
            </w:r>
            <w:r>
              <w:rPr>
                <w:rStyle w:val="TTable3E"/>
                <w:i/>
                <w:kern w:val="2"/>
                <w:vertAlign w:val="superscript"/>
              </w:rPr>
              <w:t>a,</w:t>
            </w:r>
            <w:r>
              <w:rPr>
                <w:rStyle w:val="TTable3E"/>
                <w:i/>
                <w:kern w:val="2"/>
              </w:rPr>
              <w:t xml:space="preserve"> </w:t>
            </w:r>
            <w:r>
              <w:rPr>
                <w:rStyle w:val="TTable3E"/>
                <w:i/>
                <w:kern w:val="2"/>
                <w:vertAlign w:val="superscript"/>
              </w:rPr>
              <w:t>b</w:t>
            </w:r>
          </w:p>
        </w:tc>
        <w:tc>
          <w:tcPr>
            <w:tcW w:w="270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agosto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Colombia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19 de enero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febrero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Comoras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octubre de 1994</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30 de noviembre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Congo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26 de julio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agosto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Costa Rica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abril de 1986</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mayo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Côte d'Ivoire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diciembre de 1995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enero de 1996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Croacia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septiembre de 1992</w:t>
            </w:r>
            <w:r>
              <w:rPr>
                <w:rStyle w:val="TTable3E"/>
                <w:i/>
                <w:kern w:val="2"/>
                <w:vertAlign w:val="superscript"/>
              </w:rPr>
              <w:t>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octubre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Cuba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julio de 1980</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Dinamarca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abril de 1983</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mayo de 1983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Djibouti</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diciembre de 1998</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w:t>
            </w:r>
            <w:r>
              <w:rPr>
                <w:rStyle w:val="TTable3E"/>
                <w:rFonts w:ascii="Symbol" w:hAnsi="Symbol"/>
                <w:kern w:val="2"/>
              </w:rPr>
              <w:t></w:t>
            </w:r>
            <w:r>
              <w:rPr>
                <w:rStyle w:val="TTable3E"/>
                <w:kern w:val="2"/>
              </w:rPr>
              <w:t xml:space="preserve"> de enero de 1999</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Dominica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15 de septiembre de 1980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Ecuador</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noviembre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diciembre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Egipto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septiembre de 1981</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octubre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El Salvador</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19 de agosto de 1981</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Eritrea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septiembre de 1995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octubre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Eslovaquia</w:t>
            </w:r>
            <w:r>
              <w:rPr>
                <w:rStyle w:val="TTable3E"/>
                <w:i/>
                <w:kern w:val="2"/>
                <w:vertAlign w:val="superscript"/>
              </w:rPr>
              <w:t>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28 de mayo de 1993</w:t>
            </w:r>
            <w:r>
              <w:rPr>
                <w:rStyle w:val="TTable3E"/>
                <w:i/>
                <w:kern w:val="2"/>
                <w:vertAlign w:val="superscript"/>
              </w:rPr>
              <w:t>c, 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27 de junio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Eslovenia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6 de julio de 1992</w:t>
            </w:r>
            <w:r>
              <w:rPr>
                <w:rStyle w:val="TTable3E"/>
                <w:i/>
                <w:kern w:val="2"/>
                <w:vertAlign w:val="superscript"/>
              </w:rPr>
              <w:t>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agosto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España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enero de 1984</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febrero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Estonia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octubre de 1991</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20 de noviembre de 1991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Etiopía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septiembre de 1981</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octubre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Ex República Yugoslava de Macedonia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enero de 1994</w:t>
            </w:r>
            <w:r>
              <w:rPr>
                <w:rStyle w:val="TTable3E"/>
                <w:i/>
                <w:kern w:val="2"/>
                <w:vertAlign w:val="superscript"/>
              </w:rPr>
              <w:t>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febrero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Federación de Rusia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enero de 1981</w:t>
            </w:r>
            <w:r>
              <w:rPr>
                <w:rStyle w:val="TTable3E"/>
                <w:i/>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Fiji</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28 de agosto de 1995</w:t>
            </w:r>
            <w:r>
              <w:rPr>
                <w:rStyle w:val="TTable3E"/>
                <w:i/>
                <w:kern w:val="2"/>
                <w:vertAlign w:val="superscript"/>
              </w:rPr>
              <w:t>a, 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27 de septiembre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Filipinas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agosto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Finlandia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septiembre de 1986</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octubre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Francia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diciembre de 1983</w:t>
            </w:r>
            <w:r>
              <w:rPr>
                <w:rStyle w:val="TTable3E"/>
                <w:i/>
                <w:kern w:val="2"/>
                <w:vertAlign w:val="superscript"/>
              </w:rPr>
              <w:t>b, 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enero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Gabón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enero de 1983</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20 de febrero de 1983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Gambia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abril de 1993</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mayo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Georgia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26 de octubre de 1994</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noviembre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Ghana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enero de 1986</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 de febrero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Granada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30 de agosto de 1990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29 de septiembre de 1990</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Grecia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junio de 1983</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julio de 1983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Guatemala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agosto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septiembre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Guinea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agosto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septiembre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Guinea</w:t>
            </w:r>
            <w:r>
              <w:rPr>
                <w:rStyle w:val="TTable3E"/>
                <w:rFonts w:ascii="WP TypographicSymbols" w:hAnsi="WP TypographicSymbols"/>
                <w:kern w:val="2"/>
              </w:rPr>
              <w:t></w:t>
            </w:r>
            <w:r>
              <w:rPr>
                <w:rStyle w:val="TTable3E"/>
                <w:kern w:val="2"/>
              </w:rPr>
              <w:t>Bissau</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agosto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septiembre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Guinea Ecuatorial</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octubre de 1984</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noviembre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Guyana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julio de 1980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Haití</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20 de julio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Honduras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marzo de 1983</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abril de 1983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Hungría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diciembre de 1980</w:t>
            </w:r>
            <w:r>
              <w:rPr>
                <w:rStyle w:val="TTable3E"/>
                <w:i/>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India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julio de 1993</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agosto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Indonesia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septiembre de 1984</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octubre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Iraq</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agosto de 1986</w:t>
            </w:r>
            <w:r>
              <w:rPr>
                <w:rStyle w:val="TTable3E"/>
                <w:i/>
                <w:kern w:val="2"/>
                <w:vertAlign w:val="superscript"/>
              </w:rPr>
              <w:t>a, 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septiembre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Irlanda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diciembre de 1985</w:t>
            </w:r>
            <w:r>
              <w:rPr>
                <w:rStyle w:val="TTable3E"/>
                <w:i/>
                <w:kern w:val="2"/>
                <w:vertAlign w:val="superscript"/>
              </w:rPr>
              <w:t>a, b, 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enero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Islandia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junio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julio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Israel</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octubre de 1991</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noviembre de 1991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Italia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junio de 1985</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julio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Jamahiriya Árabe Libia</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mayo de 1989</w:t>
            </w:r>
            <w:r>
              <w:rPr>
                <w:rStyle w:val="TTable3E"/>
                <w:i/>
                <w:kern w:val="2"/>
                <w:vertAlign w:val="superscript"/>
              </w:rPr>
              <w:t>a, b</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15 de junio de 1989</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Jamaica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19 de octubre de 1984</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noviembre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Japón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junio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julio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Jordania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 de julio de 1992</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julio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Kazajstán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26 de agosto de 1998</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septiembre de 1998</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Kenya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marzo de 1984</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abril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Kirguistán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febrero de 1997</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marzo de 1997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Kuwait</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septiembre de 1994</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octubre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Lesotho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agosto de 1995</w:t>
            </w:r>
            <w:r>
              <w:rPr>
                <w:rStyle w:val="TTable3E"/>
                <w:i/>
                <w:kern w:val="2"/>
                <w:vertAlign w:val="superscript"/>
              </w:rPr>
              <w:t>a, 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septiembre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Letonia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abril de 1992</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mayo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Líbano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abril de 1997</w:t>
            </w:r>
            <w:r>
              <w:rPr>
                <w:rStyle w:val="TTable3E"/>
                <w:i/>
                <w:kern w:val="2"/>
                <w:vertAlign w:val="superscript"/>
              </w:rPr>
              <w:t>a, 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mayo de 1997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Liberia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julio de 1984</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agosto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Liechtenstein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diciembre de 1995</w:t>
            </w:r>
            <w:r>
              <w:rPr>
                <w:rStyle w:val="TTable3E"/>
                <w:i/>
                <w:kern w:val="2"/>
                <w:vertAlign w:val="superscript"/>
              </w:rPr>
              <w:t>a, 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enero de 1996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Lituania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enero de 1994</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febrero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Luxemburgo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febrero de 1989</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marzo de 1989</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Madagascar</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marzo de 1989</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abril de 1989</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Malasia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julio de 1995</w:t>
            </w:r>
            <w:r>
              <w:rPr>
                <w:rStyle w:val="TTable3E"/>
                <w:i/>
                <w:kern w:val="2"/>
                <w:vertAlign w:val="superscript"/>
              </w:rPr>
              <w:t>a, 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agosto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Malawi</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marzo de 1987</w:t>
            </w:r>
            <w:r>
              <w:rPr>
                <w:rStyle w:val="TTable3E"/>
                <w:i/>
                <w:kern w:val="2"/>
                <w:vertAlign w:val="superscript"/>
              </w:rPr>
              <w:t>a, 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abril de 1987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Maldivas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 de julio de 1993</w:t>
            </w:r>
            <w:r>
              <w:rPr>
                <w:rStyle w:val="TTable3E"/>
                <w:i/>
                <w:kern w:val="2"/>
                <w:vertAlign w:val="superscript"/>
              </w:rPr>
              <w:t>a, 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julio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Malí</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septiembre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octubre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Malta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marzo de 1991</w:t>
            </w:r>
            <w:r>
              <w:rPr>
                <w:rStyle w:val="TTable3E"/>
                <w:i/>
                <w:kern w:val="2"/>
                <w:vertAlign w:val="superscript"/>
              </w:rPr>
              <w:t>a, 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abril de 1991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Marruecos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junio de 1993</w:t>
            </w:r>
            <w:r>
              <w:rPr>
                <w:rStyle w:val="TTable3E"/>
                <w:i/>
                <w:kern w:val="2"/>
                <w:vertAlign w:val="superscript"/>
              </w:rPr>
              <w:t>a, 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julio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Mauricio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julio de 1984</w:t>
            </w:r>
            <w:r>
              <w:rPr>
                <w:rStyle w:val="TTable3E"/>
                <w:i/>
                <w:kern w:val="2"/>
                <w:vertAlign w:val="superscript"/>
              </w:rPr>
              <w:t>a, 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agosto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Mauritania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mayo de 2001</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junio de 2001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México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marzo de 1981</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Mongolia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20 de julio de 1981</w:t>
            </w:r>
            <w:r>
              <w:rPr>
                <w:rStyle w:val="TTable3E"/>
                <w:i/>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Mozambique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abril de 1997</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mayo de 1997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Myanmar</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julio de 1997</w:t>
            </w:r>
            <w:r>
              <w:rPr>
                <w:rStyle w:val="TTable3E"/>
                <w:i/>
                <w:kern w:val="2"/>
                <w:vertAlign w:val="superscript"/>
              </w:rPr>
              <w:t>a, 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agosto de 1997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Namibia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noviembre de 1992</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diciembre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Nepal</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abril de 1991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mayo de 1991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Nicaragua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27 de octubre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26 de noviembre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Níger</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octubre de 1999</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noviembre de 1999</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Nigeria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junio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julio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Noruega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mayo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Nueva Zelandia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enero de 1985</w:t>
            </w:r>
            <w:r>
              <w:rPr>
                <w:rStyle w:val="TTable3E"/>
                <w:i/>
                <w:kern w:val="2"/>
                <w:vertAlign w:val="superscript"/>
              </w:rPr>
              <w:t>b, 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febrero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Países Bajos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julio de 1991</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agosto de 1991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Pakistán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marzo de 1996</w:t>
            </w:r>
            <w:r>
              <w:rPr>
                <w:rStyle w:val="TTable3E"/>
                <w:i/>
                <w:kern w:val="2"/>
                <w:vertAlign w:val="superscript"/>
              </w:rPr>
              <w:t>a, 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abril de 1996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Panamá</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29 de octubre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28 de noviembre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Papua Nueva Guinea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enero de 1995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febrero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Paraguay</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6 de abril de 1987</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6 de mayo de 1987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Perú</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septiembre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octubre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Polonia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30 de julio de 1980</w:t>
            </w:r>
            <w:r>
              <w:rPr>
                <w:rStyle w:val="TTable3E"/>
                <w:i/>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Portugal</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30 de julio de 1980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Reino Unido de Gran Bretaña e Irlanda del Norte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abril de 1986</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mayo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Centroafricana</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junio de 1991</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julio de 1991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Checa</w:t>
            </w:r>
            <w:r>
              <w:rPr>
                <w:rStyle w:val="TTable3E"/>
                <w:i/>
                <w:kern w:val="2"/>
                <w:vertAlign w:val="superscript"/>
              </w:rPr>
              <w:t>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febrero de 1993</w:t>
            </w:r>
            <w:r>
              <w:rPr>
                <w:rStyle w:val="TTable3E"/>
                <w:i/>
                <w:kern w:val="2"/>
                <w:vertAlign w:val="superscript"/>
              </w:rPr>
              <w:t>c, 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24 de marzo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de Corea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27 de diciembre de 1984</w:t>
            </w:r>
            <w:r>
              <w:rPr>
                <w:rStyle w:val="TTable3E"/>
                <w:i/>
                <w:kern w:val="2"/>
                <w:vertAlign w:val="superscript"/>
              </w:rPr>
              <w:t>b, 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26 de enero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Democrática del Congo</w:t>
            </w:r>
            <w:r>
              <w:rPr>
                <w:rStyle w:val="TTable3E"/>
                <w:i/>
                <w:kern w:val="2"/>
                <w:vertAlign w:val="superscript"/>
              </w:rPr>
              <w:t>f</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octubre de 1986</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noviembre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Democrática Popular Lao</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agosto de 1981</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de Moldova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 de julio de 1994</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julio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Dominicana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septiembre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octubre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Unida de Tanzanía</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20 de agosto de 1985</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19 de septiembre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Rumania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enero de 1982</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6 de febrero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Rwanda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marzo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Saint Kitts y Nevis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abril de 1985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mayo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Samoa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septiembre de 1992</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octubre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Santa Lucía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octubre de 1982</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noviembre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San Vicente y las Granadinas</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agosto de 1981</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Senegal</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febrero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marzo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Seychelles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mayo de 1992</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junio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Sierra Leona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noviembre de 1988</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diciembre de 1988</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Singapur</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octubre de 1995</w:t>
            </w:r>
            <w:r>
              <w:rPr>
                <w:rStyle w:val="TTable3E"/>
                <w:i/>
                <w:kern w:val="2"/>
                <w:vertAlign w:val="superscript"/>
              </w:rPr>
              <w:t>a, 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noviembre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Sri Lanka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octubre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noviembre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Sudáfrica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15 de diciembre de 1995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enero de 1996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Suecia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julio de 1980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Suiza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27 de marzo de 1997</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26 de abril de 1997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Suriname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w:t>
            </w:r>
            <w:r>
              <w:rPr>
                <w:rStyle w:val="TTable3E"/>
                <w:rFonts w:ascii="WP TypographicSymbols" w:hAnsi="WP TypographicSymbols"/>
                <w:kern w:val="2"/>
              </w:rPr>
              <w:t></w:t>
            </w:r>
            <w:r>
              <w:rPr>
                <w:rStyle w:val="TTable3E"/>
                <w:kern w:val="2"/>
              </w:rPr>
              <w:t xml:space="preserve"> de marzo de 1993</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marzo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Tailandia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agosto de 1985</w:t>
            </w:r>
            <w:r>
              <w:rPr>
                <w:rStyle w:val="TTable3E"/>
                <w:i/>
                <w:kern w:val="2"/>
                <w:vertAlign w:val="superscript"/>
              </w:rPr>
              <w:t>a, b, 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septiembre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Tayikistán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26 de octubre de 1993</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noviembre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Togo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26 de septiembre de 1983</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26 de octubre de 1983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Trinidad y Tabago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12 de enero de 1990</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11 de febrero de 1990</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Túnez</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20 de septiembre de 1985</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20 de octubre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Turkmenistán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 de mayo de 1997</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31 de mayo de 1997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Turquía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20 de diciembre de 1985</w:t>
            </w:r>
            <w:r>
              <w:rPr>
                <w:rStyle w:val="TTable3E"/>
                <w:i/>
                <w:kern w:val="2"/>
                <w:vertAlign w:val="superscript"/>
              </w:rPr>
              <w:t>a, 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19 de enero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Tuvalu</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vertAlign w:val="superscript"/>
              </w:rPr>
            </w:pPr>
            <w:r>
              <w:rPr>
                <w:rStyle w:val="TTable3E"/>
                <w:kern w:val="2"/>
              </w:rPr>
              <w:t>6 de octubre de 1999</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5 de noviembre de 1999</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Ucrania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12 de marzo de 1981</w:t>
            </w:r>
            <w:r>
              <w:rPr>
                <w:rStyle w:val="TTable3E"/>
                <w:i/>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Uganda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22 de julio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21 de agosto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Uruguay</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9 de octubre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8 de noviembre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Uzbekistán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19 de julio de 1995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18 de agosto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Vanuatu</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8 de septiembre de 1995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8 de octubre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Venezuela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 de mayo de 1983</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 de junio de 1983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Viet Nam</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17 de febrero de 1982</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19 de marzo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Yemen</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30 de mayo de 1984</w:t>
            </w:r>
            <w:r>
              <w:rPr>
                <w:rStyle w:val="TTable3E"/>
                <w:i/>
                <w:kern w:val="2"/>
                <w:vertAlign w:val="superscript"/>
              </w:rPr>
              <w:t>a, 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29 de junio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Yugoslavia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12 de marzo de 2001</w:t>
            </w:r>
            <w:r>
              <w:rPr>
                <w:rStyle w:val="TTable3E"/>
                <w:i/>
                <w:kern w:val="2"/>
                <w:vertAlign w:val="superscript"/>
              </w:rPr>
              <w:t>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11 de abril de 2001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Zambia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21 de junio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21 de julio de 1985</w:t>
            </w:r>
          </w:p>
        </w:tc>
      </w:tr>
      <w:tr w:rsidR="00000000">
        <w:tblPrEx>
          <w:tblCellMar>
            <w:top w:w="0" w:type="dxa"/>
            <w:bottom w:w="0" w:type="dxa"/>
          </w:tblCellMar>
        </w:tblPrEx>
        <w:tc>
          <w:tcPr>
            <w:tcW w:w="4410" w:type="dxa"/>
            <w:tcBorders>
              <w:top w:val="single" w:sz="6" w:space="0" w:color="FFFFFF"/>
              <w:left w:val="single" w:sz="6" w:space="0" w:color="FFFFFF"/>
              <w:bottom w:val="single" w:sz="12" w:space="0" w:color="000000"/>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Zimbabwe</w:t>
            </w:r>
          </w:p>
        </w:tc>
        <w:tc>
          <w:tcPr>
            <w:tcW w:w="2700" w:type="dxa"/>
            <w:tcBorders>
              <w:top w:val="single" w:sz="6" w:space="0" w:color="FFFFFF"/>
              <w:left w:val="single" w:sz="6" w:space="0" w:color="FFFFFF"/>
              <w:bottom w:val="single" w:sz="12" w:space="0" w:color="000000"/>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13 de mayo de 1991</w:t>
            </w:r>
            <w:r>
              <w:rPr>
                <w:rStyle w:val="TTable3E"/>
                <w:i/>
                <w:kern w:val="2"/>
                <w:vertAlign w:val="superscript"/>
              </w:rPr>
              <w:t>a</w:t>
            </w:r>
          </w:p>
        </w:tc>
        <w:tc>
          <w:tcPr>
            <w:tcW w:w="2700" w:type="dxa"/>
            <w:tcBorders>
              <w:top w:val="single" w:sz="6" w:space="0" w:color="FFFFFF"/>
              <w:left w:val="single" w:sz="6" w:space="0" w:color="FFFFFF"/>
              <w:bottom w:val="single" w:sz="12" w:space="0" w:color="000000"/>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12 de junio de 1991</w:t>
            </w:r>
          </w:p>
        </w:tc>
      </w:tr>
    </w:tbl>
    <w:p w:rsidR="00000000" w:rsidRDefault="00000000">
      <w:pPr>
        <w:tabs>
          <w:tab w:val="left" w:pos="9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 w:val="left" w:pos="9810"/>
        </w:tabs>
        <w:spacing w:line="120" w:lineRule="exact"/>
        <w:ind w:left="180" w:right="130" w:hanging="180"/>
        <w:rPr>
          <w:rStyle w:val="TTable3E"/>
          <w:kern w:val="2"/>
          <w:sz w:val="10"/>
          <w:vertAlign w:val="superscript"/>
        </w:rPr>
      </w:pPr>
    </w:p>
    <w:p w:rsidR="00000000" w:rsidRDefault="00000000">
      <w:pPr>
        <w:pStyle w:val="FootnoteText"/>
        <w:tabs>
          <w:tab w:val="clear" w:pos="418"/>
          <w:tab w:val="right" w:pos="216"/>
          <w:tab w:val="left" w:pos="288"/>
          <w:tab w:val="right" w:pos="576"/>
          <w:tab w:val="left" w:pos="648"/>
        </w:tabs>
        <w:ind w:left="288" w:hanging="288"/>
        <w:rPr>
          <w:rStyle w:val="TTable3E"/>
          <w:kern w:val="2"/>
        </w:rPr>
      </w:pPr>
      <w:r>
        <w:rPr>
          <w:rStyle w:val="TTable3E"/>
          <w:kern w:val="2"/>
          <w:vertAlign w:val="superscript"/>
        </w:rPr>
        <w:tab/>
      </w:r>
      <w:r>
        <w:rPr>
          <w:rStyle w:val="TTable3E"/>
          <w:i/>
          <w:kern w:val="2"/>
          <w:vertAlign w:val="superscript"/>
        </w:rPr>
        <w:t>a</w:t>
      </w:r>
      <w:r>
        <w:rPr>
          <w:rStyle w:val="TTable3E"/>
          <w:i/>
          <w:kern w:val="2"/>
          <w:vertAlign w:val="superscript"/>
        </w:rPr>
        <w:tab/>
      </w:r>
      <w:r>
        <w:rPr>
          <w:rStyle w:val="TTable3E"/>
          <w:kern w:val="2"/>
          <w:sz w:val="17"/>
        </w:rPr>
        <w:t>Adhesión.</w:t>
      </w:r>
    </w:p>
    <w:p w:rsidR="00000000" w:rsidRDefault="00000000">
      <w:pPr>
        <w:pStyle w:val="FootnoteText"/>
        <w:tabs>
          <w:tab w:val="clear" w:pos="418"/>
          <w:tab w:val="right" w:pos="216"/>
          <w:tab w:val="left" w:pos="288"/>
          <w:tab w:val="right" w:pos="576"/>
          <w:tab w:val="left" w:pos="648"/>
        </w:tabs>
        <w:ind w:left="288" w:hanging="288"/>
        <w:rPr>
          <w:rStyle w:val="TTable3E"/>
          <w:kern w:val="2"/>
        </w:rPr>
      </w:pPr>
      <w:r>
        <w:rPr>
          <w:rStyle w:val="TTable3E"/>
          <w:kern w:val="2"/>
        </w:rPr>
        <w:tab/>
      </w:r>
      <w:r>
        <w:rPr>
          <w:rStyle w:val="TTable3E"/>
          <w:i/>
          <w:kern w:val="2"/>
          <w:vertAlign w:val="superscript"/>
        </w:rPr>
        <w:t>b</w:t>
      </w:r>
      <w:r>
        <w:rPr>
          <w:rStyle w:val="TTable3E"/>
          <w:i/>
          <w:kern w:val="2"/>
          <w:vertAlign w:val="superscript"/>
        </w:rPr>
        <w:tab/>
      </w:r>
      <w:r>
        <w:rPr>
          <w:rStyle w:val="TTable3E"/>
          <w:kern w:val="2"/>
          <w:sz w:val="17"/>
        </w:rPr>
        <w:t>Declaraciones y reservas.</w:t>
      </w:r>
    </w:p>
    <w:p w:rsidR="00000000" w:rsidRDefault="00000000">
      <w:pPr>
        <w:pStyle w:val="FootnoteText"/>
        <w:tabs>
          <w:tab w:val="clear" w:pos="418"/>
          <w:tab w:val="right" w:pos="216"/>
          <w:tab w:val="left" w:pos="288"/>
          <w:tab w:val="right" w:pos="576"/>
          <w:tab w:val="left" w:pos="648"/>
        </w:tabs>
        <w:ind w:left="288" w:hanging="288"/>
        <w:rPr>
          <w:rStyle w:val="TTable3E"/>
          <w:kern w:val="2"/>
        </w:rPr>
      </w:pPr>
      <w:r>
        <w:rPr>
          <w:rStyle w:val="TTable3E"/>
          <w:kern w:val="2"/>
        </w:rPr>
        <w:tab/>
      </w:r>
      <w:r>
        <w:rPr>
          <w:rStyle w:val="TTable3E"/>
          <w:i/>
          <w:kern w:val="2"/>
          <w:vertAlign w:val="superscript"/>
        </w:rPr>
        <w:t>c</w:t>
      </w:r>
      <w:r>
        <w:rPr>
          <w:rStyle w:val="TTable3E"/>
          <w:i/>
          <w:kern w:val="2"/>
          <w:vertAlign w:val="superscript"/>
        </w:rPr>
        <w:tab/>
      </w:r>
      <w:r>
        <w:rPr>
          <w:rStyle w:val="TTable3E"/>
          <w:kern w:val="2"/>
          <w:sz w:val="17"/>
        </w:rPr>
        <w:t>Reserva retirada ulteriormente.</w:t>
      </w:r>
    </w:p>
    <w:p w:rsidR="00000000" w:rsidRDefault="00000000">
      <w:pPr>
        <w:pStyle w:val="FootnoteText"/>
        <w:tabs>
          <w:tab w:val="clear" w:pos="418"/>
          <w:tab w:val="right" w:pos="216"/>
          <w:tab w:val="left" w:pos="288"/>
          <w:tab w:val="right" w:pos="576"/>
          <w:tab w:val="left" w:pos="648"/>
        </w:tabs>
        <w:ind w:left="288" w:hanging="288"/>
        <w:rPr>
          <w:rStyle w:val="TTable3E"/>
          <w:kern w:val="2"/>
        </w:rPr>
      </w:pPr>
      <w:r>
        <w:rPr>
          <w:rStyle w:val="TTable3E"/>
          <w:kern w:val="2"/>
        </w:rPr>
        <w:tab/>
      </w:r>
      <w:r>
        <w:rPr>
          <w:rStyle w:val="TTable3E"/>
          <w:i/>
          <w:kern w:val="2"/>
          <w:vertAlign w:val="superscript"/>
        </w:rPr>
        <w:t>d</w:t>
      </w:r>
      <w:r>
        <w:rPr>
          <w:rStyle w:val="TTable3E"/>
          <w:i/>
          <w:kern w:val="2"/>
          <w:vertAlign w:val="superscript"/>
        </w:rPr>
        <w:tab/>
      </w:r>
      <w:r>
        <w:rPr>
          <w:rStyle w:val="TTable3E"/>
          <w:kern w:val="2"/>
          <w:sz w:val="17"/>
        </w:rPr>
        <w:t>Sucesión.</w:t>
      </w:r>
    </w:p>
    <w:p w:rsidR="00000000" w:rsidRDefault="00000000">
      <w:pPr>
        <w:pStyle w:val="FootnoteText"/>
        <w:tabs>
          <w:tab w:val="clear" w:pos="418"/>
          <w:tab w:val="right" w:pos="216"/>
          <w:tab w:val="left" w:pos="288"/>
          <w:tab w:val="right" w:pos="576"/>
          <w:tab w:val="left" w:pos="648"/>
        </w:tabs>
        <w:ind w:left="288" w:hanging="288"/>
        <w:rPr>
          <w:rStyle w:val="TTable3E"/>
          <w:kern w:val="2"/>
        </w:rPr>
      </w:pPr>
      <w:r>
        <w:rPr>
          <w:rStyle w:val="TTable3E"/>
          <w:kern w:val="2"/>
        </w:rPr>
        <w:tab/>
      </w:r>
      <w:r>
        <w:rPr>
          <w:rStyle w:val="TTable3E"/>
          <w:i/>
          <w:kern w:val="2"/>
          <w:vertAlign w:val="superscript"/>
        </w:rPr>
        <w:t>e</w:t>
      </w:r>
      <w:r>
        <w:rPr>
          <w:rStyle w:val="TTable3E"/>
          <w:kern w:val="2"/>
        </w:rPr>
        <w:tab/>
      </w:r>
      <w:r>
        <w:rPr>
          <w:rStyle w:val="TTable3E"/>
          <w:kern w:val="2"/>
          <w:sz w:val="17"/>
        </w:rPr>
        <w:t>Antes de convertirse en Estados separados, lo que ocurrió el 1° de enero de 1993, la República Checa y Eslovaquia formaban parte de Checoslovaquia, que ratificó la Convención el 16 de febrero de 1982.</w:t>
      </w:r>
    </w:p>
    <w:p w:rsidR="00000000" w:rsidRDefault="00000000">
      <w:pPr>
        <w:pStyle w:val="FootnoteText"/>
        <w:tabs>
          <w:tab w:val="clear" w:pos="418"/>
          <w:tab w:val="right" w:pos="216"/>
          <w:tab w:val="left" w:pos="288"/>
          <w:tab w:val="right" w:pos="576"/>
          <w:tab w:val="left" w:pos="648"/>
        </w:tabs>
        <w:ind w:left="288" w:hanging="288"/>
        <w:rPr>
          <w:rStyle w:val="TTable3E"/>
          <w:kern w:val="2"/>
        </w:rPr>
      </w:pPr>
      <w:r>
        <w:rPr>
          <w:rStyle w:val="TTable3E"/>
          <w:kern w:val="2"/>
        </w:rPr>
        <w:tab/>
      </w:r>
      <w:r>
        <w:rPr>
          <w:rStyle w:val="TTable3E"/>
          <w:i/>
          <w:kern w:val="2"/>
          <w:vertAlign w:val="superscript"/>
        </w:rPr>
        <w:t>f</w:t>
      </w:r>
      <w:r>
        <w:rPr>
          <w:rStyle w:val="TTable3E"/>
          <w:kern w:val="2"/>
        </w:rPr>
        <w:tab/>
      </w:r>
      <w:r>
        <w:rPr>
          <w:rStyle w:val="TTable3E"/>
          <w:kern w:val="2"/>
          <w:sz w:val="17"/>
        </w:rPr>
        <w:t>Con efecto a partir del 17 de mayo de 1997, el Zaire cambió su denominación por la de República Democrática del Congo.</w:t>
      </w:r>
    </w:p>
    <w:p w:rsidR="00000000" w:rsidRDefault="00000000">
      <w:pPr>
        <w:pStyle w:val="FootnoteText"/>
        <w:tabs>
          <w:tab w:val="clear" w:pos="418"/>
          <w:tab w:val="right" w:pos="216"/>
          <w:tab w:val="left" w:pos="288"/>
          <w:tab w:val="right" w:pos="576"/>
          <w:tab w:val="left" w:pos="648"/>
        </w:tabs>
        <w:ind w:left="288" w:hanging="288"/>
        <w:rPr>
          <w:rStyle w:val="TTable3E"/>
          <w:kern w:val="2"/>
        </w:rPr>
      </w:pPr>
      <w:r>
        <w:rPr>
          <w:rStyle w:val="TTable3E"/>
          <w:kern w:val="2"/>
        </w:rPr>
        <w:tab/>
      </w:r>
      <w:r>
        <w:rPr>
          <w:rStyle w:val="TTable3E"/>
          <w:i/>
          <w:kern w:val="2"/>
          <w:vertAlign w:val="superscript"/>
        </w:rPr>
        <w:t>g</w:t>
      </w:r>
      <w:r>
        <w:rPr>
          <w:rStyle w:val="TTable3E"/>
          <w:kern w:val="2"/>
        </w:rPr>
        <w:tab/>
      </w:r>
      <w:r>
        <w:rPr>
          <w:rStyle w:val="TTable3E"/>
          <w:kern w:val="2"/>
          <w:sz w:val="17"/>
        </w:rPr>
        <w:t>El 3 de octubre de 1990, la República Democrática Alemana (que ratificó la Convención el 9 de julio de 1980) y la República Federal de Alemania (que la ratificó el 10 de julio de 1985) se unificaron para formar un solo Estado soberano que actúa en las Naciones Unidas con el nombre de “Alemania”.</w:t>
      </w:r>
    </w:p>
    <w:p w:rsidR="00000000" w:rsidRDefault="00000000">
      <w:pPr>
        <w:pStyle w:val="FootnoteText"/>
        <w:tabs>
          <w:tab w:val="clear" w:pos="418"/>
          <w:tab w:val="right" w:pos="216"/>
          <w:tab w:val="left" w:pos="288"/>
          <w:tab w:val="right" w:pos="576"/>
          <w:tab w:val="left" w:pos="648"/>
        </w:tabs>
        <w:ind w:left="288" w:hanging="288"/>
        <w:rPr>
          <w:rStyle w:val="TTable3E"/>
          <w:kern w:val="2"/>
        </w:rPr>
      </w:pPr>
      <w:r>
        <w:rPr>
          <w:rStyle w:val="TTable3E"/>
          <w:kern w:val="2"/>
        </w:rPr>
        <w:tab/>
      </w:r>
      <w:r>
        <w:rPr>
          <w:rStyle w:val="TTable3E"/>
          <w:i/>
          <w:kern w:val="2"/>
          <w:vertAlign w:val="superscript"/>
        </w:rPr>
        <w:t>h</w:t>
      </w:r>
      <w:r>
        <w:rPr>
          <w:rStyle w:val="TTable3E"/>
          <w:kern w:val="2"/>
        </w:rPr>
        <w:tab/>
      </w:r>
      <w:r>
        <w:rPr>
          <w:rStyle w:val="TTable3E"/>
          <w:kern w:val="2"/>
          <w:sz w:val="17"/>
        </w:rPr>
        <w:t>El 22 de mayo de 1990, el Yemen y el Yemen Democrático se fusionaron para formar un solo Estado soberano que actúa en las Naciones Unidas con el nombre de “Yemen”.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rStyle w:val="TTable3E"/>
          <w:kern w:val="2"/>
          <w:sz w:val="17"/>
        </w:rPr>
        <w:br w:type="page"/>
      </w:r>
      <w:r>
        <w:t>Anexo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Estados partes que han depositado instrumentos de aceptación de la enmienda del párrafo 1 del artículo 20 de la Convención ante el Secretario General</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kern w:val="2"/>
        </w:rPr>
      </w:pPr>
      <w:r>
        <w:rPr>
          <w:kern w:val="2"/>
        </w:rPr>
        <w:tab/>
      </w:r>
      <w:r>
        <w:rPr>
          <w:kern w:val="2"/>
        </w:rPr>
        <w:tab/>
      </w:r>
    </w:p>
    <w:tbl>
      <w:tblPr>
        <w:tblW w:w="0" w:type="auto"/>
        <w:tblInd w:w="1223" w:type="dxa"/>
        <w:tblBorders>
          <w:top w:val="single" w:sz="6" w:space="0" w:color="000000"/>
          <w:left w:val="single" w:sz="6" w:space="0" w:color="FFFFFF"/>
          <w:bottom w:val="single" w:sz="12" w:space="0" w:color="000000"/>
          <w:right w:val="single" w:sz="6" w:space="0" w:color="FFFFFF"/>
          <w:insideH w:val="single" w:sz="6" w:space="0" w:color="FFFFFF"/>
          <w:insideV w:val="single" w:sz="6" w:space="0" w:color="FFFFFF"/>
        </w:tblBorders>
        <w:tblLayout w:type="fixed"/>
        <w:tblCellMar>
          <w:left w:w="39" w:type="dxa"/>
          <w:right w:w="39" w:type="dxa"/>
        </w:tblCellMar>
        <w:tblLook w:val="0000" w:firstRow="0" w:lastRow="0" w:firstColumn="0" w:lastColumn="0" w:noHBand="0" w:noVBand="0"/>
      </w:tblPr>
      <w:tblGrid>
        <w:gridCol w:w="4629"/>
        <w:gridCol w:w="2610"/>
      </w:tblGrid>
      <w:tr w:rsidR="00000000">
        <w:tblPrEx>
          <w:tblCellMar>
            <w:top w:w="0" w:type="dxa"/>
            <w:bottom w:w="0" w:type="dxa"/>
          </w:tblCellMar>
        </w:tblPrEx>
        <w:trPr>
          <w:tblHeader/>
        </w:trPr>
        <w:tc>
          <w:tcPr>
            <w:tcW w:w="4629" w:type="dxa"/>
            <w:tcBorders>
              <w:bottom w:val="single" w:sz="12" w:space="0" w:color="auto"/>
            </w:tcBorders>
            <w:vAlign w:val="center"/>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rPr>
                <w:rStyle w:val="TTable2"/>
                <w:i/>
                <w:kern w:val="2"/>
                <w:sz w:val="12"/>
              </w:rPr>
            </w:pPr>
            <w:r>
              <w:rPr>
                <w:rStyle w:val="TTable2"/>
                <w:i/>
                <w:kern w:val="2"/>
                <w:sz w:val="12"/>
              </w:rPr>
              <w:t>Estado parte</w:t>
            </w:r>
          </w:p>
        </w:tc>
        <w:tc>
          <w:tcPr>
            <w:tcW w:w="2610" w:type="dxa"/>
            <w:tcBorders>
              <w:bottom w:val="single" w:sz="12" w:space="0" w:color="auto"/>
            </w:tcBorders>
            <w:vAlign w:val="center"/>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rPr>
                <w:rStyle w:val="TTable2"/>
                <w:i/>
                <w:kern w:val="2"/>
                <w:sz w:val="12"/>
              </w:rPr>
            </w:pPr>
            <w:r>
              <w:rPr>
                <w:rStyle w:val="TTable2"/>
                <w:i/>
                <w:kern w:val="2"/>
                <w:sz w:val="12"/>
              </w:rPr>
              <w:t>Fecha de aceptación</w:t>
            </w:r>
          </w:p>
        </w:tc>
      </w:tr>
      <w:tr w:rsidR="00000000">
        <w:tblPrEx>
          <w:tblCellMar>
            <w:top w:w="0" w:type="dxa"/>
            <w:bottom w:w="0" w:type="dxa"/>
          </w:tblCellMar>
        </w:tblPrEx>
        <w:tc>
          <w:tcPr>
            <w:tcW w:w="4629" w:type="dxa"/>
            <w:tcBorders>
              <w:top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Australia</w:t>
            </w:r>
          </w:p>
        </w:tc>
        <w:tc>
          <w:tcPr>
            <w:tcW w:w="2610" w:type="dxa"/>
            <w:tcBorders>
              <w:top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4 de junio de 1998</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Austria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11 de septiembre de 2000</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Brasil</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5 de marzo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Canadá</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3 de noviembre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Chile</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8 de mayo de 1998</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Dinamarca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12 de marzo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Egipto</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2 de agosto de 2001</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Finlandia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18 de marzo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Francia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8 de agosto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Guatemala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3 de junio de 1999</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Italia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31 de mayo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Liechtenstein</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15 de abril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Madagascar</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19 de julio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Malta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5 de marzo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México</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16 de septiembre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Mongolia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19 de diciembre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Noruega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29 de marzo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Nueva Zelandia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26 de septiembre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Países Bajos</w:t>
            </w:r>
            <w:r>
              <w:rPr>
                <w:rStyle w:val="TTable2"/>
                <w:i/>
                <w:kern w:val="2"/>
                <w:vertAlign w:val="superscript"/>
              </w:rPr>
              <w:t>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vertAlign w:val="superscript"/>
              </w:rPr>
            </w:pPr>
            <w:r>
              <w:rPr>
                <w:rStyle w:val="TTable2"/>
                <w:kern w:val="2"/>
              </w:rPr>
              <w:t>10 de diciembre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Panamá</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left="210" w:hanging="210"/>
              <w:rPr>
                <w:rStyle w:val="TTable2"/>
                <w:kern w:val="2"/>
              </w:rPr>
            </w:pPr>
            <w:r>
              <w:rPr>
                <w:rStyle w:val="TTable2"/>
                <w:kern w:val="2"/>
              </w:rPr>
              <w:t>5 de noviembre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left="288" w:hanging="288"/>
              <w:rPr>
                <w:rStyle w:val="TTable2"/>
                <w:kern w:val="2"/>
              </w:rPr>
            </w:pPr>
            <w:r>
              <w:rPr>
                <w:rStyle w:val="TTable2"/>
                <w:kern w:val="2"/>
              </w:rPr>
              <w:t>Reino Unido de Gran Bretaña e Irlanda del Norte</w:t>
            </w:r>
            <w:r>
              <w:rPr>
                <w:rStyle w:val="TTable2"/>
                <w:i/>
                <w:kern w:val="2"/>
                <w:vertAlign w:val="superscript"/>
              </w:rPr>
              <w:t>b</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19 de noviembre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República de Corea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12 de agosto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Suecia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17 de julio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Suiza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2 de diciembre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Turquía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9 de diciembre de 1999</w:t>
            </w:r>
          </w:p>
        </w:tc>
      </w:tr>
    </w:tbl>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s>
        <w:spacing w:line="120" w:lineRule="exact"/>
        <w:ind w:left="1262"/>
        <w:rPr>
          <w:rStyle w:val="TTable2"/>
          <w:kern w:val="2"/>
          <w:sz w:val="10"/>
        </w:rPr>
      </w:pPr>
    </w:p>
    <w:p w:rsidR="00000000" w:rsidRDefault="00000000">
      <w:pPr>
        <w:pStyle w:val="FootnoteText"/>
        <w:tabs>
          <w:tab w:val="clear" w:pos="418"/>
          <w:tab w:val="right" w:pos="1476"/>
          <w:tab w:val="left" w:pos="1548"/>
          <w:tab w:val="right" w:pos="1836"/>
          <w:tab w:val="left" w:pos="1908"/>
        </w:tabs>
        <w:ind w:left="1548" w:right="1267" w:hanging="288"/>
        <w:rPr>
          <w:rStyle w:val="TTable2"/>
          <w:kern w:val="2"/>
        </w:rPr>
      </w:pPr>
      <w:r>
        <w:rPr>
          <w:rStyle w:val="TTable2"/>
          <w:kern w:val="2"/>
        </w:rPr>
        <w:tab/>
      </w:r>
      <w:r>
        <w:rPr>
          <w:rStyle w:val="TTable2"/>
          <w:i/>
          <w:kern w:val="2"/>
          <w:vertAlign w:val="superscript"/>
        </w:rPr>
        <w:t>a</w:t>
      </w:r>
      <w:r>
        <w:rPr>
          <w:rStyle w:val="TTable2"/>
          <w:kern w:val="2"/>
        </w:rPr>
        <w:tab/>
      </w:r>
      <w:r>
        <w:rPr>
          <w:rStyle w:val="TTable2"/>
          <w:kern w:val="2"/>
          <w:sz w:val="17"/>
        </w:rPr>
        <w:t>En nombre del Reino de los Países Bajos en Europa, las Antillas Neerlandesas y Aruba.</w:t>
      </w:r>
    </w:p>
    <w:p w:rsidR="00000000" w:rsidRDefault="00000000">
      <w:pPr>
        <w:pStyle w:val="FootnoteText"/>
        <w:tabs>
          <w:tab w:val="clear" w:pos="418"/>
          <w:tab w:val="right" w:pos="1476"/>
          <w:tab w:val="left" w:pos="1548"/>
          <w:tab w:val="right" w:pos="1836"/>
          <w:tab w:val="left" w:pos="1908"/>
        </w:tabs>
        <w:ind w:left="1548" w:right="1267" w:hanging="288"/>
      </w:pPr>
      <w:r>
        <w:rPr>
          <w:rStyle w:val="TTable2"/>
          <w:kern w:val="2"/>
        </w:rPr>
        <w:tab/>
      </w:r>
      <w:r>
        <w:rPr>
          <w:rStyle w:val="TTable2"/>
          <w:i/>
          <w:kern w:val="2"/>
          <w:vertAlign w:val="superscript"/>
        </w:rPr>
        <w:t>b</w:t>
      </w:r>
      <w:r>
        <w:rPr>
          <w:rStyle w:val="TTable2"/>
          <w:kern w:val="2"/>
        </w:rPr>
        <w:tab/>
      </w:r>
      <w:r>
        <w:rPr>
          <w:rStyle w:val="TTable2"/>
          <w:kern w:val="2"/>
          <w:sz w:val="17"/>
        </w:rPr>
        <w:t>En nombre del Reino Unido de Gran Bretaña e Irlanda del Norte, la Isla de Man, las Islas Vírgenes Británicas y las Islas Turcas y Caicos.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IV</w:t>
      </w:r>
      <w:r>
        <w:br/>
        <w:t>Estados partes que han firmado o ratificado el Protocolo Facultativo de la Conve</w:t>
      </w:r>
      <w:r>
        <w:t>n</w:t>
      </w:r>
      <w:r>
        <w:t>ción o se han adherido a él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825"/>
        <w:gridCol w:w="2439"/>
        <w:gridCol w:w="2286"/>
      </w:tblGrid>
      <w:tr w:rsidR="00000000">
        <w:tblPrEx>
          <w:tblCellMar>
            <w:top w:w="0" w:type="dxa"/>
            <w:left w:w="0" w:type="dxa"/>
            <w:bottom w:w="0" w:type="dxa"/>
            <w:right w:w="0" w:type="dxa"/>
          </w:tblCellMar>
        </w:tblPrEx>
        <w:trPr>
          <w:tblHeader/>
        </w:trPr>
        <w:tc>
          <w:tcPr>
            <w:tcW w:w="382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rPr>
            </w:pPr>
            <w:r>
              <w:rPr>
                <w:i/>
                <w:sz w:val="14"/>
              </w:rPr>
              <w:t>Estado parte</w:t>
            </w:r>
          </w:p>
        </w:tc>
        <w:tc>
          <w:tcPr>
            <w:tcW w:w="2439"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rPr>
            </w:pPr>
            <w:r>
              <w:rPr>
                <w:i/>
                <w:sz w:val="14"/>
              </w:rPr>
              <w:t>Fecha de la firma</w:t>
            </w:r>
          </w:p>
        </w:tc>
        <w:tc>
          <w:tcPr>
            <w:tcW w:w="228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rPr>
            </w:pPr>
            <w:r>
              <w:rPr>
                <w:i/>
                <w:sz w:val="14"/>
              </w:rPr>
              <w:t>Ratificación o adhesión</w:t>
            </w:r>
          </w:p>
        </w:tc>
      </w:tr>
      <w:tr w:rsidR="00000000">
        <w:tblPrEx>
          <w:tblCellMar>
            <w:top w:w="0" w:type="dxa"/>
            <w:left w:w="0" w:type="dxa"/>
            <w:bottom w:w="0" w:type="dxa"/>
            <w:right w:w="0" w:type="dxa"/>
          </w:tblCellMar>
        </w:tblPrEx>
        <w:trPr>
          <w:trHeight w:hRule="exact" w:val="115"/>
          <w:tblHeader/>
        </w:trPr>
        <w:tc>
          <w:tcPr>
            <w:tcW w:w="38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3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28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1.</w:t>
            </w:r>
            <w:r>
              <w:tab/>
              <w:t>Alemania</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2.</w:t>
            </w:r>
            <w:r>
              <w:tab/>
              <w:t>Andorra</w:t>
            </w:r>
          </w:p>
        </w:tc>
        <w:tc>
          <w:tcPr>
            <w:tcW w:w="2439" w:type="dxa"/>
          </w:tcPr>
          <w:p w:rsidR="00000000" w:rsidRDefault="00000000">
            <w:pPr>
              <w:tabs>
                <w:tab w:val="left" w:pos="288"/>
                <w:tab w:val="left" w:pos="576"/>
                <w:tab w:val="left" w:pos="864"/>
                <w:tab w:val="left" w:pos="1152"/>
              </w:tabs>
              <w:spacing w:before="40" w:after="40"/>
              <w:ind w:right="43"/>
            </w:pPr>
            <w:r>
              <w:t>9 de julio de 2001</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3.</w:t>
            </w:r>
            <w:r>
              <w:tab/>
              <w:t>Argentina</w:t>
            </w:r>
          </w:p>
        </w:tc>
        <w:tc>
          <w:tcPr>
            <w:tcW w:w="2439" w:type="dxa"/>
          </w:tcPr>
          <w:p w:rsidR="00000000" w:rsidRDefault="00000000">
            <w:pPr>
              <w:tabs>
                <w:tab w:val="left" w:pos="288"/>
                <w:tab w:val="left" w:pos="576"/>
                <w:tab w:val="left" w:pos="864"/>
                <w:tab w:val="left" w:pos="1152"/>
              </w:tabs>
              <w:spacing w:before="40" w:after="40"/>
              <w:ind w:right="43"/>
            </w:pPr>
            <w:r>
              <w:t>28 de febrero de 2000</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4.</w:t>
            </w:r>
            <w:r>
              <w:tab/>
              <w:t>Austria</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r>
              <w:t>6 de septiembre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5.</w:t>
            </w:r>
            <w:r>
              <w:tab/>
              <w:t>Azerbaiyán</w:t>
            </w:r>
          </w:p>
        </w:tc>
        <w:tc>
          <w:tcPr>
            <w:tcW w:w="2439" w:type="dxa"/>
          </w:tcPr>
          <w:p w:rsidR="00000000" w:rsidRDefault="00000000">
            <w:pPr>
              <w:tabs>
                <w:tab w:val="left" w:pos="288"/>
                <w:tab w:val="left" w:pos="576"/>
                <w:tab w:val="left" w:pos="864"/>
                <w:tab w:val="left" w:pos="1152"/>
              </w:tabs>
              <w:spacing w:before="40" w:after="40"/>
              <w:ind w:right="43"/>
            </w:pPr>
            <w:r>
              <w:t>6 de junio de 2000</w:t>
            </w:r>
          </w:p>
        </w:tc>
        <w:tc>
          <w:tcPr>
            <w:tcW w:w="2286" w:type="dxa"/>
          </w:tcPr>
          <w:p w:rsidR="00000000" w:rsidRDefault="00000000">
            <w:pPr>
              <w:tabs>
                <w:tab w:val="left" w:pos="288"/>
                <w:tab w:val="left" w:pos="576"/>
                <w:tab w:val="left" w:pos="864"/>
                <w:tab w:val="left" w:pos="1152"/>
              </w:tabs>
              <w:spacing w:before="40" w:after="40"/>
              <w:ind w:right="43"/>
            </w:pPr>
            <w:r>
              <w:t>1° de junio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6.</w:t>
            </w:r>
            <w:r>
              <w:tab/>
              <w:t xml:space="preserve">Bangladesh </w:t>
            </w:r>
          </w:p>
        </w:tc>
        <w:tc>
          <w:tcPr>
            <w:tcW w:w="2439" w:type="dxa"/>
          </w:tcPr>
          <w:p w:rsidR="00000000" w:rsidRDefault="00000000">
            <w:pPr>
              <w:tabs>
                <w:tab w:val="left" w:pos="288"/>
                <w:tab w:val="left" w:pos="576"/>
                <w:tab w:val="left" w:pos="864"/>
                <w:tab w:val="left" w:pos="1152"/>
              </w:tabs>
              <w:spacing w:before="40" w:after="40"/>
              <w:ind w:right="43"/>
            </w:pPr>
            <w:r>
              <w:t>6 de septiembre de 2000</w:t>
            </w:r>
          </w:p>
        </w:tc>
        <w:tc>
          <w:tcPr>
            <w:tcW w:w="2286" w:type="dxa"/>
          </w:tcPr>
          <w:p w:rsidR="00000000" w:rsidRDefault="00000000">
            <w:pPr>
              <w:tabs>
                <w:tab w:val="left" w:pos="288"/>
                <w:tab w:val="left" w:pos="576"/>
                <w:tab w:val="left" w:pos="864"/>
                <w:tab w:val="left" w:pos="1152"/>
              </w:tabs>
              <w:spacing w:before="40" w:after="40"/>
              <w:ind w:right="43"/>
            </w:pPr>
            <w:r>
              <w:t>6 de septiembre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7.</w:t>
            </w:r>
            <w:r>
              <w:tab/>
              <w:t>Bélgica</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8.</w:t>
            </w:r>
            <w:r>
              <w:tab/>
              <w:t>Benin</w:t>
            </w:r>
          </w:p>
        </w:tc>
        <w:tc>
          <w:tcPr>
            <w:tcW w:w="2439" w:type="dxa"/>
          </w:tcPr>
          <w:p w:rsidR="00000000" w:rsidRDefault="00000000">
            <w:pPr>
              <w:tabs>
                <w:tab w:val="left" w:pos="288"/>
                <w:tab w:val="left" w:pos="576"/>
                <w:tab w:val="left" w:pos="864"/>
                <w:tab w:val="left" w:pos="1152"/>
              </w:tabs>
              <w:spacing w:before="40" w:after="40"/>
              <w:ind w:right="43"/>
            </w:pPr>
            <w:r>
              <w:t>25 de mayo de 2000</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9.</w:t>
            </w:r>
            <w:r>
              <w:tab/>
              <w:t>Bolivia</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r>
              <w:t>27 de diciembre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40" w:after="40"/>
              <w:ind w:right="43"/>
              <w:rPr>
                <w:lang w:val="es-ES_tradnl"/>
              </w:rPr>
            </w:pPr>
            <w:r>
              <w:t>10.</w:t>
            </w:r>
            <w:r>
              <w:tab/>
              <w:t>B</w:t>
            </w:r>
            <w:r>
              <w:rPr>
                <w:lang w:val="es-ES_tradnl"/>
              </w:rPr>
              <w:t>osnia y Herzegovina</w:t>
            </w:r>
          </w:p>
        </w:tc>
        <w:tc>
          <w:tcPr>
            <w:tcW w:w="2439" w:type="dxa"/>
            <w:vAlign w:val="bottom"/>
          </w:tcPr>
          <w:p w:rsidR="00000000" w:rsidRDefault="00000000">
            <w:pPr>
              <w:tabs>
                <w:tab w:val="left" w:pos="288"/>
                <w:tab w:val="left" w:pos="576"/>
                <w:tab w:val="left" w:pos="864"/>
                <w:tab w:val="left" w:pos="1152"/>
              </w:tabs>
              <w:spacing w:before="40" w:after="40"/>
              <w:ind w:right="43"/>
              <w:rPr>
                <w:lang w:val="es-ES_tradnl"/>
              </w:rPr>
            </w:pPr>
            <w:r>
              <w:rPr>
                <w:lang w:val="es-ES_tradnl"/>
              </w:rPr>
              <w:t>7 de septiembre de 2000</w:t>
            </w:r>
          </w:p>
        </w:tc>
        <w:tc>
          <w:tcPr>
            <w:tcW w:w="2286" w:type="dxa"/>
            <w:vAlign w:val="bottom"/>
          </w:tcPr>
          <w:p w:rsidR="00000000" w:rsidRDefault="00000000">
            <w:pPr>
              <w:tabs>
                <w:tab w:val="left" w:pos="288"/>
                <w:tab w:val="left" w:pos="576"/>
                <w:tab w:val="left" w:pos="864"/>
                <w:tab w:val="left" w:pos="1152"/>
              </w:tabs>
              <w:spacing w:before="40" w:after="40"/>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40" w:after="40"/>
              <w:ind w:right="43"/>
              <w:rPr>
                <w:lang w:val="es-ES_tradnl"/>
              </w:rPr>
            </w:pPr>
            <w:r>
              <w:t>11.</w:t>
            </w:r>
            <w:r>
              <w:tab/>
            </w:r>
            <w:r>
              <w:rPr>
                <w:lang w:val="es-ES_tradnl"/>
              </w:rPr>
              <w:t xml:space="preserve">Brasil </w:t>
            </w:r>
          </w:p>
        </w:tc>
        <w:tc>
          <w:tcPr>
            <w:tcW w:w="2439" w:type="dxa"/>
            <w:vAlign w:val="bottom"/>
          </w:tcPr>
          <w:p w:rsidR="00000000" w:rsidRDefault="00000000">
            <w:pPr>
              <w:tabs>
                <w:tab w:val="left" w:pos="288"/>
                <w:tab w:val="left" w:pos="576"/>
                <w:tab w:val="left" w:pos="864"/>
                <w:tab w:val="left" w:pos="1152"/>
              </w:tabs>
              <w:spacing w:before="40" w:after="40"/>
              <w:ind w:right="43"/>
              <w:rPr>
                <w:lang w:val="es-ES_tradnl"/>
              </w:rPr>
            </w:pPr>
            <w:r>
              <w:rPr>
                <w:lang w:val="es-ES_tradnl"/>
              </w:rPr>
              <w:t>13 de marzo de 2001</w:t>
            </w:r>
          </w:p>
        </w:tc>
        <w:tc>
          <w:tcPr>
            <w:tcW w:w="2286" w:type="dxa"/>
            <w:vAlign w:val="bottom"/>
          </w:tcPr>
          <w:p w:rsidR="00000000" w:rsidRDefault="00000000">
            <w:pPr>
              <w:tabs>
                <w:tab w:val="left" w:pos="288"/>
                <w:tab w:val="left" w:pos="576"/>
                <w:tab w:val="left" w:pos="864"/>
                <w:tab w:val="left" w:pos="1152"/>
              </w:tabs>
              <w:spacing w:before="40" w:after="40"/>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12.</w:t>
            </w:r>
            <w:r>
              <w:tab/>
              <w:t>Bulgaria</w:t>
            </w:r>
          </w:p>
        </w:tc>
        <w:tc>
          <w:tcPr>
            <w:tcW w:w="2439" w:type="dxa"/>
          </w:tcPr>
          <w:p w:rsidR="00000000" w:rsidRDefault="00000000">
            <w:pPr>
              <w:tabs>
                <w:tab w:val="left" w:pos="288"/>
                <w:tab w:val="left" w:pos="576"/>
                <w:tab w:val="left" w:pos="864"/>
                <w:tab w:val="left" w:pos="1152"/>
              </w:tabs>
              <w:spacing w:before="40" w:after="40"/>
              <w:ind w:right="43"/>
            </w:pPr>
            <w:r>
              <w:t>6 de junio de 2000</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13.</w:t>
            </w:r>
            <w:r>
              <w:tab/>
              <w:t>Chile</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40" w:after="40"/>
              <w:ind w:right="43"/>
              <w:rPr>
                <w:lang w:val="es-ES_tradnl"/>
              </w:rPr>
            </w:pPr>
            <w:r>
              <w:t>14.</w:t>
            </w:r>
            <w:r>
              <w:tab/>
            </w:r>
            <w:r>
              <w:rPr>
                <w:lang w:val="es-ES_tradnl"/>
              </w:rPr>
              <w:t>Chipre</w:t>
            </w:r>
          </w:p>
        </w:tc>
        <w:tc>
          <w:tcPr>
            <w:tcW w:w="2439" w:type="dxa"/>
            <w:vAlign w:val="bottom"/>
          </w:tcPr>
          <w:p w:rsidR="00000000" w:rsidRDefault="00000000">
            <w:pPr>
              <w:tabs>
                <w:tab w:val="left" w:pos="288"/>
                <w:tab w:val="left" w:pos="576"/>
                <w:tab w:val="left" w:pos="864"/>
                <w:tab w:val="left" w:pos="1152"/>
              </w:tabs>
              <w:spacing w:before="40" w:after="40"/>
              <w:ind w:right="43"/>
              <w:rPr>
                <w:lang w:val="es-ES_tradnl"/>
              </w:rPr>
            </w:pPr>
            <w:r>
              <w:rPr>
                <w:lang w:val="es-ES_tradnl"/>
              </w:rPr>
              <w:t>8 de febrero de 2001</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15.</w:t>
            </w:r>
            <w:r>
              <w:tab/>
              <w:t>Colombia</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16.</w:t>
            </w:r>
            <w:r>
              <w:tab/>
              <w:t>Costa Rica</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17.</w:t>
            </w:r>
            <w:r>
              <w:tab/>
              <w:t>Croacia</w:t>
            </w:r>
          </w:p>
        </w:tc>
        <w:tc>
          <w:tcPr>
            <w:tcW w:w="2439" w:type="dxa"/>
          </w:tcPr>
          <w:p w:rsidR="00000000" w:rsidRDefault="00000000">
            <w:pPr>
              <w:tabs>
                <w:tab w:val="left" w:pos="288"/>
                <w:tab w:val="left" w:pos="576"/>
                <w:tab w:val="left" w:pos="864"/>
                <w:tab w:val="left" w:pos="1152"/>
              </w:tabs>
              <w:spacing w:before="40" w:after="40"/>
              <w:ind w:right="43"/>
            </w:pPr>
            <w:r>
              <w:t>5 de junio de 2000</w:t>
            </w:r>
          </w:p>
        </w:tc>
        <w:tc>
          <w:tcPr>
            <w:tcW w:w="2286" w:type="dxa"/>
          </w:tcPr>
          <w:p w:rsidR="00000000" w:rsidRDefault="00000000">
            <w:pPr>
              <w:tabs>
                <w:tab w:val="left" w:pos="288"/>
                <w:tab w:val="left" w:pos="576"/>
                <w:tab w:val="left" w:pos="864"/>
                <w:tab w:val="left" w:pos="1152"/>
              </w:tabs>
              <w:spacing w:before="40" w:after="40"/>
              <w:ind w:right="43"/>
            </w:pPr>
            <w:r>
              <w:t>7 de marzo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18.</w:t>
            </w:r>
            <w:r>
              <w:tab/>
              <w:t>Cuba</w:t>
            </w:r>
          </w:p>
        </w:tc>
        <w:tc>
          <w:tcPr>
            <w:tcW w:w="2439" w:type="dxa"/>
          </w:tcPr>
          <w:p w:rsidR="00000000" w:rsidRDefault="00000000">
            <w:pPr>
              <w:tabs>
                <w:tab w:val="left" w:pos="288"/>
                <w:tab w:val="left" w:pos="576"/>
                <w:tab w:val="left" w:pos="864"/>
                <w:tab w:val="left" w:pos="1152"/>
              </w:tabs>
              <w:spacing w:before="40" w:after="40"/>
              <w:ind w:right="43"/>
            </w:pPr>
            <w:r>
              <w:t>17 de marzo de 2000</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19.</w:t>
            </w:r>
            <w:r>
              <w:tab/>
              <w:t>Dinamarca</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r>
              <w:t>31 de mayo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20.</w:t>
            </w:r>
            <w:r>
              <w:tab/>
              <w:t>Ecuador</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40" w:after="40"/>
              <w:ind w:right="43"/>
              <w:rPr>
                <w:lang w:val="es-ES_tradnl"/>
              </w:rPr>
            </w:pPr>
            <w:r>
              <w:t>21.</w:t>
            </w:r>
            <w:r>
              <w:tab/>
            </w:r>
            <w:r>
              <w:rPr>
                <w:lang w:val="es-ES_tradnl"/>
              </w:rPr>
              <w:t>El Salvador</w:t>
            </w:r>
          </w:p>
        </w:tc>
        <w:tc>
          <w:tcPr>
            <w:tcW w:w="2439" w:type="dxa"/>
            <w:vAlign w:val="bottom"/>
          </w:tcPr>
          <w:p w:rsidR="00000000" w:rsidRDefault="00000000">
            <w:pPr>
              <w:tabs>
                <w:tab w:val="left" w:pos="288"/>
                <w:tab w:val="left" w:pos="576"/>
                <w:tab w:val="left" w:pos="864"/>
                <w:tab w:val="left" w:pos="1152"/>
              </w:tabs>
              <w:spacing w:before="40" w:after="40"/>
              <w:ind w:right="43"/>
              <w:rPr>
                <w:lang w:val="es-ES_tradnl"/>
              </w:rPr>
            </w:pPr>
            <w:r>
              <w:rPr>
                <w:lang w:val="es-ES_tradnl"/>
              </w:rPr>
              <w:t>4 de abril de 2001</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22.</w:t>
            </w:r>
            <w:r>
              <w:tab/>
              <w:t>Eslovaquia</w:t>
            </w:r>
          </w:p>
        </w:tc>
        <w:tc>
          <w:tcPr>
            <w:tcW w:w="2439" w:type="dxa"/>
          </w:tcPr>
          <w:p w:rsidR="00000000" w:rsidRDefault="00000000">
            <w:pPr>
              <w:tabs>
                <w:tab w:val="left" w:pos="288"/>
                <w:tab w:val="left" w:pos="576"/>
                <w:tab w:val="left" w:pos="864"/>
                <w:tab w:val="left" w:pos="1152"/>
              </w:tabs>
              <w:spacing w:before="40" w:after="40"/>
              <w:ind w:right="43"/>
            </w:pPr>
            <w:r>
              <w:t>5 de junio de 2000</w:t>
            </w:r>
          </w:p>
        </w:tc>
        <w:tc>
          <w:tcPr>
            <w:tcW w:w="2286" w:type="dxa"/>
          </w:tcPr>
          <w:p w:rsidR="00000000" w:rsidRDefault="00000000">
            <w:pPr>
              <w:tabs>
                <w:tab w:val="left" w:pos="288"/>
                <w:tab w:val="left" w:pos="576"/>
                <w:tab w:val="left" w:pos="864"/>
                <w:tab w:val="left" w:pos="1152"/>
              </w:tabs>
              <w:spacing w:before="40" w:after="40"/>
              <w:ind w:right="43"/>
            </w:pPr>
            <w:r>
              <w:t>17 de noviembre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23.</w:t>
            </w:r>
            <w:r>
              <w:tab/>
              <w:t>Eslovenia</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24.</w:t>
            </w:r>
            <w:r>
              <w:tab/>
              <w:t>España</w:t>
            </w:r>
          </w:p>
        </w:tc>
        <w:tc>
          <w:tcPr>
            <w:tcW w:w="2439" w:type="dxa"/>
          </w:tcPr>
          <w:p w:rsidR="00000000" w:rsidRDefault="00000000">
            <w:pPr>
              <w:tabs>
                <w:tab w:val="left" w:pos="288"/>
                <w:tab w:val="left" w:pos="576"/>
                <w:tab w:val="left" w:pos="864"/>
                <w:tab w:val="left" w:pos="1152"/>
              </w:tabs>
              <w:spacing w:before="40" w:after="40"/>
              <w:ind w:right="43"/>
            </w:pPr>
            <w:r>
              <w:t>14 de marzo de 2000</w:t>
            </w:r>
          </w:p>
        </w:tc>
        <w:tc>
          <w:tcPr>
            <w:tcW w:w="2286" w:type="dxa"/>
          </w:tcPr>
          <w:p w:rsidR="00000000" w:rsidRDefault="00000000">
            <w:pPr>
              <w:tabs>
                <w:tab w:val="left" w:pos="288"/>
                <w:tab w:val="left" w:pos="576"/>
                <w:tab w:val="left" w:pos="864"/>
                <w:tab w:val="left" w:pos="1152"/>
              </w:tabs>
              <w:spacing w:before="40" w:after="40"/>
              <w:ind w:right="43"/>
            </w:pPr>
            <w:r>
              <w:t>6 de julio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left="396" w:right="43" w:hanging="396"/>
            </w:pPr>
            <w:r>
              <w:t>25.</w:t>
            </w:r>
            <w:r>
              <w:tab/>
            </w:r>
            <w:r>
              <w:rPr>
                <w:spacing w:val="2"/>
              </w:rPr>
              <w:t>Ex República Yugoslava de Macedonia</w:t>
            </w:r>
          </w:p>
        </w:tc>
        <w:tc>
          <w:tcPr>
            <w:tcW w:w="2439" w:type="dxa"/>
          </w:tcPr>
          <w:p w:rsidR="00000000" w:rsidRDefault="00000000">
            <w:pPr>
              <w:tabs>
                <w:tab w:val="left" w:pos="288"/>
                <w:tab w:val="left" w:pos="576"/>
                <w:tab w:val="left" w:pos="864"/>
                <w:tab w:val="left" w:pos="1152"/>
              </w:tabs>
              <w:spacing w:before="40" w:after="40"/>
              <w:ind w:right="43"/>
            </w:pPr>
            <w:r>
              <w:t>3 de abril de 2000</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40" w:after="40"/>
              <w:ind w:right="43"/>
              <w:rPr>
                <w:lang w:val="es-ES_tradnl"/>
              </w:rPr>
            </w:pPr>
            <w:r>
              <w:t>26.</w:t>
            </w:r>
            <w:r>
              <w:tab/>
            </w:r>
            <w:r>
              <w:rPr>
                <w:lang w:val="es-ES_tradnl"/>
              </w:rPr>
              <w:t>Federación de Rusia</w:t>
            </w:r>
          </w:p>
        </w:tc>
        <w:tc>
          <w:tcPr>
            <w:tcW w:w="2439" w:type="dxa"/>
            <w:vAlign w:val="bottom"/>
          </w:tcPr>
          <w:p w:rsidR="00000000" w:rsidRDefault="00000000">
            <w:pPr>
              <w:tabs>
                <w:tab w:val="left" w:pos="288"/>
                <w:tab w:val="left" w:pos="576"/>
                <w:tab w:val="left" w:pos="864"/>
                <w:tab w:val="left" w:pos="1152"/>
              </w:tabs>
              <w:spacing w:before="40" w:after="40"/>
              <w:ind w:right="43"/>
              <w:rPr>
                <w:lang w:val="es-ES_tradnl"/>
              </w:rPr>
            </w:pPr>
            <w:r>
              <w:rPr>
                <w:lang w:val="es-ES_tradnl"/>
              </w:rPr>
              <w:t>8 de mayo de 2001</w:t>
            </w:r>
          </w:p>
        </w:tc>
        <w:tc>
          <w:tcPr>
            <w:tcW w:w="2286" w:type="dxa"/>
            <w:vAlign w:val="bottom"/>
          </w:tcPr>
          <w:p w:rsidR="00000000" w:rsidRDefault="00000000">
            <w:pPr>
              <w:tabs>
                <w:tab w:val="left" w:pos="288"/>
                <w:tab w:val="left" w:pos="576"/>
                <w:tab w:val="left" w:pos="864"/>
                <w:tab w:val="left" w:pos="1152"/>
              </w:tabs>
              <w:spacing w:before="40" w:after="40"/>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27.</w:t>
            </w:r>
            <w:r>
              <w:tab/>
              <w:t>Filipinas</w:t>
            </w:r>
          </w:p>
        </w:tc>
        <w:tc>
          <w:tcPr>
            <w:tcW w:w="2439" w:type="dxa"/>
          </w:tcPr>
          <w:p w:rsidR="00000000" w:rsidRDefault="00000000">
            <w:pPr>
              <w:tabs>
                <w:tab w:val="left" w:pos="288"/>
                <w:tab w:val="left" w:pos="576"/>
                <w:tab w:val="left" w:pos="864"/>
                <w:tab w:val="left" w:pos="1152"/>
              </w:tabs>
              <w:spacing w:before="40" w:after="40"/>
              <w:ind w:right="43"/>
            </w:pPr>
            <w:r>
              <w:t>21 de marzo de 2000</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28.</w:t>
            </w:r>
            <w:r>
              <w:tab/>
              <w:t>Finlandia</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r>
              <w:t>29 de diciembre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29.</w:t>
            </w:r>
            <w:r>
              <w:tab/>
              <w:t>Francia</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r>
              <w:t>9 de junio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30.</w:t>
            </w:r>
            <w:r>
              <w:tab/>
              <w:t>Ghana</w:t>
            </w:r>
          </w:p>
        </w:tc>
        <w:tc>
          <w:tcPr>
            <w:tcW w:w="2439" w:type="dxa"/>
          </w:tcPr>
          <w:p w:rsidR="00000000" w:rsidRDefault="00000000">
            <w:pPr>
              <w:tabs>
                <w:tab w:val="left" w:pos="288"/>
                <w:tab w:val="left" w:pos="576"/>
                <w:tab w:val="left" w:pos="864"/>
                <w:tab w:val="left" w:pos="1152"/>
              </w:tabs>
              <w:spacing w:before="40" w:after="40"/>
              <w:ind w:right="43"/>
            </w:pPr>
            <w:r>
              <w:t>24 de febrero de 2000</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31.</w:t>
            </w:r>
            <w:r>
              <w:tab/>
              <w:t>Grecia</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40" w:after="40"/>
              <w:ind w:right="43"/>
              <w:rPr>
                <w:lang w:val="es-ES_tradnl"/>
              </w:rPr>
            </w:pPr>
            <w:r>
              <w:rPr>
                <w:lang w:val="es-ES_tradnl"/>
              </w:rPr>
              <w:t>32.</w:t>
            </w:r>
            <w:r>
              <w:rPr>
                <w:lang w:val="es-ES_tradnl"/>
              </w:rPr>
              <w:tab/>
              <w:t>Guatemala</w:t>
            </w:r>
          </w:p>
        </w:tc>
        <w:tc>
          <w:tcPr>
            <w:tcW w:w="2439" w:type="dxa"/>
            <w:vAlign w:val="bottom"/>
          </w:tcPr>
          <w:p w:rsidR="00000000" w:rsidRDefault="00000000">
            <w:pPr>
              <w:tabs>
                <w:tab w:val="left" w:pos="288"/>
                <w:tab w:val="left" w:pos="576"/>
                <w:tab w:val="left" w:pos="864"/>
                <w:tab w:val="left" w:pos="1152"/>
              </w:tabs>
              <w:spacing w:before="40" w:after="40"/>
              <w:ind w:right="43"/>
              <w:rPr>
                <w:lang w:val="es-ES_tradnl"/>
              </w:rPr>
            </w:pPr>
            <w:r>
              <w:rPr>
                <w:lang w:val="es-ES_tradnl"/>
              </w:rPr>
              <w:t>7 de septiembre de 2000</w:t>
            </w:r>
          </w:p>
        </w:tc>
        <w:tc>
          <w:tcPr>
            <w:tcW w:w="2286" w:type="dxa"/>
            <w:vAlign w:val="bottom"/>
          </w:tcPr>
          <w:p w:rsidR="00000000" w:rsidRDefault="00000000">
            <w:pPr>
              <w:tabs>
                <w:tab w:val="left" w:pos="288"/>
                <w:tab w:val="left" w:pos="576"/>
                <w:tab w:val="left" w:pos="864"/>
                <w:tab w:val="left" w:pos="1152"/>
              </w:tabs>
              <w:spacing w:before="40" w:after="40"/>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40" w:after="40"/>
              <w:ind w:right="43"/>
              <w:rPr>
                <w:lang w:val="es-ES_tradnl"/>
              </w:rPr>
            </w:pPr>
            <w:r>
              <w:rPr>
                <w:lang w:val="es-ES_tradnl"/>
              </w:rPr>
              <w:t>33.</w:t>
            </w:r>
            <w:r>
              <w:rPr>
                <w:lang w:val="es-ES_tradnl"/>
              </w:rPr>
              <w:tab/>
              <w:t>Guinea-Bissau</w:t>
            </w:r>
          </w:p>
        </w:tc>
        <w:tc>
          <w:tcPr>
            <w:tcW w:w="2439" w:type="dxa"/>
            <w:vAlign w:val="bottom"/>
          </w:tcPr>
          <w:p w:rsidR="00000000" w:rsidRDefault="00000000">
            <w:pPr>
              <w:tabs>
                <w:tab w:val="left" w:pos="288"/>
                <w:tab w:val="left" w:pos="576"/>
                <w:tab w:val="left" w:pos="864"/>
                <w:tab w:val="left" w:pos="1152"/>
              </w:tabs>
              <w:spacing w:before="40" w:after="40"/>
              <w:ind w:right="43"/>
              <w:rPr>
                <w:lang w:val="es-ES_tradnl"/>
              </w:rPr>
            </w:pPr>
            <w:r>
              <w:rPr>
                <w:lang w:val="es-ES_tradnl"/>
              </w:rPr>
              <w:t>12 de septiembre de 2000</w:t>
            </w:r>
          </w:p>
        </w:tc>
        <w:tc>
          <w:tcPr>
            <w:tcW w:w="2286" w:type="dxa"/>
            <w:vAlign w:val="bottom"/>
          </w:tcPr>
          <w:p w:rsidR="00000000" w:rsidRDefault="00000000">
            <w:pPr>
              <w:tabs>
                <w:tab w:val="left" w:pos="288"/>
                <w:tab w:val="left" w:pos="576"/>
                <w:tab w:val="left" w:pos="864"/>
                <w:tab w:val="left" w:pos="1152"/>
              </w:tabs>
              <w:spacing w:before="40" w:after="40"/>
              <w:ind w:right="43"/>
              <w:rPr>
                <w:lang w:val="en-US"/>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n-US"/>
              </w:rPr>
            </w:pPr>
            <w:r>
              <w:rPr>
                <w:lang w:val="en-US"/>
              </w:rPr>
              <w:t>34.</w:t>
            </w:r>
            <w:r>
              <w:rPr>
                <w:lang w:val="en-US"/>
              </w:rPr>
              <w:tab/>
              <w:t>Hungría</w:t>
            </w:r>
          </w:p>
        </w:tc>
        <w:tc>
          <w:tcPr>
            <w:tcW w:w="2439" w:type="dxa"/>
            <w:vAlign w:val="bottom"/>
          </w:tcPr>
          <w:p w:rsidR="00000000" w:rsidRDefault="00000000">
            <w:pPr>
              <w:tabs>
                <w:tab w:val="left" w:pos="288"/>
                <w:tab w:val="left" w:pos="576"/>
                <w:tab w:val="left" w:pos="864"/>
                <w:tab w:val="left" w:pos="1152"/>
              </w:tabs>
              <w:spacing w:before="35" w:after="35"/>
              <w:ind w:right="43"/>
              <w:rPr>
                <w:lang w:val="en-US"/>
              </w:rPr>
            </w:pP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22 de diciembre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35.</w:t>
            </w:r>
            <w:r>
              <w:tab/>
              <w:t>Indonesia</w:t>
            </w:r>
          </w:p>
        </w:tc>
        <w:tc>
          <w:tcPr>
            <w:tcW w:w="2439" w:type="dxa"/>
          </w:tcPr>
          <w:p w:rsidR="00000000" w:rsidRDefault="00000000">
            <w:pPr>
              <w:tabs>
                <w:tab w:val="left" w:pos="288"/>
                <w:tab w:val="left" w:pos="576"/>
                <w:tab w:val="left" w:pos="864"/>
                <w:tab w:val="left" w:pos="1152"/>
              </w:tabs>
              <w:spacing w:before="35" w:after="35"/>
              <w:ind w:right="43"/>
            </w:pPr>
            <w:r>
              <w:t>28 de febrero de 2000</w:t>
            </w:r>
          </w:p>
        </w:tc>
        <w:tc>
          <w:tcPr>
            <w:tcW w:w="2286" w:type="dxa"/>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36.</w:t>
            </w:r>
            <w:r>
              <w:rPr>
                <w:lang w:val="es-ES_tradnl"/>
              </w:rPr>
              <w:tab/>
              <w:t>Irlanda</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7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7 de septiembre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37.</w:t>
            </w:r>
            <w:r>
              <w:tab/>
              <w:t>Islandia</w:t>
            </w:r>
          </w:p>
        </w:tc>
        <w:tc>
          <w:tcPr>
            <w:tcW w:w="2439" w:type="dxa"/>
          </w:tcPr>
          <w:p w:rsidR="00000000" w:rsidRDefault="00000000">
            <w:pPr>
              <w:tabs>
                <w:tab w:val="left" w:pos="288"/>
                <w:tab w:val="left" w:pos="576"/>
                <w:tab w:val="left" w:pos="864"/>
                <w:tab w:val="left" w:pos="1152"/>
              </w:tabs>
              <w:spacing w:before="35" w:after="35"/>
              <w:ind w:right="43"/>
            </w:pPr>
            <w:r>
              <w:t>10 de diciembre de 1999</w:t>
            </w:r>
          </w:p>
        </w:tc>
        <w:tc>
          <w:tcPr>
            <w:tcW w:w="2286" w:type="dxa"/>
          </w:tcPr>
          <w:p w:rsidR="00000000" w:rsidRDefault="00000000">
            <w:pPr>
              <w:tabs>
                <w:tab w:val="left" w:pos="288"/>
                <w:tab w:val="left" w:pos="576"/>
                <w:tab w:val="left" w:pos="864"/>
                <w:tab w:val="left" w:pos="1152"/>
              </w:tabs>
              <w:spacing w:before="35" w:after="35"/>
              <w:ind w:right="43"/>
            </w:pPr>
            <w:r>
              <w:t>6 de marzo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38.</w:t>
            </w:r>
            <w:r>
              <w:tab/>
              <w:t>Italia</w:t>
            </w:r>
          </w:p>
        </w:tc>
        <w:tc>
          <w:tcPr>
            <w:tcW w:w="2439" w:type="dxa"/>
          </w:tcPr>
          <w:p w:rsidR="00000000" w:rsidRDefault="00000000">
            <w:pPr>
              <w:tabs>
                <w:tab w:val="left" w:pos="288"/>
                <w:tab w:val="left" w:pos="576"/>
                <w:tab w:val="left" w:pos="864"/>
                <w:tab w:val="left" w:pos="1152"/>
              </w:tabs>
              <w:spacing w:before="35" w:after="35"/>
              <w:ind w:right="43"/>
            </w:pPr>
            <w:r>
              <w:t>10 de diciembre de 1999</w:t>
            </w:r>
          </w:p>
        </w:tc>
        <w:tc>
          <w:tcPr>
            <w:tcW w:w="2286" w:type="dxa"/>
          </w:tcPr>
          <w:p w:rsidR="00000000" w:rsidRDefault="00000000">
            <w:pPr>
              <w:tabs>
                <w:tab w:val="left" w:pos="288"/>
                <w:tab w:val="left" w:pos="576"/>
                <w:tab w:val="left" w:pos="864"/>
                <w:tab w:val="left" w:pos="1152"/>
              </w:tabs>
              <w:spacing w:before="35" w:after="35"/>
              <w:ind w:right="43"/>
            </w:pPr>
            <w:r>
              <w:t>22 de septiembre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39.</w:t>
            </w:r>
            <w:r>
              <w:rPr>
                <w:lang w:val="es-ES_tradnl"/>
              </w:rPr>
              <w:tab/>
              <w:t>Kazajstán</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6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40.</w:t>
            </w:r>
            <w:r>
              <w:rPr>
                <w:lang w:val="es-ES_tradnl"/>
              </w:rPr>
              <w:tab/>
              <w:t>Lesotho</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6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41.</w:t>
            </w:r>
            <w:r>
              <w:tab/>
              <w:t>Liechtenstein</w:t>
            </w:r>
          </w:p>
        </w:tc>
        <w:tc>
          <w:tcPr>
            <w:tcW w:w="2439" w:type="dxa"/>
          </w:tcPr>
          <w:p w:rsidR="00000000" w:rsidRDefault="00000000">
            <w:pPr>
              <w:tabs>
                <w:tab w:val="left" w:pos="288"/>
                <w:tab w:val="left" w:pos="576"/>
                <w:tab w:val="left" w:pos="864"/>
                <w:tab w:val="left" w:pos="1152"/>
              </w:tabs>
              <w:spacing w:before="35" w:after="35"/>
              <w:ind w:right="43"/>
            </w:pPr>
            <w:r>
              <w:t>10 de diciembre de 1999</w:t>
            </w:r>
          </w:p>
        </w:tc>
        <w:tc>
          <w:tcPr>
            <w:tcW w:w="2286" w:type="dxa"/>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42.</w:t>
            </w:r>
            <w:r>
              <w:rPr>
                <w:lang w:val="es-ES_tradnl"/>
              </w:rPr>
              <w:tab/>
              <w:t>Lituania</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8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43.</w:t>
            </w:r>
            <w:r>
              <w:tab/>
              <w:t>Luxemburgo</w:t>
            </w:r>
          </w:p>
        </w:tc>
        <w:tc>
          <w:tcPr>
            <w:tcW w:w="2439" w:type="dxa"/>
          </w:tcPr>
          <w:p w:rsidR="00000000" w:rsidRDefault="00000000">
            <w:pPr>
              <w:tabs>
                <w:tab w:val="left" w:pos="288"/>
                <w:tab w:val="left" w:pos="576"/>
                <w:tab w:val="left" w:pos="864"/>
                <w:tab w:val="left" w:pos="1152"/>
              </w:tabs>
              <w:spacing w:before="35" w:after="35"/>
              <w:ind w:right="43"/>
            </w:pPr>
            <w:r>
              <w:t>10 de diciembre de 1999</w:t>
            </w:r>
          </w:p>
        </w:tc>
        <w:tc>
          <w:tcPr>
            <w:tcW w:w="2286" w:type="dxa"/>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44.</w:t>
            </w:r>
            <w:r>
              <w:rPr>
                <w:lang w:val="es-ES_tradnl"/>
              </w:rPr>
              <w:tab/>
              <w:t>Madagascar</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7 de septiembre de 2000</w:t>
            </w:r>
          </w:p>
        </w:tc>
        <w:tc>
          <w:tcPr>
            <w:tcW w:w="2286" w:type="dxa"/>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45.</w:t>
            </w:r>
            <w:r>
              <w:rPr>
                <w:lang w:val="es-ES_tradnl"/>
              </w:rPr>
              <w:tab/>
              <w:t>Malawi</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7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46.</w:t>
            </w:r>
            <w:r>
              <w:rPr>
                <w:lang w:val="es-ES_tradnl"/>
              </w:rPr>
              <w:tab/>
              <w:t>Malí</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5 de diciembre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47.</w:t>
            </w:r>
            <w:r>
              <w:tab/>
              <w:t>México</w:t>
            </w:r>
          </w:p>
        </w:tc>
        <w:tc>
          <w:tcPr>
            <w:tcW w:w="2439" w:type="dxa"/>
          </w:tcPr>
          <w:p w:rsidR="00000000" w:rsidRDefault="00000000">
            <w:pPr>
              <w:tabs>
                <w:tab w:val="left" w:pos="288"/>
                <w:tab w:val="left" w:pos="576"/>
                <w:tab w:val="left" w:pos="864"/>
                <w:tab w:val="left" w:pos="1152"/>
              </w:tabs>
              <w:spacing w:before="35" w:after="35"/>
              <w:ind w:right="43"/>
            </w:pPr>
            <w:r>
              <w:t>10 de diciembre de 1999</w:t>
            </w:r>
          </w:p>
        </w:tc>
        <w:tc>
          <w:tcPr>
            <w:tcW w:w="2286" w:type="dxa"/>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48.</w:t>
            </w:r>
            <w:r>
              <w:rPr>
                <w:lang w:val="es-ES_tradnl"/>
              </w:rPr>
              <w:tab/>
              <w:t>Mongolia</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7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49.</w:t>
            </w:r>
            <w:r>
              <w:tab/>
              <w:t>Namibia</w:t>
            </w:r>
          </w:p>
        </w:tc>
        <w:tc>
          <w:tcPr>
            <w:tcW w:w="2439" w:type="dxa"/>
          </w:tcPr>
          <w:p w:rsidR="00000000" w:rsidRDefault="00000000">
            <w:pPr>
              <w:tabs>
                <w:tab w:val="left" w:pos="288"/>
                <w:tab w:val="left" w:pos="576"/>
                <w:tab w:val="left" w:pos="864"/>
                <w:tab w:val="left" w:pos="1152"/>
              </w:tabs>
              <w:spacing w:before="35" w:after="35"/>
              <w:ind w:right="43"/>
            </w:pPr>
            <w:r>
              <w:t>19 de mayo de 2000</w:t>
            </w:r>
          </w:p>
        </w:tc>
        <w:tc>
          <w:tcPr>
            <w:tcW w:w="2286" w:type="dxa"/>
          </w:tcPr>
          <w:p w:rsidR="00000000" w:rsidRDefault="00000000">
            <w:pPr>
              <w:tabs>
                <w:tab w:val="left" w:pos="288"/>
                <w:tab w:val="left" w:pos="576"/>
                <w:tab w:val="left" w:pos="864"/>
                <w:tab w:val="left" w:pos="1152"/>
              </w:tabs>
              <w:spacing w:before="35" w:after="35"/>
              <w:ind w:right="43"/>
            </w:pPr>
            <w:r>
              <w:t>26 de mayo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50.</w:t>
            </w:r>
            <w:r>
              <w:rPr>
                <w:lang w:val="es-ES_tradnl"/>
              </w:rPr>
              <w:tab/>
              <w:t>Nigeria</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8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51.</w:t>
            </w:r>
            <w:r>
              <w:tab/>
              <w:t>Noruega</w:t>
            </w:r>
          </w:p>
        </w:tc>
        <w:tc>
          <w:tcPr>
            <w:tcW w:w="2439" w:type="dxa"/>
          </w:tcPr>
          <w:p w:rsidR="00000000" w:rsidRDefault="00000000">
            <w:pPr>
              <w:tabs>
                <w:tab w:val="left" w:pos="288"/>
                <w:tab w:val="left" w:pos="576"/>
                <w:tab w:val="left" w:pos="864"/>
                <w:tab w:val="left" w:pos="1152"/>
              </w:tabs>
              <w:spacing w:before="35" w:after="35"/>
              <w:ind w:right="43"/>
            </w:pPr>
            <w:r>
              <w:t>10 de diciembre de 1999</w:t>
            </w:r>
          </w:p>
        </w:tc>
        <w:tc>
          <w:tcPr>
            <w:tcW w:w="2286" w:type="dxa"/>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52.</w:t>
            </w:r>
            <w:r>
              <w:rPr>
                <w:lang w:val="es-ES_tradnl"/>
              </w:rPr>
              <w:tab/>
              <w:t>Nueva Zelandia</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7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7 de septiembre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53.</w:t>
            </w:r>
            <w:r>
              <w:tab/>
              <w:t>Países Bajos</w:t>
            </w:r>
          </w:p>
        </w:tc>
        <w:tc>
          <w:tcPr>
            <w:tcW w:w="2439" w:type="dxa"/>
          </w:tcPr>
          <w:p w:rsidR="00000000" w:rsidRDefault="00000000">
            <w:pPr>
              <w:tabs>
                <w:tab w:val="left" w:pos="288"/>
                <w:tab w:val="left" w:pos="576"/>
                <w:tab w:val="left" w:pos="864"/>
                <w:tab w:val="left" w:pos="1152"/>
              </w:tabs>
              <w:spacing w:before="35" w:after="35"/>
              <w:ind w:right="43"/>
            </w:pPr>
            <w:r>
              <w:t>10 de diciembre de 1999</w:t>
            </w:r>
          </w:p>
        </w:tc>
        <w:tc>
          <w:tcPr>
            <w:tcW w:w="2286" w:type="dxa"/>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54.</w:t>
            </w:r>
            <w:r>
              <w:tab/>
              <w:t>Panamá</w:t>
            </w:r>
          </w:p>
        </w:tc>
        <w:tc>
          <w:tcPr>
            <w:tcW w:w="2439" w:type="dxa"/>
          </w:tcPr>
          <w:p w:rsidR="00000000" w:rsidRDefault="00000000">
            <w:pPr>
              <w:tabs>
                <w:tab w:val="left" w:pos="288"/>
                <w:tab w:val="left" w:pos="576"/>
                <w:tab w:val="left" w:pos="864"/>
                <w:tab w:val="left" w:pos="1152"/>
              </w:tabs>
              <w:spacing w:before="35" w:after="35"/>
              <w:ind w:right="43"/>
            </w:pPr>
            <w:r>
              <w:t>9 de junio de 2000</w:t>
            </w:r>
          </w:p>
        </w:tc>
        <w:tc>
          <w:tcPr>
            <w:tcW w:w="2286" w:type="dxa"/>
          </w:tcPr>
          <w:p w:rsidR="00000000" w:rsidRDefault="00000000">
            <w:pPr>
              <w:tabs>
                <w:tab w:val="left" w:pos="288"/>
                <w:tab w:val="left" w:pos="576"/>
                <w:tab w:val="left" w:pos="864"/>
                <w:tab w:val="left" w:pos="1152"/>
              </w:tabs>
              <w:spacing w:before="35" w:after="35"/>
              <w:ind w:right="43"/>
            </w:pPr>
            <w:r>
              <w:t>9 de mayo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55.</w:t>
            </w:r>
            <w:r>
              <w:tab/>
              <w:t>Paraguay</w:t>
            </w:r>
          </w:p>
        </w:tc>
        <w:tc>
          <w:tcPr>
            <w:tcW w:w="2439" w:type="dxa"/>
          </w:tcPr>
          <w:p w:rsidR="00000000" w:rsidRDefault="00000000">
            <w:pPr>
              <w:tabs>
                <w:tab w:val="left" w:pos="288"/>
                <w:tab w:val="left" w:pos="576"/>
                <w:tab w:val="left" w:pos="864"/>
                <w:tab w:val="left" w:pos="1152"/>
              </w:tabs>
              <w:spacing w:before="35" w:after="35"/>
              <w:ind w:right="43"/>
            </w:pPr>
            <w:r>
              <w:t>28 de diciembre de 1999</w:t>
            </w:r>
          </w:p>
        </w:tc>
        <w:tc>
          <w:tcPr>
            <w:tcW w:w="2286" w:type="dxa"/>
          </w:tcPr>
          <w:p w:rsidR="00000000" w:rsidRDefault="00000000">
            <w:pPr>
              <w:tabs>
                <w:tab w:val="left" w:pos="288"/>
                <w:tab w:val="left" w:pos="576"/>
                <w:tab w:val="left" w:pos="864"/>
                <w:tab w:val="left" w:pos="1152"/>
              </w:tabs>
              <w:spacing w:before="35" w:after="35"/>
              <w:ind w:right="43"/>
            </w:pPr>
            <w:r>
              <w:t>14 de mayo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56.</w:t>
            </w:r>
            <w:r>
              <w:rPr>
                <w:lang w:val="es-ES_tradnl"/>
              </w:rPr>
              <w:tab/>
              <w:t>Perú</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22 de diciembre de 2000</w:t>
            </w:r>
          </w:p>
        </w:tc>
        <w:tc>
          <w:tcPr>
            <w:tcW w:w="2286" w:type="dxa"/>
          </w:tcPr>
          <w:p w:rsidR="00000000" w:rsidRDefault="00000000">
            <w:pPr>
              <w:tabs>
                <w:tab w:val="left" w:pos="288"/>
                <w:tab w:val="left" w:pos="576"/>
                <w:tab w:val="left" w:pos="864"/>
                <w:tab w:val="left" w:pos="1152"/>
              </w:tabs>
              <w:spacing w:before="35" w:after="35"/>
              <w:ind w:right="43"/>
            </w:pPr>
            <w:r>
              <w:t>9 de abril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57.</w:t>
            </w:r>
            <w:r>
              <w:tab/>
              <w:t>Portugal</w:t>
            </w:r>
          </w:p>
        </w:tc>
        <w:tc>
          <w:tcPr>
            <w:tcW w:w="2439" w:type="dxa"/>
          </w:tcPr>
          <w:p w:rsidR="00000000" w:rsidRDefault="00000000">
            <w:pPr>
              <w:tabs>
                <w:tab w:val="left" w:pos="288"/>
                <w:tab w:val="left" w:pos="576"/>
                <w:tab w:val="left" w:pos="864"/>
                <w:tab w:val="left" w:pos="1152"/>
              </w:tabs>
              <w:spacing w:before="35" w:after="35"/>
              <w:ind w:right="43"/>
            </w:pPr>
            <w:r>
              <w:t>16 de febrero de 2000</w:t>
            </w:r>
          </w:p>
        </w:tc>
        <w:tc>
          <w:tcPr>
            <w:tcW w:w="2286" w:type="dxa"/>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58.</w:t>
            </w:r>
            <w:r>
              <w:tab/>
              <w:t>República Checa</w:t>
            </w:r>
          </w:p>
        </w:tc>
        <w:tc>
          <w:tcPr>
            <w:tcW w:w="2439" w:type="dxa"/>
          </w:tcPr>
          <w:p w:rsidR="00000000" w:rsidRDefault="00000000">
            <w:pPr>
              <w:tabs>
                <w:tab w:val="left" w:pos="288"/>
                <w:tab w:val="left" w:pos="576"/>
                <w:tab w:val="left" w:pos="864"/>
                <w:tab w:val="left" w:pos="1152"/>
              </w:tabs>
              <w:spacing w:before="35" w:after="35"/>
              <w:ind w:right="43"/>
            </w:pPr>
            <w:r>
              <w:t>10 de diciembre de 1999</w:t>
            </w:r>
          </w:p>
        </w:tc>
        <w:tc>
          <w:tcPr>
            <w:tcW w:w="2286" w:type="dxa"/>
          </w:tcPr>
          <w:p w:rsidR="00000000" w:rsidRDefault="00000000">
            <w:pPr>
              <w:tabs>
                <w:tab w:val="left" w:pos="288"/>
                <w:tab w:val="left" w:pos="576"/>
                <w:tab w:val="left" w:pos="864"/>
                <w:tab w:val="left" w:pos="1152"/>
              </w:tabs>
              <w:spacing w:before="35" w:after="35"/>
              <w:ind w:right="43"/>
            </w:pPr>
            <w:r>
              <w:t>26 de febrero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59.</w:t>
            </w:r>
            <w:r>
              <w:tab/>
              <w:t>República Dominicana</w:t>
            </w:r>
          </w:p>
        </w:tc>
        <w:tc>
          <w:tcPr>
            <w:tcW w:w="2439" w:type="dxa"/>
          </w:tcPr>
          <w:p w:rsidR="00000000" w:rsidRDefault="00000000">
            <w:pPr>
              <w:tabs>
                <w:tab w:val="left" w:pos="288"/>
                <w:tab w:val="left" w:pos="576"/>
                <w:tab w:val="left" w:pos="864"/>
                <w:tab w:val="left" w:pos="1152"/>
              </w:tabs>
              <w:spacing w:before="35" w:after="35"/>
              <w:ind w:right="43"/>
            </w:pPr>
            <w:r>
              <w:t>14 de marzo de 2000</w:t>
            </w:r>
          </w:p>
        </w:tc>
        <w:tc>
          <w:tcPr>
            <w:tcW w:w="2286" w:type="dxa"/>
          </w:tcPr>
          <w:p w:rsidR="00000000" w:rsidRDefault="00000000">
            <w:pPr>
              <w:tabs>
                <w:tab w:val="left" w:pos="288"/>
                <w:tab w:val="left" w:pos="576"/>
                <w:tab w:val="left" w:pos="864"/>
                <w:tab w:val="left" w:pos="1152"/>
              </w:tabs>
              <w:spacing w:before="35" w:after="35"/>
              <w:ind w:right="43"/>
            </w:pPr>
            <w:r>
              <w:t>10 de agosto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60.</w:t>
            </w:r>
            <w:r>
              <w:rPr>
                <w:lang w:val="es-ES_tradnl"/>
              </w:rPr>
              <w:tab/>
              <w:t>Rumania</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6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61.</w:t>
            </w:r>
            <w:r>
              <w:rPr>
                <w:lang w:val="es-ES_tradnl"/>
              </w:rPr>
              <w:tab/>
              <w:t>Santo Tomé y Príncipe</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6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62.</w:t>
            </w:r>
            <w:r>
              <w:tab/>
              <w:t xml:space="preserve">Senegal </w:t>
            </w:r>
          </w:p>
        </w:tc>
        <w:tc>
          <w:tcPr>
            <w:tcW w:w="2439" w:type="dxa"/>
          </w:tcPr>
          <w:p w:rsidR="00000000" w:rsidRDefault="00000000">
            <w:pPr>
              <w:tabs>
                <w:tab w:val="left" w:pos="288"/>
                <w:tab w:val="left" w:pos="576"/>
                <w:tab w:val="left" w:pos="864"/>
                <w:tab w:val="left" w:pos="1152"/>
              </w:tabs>
              <w:spacing w:before="35" w:after="35"/>
              <w:ind w:right="43"/>
            </w:pPr>
            <w:r>
              <w:t>10 de diciembre de 1999</w:t>
            </w:r>
          </w:p>
        </w:tc>
        <w:tc>
          <w:tcPr>
            <w:tcW w:w="2286" w:type="dxa"/>
          </w:tcPr>
          <w:p w:rsidR="00000000" w:rsidRDefault="00000000">
            <w:pPr>
              <w:tabs>
                <w:tab w:val="left" w:pos="288"/>
                <w:tab w:val="left" w:pos="576"/>
                <w:tab w:val="left" w:pos="864"/>
                <w:tab w:val="left" w:pos="1152"/>
              </w:tabs>
              <w:spacing w:before="35" w:after="35"/>
              <w:ind w:right="43"/>
            </w:pPr>
            <w:r>
              <w:t>26 de mayo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63.</w:t>
            </w:r>
            <w:r>
              <w:rPr>
                <w:lang w:val="es-ES_tradnl"/>
              </w:rPr>
              <w:tab/>
              <w:t>Sierra Leona</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8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64.</w:t>
            </w:r>
            <w:r>
              <w:tab/>
              <w:t>Suecia</w:t>
            </w:r>
          </w:p>
        </w:tc>
        <w:tc>
          <w:tcPr>
            <w:tcW w:w="2439" w:type="dxa"/>
          </w:tcPr>
          <w:p w:rsidR="00000000" w:rsidRDefault="00000000">
            <w:pPr>
              <w:tabs>
                <w:tab w:val="left" w:pos="288"/>
                <w:tab w:val="left" w:pos="576"/>
                <w:tab w:val="left" w:pos="864"/>
                <w:tab w:val="left" w:pos="1152"/>
              </w:tabs>
              <w:spacing w:before="35" w:after="35"/>
              <w:ind w:right="43"/>
            </w:pPr>
            <w:r>
              <w:t>10 de diciembre de 1999</w:t>
            </w:r>
          </w:p>
        </w:tc>
        <w:tc>
          <w:tcPr>
            <w:tcW w:w="2286" w:type="dxa"/>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65.</w:t>
            </w:r>
            <w:r>
              <w:tab/>
              <w:t>Tailandia</w:t>
            </w:r>
          </w:p>
        </w:tc>
        <w:tc>
          <w:tcPr>
            <w:tcW w:w="2439" w:type="dxa"/>
          </w:tcPr>
          <w:p w:rsidR="00000000" w:rsidRDefault="00000000">
            <w:pPr>
              <w:tabs>
                <w:tab w:val="left" w:pos="288"/>
                <w:tab w:val="left" w:pos="576"/>
                <w:tab w:val="left" w:pos="864"/>
                <w:tab w:val="left" w:pos="1152"/>
              </w:tabs>
              <w:spacing w:before="35" w:after="35"/>
              <w:ind w:right="43"/>
            </w:pPr>
            <w:r>
              <w:t>14 de junio de 2000</w:t>
            </w:r>
          </w:p>
        </w:tc>
        <w:tc>
          <w:tcPr>
            <w:tcW w:w="2286" w:type="dxa"/>
          </w:tcPr>
          <w:p w:rsidR="00000000" w:rsidRDefault="00000000">
            <w:pPr>
              <w:tabs>
                <w:tab w:val="left" w:pos="288"/>
                <w:tab w:val="left" w:pos="576"/>
                <w:tab w:val="left" w:pos="864"/>
                <w:tab w:val="left" w:pos="1152"/>
              </w:tabs>
              <w:spacing w:before="35" w:after="35"/>
              <w:ind w:right="43"/>
            </w:pPr>
            <w:r>
              <w:t>14 de junio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66.</w:t>
            </w:r>
            <w:r>
              <w:rPr>
                <w:lang w:val="es-ES_tradnl"/>
              </w:rPr>
              <w:tab/>
              <w:t>Tayikistán</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7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67.</w:t>
            </w:r>
            <w:r>
              <w:rPr>
                <w:lang w:val="es-ES_tradnl"/>
              </w:rPr>
              <w:tab/>
              <w:t>Turquía</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8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rPr>
          <w:trHeight w:val="333"/>
        </w:trPr>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68.</w:t>
            </w:r>
            <w:r>
              <w:rPr>
                <w:lang w:val="es-ES_tradnl"/>
              </w:rPr>
              <w:tab/>
              <w:t>Ucrania</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7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69.</w:t>
            </w:r>
            <w:r>
              <w:tab/>
              <w:t>Uruguay</w:t>
            </w:r>
          </w:p>
        </w:tc>
        <w:tc>
          <w:tcPr>
            <w:tcW w:w="2439" w:type="dxa"/>
          </w:tcPr>
          <w:p w:rsidR="00000000" w:rsidRDefault="00000000">
            <w:pPr>
              <w:tabs>
                <w:tab w:val="left" w:pos="288"/>
                <w:tab w:val="left" w:pos="576"/>
                <w:tab w:val="left" w:pos="864"/>
                <w:tab w:val="left" w:pos="1152"/>
              </w:tabs>
              <w:spacing w:before="35" w:after="35"/>
              <w:ind w:right="43"/>
            </w:pPr>
            <w:r>
              <w:t>9 de mayo de 2000</w:t>
            </w:r>
          </w:p>
        </w:tc>
        <w:tc>
          <w:tcPr>
            <w:tcW w:w="2286" w:type="dxa"/>
          </w:tcPr>
          <w:p w:rsidR="00000000" w:rsidRDefault="00000000">
            <w:pPr>
              <w:tabs>
                <w:tab w:val="left" w:pos="288"/>
                <w:tab w:val="left" w:pos="576"/>
                <w:tab w:val="left" w:pos="864"/>
                <w:tab w:val="left" w:pos="1152"/>
              </w:tabs>
              <w:spacing w:before="35" w:after="35"/>
              <w:ind w:right="43"/>
            </w:pPr>
            <w:r>
              <w:t>26 de julio de 2001</w:t>
            </w:r>
          </w:p>
        </w:tc>
      </w:tr>
      <w:tr w:rsidR="00000000">
        <w:tblPrEx>
          <w:tblCellMar>
            <w:top w:w="0" w:type="dxa"/>
            <w:left w:w="0" w:type="dxa"/>
            <w:bottom w:w="0" w:type="dxa"/>
            <w:right w:w="0" w:type="dxa"/>
          </w:tblCellMar>
        </w:tblPrEx>
        <w:tc>
          <w:tcPr>
            <w:tcW w:w="3825" w:type="dxa"/>
            <w:tcBorders>
              <w:bottom w:val="single" w:sz="12" w:space="0" w:color="auto"/>
            </w:tcBorders>
            <w:vAlign w:val="bottom"/>
          </w:tcPr>
          <w:p w:rsidR="00000000" w:rsidRDefault="00000000">
            <w:pPr>
              <w:tabs>
                <w:tab w:val="left" w:pos="396"/>
                <w:tab w:val="left" w:pos="864"/>
                <w:tab w:val="left" w:pos="1152"/>
              </w:tabs>
              <w:spacing w:before="35" w:after="60"/>
              <w:ind w:right="43"/>
            </w:pPr>
            <w:r>
              <w:t>70.</w:t>
            </w:r>
            <w:r>
              <w:tab/>
              <w:t>Venezuela</w:t>
            </w:r>
          </w:p>
        </w:tc>
        <w:tc>
          <w:tcPr>
            <w:tcW w:w="2439" w:type="dxa"/>
            <w:tcBorders>
              <w:bottom w:val="single" w:sz="12" w:space="0" w:color="auto"/>
            </w:tcBorders>
          </w:tcPr>
          <w:p w:rsidR="00000000" w:rsidRDefault="00000000">
            <w:pPr>
              <w:tabs>
                <w:tab w:val="left" w:pos="288"/>
                <w:tab w:val="left" w:pos="576"/>
                <w:tab w:val="left" w:pos="864"/>
                <w:tab w:val="left" w:pos="1152"/>
              </w:tabs>
              <w:spacing w:before="35" w:after="60"/>
              <w:ind w:right="43"/>
            </w:pPr>
            <w:r>
              <w:t>17 de marzo de 2000</w:t>
            </w:r>
          </w:p>
        </w:tc>
        <w:tc>
          <w:tcPr>
            <w:tcW w:w="2286" w:type="dxa"/>
            <w:tcBorders>
              <w:bottom w:val="single" w:sz="12" w:space="0" w:color="auto"/>
            </w:tcBorders>
          </w:tcPr>
          <w:p w:rsidR="00000000" w:rsidRDefault="00000000">
            <w:pPr>
              <w:tabs>
                <w:tab w:val="left" w:pos="288"/>
                <w:tab w:val="left" w:pos="576"/>
                <w:tab w:val="left" w:pos="864"/>
                <w:tab w:val="left" w:pos="1152"/>
              </w:tabs>
              <w:spacing w:before="35" w:after="60"/>
              <w:ind w:right="43"/>
            </w:pP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Anexo V</w:t>
      </w: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Documentos que el Comité tuvo ante sí en sus períodos de sesiones 24° y 25°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6" w:space="0" w:color="000000"/>
          <w:left w:val="single" w:sz="6" w:space="0" w:color="FFFFFF"/>
          <w:bottom w:val="single" w:sz="12" w:space="0" w:color="000000"/>
          <w:right w:val="single" w:sz="6" w:space="0" w:color="FFFFFF"/>
          <w:insideH w:val="single" w:sz="6" w:space="0" w:color="FFFFFF"/>
          <w:insideV w:val="single" w:sz="6" w:space="0" w:color="FFFFFF"/>
        </w:tblBorders>
        <w:tblLayout w:type="fixed"/>
        <w:tblCellMar>
          <w:left w:w="39" w:type="dxa"/>
          <w:right w:w="39" w:type="dxa"/>
        </w:tblCellMar>
        <w:tblLook w:val="0000" w:firstRow="0" w:lastRow="0" w:firstColumn="0" w:lastColumn="0" w:noHBand="0" w:noVBand="0"/>
      </w:tblPr>
      <w:tblGrid>
        <w:gridCol w:w="2880"/>
        <w:gridCol w:w="5670"/>
      </w:tblGrid>
      <w:tr w:rsidR="00000000">
        <w:tblPrEx>
          <w:tblCellMar>
            <w:top w:w="0" w:type="dxa"/>
            <w:bottom w:w="0" w:type="dxa"/>
          </w:tblCellMar>
        </w:tblPrEx>
        <w:trPr>
          <w:tblHeader/>
        </w:trPr>
        <w:tc>
          <w:tcPr>
            <w:tcW w:w="2880" w:type="dxa"/>
            <w:tcBorders>
              <w:top w:val="single" w:sz="4" w:space="0" w:color="auto"/>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i/>
                <w:kern w:val="2"/>
                <w:sz w:val="12"/>
              </w:rPr>
            </w:pPr>
            <w:r>
              <w:rPr>
                <w:rStyle w:val="TTable2"/>
                <w:i/>
                <w:kern w:val="2"/>
                <w:sz w:val="12"/>
              </w:rPr>
              <w:t>Signatura del documento</w:t>
            </w:r>
          </w:p>
        </w:tc>
        <w:tc>
          <w:tcPr>
            <w:tcW w:w="5670" w:type="dxa"/>
            <w:tcBorders>
              <w:top w:val="single" w:sz="4" w:space="0" w:color="auto"/>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i/>
                <w:kern w:val="2"/>
                <w:sz w:val="12"/>
              </w:rPr>
            </w:pPr>
            <w:r>
              <w:rPr>
                <w:rStyle w:val="TTable2"/>
                <w:i/>
                <w:kern w:val="2"/>
                <w:sz w:val="12"/>
              </w:rPr>
              <w:t>Título o descripción</w:t>
            </w:r>
          </w:p>
        </w:tc>
      </w:tr>
      <w:tr w:rsidR="00000000">
        <w:tblPrEx>
          <w:tblCellMar>
            <w:top w:w="0" w:type="dxa"/>
            <w:bottom w:w="0" w:type="dxa"/>
          </w:tblCellMar>
        </w:tblPrEx>
        <w:trPr>
          <w:trHeight w:hRule="exact" w:val="115"/>
          <w:tblHeader/>
        </w:trPr>
        <w:tc>
          <w:tcPr>
            <w:tcW w:w="2880" w:type="dxa"/>
            <w:tcBorders>
              <w:top w:val="single" w:sz="12" w:space="0" w:color="auto"/>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n-US"/>
              </w:rPr>
            </w:pPr>
          </w:p>
        </w:tc>
        <w:tc>
          <w:tcPr>
            <w:tcW w:w="5670" w:type="dxa"/>
            <w:tcBorders>
              <w:top w:val="single" w:sz="12" w:space="0" w:color="auto"/>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81"/>
              <w:ind w:right="43"/>
              <w:rPr>
                <w:rStyle w:val="TTable2"/>
                <w:b/>
                <w:kern w:val="2"/>
                <w:lang w:val="en-US"/>
              </w:rPr>
            </w:pPr>
            <w:r>
              <w:rPr>
                <w:rStyle w:val="TTable2"/>
                <w:b/>
                <w:kern w:val="2"/>
                <w:lang w:val="en-US"/>
              </w:rPr>
              <w:t>A.</w:t>
            </w:r>
            <w:r>
              <w:rPr>
                <w:rStyle w:val="TTable2"/>
                <w:b/>
                <w:kern w:val="2"/>
                <w:lang w:val="en-US"/>
              </w:rPr>
              <w:tab/>
              <w:t>24° período de sesiones</w:t>
            </w: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81"/>
              <w:ind w:right="43"/>
              <w:rPr>
                <w:rStyle w:val="TTable2"/>
                <w:kern w:val="2"/>
              </w:rPr>
            </w:pP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n-US"/>
              </w:rPr>
            </w:pPr>
            <w:r>
              <w:rPr>
                <w:rStyle w:val="TTable2"/>
                <w:kern w:val="2"/>
                <w:lang w:val="en-US"/>
              </w:rPr>
              <w:t>CEDAW/C/2001/I/1</w:t>
            </w: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Programa provisional anotado</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n-US"/>
              </w:rPr>
            </w:pPr>
            <w:r>
              <w:rPr>
                <w:rStyle w:val="TTable2"/>
                <w:kern w:val="2"/>
                <w:lang w:val="en-US"/>
              </w:rPr>
              <w:t>CEDAW/C/2001/I/2</w:t>
            </w: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5184"/>
                <w:tab w:val="left" w:pos="5451"/>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del Secretario General sobre el estado de la presentación de informes por los Estados partes con arreglo al artículo 18 de la Convención</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n-US"/>
              </w:rPr>
            </w:pPr>
            <w:r>
              <w:rPr>
                <w:rStyle w:val="TTable2"/>
                <w:kern w:val="2"/>
                <w:lang w:val="en-US"/>
              </w:rPr>
              <w:t>CEDAW/C/2001/I/3</w:t>
            </w: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Nota del Secretario General acerca de los informes presentados por los organismos especializados de las Naciones Unidas sobre la aplicación de la Convención en las áreas que corresponden a las esferas de sus actividades</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n-US"/>
              </w:rPr>
            </w:pPr>
            <w:r>
              <w:rPr>
                <w:rStyle w:val="TTable2"/>
                <w:kern w:val="2"/>
                <w:lang w:val="en-US"/>
              </w:rPr>
              <w:t>CEDAW/C/2001/I/3/Add.1</w:t>
            </w: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de la Organización de las Naciones Unidas para la Agricultura y la Alimentación</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n-US"/>
              </w:rPr>
            </w:pPr>
            <w:r>
              <w:rPr>
                <w:rStyle w:val="TTable2"/>
                <w:kern w:val="2"/>
                <w:lang w:val="en-US"/>
              </w:rPr>
              <w:t>CEDAW/C/2001/I/3/Add.2</w:t>
            </w: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de la Organización Mundial de la Salud</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n-US"/>
              </w:rPr>
            </w:pPr>
            <w:r>
              <w:rPr>
                <w:rStyle w:val="TTable2"/>
                <w:kern w:val="2"/>
                <w:lang w:val="en-US"/>
              </w:rPr>
              <w:t>CEDAW/C/2001/I/3/Add.3</w:t>
            </w: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de la Organización de las Naciones Unidas para la Educación, la Ciencia y la Cultura</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n-US"/>
              </w:rPr>
            </w:pPr>
            <w:r>
              <w:rPr>
                <w:rStyle w:val="TTable2"/>
                <w:kern w:val="2"/>
                <w:lang w:val="en-US"/>
              </w:rPr>
              <w:t>CEDAW/C/2001/I/3/Add.4</w:t>
            </w: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de la Organización Internacional del Trabajo</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n-US"/>
              </w:rPr>
            </w:pPr>
            <w:r>
              <w:rPr>
                <w:rStyle w:val="TTable2"/>
                <w:kern w:val="2"/>
                <w:lang w:val="en-US"/>
              </w:rPr>
              <w:t>CEDAW/C/2001/I/4</w:t>
            </w: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de la Secretaría sobre los medios de acelerar los trabajos del Comité</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n-US"/>
              </w:rPr>
            </w:pPr>
            <w:r>
              <w:rPr>
                <w:rStyle w:val="TTable2"/>
                <w:kern w:val="2"/>
                <w:lang w:val="en-US"/>
              </w:rPr>
              <w:t>CEDAW/C/2001/I/WG.I/WP.1</w:t>
            </w: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Revisión del proyecto de reglamento del Comité para la Eliminación de la Discriminación contra la Mujer</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b/>
                <w:spacing w:val="2"/>
                <w:kern w:val="2"/>
                <w:lang w:val="en-US"/>
              </w:rPr>
            </w:pPr>
            <w:r>
              <w:rPr>
                <w:rStyle w:val="TTable2"/>
                <w:b/>
                <w:spacing w:val="2"/>
                <w:kern w:val="2"/>
                <w:lang w:val="en-US"/>
              </w:rPr>
              <w:t>Informes de los Estados partes</w:t>
            </w: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n-US"/>
              </w:rPr>
            </w:pPr>
            <w:r>
              <w:rPr>
                <w:rStyle w:val="TTable2"/>
                <w:kern w:val="2"/>
                <w:lang w:val="en-US"/>
              </w:rPr>
              <w:t>CEDAW/C/BDI/1</w:t>
            </w: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inicial de Burundi</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CEDAW/C/EGY/3 y CEDAW/C/EGY/4 y 5</w:t>
            </w: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 xml:space="preserve">Tercer informe periódico e informes periódicos combinados cuarto y quinto de la República de Egipto </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CEDAW/C/FIN/ 3 y CEDAW/C/FIN/4</w:t>
            </w: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 xml:space="preserve">Informes periódicos tercero y cuarto de Finlandia </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s-ES_tradnl"/>
              </w:rPr>
            </w:pPr>
            <w:r>
              <w:rPr>
                <w:rStyle w:val="TTable2"/>
                <w:kern w:val="2"/>
                <w:lang w:val="es-ES_tradnl"/>
              </w:rPr>
              <w:t>CEDAW/C/JAM/2 a 4</w:t>
            </w: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 xml:space="preserve">Informes periódicos segundo, tercero y cuarto combinados de Jamaica </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s-ES_tradnl"/>
              </w:rPr>
            </w:pPr>
            <w:r>
              <w:rPr>
                <w:rStyle w:val="TTable2"/>
                <w:kern w:val="2"/>
                <w:lang w:val="es-ES_tradnl"/>
              </w:rPr>
              <w:t>CEDAW/C/KAZ/1</w:t>
            </w: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 xml:space="preserve">Informe inicial de la República de Kazajstán </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CEDAW/C/MDV/1</w:t>
            </w: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 xml:space="preserve">Informe inicial de la República de Maldivas </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s-ES_tradnl"/>
              </w:rPr>
            </w:pPr>
            <w:r>
              <w:rPr>
                <w:rStyle w:val="TTable2"/>
                <w:kern w:val="2"/>
                <w:lang w:val="es-ES_tradnl"/>
              </w:rPr>
              <w:t>CEDAW/C/MNG/3 y 4</w:t>
            </w: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Informes periódicos tercer y cuarto combinados de Mongolia</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CEDAW/C/UZB/1</w:t>
            </w: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 xml:space="preserve">Informe inicial de la República de Uzbekistán </w:t>
            </w:r>
          </w:p>
        </w:tc>
      </w:tr>
      <w:tr w:rsidR="00000000">
        <w:tblPrEx>
          <w:tblCellMar>
            <w:top w:w="0" w:type="dxa"/>
            <w:bottom w:w="0" w:type="dxa"/>
          </w:tblCellMar>
        </w:tblPrEx>
        <w:tc>
          <w:tcPr>
            <w:tcW w:w="2880" w:type="dxa"/>
            <w:tcBorders>
              <w:top w:val="nil"/>
              <w:bottom w:val="nil"/>
            </w:tcBorders>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81"/>
              <w:ind w:right="43"/>
              <w:rPr>
                <w:rStyle w:val="TTable2"/>
                <w:b/>
                <w:kern w:val="2"/>
              </w:rPr>
            </w:pPr>
            <w:r>
              <w:rPr>
                <w:rStyle w:val="TTable2"/>
                <w:b/>
                <w:kern w:val="2"/>
              </w:rPr>
              <w:t>B.</w:t>
            </w:r>
            <w:r>
              <w:rPr>
                <w:rStyle w:val="TTable2"/>
                <w:b/>
                <w:kern w:val="2"/>
              </w:rPr>
              <w:tab/>
              <w:t>25° período de sesiones</w:t>
            </w: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81"/>
              <w:ind w:right="43"/>
              <w:rPr>
                <w:rStyle w:val="TTable2"/>
                <w:kern w:val="2"/>
              </w:rPr>
            </w:pPr>
          </w:p>
        </w:tc>
      </w:tr>
      <w:tr w:rsidR="00000000">
        <w:tblPrEx>
          <w:tblCellMar>
            <w:top w:w="0" w:type="dxa"/>
            <w:bottom w:w="0" w:type="dxa"/>
          </w:tblCellMar>
        </w:tblPrEx>
        <w:tc>
          <w:tcPr>
            <w:tcW w:w="2880" w:type="dxa"/>
            <w:tcBorders>
              <w:top w:val="nil"/>
              <w:bottom w:val="nil"/>
            </w:tcBorders>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CEDAW/C/2001/II/1</w:t>
            </w: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Programa provisional anotado</w:t>
            </w:r>
          </w:p>
        </w:tc>
      </w:tr>
      <w:tr w:rsidR="00000000">
        <w:tblPrEx>
          <w:tblCellMar>
            <w:top w:w="0" w:type="dxa"/>
            <w:bottom w:w="0" w:type="dxa"/>
          </w:tblCellMar>
        </w:tblPrEx>
        <w:tc>
          <w:tcPr>
            <w:tcW w:w="2880" w:type="dxa"/>
            <w:tcBorders>
              <w:top w:val="nil"/>
              <w:bottom w:val="nil"/>
            </w:tcBorders>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CEDAW/C/2001/II/2</w:t>
            </w:r>
          </w:p>
        </w:tc>
        <w:tc>
          <w:tcPr>
            <w:tcW w:w="5670" w:type="dxa"/>
            <w:tcBorders>
              <w:top w:val="nil"/>
              <w:bottom w:val="nil"/>
            </w:tcBorders>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del Secretario General sobre el estado de la presentación de informes por los Estados partes con arreglo al artículo 18 de la Convención</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CEDAW/C/2001/II/3</w:t>
            </w: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 xml:space="preserve">Nota del Secretario General acerca de los informes presentados por los organismos especializados de las Naciones Unidas sobre la aplicación de la Convención en las áreas que corresponden a las esferas de sus actividades </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n-US"/>
              </w:rPr>
            </w:pPr>
            <w:r>
              <w:rPr>
                <w:rStyle w:val="TTable2"/>
                <w:kern w:val="2"/>
                <w:lang w:val="en-US"/>
              </w:rPr>
              <w:t>CEDAW/C/2001/II/3/Add.1</w:t>
            </w: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de la Organización de las Naciones Unidas para la Agricultura y la Alimentación</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n-US"/>
              </w:rPr>
            </w:pPr>
            <w:r>
              <w:rPr>
                <w:rStyle w:val="TTable2"/>
                <w:kern w:val="2"/>
                <w:lang w:val="en-US"/>
              </w:rPr>
              <w:t>CEDAW/C/2001/II/3/Add.2</w:t>
            </w: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de la Organización Mundial de la Salud</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n-US"/>
              </w:rPr>
            </w:pPr>
            <w:r>
              <w:rPr>
                <w:rStyle w:val="TTable2"/>
                <w:kern w:val="2"/>
                <w:lang w:val="en-US"/>
              </w:rPr>
              <w:t>CEDAW/C/2001/II/3/Add.3</w:t>
            </w: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de la Organización de las Naciones Unidas para la Educación, la Ciencia y la Cultura</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n-US"/>
              </w:rPr>
            </w:pPr>
            <w:r>
              <w:rPr>
                <w:rStyle w:val="TTable2"/>
                <w:kern w:val="2"/>
                <w:lang w:val="en-US"/>
              </w:rPr>
              <w:t>CEDAW/C/2001/II/3/Add.4</w:t>
            </w: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de la Organización Internacional del Trabajo</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CEDAW/C/2001/II/4</w:t>
            </w:r>
          </w:p>
        </w:tc>
        <w:tc>
          <w:tcPr>
            <w:tcW w:w="567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de la Secretaría sobre los medios de acelerar los trabajos del Comité</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s-ES_tradnl"/>
              </w:rPr>
            </w:pPr>
            <w:r>
              <w:rPr>
                <w:rStyle w:val="TTable2"/>
                <w:kern w:val="2"/>
              </w:rPr>
              <w:t>CEDAW/C/2001/II/5</w:t>
            </w: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de la Secretaría sobre el párrafo 1 del artículo 4 de la Convención: enfoque del Comité</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b/>
                <w:spacing w:val="2"/>
                <w:kern w:val="2"/>
                <w:lang w:val="en-US"/>
              </w:rPr>
            </w:pPr>
            <w:r>
              <w:rPr>
                <w:rStyle w:val="TTable2"/>
                <w:b/>
                <w:spacing w:val="2"/>
                <w:kern w:val="2"/>
                <w:lang w:val="en-US"/>
              </w:rPr>
              <w:t>Informes de los Estados partes</w:t>
            </w:r>
          </w:p>
        </w:tc>
        <w:tc>
          <w:tcPr>
            <w:tcW w:w="567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n-US"/>
              </w:rPr>
            </w:pPr>
            <w:r>
              <w:rPr>
                <w:rStyle w:val="TTable2"/>
                <w:kern w:val="2"/>
                <w:lang w:val="en-US"/>
              </w:rPr>
              <w:t>CEDAW/C/AND/1</w:t>
            </w:r>
          </w:p>
        </w:tc>
        <w:tc>
          <w:tcPr>
            <w:tcW w:w="567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 xml:space="preserve">Informe inicial de Andorra </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n-US"/>
              </w:rPr>
            </w:pPr>
            <w:r>
              <w:rPr>
                <w:rStyle w:val="TTable2"/>
                <w:kern w:val="2"/>
                <w:lang w:val="en-US"/>
              </w:rPr>
              <w:t>CEDAW/C/GIN/1</w:t>
            </w:r>
          </w:p>
        </w:tc>
        <w:tc>
          <w:tcPr>
            <w:tcW w:w="567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 xml:space="preserve">Informe inicial de Guinea </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 xml:space="preserve">CEDAW/C/GUY/2 </w:t>
            </w:r>
          </w:p>
        </w:tc>
        <w:tc>
          <w:tcPr>
            <w:tcW w:w="567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Segundo informe periódico de Guyana</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CEDAW/C/NET/2 Add. 1 y 2 y CEDAW/C/NET/3 Add. 1 y 2</w:t>
            </w:r>
          </w:p>
        </w:tc>
        <w:tc>
          <w:tcPr>
            <w:tcW w:w="567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 xml:space="preserve">Informes periódicos segundo y tercero de los Países Bajos </w:t>
            </w:r>
          </w:p>
        </w:tc>
      </w:tr>
      <w:tr w:rsidR="00000000">
        <w:tblPrEx>
          <w:tblCellMar>
            <w:top w:w="0" w:type="dxa"/>
            <w:bottom w:w="0" w:type="dxa"/>
          </w:tblCellMar>
        </w:tblPrEx>
        <w:tc>
          <w:tcPr>
            <w:tcW w:w="2880" w:type="dxa"/>
            <w:tcBorders>
              <w:top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s-ES_tradnl"/>
              </w:rPr>
            </w:pPr>
            <w:r>
              <w:rPr>
                <w:rStyle w:val="TTable2"/>
                <w:kern w:val="2"/>
                <w:lang w:val="es-ES_tradnl"/>
              </w:rPr>
              <w:t>CEDAW/C/NIC/4 y CEDAW/C/NIC/5</w:t>
            </w:r>
          </w:p>
        </w:tc>
        <w:tc>
          <w:tcPr>
            <w:tcW w:w="5670" w:type="dxa"/>
            <w:tcBorders>
              <w:top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s-ES_tradnl"/>
              </w:rPr>
            </w:pPr>
            <w:r>
              <w:rPr>
                <w:rStyle w:val="TTable2"/>
                <w:kern w:val="2"/>
              </w:rPr>
              <w:t>Informes periódicos cuarto y quinto de Nicaragua</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CEDAW/C/SGP/1 y CEDAW/C/SGP/2</w:t>
            </w:r>
          </w:p>
        </w:tc>
        <w:tc>
          <w:tcPr>
            <w:tcW w:w="567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inicial y segundo informe periódico de Singapur</w:t>
            </w:r>
          </w:p>
        </w:tc>
      </w:tr>
      <w:tr w:rsidR="00000000">
        <w:tblPrEx>
          <w:tblCellMar>
            <w:top w:w="0" w:type="dxa"/>
            <w:bottom w:w="0" w:type="dxa"/>
          </w:tblCellMar>
        </w:tblPrEx>
        <w:tc>
          <w:tcPr>
            <w:tcW w:w="288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n-US"/>
              </w:rPr>
            </w:pPr>
            <w:r>
              <w:rPr>
                <w:rStyle w:val="TTable2"/>
                <w:kern w:val="2"/>
                <w:lang w:val="en-US"/>
              </w:rPr>
              <w:t>CEDAW/C/SWE/4 y CEDAW/C/SWE/5</w:t>
            </w:r>
          </w:p>
        </w:tc>
        <w:tc>
          <w:tcPr>
            <w:tcW w:w="567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 xml:space="preserve">Informes periódicos cuarto y quinto de Suecia </w:t>
            </w:r>
          </w:p>
        </w:tc>
      </w:tr>
      <w:tr w:rsidR="00000000">
        <w:tblPrEx>
          <w:tblCellMar>
            <w:top w:w="0" w:type="dxa"/>
            <w:bottom w:w="0" w:type="dxa"/>
          </w:tblCellMar>
        </w:tblPrEx>
        <w:tc>
          <w:tcPr>
            <w:tcW w:w="2880" w:type="dxa"/>
            <w:tcBorders>
              <w:top w:val="single" w:sz="6" w:space="0" w:color="FFFFFF"/>
              <w:bottom w:val="single" w:sz="12" w:space="0" w:color="auto"/>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1"/>
              <w:ind w:right="43"/>
              <w:rPr>
                <w:rStyle w:val="TTable2"/>
                <w:kern w:val="2"/>
                <w:lang w:val="es-ES_tradnl"/>
              </w:rPr>
            </w:pPr>
            <w:r>
              <w:rPr>
                <w:rStyle w:val="TTable2"/>
                <w:kern w:val="2"/>
                <w:lang w:val="es-ES_tradnl"/>
              </w:rPr>
              <w:t>CEDAW/C/VNM/2 y  CEDAW/C/VNM/3 y 4</w:t>
            </w:r>
          </w:p>
        </w:tc>
        <w:tc>
          <w:tcPr>
            <w:tcW w:w="5670" w:type="dxa"/>
            <w:tcBorders>
              <w:top w:val="single" w:sz="6" w:space="0" w:color="FFFFFF"/>
              <w:bottom w:val="single" w:sz="12" w:space="0" w:color="auto"/>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1"/>
              <w:ind w:right="43"/>
              <w:rPr>
                <w:rStyle w:val="TTable2"/>
                <w:kern w:val="2"/>
              </w:rPr>
            </w:pPr>
            <w:r>
              <w:rPr>
                <w:rStyle w:val="TTable2"/>
                <w:kern w:val="2"/>
              </w:rPr>
              <w:t>Segundo informe periódico e informes periódicos combinados tercero y cuarto de Viet Nam</w:t>
            </w:r>
          </w:p>
        </w:tc>
      </w:tr>
    </w:tbl>
    <w:p w:rsidR="00000000" w:rsidRDefault="00000000">
      <w:pPr>
        <w:tabs>
          <w:tab w:val="left" w:pos="1262"/>
          <w:tab w:val="left" w:pos="1550"/>
          <w:tab w:val="left" w:pos="1947"/>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s>
        <w:ind w:left="1262"/>
        <w:rPr>
          <w:rStyle w:val="TTable2"/>
          <w:kern w:val="2"/>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VI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Composición del Comité para la Eliminación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1"/>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Nombre del miembro</w:t>
            </w:r>
          </w:p>
        </w:tc>
        <w:tc>
          <w:tcPr>
            <w:tcW w:w="366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País de nacionalidad</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n-US"/>
              </w:rPr>
            </w:pPr>
            <w:r>
              <w:rPr>
                <w:kern w:val="2"/>
                <w:lang w:val="en-US"/>
              </w:rPr>
              <w:t>Charlotte Abaka*</w:t>
            </w:r>
          </w:p>
        </w:tc>
        <w:tc>
          <w:tcPr>
            <w:tcW w:w="3661" w:type="dxa"/>
            <w:vAlign w:val="bottom"/>
          </w:tcPr>
          <w:p w:rsidR="00000000" w:rsidRDefault="00000000">
            <w:pPr>
              <w:spacing w:before="40" w:after="40"/>
              <w:rPr>
                <w:rStyle w:val="HM"/>
                <w:kern w:val="2"/>
                <w:lang w:val="en-US"/>
              </w:rPr>
            </w:pPr>
            <w:r>
              <w:rPr>
                <w:rStyle w:val="HM"/>
                <w:kern w:val="2"/>
                <w:lang w:val="en-US"/>
              </w:rPr>
              <w:t>Ghana</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Ayse Feride Acar**</w:t>
            </w:r>
          </w:p>
        </w:tc>
        <w:tc>
          <w:tcPr>
            <w:tcW w:w="3661" w:type="dxa"/>
            <w:vAlign w:val="bottom"/>
          </w:tcPr>
          <w:p w:rsidR="00000000" w:rsidRDefault="00000000">
            <w:pPr>
              <w:spacing w:before="40" w:after="40"/>
              <w:rPr>
                <w:rStyle w:val="HM"/>
                <w:kern w:val="2"/>
                <w:lang w:val="es-ES_tradnl"/>
              </w:rPr>
            </w:pPr>
            <w:r>
              <w:rPr>
                <w:rStyle w:val="HM"/>
                <w:kern w:val="2"/>
                <w:lang w:val="es-ES_tradnl"/>
              </w:rPr>
              <w:t>Turquía</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Sjamsiah Achmad**</w:t>
            </w:r>
          </w:p>
        </w:tc>
        <w:tc>
          <w:tcPr>
            <w:tcW w:w="3661" w:type="dxa"/>
            <w:vAlign w:val="bottom"/>
          </w:tcPr>
          <w:p w:rsidR="00000000" w:rsidRDefault="00000000">
            <w:pPr>
              <w:spacing w:before="40" w:after="40"/>
              <w:rPr>
                <w:rStyle w:val="HM"/>
                <w:kern w:val="2"/>
                <w:lang w:val="es-ES_tradnl"/>
              </w:rPr>
            </w:pPr>
            <w:r>
              <w:rPr>
                <w:rStyle w:val="HM"/>
                <w:kern w:val="2"/>
                <w:lang w:val="es-ES_tradnl"/>
              </w:rPr>
              <w:t>Indonesia</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Emna Aouij*</w:t>
            </w:r>
          </w:p>
        </w:tc>
        <w:tc>
          <w:tcPr>
            <w:tcW w:w="3661" w:type="dxa"/>
            <w:vAlign w:val="bottom"/>
          </w:tcPr>
          <w:p w:rsidR="00000000" w:rsidRDefault="00000000">
            <w:pPr>
              <w:spacing w:before="40" w:after="40"/>
              <w:rPr>
                <w:rStyle w:val="HM"/>
                <w:kern w:val="2"/>
                <w:lang w:val="es-ES_tradnl"/>
              </w:rPr>
            </w:pPr>
            <w:r>
              <w:rPr>
                <w:rStyle w:val="HM"/>
                <w:kern w:val="2"/>
                <w:lang w:val="es-ES_tradnl"/>
              </w:rPr>
              <w:t>Túnez</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Ivanka Corti*</w:t>
            </w:r>
          </w:p>
        </w:tc>
        <w:tc>
          <w:tcPr>
            <w:tcW w:w="3661" w:type="dxa"/>
            <w:vAlign w:val="bottom"/>
          </w:tcPr>
          <w:p w:rsidR="00000000" w:rsidRDefault="00000000">
            <w:pPr>
              <w:spacing w:before="40" w:after="40"/>
              <w:rPr>
                <w:rStyle w:val="HM"/>
                <w:kern w:val="2"/>
                <w:lang w:val="es-ES_tradnl"/>
              </w:rPr>
            </w:pPr>
            <w:r>
              <w:rPr>
                <w:rStyle w:val="HM"/>
                <w:kern w:val="2"/>
                <w:lang w:val="es-ES_tradnl"/>
              </w:rPr>
              <w:t>Italia</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Feng Cui*</w:t>
            </w:r>
          </w:p>
        </w:tc>
        <w:tc>
          <w:tcPr>
            <w:tcW w:w="3661" w:type="dxa"/>
            <w:vAlign w:val="bottom"/>
          </w:tcPr>
          <w:p w:rsidR="00000000" w:rsidRDefault="00000000">
            <w:pPr>
              <w:spacing w:before="40" w:after="40"/>
              <w:rPr>
                <w:rStyle w:val="HM"/>
                <w:kern w:val="2"/>
                <w:lang w:val="es-ES_tradnl"/>
              </w:rPr>
            </w:pPr>
            <w:r>
              <w:rPr>
                <w:rStyle w:val="HM"/>
                <w:kern w:val="2"/>
                <w:lang w:val="es-ES_tradnl"/>
              </w:rPr>
              <w:t>China</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lang w:val="es-ES_tradnl"/>
              </w:rPr>
              <w:t>Naela Gabr*</w:t>
            </w:r>
          </w:p>
        </w:tc>
        <w:tc>
          <w:tcPr>
            <w:tcW w:w="3661" w:type="dxa"/>
            <w:vAlign w:val="bottom"/>
          </w:tcPr>
          <w:p w:rsidR="00000000" w:rsidRDefault="00000000">
            <w:pPr>
              <w:spacing w:before="40" w:after="40"/>
              <w:rPr>
                <w:rStyle w:val="HM"/>
                <w:kern w:val="2"/>
                <w:lang w:val="en-US"/>
              </w:rPr>
            </w:pPr>
            <w:r>
              <w:rPr>
                <w:rStyle w:val="HM"/>
                <w:kern w:val="2"/>
              </w:rPr>
              <w:t>Egipto</w:t>
            </w:r>
            <w:r>
              <w:rPr>
                <w:rStyle w:val="HM"/>
                <w:kern w:val="2"/>
                <w:lang w:val="en-US"/>
              </w:rPr>
              <w:t xml:space="preserve"> </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n-US"/>
              </w:rPr>
            </w:pPr>
            <w:r>
              <w:rPr>
                <w:kern w:val="2"/>
                <w:lang w:val="en-US"/>
              </w:rPr>
              <w:t>Françoise Gaspard**</w:t>
            </w:r>
          </w:p>
        </w:tc>
        <w:tc>
          <w:tcPr>
            <w:tcW w:w="3661" w:type="dxa"/>
            <w:vAlign w:val="bottom"/>
          </w:tcPr>
          <w:p w:rsidR="00000000" w:rsidRDefault="00000000">
            <w:pPr>
              <w:spacing w:before="40" w:after="40"/>
              <w:rPr>
                <w:rStyle w:val="HM"/>
                <w:kern w:val="2"/>
                <w:lang w:val="es-ES_tradnl"/>
              </w:rPr>
            </w:pPr>
            <w:r>
              <w:rPr>
                <w:rStyle w:val="HM"/>
                <w:kern w:val="2"/>
                <w:lang w:val="es-ES_tradnl"/>
              </w:rPr>
              <w:t xml:space="preserve">Francia </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Yolanda Ferrer Gómez**</w:t>
            </w:r>
          </w:p>
        </w:tc>
        <w:tc>
          <w:tcPr>
            <w:tcW w:w="3661" w:type="dxa"/>
            <w:vAlign w:val="bottom"/>
          </w:tcPr>
          <w:p w:rsidR="00000000" w:rsidRDefault="00000000">
            <w:pPr>
              <w:spacing w:before="40" w:after="40"/>
              <w:rPr>
                <w:rStyle w:val="TTable2"/>
                <w:kern w:val="2"/>
                <w:lang w:val="es-ES_tradnl"/>
              </w:rPr>
            </w:pPr>
            <w:r>
              <w:rPr>
                <w:rStyle w:val="TTable2"/>
                <w:kern w:val="2"/>
                <w:lang w:val="es-ES_tradnl"/>
              </w:rPr>
              <w:t>Cuba</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40"/>
              <w:rPr>
                <w:kern w:val="2"/>
                <w:lang w:val="es-ES_tradnl"/>
              </w:rPr>
            </w:pPr>
            <w:r>
              <w:rPr>
                <w:kern w:val="2"/>
                <w:lang w:val="es-ES_tradnl"/>
              </w:rPr>
              <w:t>Aída González Martínez**</w:t>
            </w:r>
          </w:p>
        </w:tc>
        <w:tc>
          <w:tcPr>
            <w:tcW w:w="3661" w:type="dxa"/>
            <w:vAlign w:val="bottom"/>
          </w:tcPr>
          <w:p w:rsidR="00000000" w:rsidRDefault="00000000">
            <w:pPr>
              <w:spacing w:before="40" w:after="40"/>
              <w:rPr>
                <w:rStyle w:val="TTable2"/>
                <w:kern w:val="2"/>
                <w:lang w:val="es-ES_tradnl"/>
              </w:rPr>
            </w:pPr>
            <w:r>
              <w:rPr>
                <w:rStyle w:val="TTable2"/>
                <w:kern w:val="2"/>
                <w:lang w:val="es-ES_tradnl"/>
              </w:rPr>
              <w:t>México</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40"/>
              <w:rPr>
                <w:kern w:val="2"/>
                <w:lang w:val="es-ES_tradnl"/>
              </w:rPr>
            </w:pPr>
            <w:r>
              <w:rPr>
                <w:kern w:val="2"/>
                <w:lang w:val="es-ES_tradnl"/>
              </w:rPr>
              <w:t>Savitri Goonesekere*</w:t>
            </w:r>
          </w:p>
        </w:tc>
        <w:tc>
          <w:tcPr>
            <w:tcW w:w="3661" w:type="dxa"/>
            <w:vAlign w:val="bottom"/>
          </w:tcPr>
          <w:p w:rsidR="00000000" w:rsidRDefault="00000000">
            <w:pPr>
              <w:spacing w:before="40" w:after="40"/>
              <w:rPr>
                <w:rStyle w:val="TTable2"/>
                <w:kern w:val="2"/>
                <w:lang w:val="en-US"/>
              </w:rPr>
            </w:pPr>
            <w:r>
              <w:rPr>
                <w:rStyle w:val="TTable2"/>
                <w:kern w:val="2"/>
                <w:lang w:val="en-US"/>
              </w:rPr>
              <w:t>Sri Lanka</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40"/>
              <w:rPr>
                <w:kern w:val="2"/>
                <w:lang w:val="en-US"/>
              </w:rPr>
            </w:pPr>
            <w:r>
              <w:rPr>
                <w:kern w:val="2"/>
                <w:lang w:val="en-US"/>
              </w:rPr>
              <w:t>Rosalyn Hazelle*</w:t>
            </w:r>
          </w:p>
        </w:tc>
        <w:tc>
          <w:tcPr>
            <w:tcW w:w="3661" w:type="dxa"/>
            <w:vAlign w:val="bottom"/>
          </w:tcPr>
          <w:p w:rsidR="00000000" w:rsidRDefault="00000000">
            <w:pPr>
              <w:spacing w:before="40" w:after="40"/>
              <w:rPr>
                <w:rStyle w:val="TTable2"/>
                <w:kern w:val="2"/>
                <w:lang w:val="en-US"/>
              </w:rPr>
            </w:pPr>
            <w:r>
              <w:rPr>
                <w:rStyle w:val="TTable2"/>
                <w:kern w:val="2"/>
                <w:lang w:val="en-US"/>
              </w:rPr>
              <w:t xml:space="preserve">Saint Kitts y Nevis </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40"/>
              <w:rPr>
                <w:kern w:val="2"/>
                <w:lang w:val="es-ES_tradnl"/>
              </w:rPr>
            </w:pPr>
            <w:r>
              <w:rPr>
                <w:kern w:val="2"/>
                <w:lang w:val="es-ES_tradnl"/>
              </w:rPr>
              <w:t>Fatima Kwaku**</w:t>
            </w:r>
          </w:p>
        </w:tc>
        <w:tc>
          <w:tcPr>
            <w:tcW w:w="3661" w:type="dxa"/>
            <w:vAlign w:val="bottom"/>
          </w:tcPr>
          <w:p w:rsidR="00000000" w:rsidRDefault="00000000">
            <w:pPr>
              <w:spacing w:before="40" w:after="40"/>
              <w:rPr>
                <w:rStyle w:val="TTable2"/>
                <w:kern w:val="2"/>
                <w:lang w:val="es-ES_tradnl"/>
              </w:rPr>
            </w:pPr>
            <w:r>
              <w:rPr>
                <w:rStyle w:val="TTable2"/>
                <w:kern w:val="2"/>
                <w:lang w:val="es-ES_tradnl"/>
              </w:rPr>
              <w:t>Nigeria</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40"/>
              <w:rPr>
                <w:kern w:val="2"/>
                <w:lang w:val="es-ES_tradnl"/>
              </w:rPr>
            </w:pPr>
            <w:r>
              <w:rPr>
                <w:kern w:val="2"/>
                <w:lang w:val="es-ES_tradnl"/>
              </w:rPr>
              <w:t>Rosario Manalo*</w:t>
            </w:r>
          </w:p>
        </w:tc>
        <w:tc>
          <w:tcPr>
            <w:tcW w:w="3661" w:type="dxa"/>
            <w:vAlign w:val="bottom"/>
          </w:tcPr>
          <w:p w:rsidR="00000000" w:rsidRDefault="00000000">
            <w:pPr>
              <w:spacing w:before="40" w:after="40"/>
              <w:rPr>
                <w:rStyle w:val="TTable2"/>
                <w:kern w:val="2"/>
                <w:lang w:val="es-ES_tradnl"/>
              </w:rPr>
            </w:pPr>
            <w:r>
              <w:rPr>
                <w:rStyle w:val="TTable2"/>
                <w:kern w:val="2"/>
                <w:lang w:val="es-ES_tradnl"/>
              </w:rPr>
              <w:t>Filipinas</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40"/>
              <w:rPr>
                <w:kern w:val="2"/>
                <w:lang w:val="es-ES_tradnl"/>
              </w:rPr>
            </w:pPr>
            <w:r>
              <w:rPr>
                <w:kern w:val="2"/>
                <w:lang w:val="es-ES_tradnl"/>
              </w:rPr>
              <w:t>Göran Melander**</w:t>
            </w:r>
          </w:p>
        </w:tc>
        <w:tc>
          <w:tcPr>
            <w:tcW w:w="3661" w:type="dxa"/>
            <w:vAlign w:val="bottom"/>
          </w:tcPr>
          <w:p w:rsidR="00000000" w:rsidRDefault="00000000">
            <w:pPr>
              <w:spacing w:before="40" w:after="40"/>
              <w:rPr>
                <w:rStyle w:val="TTable2"/>
                <w:kern w:val="2"/>
                <w:lang w:val="es-ES_tradnl"/>
              </w:rPr>
            </w:pPr>
            <w:r>
              <w:rPr>
                <w:rStyle w:val="TTable2"/>
                <w:kern w:val="2"/>
                <w:lang w:val="es-ES_tradnl"/>
              </w:rPr>
              <w:t xml:space="preserve">Suecia </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40"/>
              <w:rPr>
                <w:kern w:val="2"/>
                <w:lang w:val="es-ES_tradnl"/>
              </w:rPr>
            </w:pPr>
            <w:r>
              <w:rPr>
                <w:kern w:val="2"/>
                <w:lang w:val="es-ES_tradnl"/>
              </w:rPr>
              <w:t>Asha Rose Mtengeti-Migiro**</w:t>
            </w:r>
          </w:p>
        </w:tc>
        <w:tc>
          <w:tcPr>
            <w:tcW w:w="3661" w:type="dxa"/>
            <w:vAlign w:val="bottom"/>
          </w:tcPr>
          <w:p w:rsidR="00000000" w:rsidRDefault="00000000">
            <w:pPr>
              <w:spacing w:before="40" w:after="40"/>
              <w:rPr>
                <w:rStyle w:val="TTable2"/>
                <w:kern w:val="2"/>
                <w:lang w:val="es-ES_tradnl"/>
              </w:rPr>
            </w:pPr>
            <w:r>
              <w:rPr>
                <w:rStyle w:val="TTable2"/>
                <w:kern w:val="2"/>
                <w:lang w:val="es-ES_tradnl"/>
              </w:rPr>
              <w:t>República Unida de Tanzanía</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40"/>
              <w:rPr>
                <w:kern w:val="2"/>
                <w:lang w:val="es-ES_tradnl"/>
              </w:rPr>
            </w:pPr>
            <w:r>
              <w:rPr>
                <w:kern w:val="2"/>
                <w:lang w:val="es-ES_tradnl"/>
              </w:rPr>
              <w:t>Mavivi Myakayaka-Manzini*</w:t>
            </w:r>
          </w:p>
        </w:tc>
        <w:tc>
          <w:tcPr>
            <w:tcW w:w="3661" w:type="dxa"/>
            <w:vAlign w:val="bottom"/>
          </w:tcPr>
          <w:p w:rsidR="00000000" w:rsidRDefault="00000000">
            <w:pPr>
              <w:spacing w:before="40" w:after="40"/>
              <w:rPr>
                <w:rStyle w:val="TTable2"/>
                <w:kern w:val="2"/>
                <w:lang w:val="es-ES_tradnl"/>
              </w:rPr>
            </w:pPr>
            <w:r>
              <w:rPr>
                <w:rStyle w:val="TTable2"/>
                <w:kern w:val="2"/>
                <w:lang w:val="es-ES_tradnl"/>
              </w:rPr>
              <w:t>Sudáfrica</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40"/>
              <w:rPr>
                <w:rStyle w:val="HCh"/>
                <w:kern w:val="2"/>
                <w:lang w:val="en-US"/>
              </w:rPr>
            </w:pPr>
            <w:r>
              <w:rPr>
                <w:kern w:val="2"/>
                <w:lang w:val="en-US"/>
              </w:rPr>
              <w:t>Frances Livingstone Raday</w:t>
            </w:r>
            <w:r>
              <w:rPr>
                <w:rStyle w:val="HCh"/>
                <w:kern w:val="2"/>
                <w:lang w:val="en-US"/>
              </w:rPr>
              <w:t>*</w:t>
            </w:r>
          </w:p>
        </w:tc>
        <w:tc>
          <w:tcPr>
            <w:tcW w:w="3661" w:type="dxa"/>
            <w:vAlign w:val="bottom"/>
          </w:tcPr>
          <w:p w:rsidR="00000000" w:rsidRDefault="00000000">
            <w:pPr>
              <w:spacing w:before="40" w:after="40"/>
              <w:rPr>
                <w:rStyle w:val="HM"/>
                <w:kern w:val="2"/>
                <w:lang w:val="es-ES_tradnl"/>
              </w:rPr>
            </w:pPr>
            <w:r>
              <w:rPr>
                <w:rStyle w:val="HM"/>
                <w:kern w:val="2"/>
                <w:lang w:val="es-ES_tradnl"/>
              </w:rPr>
              <w:t xml:space="preserve">Israel </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40"/>
              <w:rPr>
                <w:kern w:val="2"/>
                <w:lang w:val="es-ES_tradnl"/>
              </w:rPr>
            </w:pPr>
            <w:r>
              <w:rPr>
                <w:kern w:val="2"/>
                <w:lang w:val="es-ES_tradnl"/>
              </w:rPr>
              <w:t>Zelmira Regazzoli*</w:t>
            </w:r>
          </w:p>
        </w:tc>
        <w:tc>
          <w:tcPr>
            <w:tcW w:w="3661" w:type="dxa"/>
            <w:vAlign w:val="bottom"/>
          </w:tcPr>
          <w:p w:rsidR="00000000" w:rsidRDefault="00000000">
            <w:pPr>
              <w:spacing w:before="40" w:after="40"/>
              <w:rPr>
                <w:rStyle w:val="HM"/>
                <w:kern w:val="2"/>
                <w:lang w:val="en-US"/>
              </w:rPr>
            </w:pPr>
            <w:r>
              <w:rPr>
                <w:rStyle w:val="HM"/>
                <w:kern w:val="2"/>
                <w:lang w:val="en-US"/>
              </w:rPr>
              <w:t>Argentina</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40"/>
              <w:rPr>
                <w:kern w:val="2"/>
                <w:lang w:val="en-US"/>
              </w:rPr>
            </w:pPr>
            <w:r>
              <w:rPr>
                <w:kern w:val="2"/>
                <w:lang w:val="en-US"/>
              </w:rPr>
              <w:t>Hanna Beate Schöpp</w:t>
            </w:r>
            <w:r>
              <w:rPr>
                <w:rFonts w:ascii="WP TypographicSymbols" w:hAnsi="WP TypographicSymbols"/>
                <w:kern w:val="2"/>
                <w:lang w:val="es-ES_tradnl"/>
              </w:rPr>
              <w:t></w:t>
            </w:r>
            <w:r>
              <w:rPr>
                <w:kern w:val="2"/>
                <w:lang w:val="en-US"/>
              </w:rPr>
              <w:t>Schilling**</w:t>
            </w:r>
          </w:p>
        </w:tc>
        <w:tc>
          <w:tcPr>
            <w:tcW w:w="3661" w:type="dxa"/>
            <w:vAlign w:val="bottom"/>
          </w:tcPr>
          <w:p w:rsidR="00000000" w:rsidRDefault="00000000">
            <w:pPr>
              <w:spacing w:before="40" w:after="40"/>
              <w:rPr>
                <w:rStyle w:val="HM"/>
                <w:kern w:val="2"/>
                <w:lang w:val="es-ES_tradnl"/>
              </w:rPr>
            </w:pPr>
            <w:r>
              <w:rPr>
                <w:rStyle w:val="HM"/>
                <w:kern w:val="2"/>
                <w:lang w:val="es-ES_tradnl"/>
              </w:rPr>
              <w:t>Alemania</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40"/>
              <w:rPr>
                <w:kern w:val="2"/>
                <w:lang w:val="es-ES_tradnl"/>
              </w:rPr>
            </w:pPr>
            <w:r>
              <w:rPr>
                <w:kern w:val="2"/>
                <w:lang w:val="es-ES_tradnl"/>
              </w:rPr>
              <w:t>Heisoo Shin**</w:t>
            </w:r>
          </w:p>
        </w:tc>
        <w:tc>
          <w:tcPr>
            <w:tcW w:w="3661" w:type="dxa"/>
            <w:vAlign w:val="bottom"/>
          </w:tcPr>
          <w:p w:rsidR="00000000" w:rsidRDefault="00000000">
            <w:pPr>
              <w:spacing w:before="40" w:after="40"/>
              <w:rPr>
                <w:rStyle w:val="HM"/>
                <w:kern w:val="2"/>
                <w:lang w:val="es-ES_tradnl"/>
              </w:rPr>
            </w:pPr>
            <w:r>
              <w:rPr>
                <w:rStyle w:val="HM"/>
                <w:kern w:val="2"/>
                <w:lang w:val="es-ES_tradnl"/>
              </w:rPr>
              <w:t>República de Corea</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40"/>
              <w:rPr>
                <w:kern w:val="2"/>
                <w:lang w:val="es-ES_tradnl"/>
              </w:rPr>
            </w:pPr>
            <w:r>
              <w:rPr>
                <w:kern w:val="2"/>
                <w:lang w:val="es-ES_tradnl"/>
              </w:rPr>
              <w:t xml:space="preserve">Maria Regina Tavares da Silva** </w:t>
            </w:r>
          </w:p>
        </w:tc>
        <w:tc>
          <w:tcPr>
            <w:tcW w:w="3661" w:type="dxa"/>
            <w:vAlign w:val="bottom"/>
          </w:tcPr>
          <w:p w:rsidR="00000000" w:rsidRDefault="00000000">
            <w:pPr>
              <w:spacing w:before="40" w:after="40"/>
              <w:rPr>
                <w:rStyle w:val="HM"/>
                <w:kern w:val="2"/>
                <w:lang w:val="es-ES_tradnl"/>
              </w:rPr>
            </w:pPr>
            <w:r>
              <w:rPr>
                <w:rStyle w:val="HM"/>
                <w:kern w:val="2"/>
                <w:lang w:val="es-ES_tradnl"/>
              </w:rPr>
              <w:t xml:space="preserve">Portugal </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spacing w:before="40" w:after="81"/>
              <w:rPr>
                <w:rStyle w:val="HCh"/>
                <w:kern w:val="2"/>
                <w:lang w:val="es-ES_tradnl"/>
              </w:rPr>
            </w:pPr>
            <w:r>
              <w:rPr>
                <w:rStyle w:val="HCh"/>
                <w:kern w:val="2"/>
                <w:lang w:val="es-ES_tradnl"/>
              </w:rPr>
              <w:t>Chikako Taya*</w:t>
            </w:r>
          </w:p>
        </w:tc>
        <w:tc>
          <w:tcPr>
            <w:tcW w:w="3661" w:type="dxa"/>
            <w:tcBorders>
              <w:bottom w:val="single" w:sz="12" w:space="0" w:color="auto"/>
            </w:tcBorders>
            <w:vAlign w:val="bottom"/>
          </w:tcPr>
          <w:p w:rsidR="00000000" w:rsidRDefault="00000000">
            <w:pPr>
              <w:spacing w:before="40" w:after="81"/>
              <w:rPr>
                <w:rStyle w:val="HM"/>
                <w:kern w:val="2"/>
                <w:lang w:val="es-ES_tradnl"/>
              </w:rPr>
            </w:pPr>
            <w:r>
              <w:rPr>
                <w:rStyle w:val="HM"/>
                <w:kern w:val="2"/>
                <w:lang w:val="es-ES_tradnl"/>
              </w:rPr>
              <w:t>Japón</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El mandato termina en 2002.</w:t>
      </w:r>
    </w:p>
    <w:p w:rsidR="00000000" w:rsidRDefault="00000000">
      <w:pPr>
        <w:pStyle w:val="FootnoteText"/>
        <w:tabs>
          <w:tab w:val="clear" w:pos="418"/>
          <w:tab w:val="right" w:pos="1476"/>
          <w:tab w:val="left" w:pos="1548"/>
          <w:tab w:val="right" w:pos="1836"/>
          <w:tab w:val="left" w:pos="1908"/>
        </w:tabs>
        <w:ind w:left="1548" w:right="1267" w:hanging="288"/>
      </w:pPr>
      <w:r>
        <w:tab/>
        <w:t>**</w:t>
      </w:r>
      <w:r>
        <w:tab/>
        <w:t>El mandato termina en 2004.</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VII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Consecuencias para el presupuesto por programas del proyecto de decisión 25/I: exposición presentada </w:t>
      </w:r>
      <w:r>
        <w:br/>
        <w:t>por el Secretario General con arreglo al artículo 23 del reglamento del Comité para la Eliminación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Resumen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08"/>
        </w:numPr>
        <w:tabs>
          <w:tab w:val="left" w:pos="1742"/>
        </w:tabs>
      </w:pPr>
      <w:r>
        <w:t>En virtud de su proyecto de decisión 25/I, el Comité para la Eliminación de la Discriminación contra la Mujer pediría a la Asamblea General: a) que autorizara con carácter excepcional la celebración de un período de sesiones de tres semanas de d</w:t>
      </w:r>
      <w:r>
        <w:t>u</w:t>
      </w:r>
      <w:r>
        <w:t>ración consistente en 30 sesiones del Comité en 2002, que se consagrarían enter</w:t>
      </w:r>
      <w:r>
        <w:t>a</w:t>
      </w:r>
      <w:r>
        <w:t>mente al examen de informes de Estados partes para reducir la acumulación de i</w:t>
      </w:r>
      <w:r>
        <w:t>n</w:t>
      </w:r>
      <w:r>
        <w:t>formes; y b) que aprobara los recursos necesarios para la ampliación de la compos</w:t>
      </w:r>
      <w:r>
        <w:t>i</w:t>
      </w:r>
      <w:r>
        <w:t>ción del grupo de trabajo anterior al período de sesiones.</w:t>
      </w:r>
    </w:p>
    <w:p w:rsidR="00000000" w:rsidRDefault="00000000">
      <w:pPr>
        <w:pStyle w:val="SingleTxt"/>
        <w:numPr>
          <w:ilvl w:val="0"/>
          <w:numId w:val="508"/>
        </w:numPr>
      </w:pPr>
      <w:r>
        <w:t>Con cargo al proyecto de presupuesto por programas para el bienio 2002-2003 se sufragarían los gastos de viaje y viáticos de los 23 miembros del Comité que asistirían cada año a los dos períodos de sesiones en Nueva York, de una duración de quince días cada uno y precedidos por una reunión del grupo de trabajo anterior al período de sesiones de cinco días, así como los servicios de conferencias del Comité y del grupo de trabajo anterior al período de sesiones. Si el Comité aprobara el pr</w:t>
      </w:r>
      <w:r>
        <w:t>o</w:t>
      </w:r>
      <w:r>
        <w:t>yecto de decisión, se necesitarían recursos adicionales, estimados en 252.900 dól</w:t>
      </w:r>
      <w:r>
        <w:t>a</w:t>
      </w:r>
      <w:r>
        <w:t>res, para sufragar los gastos de viaje y viáticos de los miembros del Comité en rel</w:t>
      </w:r>
      <w:r>
        <w:t>a</w:t>
      </w:r>
      <w:r>
        <w:t>ción con el período de sesiones adicional de 2002 y los viáticos de los otros mie</w:t>
      </w:r>
      <w:r>
        <w:t>m</w:t>
      </w:r>
      <w:r>
        <w:t>bros del grupo de trabajo anterior al período de sesiones, que se reunirá en febrero de 2002.</w:t>
      </w:r>
    </w:p>
    <w:p w:rsidR="00000000" w:rsidRDefault="00000000">
      <w:pPr>
        <w:pStyle w:val="SingleTxt"/>
        <w:numPr>
          <w:ilvl w:val="0"/>
          <w:numId w:val="508"/>
        </w:numPr>
      </w:pPr>
      <w:r>
        <w:t>El monto de 252.900 dólares se imputaría al fondo para imprevistos del bienio 2002-2003, según lo que dispusiera la Asamblea General en su quincuagésimo sexto p</w:t>
      </w:r>
      <w:r>
        <w:t>e</w:t>
      </w:r>
      <w:r>
        <w:t>ríodo de sesiones, de conformidad con los procedimientos establecidos.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Propuestas contenida en el proyecto de decisión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08"/>
        </w:numPr>
      </w:pPr>
      <w:r>
        <w:t>En su proyecto de decisión 25/I, el Comité para la Eliminación de la Discrim</w:t>
      </w:r>
      <w:r>
        <w:t>i</w:t>
      </w:r>
      <w:r>
        <w:t>nación contra la Mujer pediría a la Asamblea G</w:t>
      </w:r>
      <w:r>
        <w:t>e</w:t>
      </w:r>
      <w:r>
        <w:t>neral:</w:t>
      </w:r>
    </w:p>
    <w:p w:rsidR="00000000" w:rsidRDefault="00000000">
      <w:pPr>
        <w:pStyle w:val="SingleTxt"/>
      </w:pPr>
      <w:r>
        <w:tab/>
        <w:t>a)</w:t>
      </w:r>
      <w:r>
        <w:tab/>
        <w:t>Que autorizara con carácter excepcional la celebración de un período de sesiones de tres semanas de duración consistente en 30 sesiones del Comité en 2002, que se consagrarían enteramente al examen de informes de Estados partes para red</w:t>
      </w:r>
      <w:r>
        <w:t>u</w:t>
      </w:r>
      <w:r>
        <w:t>cir la acumulación de i</w:t>
      </w:r>
      <w:r>
        <w:t>n</w:t>
      </w:r>
      <w:r>
        <w:t>formes;</w:t>
      </w:r>
    </w:p>
    <w:p w:rsidR="00000000" w:rsidRDefault="00000000">
      <w:pPr>
        <w:pStyle w:val="SingleTxt"/>
      </w:pPr>
      <w:r>
        <w:tab/>
        <w:t>b)</w:t>
      </w:r>
      <w:r>
        <w:tab/>
        <w:t>Que aprobara los recursos necesarios para la ampliación de la compos</w:t>
      </w:r>
      <w:r>
        <w:t>i</w:t>
      </w:r>
      <w:r>
        <w:t>ción del grupo de trabajo anterior al período de sesiones que ha de celebrarse del 4 al 8 de febrero de 2002 a fin de preparar las cuestiones y preguntas relacionadas con los informes que habrán de examinarse en el período de sesiones excepcional del Comité en agosto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Actividades necesarias para aplicar las propuestas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08"/>
        </w:numPr>
      </w:pPr>
      <w:r>
        <w:t>Si se aprobara el proyecto de decisión, el Comité celebraría un período de s</w:t>
      </w:r>
      <w:r>
        <w:t>e</w:t>
      </w:r>
      <w:r>
        <w:t>siones adicional en agosto de 2002, de una duración de 15 días hábiles. Se entiende que a continuación de ese período de sesiones adicional no se celebraría una reunión del grupo de trabajo anterior al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Otras necesidades de recursos para el bienio 2002-2003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08"/>
        </w:numPr>
      </w:pPr>
      <w:r>
        <w:t>Como se mencionó anteriormente, en la sección 9, Asuntos económicos y s</w:t>
      </w:r>
      <w:r>
        <w:t>o</w:t>
      </w:r>
      <w:r>
        <w:t>ciales, y en la sección 2, Asuntos de la Asamblea General y servicios de confere</w:t>
      </w:r>
      <w:r>
        <w:t>n</w:t>
      </w:r>
      <w:r>
        <w:t>cias, del proyecto de presupuesto por programas para el bienio 2002-2003, se incl</w:t>
      </w:r>
      <w:r>
        <w:t>u</w:t>
      </w:r>
      <w:r>
        <w:t>yen créditos para sufragar la convocación de dos períodos de sesiones anuales del Comité y las reuniones de sus grupos de trabajo. Para el período de sesiones adici</w:t>
      </w:r>
      <w:r>
        <w:t>o</w:t>
      </w:r>
      <w:r>
        <w:t>nal y la ampliación del grupo de trabajo anterior al período de sesiones se necesit</w:t>
      </w:r>
      <w:r>
        <w:t>a</w:t>
      </w:r>
      <w:r>
        <w:t>rían otros recursos con los que se sufragarían los gastos de viaje y viáticos de los 23 miembros que asistirían al período de sesiones, los viáticos de los miembros ad</w:t>
      </w:r>
      <w:r>
        <w:t>i</w:t>
      </w:r>
      <w:r>
        <w:t>cionales del grupo de trabajo anterior al período de sesiones que se reuniría en f</w:t>
      </w:r>
      <w:r>
        <w:t>e</w:t>
      </w:r>
      <w:r>
        <w:t>brero de 2002 y las necesidades de los servicios de conferencias que se enumeran a continu</w:t>
      </w:r>
      <w:r>
        <w:t>a</w:t>
      </w:r>
      <w:r>
        <w:t>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Sección 9, Asuntos económicos y sociales</w:t>
      </w:r>
    </w:p>
    <w:p w:rsidR="00000000" w:rsidRDefault="00000000">
      <w:pPr>
        <w:pStyle w:val="SingleTxt"/>
        <w:spacing w:after="0" w:line="120" w:lineRule="exact"/>
        <w:rPr>
          <w:sz w:val="10"/>
        </w:rPr>
      </w:pPr>
    </w:p>
    <w:p w:rsidR="00000000" w:rsidRDefault="00000000">
      <w:pPr>
        <w:pStyle w:val="SingleTxt"/>
        <w:numPr>
          <w:ilvl w:val="0"/>
          <w:numId w:val="508"/>
        </w:numPr>
      </w:pPr>
      <w:r>
        <w:t>Los gastos de viaje y viáticos de los miembros que asistirían al período de s</w:t>
      </w:r>
      <w:r>
        <w:t>e</w:t>
      </w:r>
      <w:r>
        <w:t>siones y de los miembros adicionales que asistirían al grupo de trabajo ampliado anterior al período de sesiones se estiman a continuación sobre la base de los costos completos, en dólares de los Estados Unidos:</w:t>
      </w:r>
    </w:p>
    <w:tbl>
      <w:tblPr>
        <w:tblW w:w="0" w:type="auto"/>
        <w:tblInd w:w="1262" w:type="dxa"/>
        <w:tblLayout w:type="fixed"/>
        <w:tblCellMar>
          <w:left w:w="0" w:type="dxa"/>
          <w:right w:w="0" w:type="dxa"/>
        </w:tblCellMar>
        <w:tblLook w:val="0000" w:firstRow="0" w:lastRow="0" w:firstColumn="0" w:lastColumn="0" w:noHBand="0" w:noVBand="0"/>
      </w:tblPr>
      <w:tblGrid>
        <w:gridCol w:w="5850"/>
        <w:gridCol w:w="1470"/>
      </w:tblGrid>
      <w:tr w:rsidR="00000000">
        <w:tblPrEx>
          <w:tblCellMar>
            <w:top w:w="0" w:type="dxa"/>
            <w:left w:w="0" w:type="dxa"/>
            <w:bottom w:w="0" w:type="dxa"/>
            <w:right w:w="0" w:type="dxa"/>
          </w:tblCellMar>
        </w:tblPrEx>
        <w:tc>
          <w:tcPr>
            <w:tcW w:w="5850" w:type="dxa"/>
          </w:tcPr>
          <w:p w:rsidR="00000000" w:rsidRDefault="00000000">
            <w:pPr>
              <w:tabs>
                <w:tab w:val="left" w:pos="288"/>
                <w:tab w:val="left" w:pos="576"/>
                <w:tab w:val="left" w:pos="864"/>
                <w:tab w:val="left" w:pos="1152"/>
              </w:tabs>
              <w:spacing w:before="40" w:after="40"/>
              <w:ind w:right="43"/>
            </w:pPr>
            <w:r>
              <w:tab/>
              <w:t>a)</w:t>
            </w:r>
            <w:r>
              <w:tab/>
              <w:t>Período de sesiones adicional del Comité</w:t>
            </w:r>
          </w:p>
        </w:tc>
        <w:tc>
          <w:tcPr>
            <w:tcW w:w="1470" w:type="dxa"/>
          </w:tcPr>
          <w:p w:rsidR="00000000" w:rsidRDefault="00000000">
            <w:pPr>
              <w:tabs>
                <w:tab w:val="left" w:pos="288"/>
                <w:tab w:val="left" w:pos="576"/>
                <w:tab w:val="left" w:pos="864"/>
                <w:tab w:val="left" w:pos="1152"/>
              </w:tabs>
              <w:spacing w:before="40" w:after="40"/>
              <w:ind w:right="43"/>
              <w:jc w:val="right"/>
            </w:pPr>
          </w:p>
        </w:tc>
      </w:tr>
      <w:tr w:rsidR="00000000">
        <w:tblPrEx>
          <w:tblCellMar>
            <w:top w:w="0" w:type="dxa"/>
            <w:left w:w="0" w:type="dxa"/>
            <w:bottom w:w="0" w:type="dxa"/>
            <w:right w:w="0" w:type="dxa"/>
          </w:tblCellMar>
        </w:tblPrEx>
        <w:tc>
          <w:tcPr>
            <w:tcW w:w="5850" w:type="dxa"/>
          </w:tcPr>
          <w:p w:rsidR="00000000" w:rsidRDefault="00000000">
            <w:pPr>
              <w:tabs>
                <w:tab w:val="left" w:pos="288"/>
                <w:tab w:val="left" w:pos="576"/>
                <w:tab w:val="left" w:pos="864"/>
                <w:tab w:val="left" w:pos="1152"/>
              </w:tabs>
              <w:spacing w:before="40" w:after="40"/>
              <w:ind w:right="43"/>
            </w:pPr>
            <w:r>
              <w:tab/>
            </w:r>
            <w:r>
              <w:tab/>
              <w:t>i)</w:t>
            </w:r>
            <w:r>
              <w:tab/>
              <w:t>Gastos de viaje (23 miembros del Comité a Nueva York)</w:t>
            </w:r>
          </w:p>
        </w:tc>
        <w:tc>
          <w:tcPr>
            <w:tcW w:w="1470" w:type="dxa"/>
          </w:tcPr>
          <w:p w:rsidR="00000000" w:rsidRDefault="00000000">
            <w:pPr>
              <w:tabs>
                <w:tab w:val="left" w:pos="288"/>
                <w:tab w:val="left" w:pos="576"/>
                <w:tab w:val="left" w:pos="864"/>
                <w:tab w:val="left" w:pos="1152"/>
              </w:tabs>
              <w:spacing w:before="40" w:after="40"/>
              <w:ind w:right="43"/>
              <w:jc w:val="right"/>
            </w:pPr>
            <w:r>
              <w:t>115 900</w:t>
            </w:r>
          </w:p>
        </w:tc>
      </w:tr>
      <w:tr w:rsidR="00000000">
        <w:tblPrEx>
          <w:tblCellMar>
            <w:top w:w="0" w:type="dxa"/>
            <w:left w:w="0" w:type="dxa"/>
            <w:bottom w:w="0" w:type="dxa"/>
            <w:right w:w="0" w:type="dxa"/>
          </w:tblCellMar>
        </w:tblPrEx>
        <w:tc>
          <w:tcPr>
            <w:tcW w:w="5850" w:type="dxa"/>
          </w:tcPr>
          <w:p w:rsidR="00000000" w:rsidRDefault="00000000">
            <w:pPr>
              <w:tabs>
                <w:tab w:val="left" w:pos="288"/>
                <w:tab w:val="left" w:pos="576"/>
                <w:tab w:val="left" w:pos="864"/>
                <w:tab w:val="left" w:pos="1152"/>
              </w:tabs>
              <w:spacing w:before="40" w:after="40"/>
              <w:ind w:right="43"/>
            </w:pPr>
            <w:r>
              <w:tab/>
            </w:r>
            <w:r>
              <w:tab/>
              <w:t>ii)</w:t>
            </w:r>
            <w:r>
              <w:tab/>
              <w:t>Viáticos (23 miembros del Comité)</w:t>
            </w:r>
          </w:p>
        </w:tc>
        <w:tc>
          <w:tcPr>
            <w:tcW w:w="1470" w:type="dxa"/>
          </w:tcPr>
          <w:p w:rsidR="00000000" w:rsidRDefault="00000000">
            <w:pPr>
              <w:tabs>
                <w:tab w:val="left" w:pos="288"/>
                <w:tab w:val="left" w:pos="576"/>
                <w:tab w:val="left" w:pos="864"/>
                <w:tab w:val="left" w:pos="1152"/>
              </w:tabs>
              <w:spacing w:before="40" w:after="40"/>
              <w:ind w:right="43"/>
              <w:jc w:val="right"/>
            </w:pPr>
            <w:r>
              <w:t>117 100</w:t>
            </w:r>
          </w:p>
        </w:tc>
      </w:tr>
      <w:tr w:rsidR="00000000">
        <w:tblPrEx>
          <w:tblCellMar>
            <w:top w:w="0" w:type="dxa"/>
            <w:left w:w="0" w:type="dxa"/>
            <w:bottom w:w="0" w:type="dxa"/>
            <w:right w:w="0" w:type="dxa"/>
          </w:tblCellMar>
        </w:tblPrEx>
        <w:tc>
          <w:tcPr>
            <w:tcW w:w="5850" w:type="dxa"/>
          </w:tcPr>
          <w:p w:rsidR="00000000" w:rsidRDefault="00000000">
            <w:pPr>
              <w:tabs>
                <w:tab w:val="left" w:pos="288"/>
                <w:tab w:val="left" w:pos="576"/>
                <w:tab w:val="left" w:pos="864"/>
                <w:tab w:val="left" w:pos="1152"/>
              </w:tabs>
              <w:spacing w:before="40" w:after="40"/>
              <w:ind w:right="43"/>
            </w:pPr>
            <w:r>
              <w:tab/>
            </w:r>
            <w:r>
              <w:tab/>
              <w:t>iii)</w:t>
            </w:r>
            <w:r>
              <w:tab/>
              <w:t>Pequeños gastos de salida y llegada</w:t>
            </w:r>
          </w:p>
        </w:tc>
        <w:tc>
          <w:tcPr>
            <w:tcW w:w="1470" w:type="dxa"/>
          </w:tcPr>
          <w:p w:rsidR="00000000" w:rsidRDefault="00000000">
            <w:pPr>
              <w:tabs>
                <w:tab w:val="left" w:pos="288"/>
                <w:tab w:val="left" w:pos="576"/>
                <w:tab w:val="left" w:pos="864"/>
                <w:tab w:val="left" w:pos="1152"/>
              </w:tabs>
              <w:spacing w:before="40" w:after="40"/>
              <w:ind w:right="43"/>
              <w:jc w:val="right"/>
            </w:pPr>
            <w:r>
              <w:t>3 700</w:t>
            </w:r>
          </w:p>
        </w:tc>
      </w:tr>
      <w:tr w:rsidR="00000000">
        <w:tblPrEx>
          <w:tblCellMar>
            <w:top w:w="0" w:type="dxa"/>
            <w:left w:w="0" w:type="dxa"/>
            <w:bottom w:w="0" w:type="dxa"/>
            <w:right w:w="0" w:type="dxa"/>
          </w:tblCellMar>
        </w:tblPrEx>
        <w:tc>
          <w:tcPr>
            <w:tcW w:w="5850" w:type="dxa"/>
          </w:tcPr>
          <w:p w:rsidR="00000000" w:rsidRDefault="00000000">
            <w:pPr>
              <w:tabs>
                <w:tab w:val="left" w:pos="288"/>
                <w:tab w:val="left" w:pos="576"/>
                <w:tab w:val="left" w:pos="864"/>
                <w:tab w:val="left" w:pos="1152"/>
              </w:tabs>
              <w:spacing w:before="40" w:after="40"/>
              <w:ind w:left="288" w:right="43" w:hanging="288"/>
            </w:pPr>
            <w:r>
              <w:tab/>
              <w:t>b)</w:t>
            </w:r>
            <w:r>
              <w:tab/>
              <w:t>Ampliación del grupo de trabajo anterior al período de sesiones (viát</w:t>
            </w:r>
            <w:r>
              <w:t>i</w:t>
            </w:r>
            <w:r>
              <w:t>cos)</w:t>
            </w:r>
          </w:p>
        </w:tc>
        <w:tc>
          <w:tcPr>
            <w:tcW w:w="1470" w:type="dxa"/>
            <w:vAlign w:val="bottom"/>
          </w:tcPr>
          <w:p w:rsidR="00000000" w:rsidRDefault="00000000">
            <w:pPr>
              <w:tabs>
                <w:tab w:val="left" w:pos="288"/>
                <w:tab w:val="left" w:pos="576"/>
                <w:tab w:val="left" w:pos="864"/>
                <w:tab w:val="left" w:pos="1152"/>
              </w:tabs>
              <w:spacing w:before="40" w:after="40"/>
              <w:ind w:right="43"/>
              <w:jc w:val="right"/>
            </w:pPr>
            <w:r>
              <w:t>16 200</w:t>
            </w:r>
          </w:p>
        </w:tc>
      </w:tr>
      <w:tr w:rsidR="00000000">
        <w:tblPrEx>
          <w:tblCellMar>
            <w:top w:w="0" w:type="dxa"/>
            <w:left w:w="0" w:type="dxa"/>
            <w:bottom w:w="0" w:type="dxa"/>
            <w:right w:w="0" w:type="dxa"/>
          </w:tblCellMar>
        </w:tblPrEx>
        <w:tc>
          <w:tcPr>
            <w:tcW w:w="5850" w:type="dxa"/>
          </w:tcPr>
          <w:p w:rsidR="00000000" w:rsidRDefault="00000000">
            <w:pPr>
              <w:tabs>
                <w:tab w:val="left" w:pos="288"/>
                <w:tab w:val="left" w:pos="576"/>
                <w:tab w:val="left" w:pos="864"/>
                <w:tab w:val="left" w:pos="1152"/>
              </w:tabs>
              <w:spacing w:before="40" w:after="40"/>
              <w:ind w:right="43"/>
              <w:rPr>
                <w:b/>
              </w:rPr>
            </w:pPr>
            <w:r>
              <w:rPr>
                <w:b/>
              </w:rPr>
              <w:tab/>
            </w:r>
            <w:r>
              <w:rPr>
                <w:b/>
              </w:rPr>
              <w:tab/>
              <w:t>Total</w:t>
            </w:r>
          </w:p>
        </w:tc>
        <w:tc>
          <w:tcPr>
            <w:tcW w:w="1470" w:type="dxa"/>
          </w:tcPr>
          <w:p w:rsidR="00000000" w:rsidRDefault="00000000">
            <w:pPr>
              <w:tabs>
                <w:tab w:val="left" w:pos="288"/>
                <w:tab w:val="left" w:pos="576"/>
                <w:tab w:val="left" w:pos="864"/>
                <w:tab w:val="left" w:pos="1152"/>
              </w:tabs>
              <w:spacing w:before="40" w:after="40"/>
              <w:ind w:right="43"/>
              <w:jc w:val="right"/>
              <w:rPr>
                <w:b/>
              </w:rPr>
            </w:pPr>
            <w:r>
              <w:rPr>
                <w:b/>
              </w:rPr>
              <w:t>252 900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Sección 2, Asuntos de la Asamblea General y servicios de conferencias</w:t>
      </w:r>
    </w:p>
    <w:p w:rsidR="00000000" w:rsidRDefault="00000000">
      <w:pPr>
        <w:pStyle w:val="SingleTxt"/>
        <w:spacing w:after="0" w:line="120" w:lineRule="exact"/>
        <w:rPr>
          <w:sz w:val="10"/>
        </w:rPr>
      </w:pPr>
    </w:p>
    <w:p w:rsidR="00000000" w:rsidRDefault="00000000">
      <w:pPr>
        <w:pStyle w:val="SingleTxt"/>
        <w:numPr>
          <w:ilvl w:val="0"/>
          <w:numId w:val="508"/>
        </w:numPr>
      </w:pPr>
      <w:r>
        <w:t>Para el período de sesiones adicional se necesitarán servicios de conferencias para 30 reuniones con interpretación en seis idiomas. De la documentación para las reuniones, deberán procesarse en seis idiomas 2.700 páginas y dos documentos de la labor anterior al período de sesiones, 100 páginas y 10 documentos de la labor del período de sesiones y 40 páginas y un documento de la labor posterior al período de sesiones. Se entiende que no habría una reunión adicional del grupo de trabajo ant</w:t>
      </w:r>
      <w:r>
        <w:t>e</w:t>
      </w:r>
      <w:r>
        <w:t>rior al período de sesiones. Las estimaciones de gastos son las siguientes (en dólares de los Estados Unidos):</w:t>
      </w:r>
    </w:p>
    <w:tbl>
      <w:tblPr>
        <w:tblW w:w="0" w:type="auto"/>
        <w:tblInd w:w="1262" w:type="dxa"/>
        <w:tblLayout w:type="fixed"/>
        <w:tblCellMar>
          <w:left w:w="0" w:type="dxa"/>
          <w:right w:w="0" w:type="dxa"/>
        </w:tblCellMar>
        <w:tblLook w:val="0000" w:firstRow="0" w:lastRow="0" w:firstColumn="0" w:lastColumn="0" w:noHBand="0" w:noVBand="0"/>
      </w:tblPr>
      <w:tblGrid>
        <w:gridCol w:w="5850"/>
        <w:gridCol w:w="1470"/>
      </w:tblGrid>
      <w:tr w:rsidR="00000000">
        <w:tblPrEx>
          <w:tblCellMar>
            <w:top w:w="0" w:type="dxa"/>
            <w:left w:w="0" w:type="dxa"/>
            <w:bottom w:w="0" w:type="dxa"/>
            <w:right w:w="0" w:type="dxa"/>
          </w:tblCellMar>
        </w:tblPrEx>
        <w:tc>
          <w:tcPr>
            <w:tcW w:w="5850" w:type="dxa"/>
          </w:tcPr>
          <w:p w:rsidR="00000000" w:rsidRDefault="00000000">
            <w:pPr>
              <w:keepNext/>
              <w:keepLines/>
              <w:tabs>
                <w:tab w:val="left" w:pos="288"/>
                <w:tab w:val="left" w:pos="576"/>
                <w:tab w:val="left" w:pos="864"/>
                <w:tab w:val="left" w:pos="1152"/>
              </w:tabs>
              <w:spacing w:before="40" w:after="40"/>
              <w:ind w:right="43"/>
            </w:pPr>
            <w:r>
              <w:tab/>
              <w:t>a)</w:t>
            </w:r>
            <w:r>
              <w:tab/>
              <w:t>Servicios de reuniones e interpretación</w:t>
            </w:r>
          </w:p>
        </w:tc>
        <w:tc>
          <w:tcPr>
            <w:tcW w:w="1470" w:type="dxa"/>
          </w:tcPr>
          <w:p w:rsidR="00000000" w:rsidRDefault="00000000">
            <w:pPr>
              <w:keepNext/>
              <w:keepLines/>
              <w:tabs>
                <w:tab w:val="left" w:pos="288"/>
                <w:tab w:val="left" w:pos="576"/>
                <w:tab w:val="left" w:pos="864"/>
                <w:tab w:val="left" w:pos="1152"/>
              </w:tabs>
              <w:spacing w:before="40" w:after="40"/>
              <w:ind w:right="43"/>
              <w:jc w:val="right"/>
            </w:pPr>
            <w:r>
              <w:t>205 400</w:t>
            </w:r>
          </w:p>
        </w:tc>
      </w:tr>
      <w:tr w:rsidR="00000000">
        <w:tblPrEx>
          <w:tblCellMar>
            <w:top w:w="0" w:type="dxa"/>
            <w:left w:w="0" w:type="dxa"/>
            <w:bottom w:w="0" w:type="dxa"/>
            <w:right w:w="0" w:type="dxa"/>
          </w:tblCellMar>
        </w:tblPrEx>
        <w:tc>
          <w:tcPr>
            <w:tcW w:w="5850" w:type="dxa"/>
          </w:tcPr>
          <w:p w:rsidR="00000000" w:rsidRDefault="00000000">
            <w:pPr>
              <w:keepNext/>
              <w:keepLines/>
              <w:tabs>
                <w:tab w:val="left" w:pos="288"/>
                <w:tab w:val="left" w:pos="576"/>
                <w:tab w:val="left" w:pos="864"/>
                <w:tab w:val="left" w:pos="1152"/>
              </w:tabs>
              <w:spacing w:before="40" w:after="40"/>
              <w:ind w:right="43"/>
            </w:pPr>
            <w:r>
              <w:tab/>
              <w:t>b)</w:t>
            </w:r>
            <w:r>
              <w:tab/>
              <w:t>Documentación anterior al período de sesiones</w:t>
            </w:r>
          </w:p>
        </w:tc>
        <w:tc>
          <w:tcPr>
            <w:tcW w:w="1470" w:type="dxa"/>
          </w:tcPr>
          <w:p w:rsidR="00000000" w:rsidRDefault="00000000">
            <w:pPr>
              <w:keepNext/>
              <w:keepLines/>
              <w:tabs>
                <w:tab w:val="left" w:pos="288"/>
                <w:tab w:val="left" w:pos="576"/>
                <w:tab w:val="left" w:pos="864"/>
                <w:tab w:val="left" w:pos="1152"/>
              </w:tabs>
              <w:spacing w:before="40" w:after="40"/>
              <w:ind w:right="43"/>
              <w:jc w:val="right"/>
            </w:pPr>
            <w:r>
              <w:t>3 066 400</w:t>
            </w:r>
          </w:p>
        </w:tc>
      </w:tr>
      <w:tr w:rsidR="00000000">
        <w:tblPrEx>
          <w:tblCellMar>
            <w:top w:w="0" w:type="dxa"/>
            <w:left w:w="0" w:type="dxa"/>
            <w:bottom w:w="0" w:type="dxa"/>
            <w:right w:w="0" w:type="dxa"/>
          </w:tblCellMar>
        </w:tblPrEx>
        <w:tc>
          <w:tcPr>
            <w:tcW w:w="5850" w:type="dxa"/>
          </w:tcPr>
          <w:p w:rsidR="00000000" w:rsidRDefault="00000000">
            <w:pPr>
              <w:keepNext/>
              <w:keepLines/>
              <w:tabs>
                <w:tab w:val="left" w:pos="288"/>
                <w:tab w:val="left" w:pos="576"/>
                <w:tab w:val="left" w:pos="864"/>
                <w:tab w:val="left" w:pos="1152"/>
              </w:tabs>
              <w:spacing w:before="40" w:after="40"/>
              <w:ind w:right="43"/>
            </w:pPr>
            <w:r>
              <w:tab/>
              <w:t>c)</w:t>
            </w:r>
            <w:r>
              <w:tab/>
              <w:t>Documentación del período de sesiones</w:t>
            </w:r>
          </w:p>
        </w:tc>
        <w:tc>
          <w:tcPr>
            <w:tcW w:w="1470" w:type="dxa"/>
          </w:tcPr>
          <w:p w:rsidR="00000000" w:rsidRDefault="00000000">
            <w:pPr>
              <w:keepNext/>
              <w:keepLines/>
              <w:tabs>
                <w:tab w:val="left" w:pos="288"/>
                <w:tab w:val="left" w:pos="576"/>
                <w:tab w:val="left" w:pos="864"/>
                <w:tab w:val="left" w:pos="1152"/>
              </w:tabs>
              <w:spacing w:before="40" w:after="40"/>
              <w:ind w:right="43"/>
              <w:jc w:val="right"/>
            </w:pPr>
            <w:r>
              <w:t>113 100</w:t>
            </w:r>
          </w:p>
        </w:tc>
      </w:tr>
      <w:tr w:rsidR="00000000">
        <w:tblPrEx>
          <w:tblCellMar>
            <w:top w:w="0" w:type="dxa"/>
            <w:left w:w="0" w:type="dxa"/>
            <w:bottom w:w="0" w:type="dxa"/>
            <w:right w:w="0" w:type="dxa"/>
          </w:tblCellMar>
        </w:tblPrEx>
        <w:tc>
          <w:tcPr>
            <w:tcW w:w="5850" w:type="dxa"/>
          </w:tcPr>
          <w:p w:rsidR="00000000" w:rsidRDefault="00000000">
            <w:pPr>
              <w:keepNext/>
              <w:keepLines/>
              <w:tabs>
                <w:tab w:val="left" w:pos="288"/>
                <w:tab w:val="left" w:pos="576"/>
                <w:tab w:val="left" w:pos="864"/>
                <w:tab w:val="left" w:pos="1152"/>
              </w:tabs>
              <w:spacing w:before="40" w:after="40"/>
              <w:ind w:right="43"/>
            </w:pPr>
            <w:r>
              <w:tab/>
              <w:t>d)</w:t>
            </w:r>
            <w:r>
              <w:tab/>
              <w:t>Documentación posterior al período de sesiones</w:t>
            </w:r>
          </w:p>
        </w:tc>
        <w:tc>
          <w:tcPr>
            <w:tcW w:w="1470" w:type="dxa"/>
          </w:tcPr>
          <w:p w:rsidR="00000000" w:rsidRDefault="00000000">
            <w:pPr>
              <w:keepNext/>
              <w:keepLines/>
              <w:tabs>
                <w:tab w:val="left" w:pos="288"/>
                <w:tab w:val="left" w:pos="576"/>
                <w:tab w:val="left" w:pos="864"/>
                <w:tab w:val="left" w:pos="1152"/>
              </w:tabs>
              <w:spacing w:before="40" w:after="40"/>
              <w:ind w:right="43"/>
              <w:jc w:val="right"/>
            </w:pPr>
            <w:r>
              <w:t>45 700</w:t>
            </w:r>
          </w:p>
        </w:tc>
      </w:tr>
      <w:tr w:rsidR="00000000">
        <w:tblPrEx>
          <w:tblCellMar>
            <w:top w:w="0" w:type="dxa"/>
            <w:left w:w="0" w:type="dxa"/>
            <w:bottom w:w="0" w:type="dxa"/>
            <w:right w:w="0" w:type="dxa"/>
          </w:tblCellMar>
        </w:tblPrEx>
        <w:tc>
          <w:tcPr>
            <w:tcW w:w="5850" w:type="dxa"/>
          </w:tcPr>
          <w:p w:rsidR="00000000" w:rsidRDefault="00000000">
            <w:pPr>
              <w:keepNext/>
              <w:keepLines/>
              <w:tabs>
                <w:tab w:val="left" w:pos="288"/>
                <w:tab w:val="left" w:pos="576"/>
                <w:tab w:val="left" w:pos="864"/>
                <w:tab w:val="left" w:pos="1152"/>
              </w:tabs>
              <w:spacing w:before="40" w:after="40"/>
              <w:ind w:right="43"/>
              <w:rPr>
                <w:b/>
              </w:rPr>
            </w:pPr>
            <w:r>
              <w:rPr>
                <w:b/>
              </w:rPr>
              <w:tab/>
            </w:r>
            <w:r>
              <w:rPr>
                <w:b/>
              </w:rPr>
              <w:tab/>
              <w:t>Total</w:t>
            </w:r>
          </w:p>
        </w:tc>
        <w:tc>
          <w:tcPr>
            <w:tcW w:w="1470" w:type="dxa"/>
          </w:tcPr>
          <w:p w:rsidR="00000000" w:rsidRDefault="00000000">
            <w:pPr>
              <w:keepNext/>
              <w:keepLines/>
              <w:tabs>
                <w:tab w:val="left" w:pos="288"/>
                <w:tab w:val="left" w:pos="576"/>
                <w:tab w:val="left" w:pos="864"/>
                <w:tab w:val="left" w:pos="1152"/>
              </w:tabs>
              <w:spacing w:before="40" w:after="40"/>
              <w:ind w:right="43"/>
              <w:jc w:val="right"/>
              <w:rPr>
                <w:b/>
              </w:rPr>
            </w:pPr>
            <w:r>
              <w:rPr>
                <w:b/>
              </w:rPr>
              <w:t>3 430 600</w:t>
            </w:r>
          </w:p>
        </w:tc>
      </w:tr>
    </w:tbl>
    <w:p w:rsidR="00000000" w:rsidRDefault="00000000">
      <w:pPr>
        <w:pStyle w:val="SingleTxt"/>
        <w:keepNext/>
        <w:keepLines/>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Posibilidades de absorción de los gastos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08"/>
        </w:numPr>
      </w:pPr>
      <w:r>
        <w:t>Con cargo al proyecto de presupuesto por programas para el bienio 2002-2003 se sufragarían los gastos únicamente de dos períodos de sesiones anuales del Comité y dos reuniones anuales del grupo de trabajo anterior al período de sesiones. En la actual etapa no se prevé que las necesidades adicionales para gastos de viaje y viát</w:t>
      </w:r>
      <w:r>
        <w:t>i</w:t>
      </w:r>
      <w:r>
        <w:t>cos se puedan sufragar con los recursos propuestos en la sección 9, Asuntos econ</w:t>
      </w:r>
      <w:r>
        <w:t>ó</w:t>
      </w:r>
      <w:r>
        <w:t>micos y s</w:t>
      </w:r>
      <w:r>
        <w:t>o</w:t>
      </w:r>
      <w:r>
        <w:t>ciales.</w:t>
      </w:r>
    </w:p>
    <w:p w:rsidR="00000000" w:rsidRDefault="00000000">
      <w:pPr>
        <w:pStyle w:val="SingleTxt"/>
        <w:numPr>
          <w:ilvl w:val="0"/>
          <w:numId w:val="508"/>
        </w:numPr>
      </w:pPr>
      <w:r>
        <w:t>En relación con las otras necesidades de servicios de conferencias, cabe señ</w:t>
      </w:r>
      <w:r>
        <w:t>a</w:t>
      </w:r>
      <w:r>
        <w:t>lar que se basan en la hipótesis de que ninguna parte debe sufragarse con cargo a los recursos de los servicios de conferencias permanentes que figuran en la se</w:t>
      </w:r>
      <w:r>
        <w:t>c</w:t>
      </w:r>
      <w:r>
        <w:t>ción 2 (Asuntos de la Asamblea General y servicios de conferencias) del proyecto de presupuesto por programas para 2002-2003. Podría determinarse en qué medida s</w:t>
      </w:r>
      <w:r>
        <w:t>e</w:t>
      </w:r>
      <w:r>
        <w:t>ría necesario complementar la capacidad de servicios de conferencias de la Organ</w:t>
      </w:r>
      <w:r>
        <w:t>i</w:t>
      </w:r>
      <w:r>
        <w:t>zación con recursos temporarios sólo si se conociera el calendario de conferencias y reuniones para el bienio 2002-2003. En la sección 2 del proyecto de presupuesto por programas para el bienio 2002-2003 se han asignado fondos no solamente para las reuniones programadas en el momento de la preparación del presupuesto, sino ta</w:t>
      </w:r>
      <w:r>
        <w:t>m</w:t>
      </w:r>
      <w:r>
        <w:t>bién para las reuniones que podrían autorizarse posteriormente, a condición de que las reuniones y las conferencias concuerden, en número y en distribución, con las de años anteriores. En consecuencia, no se necesitarán otros recursos en esa se</w:t>
      </w:r>
      <w:r>
        <w:t>c</w:t>
      </w:r>
      <w:r>
        <w:t>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Resumen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08"/>
        </w:numPr>
      </w:pPr>
      <w:r>
        <w:t>Si el Comité para la Eliminación de la Discriminación contra la Mujer aprob</w:t>
      </w:r>
      <w:r>
        <w:t>a</w:t>
      </w:r>
      <w:r>
        <w:t>ra el proyecto de decisión 25/I, las necesidades de recursos, estimadas en 252.900 dólares, en la sección 9, Asuntos económicos y sociales, se sufragarían con cargo al fondo para imprevistos para el bienio 2002-2003 y posteriormente la Asamblea G</w:t>
      </w:r>
      <w:r>
        <w:t>e</w:t>
      </w:r>
      <w:r>
        <w:t>neral, en su quincuagésimo sexto período de sesiones, tomaría medidas de confo</w:t>
      </w:r>
      <w:r>
        <w:t>r</w:t>
      </w:r>
      <w:r>
        <w:t>midad con el procedimiento establecido por la Asamblea en sus resoluciones 41/213, de 19 de d</w:t>
      </w:r>
      <w:r>
        <w:t>i</w:t>
      </w:r>
      <w:r>
        <w:t>ciembre de 1986, y 42/211, de 21 de diciembre de 1987.</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Anexo VIII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Estado de la presentación y el examen de informes presentados por los Estados partes con arreglo al artículo 18 de la Convención sobre la eliminación de todas las formas de discriminación contra la mujer, al 1° de agosto de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700"/>
        <w:gridCol w:w="2430"/>
        <w:gridCol w:w="2880"/>
        <w:gridCol w:w="1800"/>
        <w:gridCol w:w="29"/>
        <w:gridCol w:w="11"/>
        <w:gridCol w:w="21"/>
      </w:tblGrid>
      <w:tr w:rsidR="00000000">
        <w:tblPrEx>
          <w:tblCellMar>
            <w:top w:w="0" w:type="dxa"/>
            <w:left w:w="0" w:type="dxa"/>
            <w:bottom w:w="0" w:type="dxa"/>
            <w:right w:w="0" w:type="dxa"/>
          </w:tblCellMar>
        </w:tblPrEx>
        <w:trPr>
          <w:gridAfter w:val="3"/>
          <w:wAfter w:w="61" w:type="dxa"/>
          <w:tblHeader/>
        </w:trPr>
        <w:tc>
          <w:tcPr>
            <w:tcW w:w="2700" w:type="dxa"/>
            <w:tcBorders>
              <w:top w:val="single" w:sz="4" w:space="0" w:color="auto"/>
            </w:tcBorders>
            <w:vAlign w:val="bottom"/>
          </w:tcPr>
          <w:p w:rsidR="00000000" w:rsidRDefault="00000000">
            <w:pPr>
              <w:spacing w:before="81" w:after="81" w:line="160" w:lineRule="exact"/>
              <w:ind w:right="40"/>
              <w:rPr>
                <w:i/>
                <w:sz w:val="14"/>
              </w:rPr>
            </w:pPr>
            <w:r>
              <w:rPr>
                <w:i/>
                <w:sz w:val="14"/>
              </w:rPr>
              <w:t>Estado parte</w:t>
            </w:r>
          </w:p>
        </w:tc>
        <w:tc>
          <w:tcPr>
            <w:tcW w:w="2430" w:type="dxa"/>
            <w:tcBorders>
              <w:top w:val="single" w:sz="4" w:space="0" w:color="auto"/>
            </w:tcBorders>
            <w:vAlign w:val="bottom"/>
          </w:tcPr>
          <w:p w:rsidR="00000000" w:rsidRDefault="00000000">
            <w:pPr>
              <w:spacing w:before="81" w:after="81" w:line="160" w:lineRule="exact"/>
              <w:ind w:right="40"/>
              <w:rPr>
                <w:i/>
                <w:sz w:val="14"/>
              </w:rPr>
            </w:pPr>
            <w:r>
              <w:rPr>
                <w:i/>
                <w:sz w:val="14"/>
              </w:rPr>
              <w:t>Fecha de presentación prevista</w:t>
            </w:r>
            <w:r>
              <w:rPr>
                <w:i/>
                <w:sz w:val="14"/>
                <w:vertAlign w:val="superscript"/>
              </w:rPr>
              <w:t>a</w:t>
            </w:r>
          </w:p>
        </w:tc>
        <w:tc>
          <w:tcPr>
            <w:tcW w:w="2880" w:type="dxa"/>
            <w:tcBorders>
              <w:top w:val="single" w:sz="4" w:space="0" w:color="auto"/>
            </w:tcBorders>
            <w:vAlign w:val="bottom"/>
          </w:tcPr>
          <w:p w:rsidR="00000000" w:rsidRDefault="00000000">
            <w:pPr>
              <w:spacing w:before="81" w:after="81" w:line="160" w:lineRule="exact"/>
              <w:ind w:right="40"/>
              <w:rPr>
                <w:i/>
                <w:sz w:val="14"/>
              </w:rPr>
            </w:pPr>
            <w:r>
              <w:rPr>
                <w:i/>
                <w:sz w:val="14"/>
              </w:rPr>
              <w:t>Fecha de presentación efectiva</w:t>
            </w:r>
          </w:p>
        </w:tc>
        <w:tc>
          <w:tcPr>
            <w:tcW w:w="1800" w:type="dxa"/>
            <w:tcBorders>
              <w:top w:val="single" w:sz="4" w:space="0" w:color="auto"/>
            </w:tcBorders>
          </w:tcPr>
          <w:p w:rsidR="00000000" w:rsidRDefault="00000000">
            <w:pPr>
              <w:spacing w:before="81" w:after="81" w:line="160" w:lineRule="exact"/>
              <w:ind w:right="40"/>
              <w:rPr>
                <w:i/>
                <w:sz w:val="14"/>
              </w:rPr>
            </w:pPr>
            <w:r>
              <w:rPr>
                <w:i/>
                <w:sz w:val="14"/>
              </w:rPr>
              <w:t xml:space="preserve">Examen por el Comité </w:t>
            </w:r>
            <w:r>
              <w:rPr>
                <w:i/>
                <w:sz w:val="14"/>
              </w:rPr>
              <w:br/>
              <w:t>(período de sesiones (año))</w:t>
            </w:r>
          </w:p>
        </w:tc>
      </w:tr>
      <w:tr w:rsidR="00000000">
        <w:tblPrEx>
          <w:tblCellMar>
            <w:top w:w="0" w:type="dxa"/>
            <w:left w:w="0" w:type="dxa"/>
            <w:bottom w:w="0" w:type="dxa"/>
            <w:right w:w="0" w:type="dxa"/>
          </w:tblCellMar>
        </w:tblPrEx>
        <w:trPr>
          <w:gridAfter w:val="3"/>
          <w:wAfter w:w="61" w:type="dxa"/>
          <w:trHeight w:hRule="exact" w:val="115"/>
          <w:tblHeader/>
        </w:trPr>
        <w:tc>
          <w:tcPr>
            <w:tcW w:w="2700" w:type="dxa"/>
            <w:tcBorders>
              <w:top w:val="single" w:sz="12" w:space="0" w:color="auto"/>
            </w:tcBorders>
          </w:tcPr>
          <w:p w:rsidR="00000000" w:rsidRDefault="00000000">
            <w:pPr>
              <w:spacing w:before="40" w:after="81" w:line="210" w:lineRule="exact"/>
              <w:ind w:right="40"/>
              <w:rPr>
                <w:sz w:val="17"/>
              </w:rPr>
            </w:pPr>
          </w:p>
        </w:tc>
        <w:tc>
          <w:tcPr>
            <w:tcW w:w="2430" w:type="dxa"/>
            <w:tcBorders>
              <w:top w:val="single" w:sz="12" w:space="0" w:color="auto"/>
            </w:tcBorders>
          </w:tcPr>
          <w:p w:rsidR="00000000" w:rsidRDefault="00000000">
            <w:pPr>
              <w:spacing w:before="40" w:after="81" w:line="210" w:lineRule="exact"/>
              <w:ind w:right="40"/>
              <w:rPr>
                <w:sz w:val="17"/>
              </w:rPr>
            </w:pPr>
          </w:p>
        </w:tc>
        <w:tc>
          <w:tcPr>
            <w:tcW w:w="2880" w:type="dxa"/>
            <w:tcBorders>
              <w:top w:val="single" w:sz="12" w:space="0" w:color="auto"/>
            </w:tcBorders>
          </w:tcPr>
          <w:p w:rsidR="00000000" w:rsidRDefault="00000000">
            <w:pPr>
              <w:spacing w:before="40" w:after="81" w:line="210" w:lineRule="exact"/>
              <w:ind w:right="40"/>
              <w:rPr>
                <w:sz w:val="17"/>
              </w:rPr>
            </w:pPr>
          </w:p>
        </w:tc>
        <w:tc>
          <w:tcPr>
            <w:tcW w:w="1800" w:type="dxa"/>
            <w:tcBorders>
              <w:top w:val="single" w:sz="12" w:space="0" w:color="auto"/>
            </w:tcBorders>
          </w:tcPr>
          <w:p w:rsidR="00000000" w:rsidRDefault="00000000">
            <w:pPr>
              <w:spacing w:before="40" w:after="81" w:line="210" w:lineRule="exact"/>
              <w:ind w:right="40"/>
              <w:rPr>
                <w:sz w:val="17"/>
              </w:rPr>
            </w:pPr>
          </w:p>
        </w:tc>
      </w:tr>
      <w:tr w:rsidR="00000000">
        <w:tblPrEx>
          <w:tblCellMar>
            <w:top w:w="0" w:type="dxa"/>
            <w:left w:w="0" w:type="dxa"/>
            <w:bottom w:w="0" w:type="dxa"/>
            <w:right w:w="0" w:type="dxa"/>
          </w:tblCellMar>
        </w:tblPrEx>
        <w:trPr>
          <w:gridAfter w:val="3"/>
          <w:wAfter w:w="61" w:type="dxa"/>
          <w:cantSplit/>
        </w:trPr>
        <w:tc>
          <w:tcPr>
            <w:tcW w:w="9810" w:type="dxa"/>
            <w:gridSpan w:val="4"/>
          </w:tcPr>
          <w:p w:rsidR="00000000" w:rsidRDefault="00000000">
            <w:pPr>
              <w:pStyle w:val="H1"/>
              <w:tabs>
                <w:tab w:val="left"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line="240" w:lineRule="exact"/>
              <w:ind w:right="1267"/>
            </w:pPr>
            <w:r>
              <w:rPr>
                <w:rStyle w:val="TTable1a"/>
                <w:kern w:val="2"/>
                <w:lang w:val="es-ES_tradnl"/>
              </w:rPr>
              <w:t>A.</w:t>
            </w:r>
            <w:r>
              <w:rPr>
                <w:rStyle w:val="TTable1a"/>
                <w:kern w:val="2"/>
                <w:lang w:val="es-ES_tradnl"/>
              </w:rPr>
              <w:tab/>
              <w:t>Informes iniciales</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1a"/>
                <w:kern w:val="2"/>
                <w:lang w:val="es-ES_tradnl"/>
              </w:rPr>
            </w:pPr>
            <w:r>
              <w:rPr>
                <w:rStyle w:val="TTable1a"/>
                <w:kern w:val="2"/>
                <w:lang w:val="es-ES_tradnl"/>
              </w:rPr>
              <w:t>Albania</w:t>
            </w:r>
          </w:p>
        </w:tc>
        <w:tc>
          <w:tcPr>
            <w:tcW w:w="2430" w:type="dxa"/>
          </w:tcPr>
          <w:p w:rsidR="00000000" w:rsidRDefault="00000000">
            <w:pPr>
              <w:spacing w:before="40" w:after="40"/>
              <w:rPr>
                <w:rStyle w:val="H4"/>
                <w:kern w:val="2"/>
                <w:lang w:val="es-ES_tradnl"/>
              </w:rPr>
            </w:pPr>
            <w:r>
              <w:rPr>
                <w:rStyle w:val="H4"/>
                <w:kern w:val="2"/>
                <w:lang w:val="es-ES_tradnl"/>
              </w:rPr>
              <w:t>10 de junio de 1995</w:t>
            </w:r>
          </w:p>
        </w:tc>
        <w:tc>
          <w:tcPr>
            <w:tcW w:w="2880" w:type="dxa"/>
          </w:tcPr>
          <w:p w:rsidR="00000000" w:rsidRDefault="00000000">
            <w:pPr>
              <w:spacing w:before="40" w:after="40"/>
              <w:rPr>
                <w:rStyle w:val="H4"/>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H4"/>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1a"/>
                <w:kern w:val="2"/>
                <w:lang w:val="es-ES_tradnl"/>
              </w:rPr>
            </w:pPr>
            <w:r>
              <w:rPr>
                <w:rStyle w:val="TTable1a"/>
                <w:kern w:val="2"/>
                <w:lang w:val="es-ES_tradnl"/>
              </w:rPr>
              <w:t>Alemania</w:t>
            </w:r>
          </w:p>
        </w:tc>
        <w:tc>
          <w:tcPr>
            <w:tcW w:w="2430" w:type="dxa"/>
          </w:tcPr>
          <w:p w:rsidR="00000000" w:rsidRDefault="00000000">
            <w:pPr>
              <w:spacing w:before="40" w:after="40"/>
              <w:rPr>
                <w:rStyle w:val="H4"/>
                <w:kern w:val="2"/>
                <w:lang w:val="es-ES_tradnl"/>
              </w:rPr>
            </w:pPr>
            <w:r>
              <w:rPr>
                <w:rStyle w:val="H4"/>
                <w:kern w:val="2"/>
                <w:lang w:val="es-ES_tradnl"/>
              </w:rPr>
              <w:t>9 de agosto de 1986</w:t>
            </w:r>
          </w:p>
        </w:tc>
        <w:tc>
          <w:tcPr>
            <w:tcW w:w="2880" w:type="dxa"/>
          </w:tcPr>
          <w:p w:rsidR="00000000" w:rsidRDefault="00000000">
            <w:pPr>
              <w:spacing w:before="40" w:after="40"/>
              <w:rPr>
                <w:rStyle w:val="H4"/>
                <w:kern w:val="2"/>
                <w:lang w:val="es-ES_tradnl"/>
              </w:rPr>
            </w:pPr>
            <w:r>
              <w:rPr>
                <w:rStyle w:val="H4"/>
                <w:kern w:val="2"/>
                <w:lang w:val="es-ES_tradnl"/>
              </w:rPr>
              <w:t>15 de septiembre de 1988</w:t>
            </w:r>
            <w:r>
              <w:rPr>
                <w:rStyle w:val="H4"/>
                <w:kern w:val="2"/>
                <w:lang w:val="es-ES_tradnl"/>
              </w:rPr>
              <w:br/>
              <w:t>(CEDAW/C/5/Add.59)</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H4"/>
                <w:kern w:val="2"/>
                <w:lang w:val="es-ES_tradnl"/>
              </w:rPr>
            </w:pPr>
            <w:r>
              <w:rPr>
                <w:rStyle w:val="H4"/>
                <w:kern w:val="2"/>
                <w:lang w:val="es-ES_tradnl"/>
              </w:rPr>
              <w:t>Noveno (1990)</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1a"/>
                <w:kern w:val="2"/>
                <w:lang w:val="es-ES_tradnl"/>
              </w:rPr>
            </w:pPr>
            <w:r>
              <w:rPr>
                <w:rStyle w:val="TTable1a"/>
                <w:kern w:val="2"/>
                <w:lang w:val="es-ES_tradnl"/>
              </w:rPr>
              <w:t>Andorra</w:t>
            </w:r>
          </w:p>
        </w:tc>
        <w:tc>
          <w:tcPr>
            <w:tcW w:w="2430" w:type="dxa"/>
          </w:tcPr>
          <w:p w:rsidR="00000000" w:rsidRDefault="00000000">
            <w:pPr>
              <w:spacing w:before="40" w:after="40"/>
              <w:rPr>
                <w:rStyle w:val="H4"/>
                <w:kern w:val="2"/>
                <w:lang w:val="es-ES_tradnl"/>
              </w:rPr>
            </w:pPr>
            <w:r>
              <w:rPr>
                <w:rStyle w:val="H4"/>
                <w:kern w:val="2"/>
                <w:lang w:val="es-ES_tradnl"/>
              </w:rPr>
              <w:t>14 de febrero de 1998</w:t>
            </w:r>
          </w:p>
        </w:tc>
        <w:tc>
          <w:tcPr>
            <w:tcW w:w="2880" w:type="dxa"/>
          </w:tcPr>
          <w:p w:rsidR="00000000" w:rsidRDefault="00000000">
            <w:pPr>
              <w:spacing w:before="40" w:after="40"/>
              <w:rPr>
                <w:rStyle w:val="H4"/>
                <w:kern w:val="2"/>
                <w:lang w:val="es-ES_tradnl"/>
              </w:rPr>
            </w:pPr>
            <w:r>
              <w:rPr>
                <w:rStyle w:val="H4"/>
                <w:kern w:val="2"/>
                <w:lang w:val="es-ES_tradnl"/>
              </w:rPr>
              <w:t>23 de junio de 2000</w:t>
            </w:r>
            <w:r>
              <w:rPr>
                <w:rStyle w:val="H4"/>
                <w:kern w:val="2"/>
                <w:lang w:val="es-ES_tradnl"/>
              </w:rPr>
              <w:br/>
              <w:t>(CEDAW/C/AND/1)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H4"/>
                <w:kern w:val="2"/>
                <w:lang w:val="es-ES_tradnl"/>
              </w:rPr>
            </w:pPr>
            <w:r>
              <w:rPr>
                <w:rStyle w:val="H4"/>
                <w:kern w:val="2"/>
                <w:lang w:val="es-ES_tradnl"/>
              </w:rPr>
              <w:t>25º (2001)</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1a"/>
                <w:kern w:val="2"/>
                <w:lang w:val="es-ES_tradnl"/>
              </w:rPr>
            </w:pPr>
            <w:r>
              <w:rPr>
                <w:rStyle w:val="TTable1a"/>
                <w:kern w:val="2"/>
                <w:lang w:val="es-ES_tradnl"/>
              </w:rPr>
              <w:t>Angola</w:t>
            </w:r>
          </w:p>
        </w:tc>
        <w:tc>
          <w:tcPr>
            <w:tcW w:w="2430" w:type="dxa"/>
          </w:tcPr>
          <w:p w:rsidR="00000000" w:rsidRDefault="00000000">
            <w:pPr>
              <w:spacing w:before="40" w:after="40"/>
              <w:rPr>
                <w:rStyle w:val="H4"/>
                <w:kern w:val="2"/>
                <w:lang w:val="es-ES_tradnl"/>
              </w:rPr>
            </w:pPr>
            <w:r>
              <w:rPr>
                <w:rStyle w:val="H4"/>
                <w:kern w:val="2"/>
                <w:lang w:val="es-ES_tradnl"/>
              </w:rPr>
              <w:t>17 de octubre de 1987</w:t>
            </w:r>
          </w:p>
        </w:tc>
        <w:tc>
          <w:tcPr>
            <w:tcW w:w="2880" w:type="dxa"/>
          </w:tcPr>
          <w:p w:rsidR="00000000" w:rsidRDefault="00000000">
            <w:pPr>
              <w:spacing w:before="40" w:after="40"/>
              <w:rPr>
                <w:rStyle w:val="H4"/>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H4"/>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1a"/>
                <w:kern w:val="2"/>
                <w:lang w:val="es-ES_tradnl"/>
              </w:rPr>
            </w:pPr>
            <w:r>
              <w:rPr>
                <w:rStyle w:val="TTable1a"/>
                <w:kern w:val="2"/>
                <w:lang w:val="es-ES_tradnl"/>
              </w:rPr>
              <w:t>Antigua y Barbuda</w:t>
            </w:r>
          </w:p>
        </w:tc>
        <w:tc>
          <w:tcPr>
            <w:tcW w:w="2430" w:type="dxa"/>
          </w:tcPr>
          <w:p w:rsidR="00000000" w:rsidRDefault="00000000">
            <w:pPr>
              <w:spacing w:before="40" w:after="40"/>
              <w:rPr>
                <w:rStyle w:val="H4"/>
                <w:kern w:val="2"/>
                <w:lang w:val="es-ES_tradnl"/>
              </w:rPr>
            </w:pPr>
            <w:r>
              <w:rPr>
                <w:rStyle w:val="H4"/>
                <w:kern w:val="2"/>
                <w:lang w:val="es-ES_tradnl"/>
              </w:rPr>
              <w:t>31 de agosto de 1990</w:t>
            </w:r>
          </w:p>
        </w:tc>
        <w:tc>
          <w:tcPr>
            <w:tcW w:w="2880" w:type="dxa"/>
          </w:tcPr>
          <w:p w:rsidR="00000000" w:rsidRDefault="00000000">
            <w:pPr>
              <w:spacing w:before="40" w:after="40"/>
              <w:rPr>
                <w:rStyle w:val="H4"/>
                <w:kern w:val="2"/>
                <w:lang w:val="es-ES_tradnl"/>
              </w:rPr>
            </w:pPr>
            <w:r>
              <w:rPr>
                <w:rStyle w:val="H4"/>
                <w:kern w:val="2"/>
                <w:lang w:val="es-ES_tradnl"/>
              </w:rPr>
              <w:t>21 de septiembre de 1994</w:t>
            </w:r>
            <w:r>
              <w:rPr>
                <w:rStyle w:val="H4"/>
                <w:kern w:val="2"/>
                <w:lang w:val="es-ES_tradnl"/>
              </w:rPr>
              <w:br/>
              <w:t>(CEDAW/C/ANT/1 a 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H4"/>
                <w:kern w:val="2"/>
                <w:lang w:val="es-ES_tradnl"/>
              </w:rPr>
            </w:pPr>
            <w:r>
              <w:rPr>
                <w:rStyle w:val="H4"/>
                <w:kern w:val="2"/>
                <w:lang w:val="es-ES_tradnl"/>
              </w:rPr>
              <w:t>17° (1997)</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1a"/>
                <w:kern w:val="2"/>
                <w:lang w:val="es-ES_tradnl"/>
              </w:rPr>
            </w:pPr>
            <w:r>
              <w:rPr>
                <w:rStyle w:val="TTable1a"/>
                <w:kern w:val="2"/>
                <w:lang w:val="es-ES_tradnl"/>
              </w:rPr>
              <w:t>Arabia Saudita</w:t>
            </w:r>
          </w:p>
        </w:tc>
        <w:tc>
          <w:tcPr>
            <w:tcW w:w="2430" w:type="dxa"/>
          </w:tcPr>
          <w:p w:rsidR="00000000" w:rsidRDefault="00000000">
            <w:pPr>
              <w:spacing w:before="40" w:after="40"/>
              <w:rPr>
                <w:rStyle w:val="H4"/>
                <w:kern w:val="2"/>
                <w:lang w:val="es-ES_tradnl"/>
              </w:rPr>
            </w:pPr>
            <w:r>
              <w:rPr>
                <w:rStyle w:val="H4"/>
                <w:kern w:val="2"/>
                <w:lang w:val="es-ES_tradnl"/>
              </w:rPr>
              <w:t xml:space="preserve"> 7 de julio de 2001 </w:t>
            </w:r>
          </w:p>
        </w:tc>
        <w:tc>
          <w:tcPr>
            <w:tcW w:w="2880" w:type="dxa"/>
          </w:tcPr>
          <w:p w:rsidR="00000000" w:rsidRDefault="00000000">
            <w:pPr>
              <w:spacing w:before="40" w:after="40"/>
              <w:rPr>
                <w:rStyle w:val="H4"/>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H4"/>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1a"/>
                <w:kern w:val="2"/>
                <w:lang w:val="es-ES_tradnl"/>
              </w:rPr>
            </w:pPr>
            <w:r>
              <w:rPr>
                <w:rStyle w:val="TTable1a"/>
                <w:kern w:val="2"/>
                <w:lang w:val="es-ES_tradnl"/>
              </w:rPr>
              <w:t>Argelia</w:t>
            </w:r>
          </w:p>
        </w:tc>
        <w:tc>
          <w:tcPr>
            <w:tcW w:w="2430" w:type="dxa"/>
          </w:tcPr>
          <w:p w:rsidR="00000000" w:rsidRDefault="00000000">
            <w:pPr>
              <w:spacing w:before="40" w:after="40"/>
              <w:rPr>
                <w:rStyle w:val="H4"/>
                <w:kern w:val="2"/>
                <w:lang w:val="es-ES_tradnl"/>
              </w:rPr>
            </w:pPr>
            <w:r>
              <w:rPr>
                <w:rStyle w:val="H4"/>
                <w:kern w:val="2"/>
                <w:lang w:val="es-ES_tradnl"/>
              </w:rPr>
              <w:t>21 de junio de 1997</w:t>
            </w:r>
          </w:p>
        </w:tc>
        <w:tc>
          <w:tcPr>
            <w:tcW w:w="2880" w:type="dxa"/>
          </w:tcPr>
          <w:p w:rsidR="00000000" w:rsidRDefault="00000000">
            <w:pPr>
              <w:spacing w:before="40" w:after="40"/>
              <w:rPr>
                <w:rStyle w:val="H4"/>
                <w:kern w:val="2"/>
                <w:lang w:val="es-ES_tradnl"/>
              </w:rPr>
            </w:pPr>
            <w:r>
              <w:rPr>
                <w:rStyle w:val="H4"/>
                <w:kern w:val="2"/>
                <w:lang w:val="es-ES_tradnl"/>
              </w:rPr>
              <w:t>1º de septiembre de 1998</w:t>
            </w:r>
            <w:r>
              <w:rPr>
                <w:rStyle w:val="H4"/>
                <w:kern w:val="2"/>
                <w:lang w:val="es-ES_tradnl"/>
              </w:rPr>
              <w:br/>
              <w:t>(CEDAW/C/DZA/1)</w:t>
            </w:r>
            <w:r>
              <w:rPr>
                <w:rStyle w:val="H4"/>
                <w:kern w:val="2"/>
                <w:lang w:val="es-ES_tradnl"/>
              </w:rPr>
              <w:br/>
              <w:t>1º de diciembre de 1998</w:t>
            </w:r>
            <w:r>
              <w:rPr>
                <w:rStyle w:val="H4"/>
                <w:kern w:val="2"/>
                <w:lang w:val="es-ES_tradnl"/>
              </w:rPr>
              <w:br/>
              <w:t>(CEDAW/C/DZA/1/Add.1)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H4"/>
                <w:kern w:val="2"/>
                <w:lang w:val="es-ES_tradnl"/>
              </w:rPr>
            </w:pPr>
            <w:r>
              <w:rPr>
                <w:rStyle w:val="H4"/>
                <w:kern w:val="2"/>
                <w:lang w:val="es-ES_tradnl"/>
              </w:rPr>
              <w:t>20° (1999)</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1a"/>
                <w:kern w:val="2"/>
                <w:lang w:val="es-ES_tradnl"/>
              </w:rPr>
            </w:pPr>
            <w:r>
              <w:rPr>
                <w:rStyle w:val="TTable1a"/>
                <w:kern w:val="2"/>
                <w:lang w:val="es-ES_tradnl"/>
              </w:rPr>
              <w:t>Argentina</w:t>
            </w:r>
          </w:p>
        </w:tc>
        <w:tc>
          <w:tcPr>
            <w:tcW w:w="2430" w:type="dxa"/>
          </w:tcPr>
          <w:p w:rsidR="00000000" w:rsidRDefault="00000000">
            <w:pPr>
              <w:spacing w:before="40" w:after="40"/>
              <w:rPr>
                <w:rStyle w:val="H4"/>
                <w:kern w:val="2"/>
                <w:lang w:val="es-ES_tradnl"/>
              </w:rPr>
            </w:pPr>
            <w:r>
              <w:rPr>
                <w:rStyle w:val="H4"/>
                <w:kern w:val="2"/>
                <w:lang w:val="es-ES_tradnl"/>
              </w:rPr>
              <w:t>14 de agosto de 1986</w:t>
            </w:r>
          </w:p>
        </w:tc>
        <w:tc>
          <w:tcPr>
            <w:tcW w:w="2880" w:type="dxa"/>
          </w:tcPr>
          <w:p w:rsidR="00000000" w:rsidRDefault="00000000">
            <w:pPr>
              <w:spacing w:before="40" w:after="40"/>
              <w:rPr>
                <w:rStyle w:val="H4"/>
                <w:kern w:val="2"/>
                <w:lang w:val="es-ES_tradnl"/>
              </w:rPr>
            </w:pPr>
            <w:r>
              <w:rPr>
                <w:rStyle w:val="H4"/>
                <w:kern w:val="2"/>
                <w:lang w:val="es-ES_tradnl"/>
              </w:rPr>
              <w:t>6 de octubre de 1986</w:t>
            </w:r>
            <w:r>
              <w:rPr>
                <w:rStyle w:val="H4"/>
                <w:kern w:val="2"/>
                <w:lang w:val="es-ES_tradnl"/>
              </w:rPr>
              <w:br/>
              <w:t>(CEDAW/C/5/Add.39)</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H4"/>
                <w:kern w:val="2"/>
                <w:lang w:val="es-ES_tradnl"/>
              </w:rPr>
            </w:pPr>
            <w:r>
              <w:rPr>
                <w:rStyle w:val="H4"/>
                <w:kern w:val="2"/>
                <w:lang w:val="es-ES_tradnl"/>
              </w:rPr>
              <w:t>Séptimo (1988)</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1a"/>
                <w:kern w:val="2"/>
                <w:lang w:val="es-ES_tradnl"/>
              </w:rPr>
            </w:pPr>
            <w:r>
              <w:rPr>
                <w:rStyle w:val="TTable1a"/>
                <w:kern w:val="2"/>
                <w:lang w:val="es-ES_tradnl"/>
              </w:rPr>
              <w:t>Armenia</w:t>
            </w:r>
          </w:p>
        </w:tc>
        <w:tc>
          <w:tcPr>
            <w:tcW w:w="2430" w:type="dxa"/>
          </w:tcPr>
          <w:p w:rsidR="00000000" w:rsidRDefault="00000000">
            <w:pPr>
              <w:spacing w:before="40" w:after="40"/>
              <w:rPr>
                <w:rStyle w:val="H4"/>
                <w:kern w:val="2"/>
                <w:lang w:val="es-ES_tradnl"/>
              </w:rPr>
            </w:pPr>
            <w:r>
              <w:rPr>
                <w:rStyle w:val="H4"/>
                <w:kern w:val="2"/>
                <w:lang w:val="es-ES_tradnl"/>
              </w:rPr>
              <w:t>13 de octubre de 1994</w:t>
            </w:r>
          </w:p>
        </w:tc>
        <w:tc>
          <w:tcPr>
            <w:tcW w:w="2880" w:type="dxa"/>
          </w:tcPr>
          <w:p w:rsidR="00000000" w:rsidRDefault="00000000">
            <w:pPr>
              <w:spacing w:before="40" w:after="40"/>
              <w:rPr>
                <w:kern w:val="2"/>
                <w:lang w:val="es-ES_tradnl"/>
              </w:rPr>
            </w:pPr>
            <w:r>
              <w:rPr>
                <w:rStyle w:val="H4"/>
                <w:kern w:val="2"/>
                <w:lang w:val="es-ES_tradnl"/>
              </w:rPr>
              <w:t>30 de noviembre de 1994</w:t>
            </w:r>
            <w:r>
              <w:rPr>
                <w:rStyle w:val="H4"/>
                <w:kern w:val="2"/>
                <w:lang w:val="es-ES_tradnl"/>
              </w:rPr>
              <w:br/>
              <w:t>(CEDAW/C/ARM/1)</w:t>
            </w:r>
            <w:r>
              <w:rPr>
                <w:rStyle w:val="H4"/>
                <w:kern w:val="2"/>
                <w:lang w:val="es-ES_tradnl"/>
              </w:rPr>
              <w:br/>
              <w:t>10 de febrero de 1997</w:t>
            </w:r>
            <w:r>
              <w:rPr>
                <w:rStyle w:val="H4"/>
                <w:kern w:val="2"/>
                <w:lang w:val="es-ES_tradnl"/>
              </w:rPr>
              <w:br/>
            </w:r>
            <w:r>
              <w:rPr>
                <w:kern w:val="2"/>
                <w:lang w:val="es-ES_tradnl"/>
              </w:rPr>
              <w:t>(CEDAW/C/ARM/1/Corr.1)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Australia</w:t>
            </w:r>
          </w:p>
        </w:tc>
        <w:tc>
          <w:tcPr>
            <w:tcW w:w="2430" w:type="dxa"/>
          </w:tcPr>
          <w:p w:rsidR="00000000" w:rsidRDefault="00000000">
            <w:pPr>
              <w:spacing w:before="40" w:after="40"/>
              <w:rPr>
                <w:kern w:val="2"/>
                <w:lang w:val="es-ES_tradnl"/>
              </w:rPr>
            </w:pPr>
            <w:r>
              <w:rPr>
                <w:kern w:val="2"/>
                <w:lang w:val="es-ES_tradnl"/>
              </w:rPr>
              <w:t>27 de agosto de 1984</w:t>
            </w:r>
          </w:p>
        </w:tc>
        <w:tc>
          <w:tcPr>
            <w:tcW w:w="2880" w:type="dxa"/>
          </w:tcPr>
          <w:p w:rsidR="00000000" w:rsidRDefault="00000000">
            <w:pPr>
              <w:spacing w:before="40" w:after="40"/>
              <w:rPr>
                <w:kern w:val="2"/>
                <w:lang w:val="es-ES_tradnl"/>
              </w:rPr>
            </w:pPr>
            <w:r>
              <w:rPr>
                <w:kern w:val="2"/>
                <w:lang w:val="es-ES_tradnl"/>
              </w:rPr>
              <w:t>3 de octubre de 1986</w:t>
            </w:r>
            <w:r>
              <w:rPr>
                <w:kern w:val="2"/>
                <w:lang w:val="es-ES_tradnl"/>
              </w:rPr>
              <w:br/>
              <w:t>(CEDAW/C/5/Add.40)</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Austria</w:t>
            </w:r>
          </w:p>
        </w:tc>
        <w:tc>
          <w:tcPr>
            <w:tcW w:w="2430" w:type="dxa"/>
          </w:tcPr>
          <w:p w:rsidR="00000000" w:rsidRDefault="00000000">
            <w:pPr>
              <w:spacing w:before="40" w:after="40"/>
              <w:rPr>
                <w:kern w:val="2"/>
                <w:lang w:val="es-ES_tradnl"/>
              </w:rPr>
            </w:pPr>
            <w:r>
              <w:rPr>
                <w:kern w:val="2"/>
                <w:lang w:val="es-ES_tradnl"/>
              </w:rPr>
              <w:t>30 de abril de 1983</w:t>
            </w:r>
          </w:p>
        </w:tc>
        <w:tc>
          <w:tcPr>
            <w:tcW w:w="2880" w:type="dxa"/>
          </w:tcPr>
          <w:p w:rsidR="00000000" w:rsidRDefault="00000000">
            <w:pPr>
              <w:spacing w:before="40" w:after="40"/>
              <w:rPr>
                <w:kern w:val="2"/>
                <w:lang w:val="es-ES_tradnl"/>
              </w:rPr>
            </w:pPr>
            <w:r>
              <w:rPr>
                <w:kern w:val="2"/>
                <w:lang w:val="es-ES_tradnl"/>
              </w:rPr>
              <w:t>20 de octubre de 1983</w:t>
            </w:r>
            <w:r>
              <w:rPr>
                <w:kern w:val="2"/>
                <w:lang w:val="es-ES_tradnl"/>
              </w:rPr>
              <w:br/>
              <w:t>(CEDAW/C/5/Add.17)</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Cuarto (1985)</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Azerbaiyán</w:t>
            </w:r>
          </w:p>
        </w:tc>
        <w:tc>
          <w:tcPr>
            <w:tcW w:w="2430" w:type="dxa"/>
          </w:tcPr>
          <w:p w:rsidR="00000000" w:rsidRDefault="00000000">
            <w:pPr>
              <w:spacing w:before="40" w:after="40"/>
              <w:rPr>
                <w:kern w:val="2"/>
                <w:lang w:val="es-ES_tradnl"/>
              </w:rPr>
            </w:pPr>
            <w:r>
              <w:rPr>
                <w:kern w:val="2"/>
                <w:lang w:val="es-ES_tradnl"/>
              </w:rPr>
              <w:t>9 de agosto de 1996</w:t>
            </w:r>
          </w:p>
        </w:tc>
        <w:tc>
          <w:tcPr>
            <w:tcW w:w="2880" w:type="dxa"/>
          </w:tcPr>
          <w:p w:rsidR="00000000" w:rsidRDefault="00000000">
            <w:pPr>
              <w:spacing w:before="40" w:after="40"/>
              <w:rPr>
                <w:kern w:val="2"/>
                <w:lang w:val="es-ES_tradnl"/>
              </w:rPr>
            </w:pPr>
            <w:r>
              <w:rPr>
                <w:kern w:val="2"/>
                <w:lang w:val="es-ES_tradnl"/>
              </w:rPr>
              <w:t>11 de septiembre de 1996</w:t>
            </w:r>
            <w:r>
              <w:rPr>
                <w:kern w:val="2"/>
                <w:lang w:val="es-ES_tradnl"/>
              </w:rPr>
              <w:br/>
              <w:t>(CEDAW/C/AZE/1)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Bahamas</w:t>
            </w:r>
          </w:p>
        </w:tc>
        <w:tc>
          <w:tcPr>
            <w:tcW w:w="2430" w:type="dxa"/>
          </w:tcPr>
          <w:p w:rsidR="00000000" w:rsidRDefault="00000000">
            <w:pPr>
              <w:spacing w:before="40" w:after="40"/>
              <w:rPr>
                <w:kern w:val="2"/>
                <w:lang w:val="es-ES_tradnl"/>
              </w:rPr>
            </w:pPr>
            <w:r>
              <w:rPr>
                <w:kern w:val="2"/>
                <w:lang w:val="es-ES_tradnl"/>
              </w:rPr>
              <w:t>5 de noviembre de 1994</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Bangladesh</w:t>
            </w:r>
          </w:p>
        </w:tc>
        <w:tc>
          <w:tcPr>
            <w:tcW w:w="2430" w:type="dxa"/>
          </w:tcPr>
          <w:p w:rsidR="00000000" w:rsidRDefault="00000000">
            <w:pPr>
              <w:spacing w:before="40" w:after="40"/>
              <w:rPr>
                <w:kern w:val="2"/>
                <w:lang w:val="es-ES_tradnl"/>
              </w:rPr>
            </w:pPr>
            <w:r>
              <w:rPr>
                <w:kern w:val="2"/>
                <w:lang w:val="es-ES_tradnl"/>
              </w:rPr>
              <w:t>6 de diciembre de 1985</w:t>
            </w:r>
          </w:p>
        </w:tc>
        <w:tc>
          <w:tcPr>
            <w:tcW w:w="2880" w:type="dxa"/>
          </w:tcPr>
          <w:p w:rsidR="00000000" w:rsidRDefault="00000000">
            <w:pPr>
              <w:spacing w:before="40" w:after="40"/>
              <w:rPr>
                <w:kern w:val="2"/>
                <w:lang w:val="es-ES_tradnl"/>
              </w:rPr>
            </w:pPr>
            <w:r>
              <w:rPr>
                <w:kern w:val="2"/>
                <w:lang w:val="es-ES_tradnl"/>
              </w:rPr>
              <w:t>12 de marzo de 1986</w:t>
            </w:r>
            <w:r>
              <w:rPr>
                <w:kern w:val="2"/>
                <w:lang w:val="es-ES_tradnl"/>
              </w:rPr>
              <w:br/>
              <w:t>(CEDAW/C/5/Add.34)</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Barbados</w:t>
            </w:r>
          </w:p>
        </w:tc>
        <w:tc>
          <w:tcPr>
            <w:tcW w:w="2430" w:type="dxa"/>
          </w:tcPr>
          <w:p w:rsidR="00000000" w:rsidRDefault="00000000">
            <w:pPr>
              <w:spacing w:before="40" w:after="40"/>
              <w:rPr>
                <w:kern w:val="2"/>
                <w:lang w:val="es-ES_tradnl"/>
              </w:rPr>
            </w:pPr>
            <w:r>
              <w:rPr>
                <w:kern w:val="2"/>
                <w:lang w:val="es-ES_tradnl"/>
              </w:rPr>
              <w:t>3 de septiembre de 1982</w:t>
            </w:r>
          </w:p>
        </w:tc>
        <w:tc>
          <w:tcPr>
            <w:tcW w:w="2880" w:type="dxa"/>
          </w:tcPr>
          <w:p w:rsidR="00000000" w:rsidRDefault="00000000">
            <w:pPr>
              <w:spacing w:before="40" w:after="40"/>
              <w:rPr>
                <w:kern w:val="2"/>
                <w:lang w:val="es-ES_tradnl"/>
              </w:rPr>
            </w:pPr>
            <w:r>
              <w:rPr>
                <w:kern w:val="2"/>
                <w:lang w:val="es-ES_tradnl"/>
              </w:rPr>
              <w:t>11 de abril de 1990</w:t>
            </w:r>
            <w:r>
              <w:rPr>
                <w:kern w:val="2"/>
                <w:lang w:val="es-ES_tradnl"/>
              </w:rPr>
              <w:br/>
              <w:t>(CEDAW/C/5/Add.64)</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11° (1992)</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Belarús</w:t>
            </w:r>
          </w:p>
        </w:tc>
        <w:tc>
          <w:tcPr>
            <w:tcW w:w="2430" w:type="dxa"/>
          </w:tcPr>
          <w:p w:rsidR="00000000" w:rsidRDefault="00000000">
            <w:pPr>
              <w:keepNext/>
              <w:keepLines/>
              <w:spacing w:before="40" w:after="40"/>
              <w:rPr>
                <w:kern w:val="2"/>
                <w:lang w:val="es-ES_tradnl"/>
              </w:rPr>
            </w:pPr>
            <w:r>
              <w:rPr>
                <w:kern w:val="2"/>
                <w:lang w:val="es-ES_tradnl"/>
              </w:rPr>
              <w:t>3 de septiembre de 1982</w:t>
            </w:r>
          </w:p>
        </w:tc>
        <w:tc>
          <w:tcPr>
            <w:tcW w:w="2880" w:type="dxa"/>
          </w:tcPr>
          <w:p w:rsidR="00000000" w:rsidRDefault="00000000">
            <w:pPr>
              <w:keepNext/>
              <w:keepLines/>
              <w:spacing w:before="40" w:after="40"/>
              <w:rPr>
                <w:kern w:val="2"/>
                <w:lang w:val="es-ES_tradnl"/>
              </w:rPr>
            </w:pPr>
            <w:r>
              <w:rPr>
                <w:kern w:val="2"/>
                <w:lang w:val="es-ES_tradnl"/>
              </w:rPr>
              <w:t>4 de octubre de 1982</w:t>
            </w:r>
            <w:r>
              <w:rPr>
                <w:kern w:val="2"/>
                <w:lang w:val="es-ES_tradnl"/>
              </w:rPr>
              <w:br/>
              <w:t>(CEDAW/C/5/Add.5)</w:t>
            </w:r>
          </w:p>
        </w:tc>
        <w:tc>
          <w:tcPr>
            <w:tcW w:w="18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Segundo (1983)</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Bélgica</w:t>
            </w:r>
          </w:p>
        </w:tc>
        <w:tc>
          <w:tcPr>
            <w:tcW w:w="2430" w:type="dxa"/>
          </w:tcPr>
          <w:p w:rsidR="00000000" w:rsidRDefault="00000000">
            <w:pPr>
              <w:spacing w:before="40" w:after="40"/>
              <w:rPr>
                <w:kern w:val="2"/>
                <w:lang w:val="es-ES_tradnl"/>
              </w:rPr>
            </w:pPr>
            <w:r>
              <w:rPr>
                <w:kern w:val="2"/>
                <w:lang w:val="es-ES_tradnl"/>
              </w:rPr>
              <w:t>9 de agosto de 1986</w:t>
            </w:r>
          </w:p>
        </w:tc>
        <w:tc>
          <w:tcPr>
            <w:tcW w:w="2880" w:type="dxa"/>
          </w:tcPr>
          <w:p w:rsidR="00000000" w:rsidRDefault="00000000">
            <w:pPr>
              <w:spacing w:before="40" w:after="40"/>
              <w:rPr>
                <w:kern w:val="2"/>
                <w:lang w:val="es-ES_tradnl"/>
              </w:rPr>
            </w:pPr>
            <w:r>
              <w:rPr>
                <w:kern w:val="2"/>
                <w:lang w:val="es-ES_tradnl"/>
              </w:rPr>
              <w:t>20 de julio de 1987</w:t>
            </w:r>
            <w:r>
              <w:rPr>
                <w:kern w:val="2"/>
                <w:lang w:val="es-ES_tradnl"/>
              </w:rPr>
              <w:br/>
              <w:t>(CEDAW/C/5/Add.53)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Octavo (1989)</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Belice</w:t>
            </w:r>
          </w:p>
        </w:tc>
        <w:tc>
          <w:tcPr>
            <w:tcW w:w="2430" w:type="dxa"/>
          </w:tcPr>
          <w:p w:rsidR="00000000" w:rsidRDefault="00000000">
            <w:pPr>
              <w:spacing w:before="40" w:after="40"/>
              <w:rPr>
                <w:kern w:val="2"/>
                <w:lang w:val="es-ES_tradnl"/>
              </w:rPr>
            </w:pPr>
            <w:r>
              <w:rPr>
                <w:kern w:val="2"/>
                <w:lang w:val="es-ES_tradnl"/>
              </w:rPr>
              <w:t>15 de junio de 1991</w:t>
            </w:r>
          </w:p>
        </w:tc>
        <w:tc>
          <w:tcPr>
            <w:tcW w:w="2880" w:type="dxa"/>
          </w:tcPr>
          <w:p w:rsidR="00000000" w:rsidRDefault="00000000">
            <w:pPr>
              <w:spacing w:before="40" w:after="40"/>
              <w:rPr>
                <w:kern w:val="2"/>
                <w:lang w:val="es-ES_tradnl"/>
              </w:rPr>
            </w:pPr>
            <w:r>
              <w:rPr>
                <w:kern w:val="2"/>
                <w:lang w:val="es-ES_tradnl"/>
              </w:rPr>
              <w:t>19 de junio de 1996</w:t>
            </w:r>
            <w:r>
              <w:rPr>
                <w:kern w:val="2"/>
                <w:lang w:val="es-ES_tradnl"/>
              </w:rPr>
              <w:br/>
              <w:t>(CEDAW/C/BLZ/1 y 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21° (1999)</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Benin</w:t>
            </w:r>
          </w:p>
        </w:tc>
        <w:tc>
          <w:tcPr>
            <w:tcW w:w="2430" w:type="dxa"/>
          </w:tcPr>
          <w:p w:rsidR="00000000" w:rsidRDefault="00000000">
            <w:pPr>
              <w:spacing w:before="40" w:after="40"/>
              <w:rPr>
                <w:kern w:val="2"/>
                <w:lang w:val="es-ES_tradnl"/>
              </w:rPr>
            </w:pPr>
            <w:r>
              <w:rPr>
                <w:kern w:val="2"/>
                <w:lang w:val="es-ES_tradnl"/>
              </w:rPr>
              <w:t>11 de abril de 1993</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Bhután</w:t>
            </w:r>
          </w:p>
        </w:tc>
        <w:tc>
          <w:tcPr>
            <w:tcW w:w="2430" w:type="dxa"/>
          </w:tcPr>
          <w:p w:rsidR="00000000" w:rsidRDefault="00000000">
            <w:pPr>
              <w:spacing w:before="40" w:after="40"/>
              <w:rPr>
                <w:kern w:val="2"/>
                <w:lang w:val="es-ES_tradnl"/>
              </w:rPr>
            </w:pPr>
            <w:r>
              <w:rPr>
                <w:kern w:val="2"/>
                <w:lang w:val="es-ES_tradnl"/>
              </w:rPr>
              <w:t>30 de septiembre de 1982</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Bolivia</w:t>
            </w:r>
          </w:p>
        </w:tc>
        <w:tc>
          <w:tcPr>
            <w:tcW w:w="2430" w:type="dxa"/>
          </w:tcPr>
          <w:p w:rsidR="00000000" w:rsidRDefault="00000000">
            <w:pPr>
              <w:spacing w:before="40" w:after="40"/>
              <w:rPr>
                <w:kern w:val="2"/>
                <w:lang w:val="es-ES_tradnl"/>
              </w:rPr>
            </w:pPr>
            <w:r>
              <w:rPr>
                <w:kern w:val="2"/>
                <w:lang w:val="es-ES_tradnl"/>
              </w:rPr>
              <w:t>8 de julio de 1991</w:t>
            </w:r>
          </w:p>
        </w:tc>
        <w:tc>
          <w:tcPr>
            <w:tcW w:w="2880" w:type="dxa"/>
          </w:tcPr>
          <w:p w:rsidR="00000000" w:rsidRDefault="00000000">
            <w:pPr>
              <w:spacing w:before="40" w:after="40"/>
              <w:rPr>
                <w:kern w:val="2"/>
                <w:lang w:val="es-ES_tradnl"/>
              </w:rPr>
            </w:pPr>
            <w:r>
              <w:rPr>
                <w:kern w:val="2"/>
                <w:lang w:val="es-ES_tradnl"/>
              </w:rPr>
              <w:t>8 de julio de 1991</w:t>
            </w:r>
            <w:r>
              <w:rPr>
                <w:kern w:val="2"/>
                <w:lang w:val="es-ES_tradnl"/>
              </w:rPr>
              <w:br/>
            </w:r>
            <w:r>
              <w:rPr>
                <w:rStyle w:val="H56"/>
                <w:kern w:val="2"/>
                <w:lang w:val="es-ES_tradnl"/>
              </w:rPr>
              <w:t>(CEDAW/C/BOL/1)</w:t>
            </w:r>
            <w:r>
              <w:rPr>
                <w:rStyle w:val="H56"/>
                <w:kern w:val="2"/>
                <w:lang w:val="es-ES_tradnl"/>
              </w:rPr>
              <w:br/>
              <w:t>26 de agosto de 1993</w:t>
            </w:r>
            <w:r>
              <w:rPr>
                <w:rStyle w:val="H56"/>
                <w:kern w:val="2"/>
                <w:lang w:val="es-ES_tradnl"/>
              </w:rPr>
              <w:br/>
            </w:r>
            <w:r>
              <w:rPr>
                <w:kern w:val="2"/>
                <w:lang w:val="es-ES_tradnl"/>
              </w:rPr>
              <w:t>(CEDAW/C/BOL/1/Add.1)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Bosnia y Herzegovina</w:t>
            </w:r>
          </w:p>
        </w:tc>
        <w:tc>
          <w:tcPr>
            <w:tcW w:w="2430" w:type="dxa"/>
          </w:tcPr>
          <w:p w:rsidR="00000000" w:rsidRDefault="00000000">
            <w:pPr>
              <w:spacing w:before="40" w:after="40"/>
              <w:rPr>
                <w:kern w:val="2"/>
                <w:lang w:val="es-ES_tradnl"/>
              </w:rPr>
            </w:pPr>
            <w:r>
              <w:rPr>
                <w:kern w:val="2"/>
                <w:lang w:val="es-ES_tradnl"/>
              </w:rPr>
              <w:t>1º de octubre de 1994</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288"/>
                <w:tab w:val="left" w:pos="576"/>
                <w:tab w:val="left" w:pos="864"/>
                <w:tab w:val="left" w:pos="1152"/>
              </w:tabs>
              <w:spacing w:before="40" w:after="40"/>
              <w:rPr>
                <w:sz w:val="17"/>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Botswana</w:t>
            </w:r>
          </w:p>
        </w:tc>
        <w:tc>
          <w:tcPr>
            <w:tcW w:w="2430" w:type="dxa"/>
          </w:tcPr>
          <w:p w:rsidR="00000000" w:rsidRDefault="00000000">
            <w:pPr>
              <w:spacing w:before="40" w:after="40"/>
              <w:rPr>
                <w:kern w:val="2"/>
                <w:lang w:val="es-ES_tradnl"/>
              </w:rPr>
            </w:pPr>
            <w:r>
              <w:rPr>
                <w:kern w:val="2"/>
                <w:lang w:val="es-ES_tradnl"/>
              </w:rPr>
              <w:t>12 de septiembre de 1997</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288"/>
                <w:tab w:val="left" w:pos="576"/>
                <w:tab w:val="left" w:pos="864"/>
                <w:tab w:val="left" w:pos="1152"/>
              </w:tabs>
              <w:spacing w:before="40" w:after="40"/>
              <w:rPr>
                <w:sz w:val="17"/>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Brasil</w:t>
            </w:r>
          </w:p>
        </w:tc>
        <w:tc>
          <w:tcPr>
            <w:tcW w:w="2430" w:type="dxa"/>
          </w:tcPr>
          <w:p w:rsidR="00000000" w:rsidRDefault="00000000">
            <w:pPr>
              <w:spacing w:before="40" w:after="40"/>
              <w:rPr>
                <w:kern w:val="2"/>
                <w:lang w:val="es-ES_tradnl"/>
              </w:rPr>
            </w:pPr>
            <w:r>
              <w:rPr>
                <w:kern w:val="2"/>
                <w:lang w:val="es-ES_tradnl"/>
              </w:rPr>
              <w:t>2 de marzo de 1985</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288"/>
                <w:tab w:val="left" w:pos="576"/>
                <w:tab w:val="left" w:pos="864"/>
                <w:tab w:val="left" w:pos="1152"/>
              </w:tabs>
              <w:spacing w:before="40" w:after="40"/>
              <w:rPr>
                <w:sz w:val="17"/>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Bulgaria</w:t>
            </w:r>
          </w:p>
        </w:tc>
        <w:tc>
          <w:tcPr>
            <w:tcW w:w="2430" w:type="dxa"/>
          </w:tcPr>
          <w:p w:rsidR="00000000" w:rsidRDefault="00000000">
            <w:pPr>
              <w:spacing w:before="40" w:after="40"/>
              <w:rPr>
                <w:kern w:val="2"/>
                <w:lang w:val="es-ES_tradnl"/>
              </w:rPr>
            </w:pPr>
            <w:r>
              <w:rPr>
                <w:kern w:val="2"/>
                <w:lang w:val="es-ES_tradnl"/>
              </w:rPr>
              <w:t>10 de marzo de 1983</w:t>
            </w:r>
          </w:p>
        </w:tc>
        <w:tc>
          <w:tcPr>
            <w:tcW w:w="2880" w:type="dxa"/>
          </w:tcPr>
          <w:p w:rsidR="00000000" w:rsidRDefault="00000000">
            <w:pPr>
              <w:spacing w:before="40" w:after="40"/>
              <w:rPr>
                <w:kern w:val="2"/>
                <w:lang w:val="es-ES_tradnl"/>
              </w:rPr>
            </w:pPr>
            <w:r>
              <w:rPr>
                <w:kern w:val="2"/>
                <w:lang w:val="es-ES_tradnl"/>
              </w:rPr>
              <w:t>13 de junio de 1983</w:t>
            </w:r>
            <w:r>
              <w:rPr>
                <w:kern w:val="2"/>
                <w:lang w:val="es-ES_tradnl"/>
              </w:rPr>
              <w:br/>
              <w:t>(CEDAW/C/5/Add.15)</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Cuarto (1985)</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Burkina Faso</w:t>
            </w:r>
          </w:p>
        </w:tc>
        <w:tc>
          <w:tcPr>
            <w:tcW w:w="2430" w:type="dxa"/>
          </w:tcPr>
          <w:p w:rsidR="00000000" w:rsidRDefault="00000000">
            <w:pPr>
              <w:spacing w:before="40" w:after="40"/>
              <w:rPr>
                <w:kern w:val="2"/>
                <w:lang w:val="es-ES_tradnl"/>
              </w:rPr>
            </w:pPr>
            <w:r>
              <w:rPr>
                <w:kern w:val="2"/>
                <w:lang w:val="es-ES_tradnl"/>
              </w:rPr>
              <w:t>13 de noviembre de 1988</w:t>
            </w:r>
          </w:p>
        </w:tc>
        <w:tc>
          <w:tcPr>
            <w:tcW w:w="2880" w:type="dxa"/>
          </w:tcPr>
          <w:p w:rsidR="00000000" w:rsidRDefault="00000000">
            <w:pPr>
              <w:spacing w:before="40" w:after="40"/>
              <w:rPr>
                <w:kern w:val="2"/>
                <w:lang w:val="es-ES_tradnl"/>
              </w:rPr>
            </w:pPr>
            <w:r>
              <w:rPr>
                <w:kern w:val="2"/>
                <w:lang w:val="es-ES_tradnl"/>
              </w:rPr>
              <w:t>24 de mayo de 1990</w:t>
            </w:r>
            <w:r>
              <w:rPr>
                <w:kern w:val="2"/>
                <w:lang w:val="es-ES_tradnl"/>
              </w:rPr>
              <w:br/>
              <w:t>(CEDAW/C/5/Add.67)</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Décimo (1991)</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Burundi</w:t>
            </w:r>
          </w:p>
        </w:tc>
        <w:tc>
          <w:tcPr>
            <w:tcW w:w="2430" w:type="dxa"/>
          </w:tcPr>
          <w:p w:rsidR="00000000" w:rsidRDefault="00000000">
            <w:pPr>
              <w:spacing w:before="40" w:after="40"/>
              <w:rPr>
                <w:kern w:val="2"/>
                <w:lang w:val="es-ES_tradnl"/>
              </w:rPr>
            </w:pPr>
            <w:r>
              <w:rPr>
                <w:kern w:val="2"/>
                <w:lang w:val="es-ES_tradnl"/>
              </w:rPr>
              <w:t>7 de febrero de 1993</w:t>
            </w:r>
          </w:p>
        </w:tc>
        <w:tc>
          <w:tcPr>
            <w:tcW w:w="2880" w:type="dxa"/>
          </w:tcPr>
          <w:p w:rsidR="00000000" w:rsidRDefault="00000000">
            <w:pPr>
              <w:spacing w:before="40" w:after="40"/>
              <w:rPr>
                <w:kern w:val="2"/>
                <w:lang w:val="es-ES_tradnl"/>
              </w:rPr>
            </w:pPr>
            <w:r>
              <w:rPr>
                <w:kern w:val="2"/>
                <w:lang w:val="es-ES_tradnl"/>
              </w:rPr>
              <w:t>1° de junio de 2000</w:t>
            </w:r>
            <w:r>
              <w:rPr>
                <w:kern w:val="2"/>
                <w:lang w:val="es-ES_tradnl"/>
              </w:rPr>
              <w:br/>
              <w:t>(CEDAW/C/BDI/1)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Cabo Verde</w:t>
            </w:r>
          </w:p>
        </w:tc>
        <w:tc>
          <w:tcPr>
            <w:tcW w:w="2430" w:type="dxa"/>
          </w:tcPr>
          <w:p w:rsidR="00000000" w:rsidRDefault="00000000">
            <w:pPr>
              <w:spacing w:before="40" w:after="40"/>
              <w:rPr>
                <w:kern w:val="2"/>
                <w:lang w:val="es-ES_tradnl"/>
              </w:rPr>
            </w:pPr>
            <w:r>
              <w:rPr>
                <w:kern w:val="2"/>
                <w:lang w:val="es-ES_tradnl"/>
              </w:rPr>
              <w:t>3 de septiembre de 1982</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Camboya</w:t>
            </w:r>
          </w:p>
        </w:tc>
        <w:tc>
          <w:tcPr>
            <w:tcW w:w="2430" w:type="dxa"/>
          </w:tcPr>
          <w:p w:rsidR="00000000" w:rsidRDefault="00000000">
            <w:pPr>
              <w:spacing w:before="40" w:after="40"/>
              <w:rPr>
                <w:kern w:val="2"/>
                <w:lang w:val="es-ES_tradnl"/>
              </w:rPr>
            </w:pPr>
            <w:r>
              <w:rPr>
                <w:kern w:val="2"/>
                <w:lang w:val="es-ES_tradnl"/>
              </w:rPr>
              <w:t>14 de noviembre de 1993</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Camerún</w:t>
            </w:r>
          </w:p>
        </w:tc>
        <w:tc>
          <w:tcPr>
            <w:tcW w:w="2430" w:type="dxa"/>
          </w:tcPr>
          <w:p w:rsidR="00000000" w:rsidRDefault="00000000">
            <w:pPr>
              <w:spacing w:before="40" w:after="40"/>
              <w:rPr>
                <w:kern w:val="2"/>
                <w:lang w:val="es-ES_tradnl"/>
              </w:rPr>
            </w:pPr>
            <w:r>
              <w:rPr>
                <w:kern w:val="2"/>
                <w:lang w:val="es-ES_tradnl"/>
              </w:rPr>
              <w:t>22 de septiembre de 1995</w:t>
            </w:r>
          </w:p>
        </w:tc>
        <w:tc>
          <w:tcPr>
            <w:tcW w:w="2880" w:type="dxa"/>
          </w:tcPr>
          <w:p w:rsidR="00000000" w:rsidRDefault="00000000">
            <w:pPr>
              <w:spacing w:before="40" w:after="40"/>
              <w:rPr>
                <w:kern w:val="2"/>
                <w:lang w:val="es-ES_tradnl"/>
              </w:rPr>
            </w:pPr>
            <w:r>
              <w:rPr>
                <w:kern w:val="2"/>
                <w:lang w:val="es-ES_tradnl"/>
              </w:rPr>
              <w:t>9 de mayo de 1999</w:t>
            </w:r>
            <w:r>
              <w:rPr>
                <w:kern w:val="2"/>
                <w:lang w:val="es-ES_tradnl"/>
              </w:rPr>
              <w:br/>
              <w:t>(CEDAW/C/CMR/1)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23° (2000)</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Canadá</w:t>
            </w:r>
          </w:p>
        </w:tc>
        <w:tc>
          <w:tcPr>
            <w:tcW w:w="2430" w:type="dxa"/>
          </w:tcPr>
          <w:p w:rsidR="00000000" w:rsidRDefault="00000000">
            <w:pPr>
              <w:spacing w:before="40" w:after="40"/>
              <w:rPr>
                <w:kern w:val="2"/>
                <w:lang w:val="es-ES_tradnl"/>
              </w:rPr>
            </w:pPr>
            <w:r>
              <w:rPr>
                <w:kern w:val="2"/>
                <w:lang w:val="es-ES_tradnl"/>
              </w:rPr>
              <w:t>9 de enero de 1983</w:t>
            </w:r>
          </w:p>
        </w:tc>
        <w:tc>
          <w:tcPr>
            <w:tcW w:w="2880" w:type="dxa"/>
          </w:tcPr>
          <w:p w:rsidR="00000000" w:rsidRDefault="00000000">
            <w:pPr>
              <w:spacing w:before="40" w:after="40"/>
              <w:rPr>
                <w:kern w:val="2"/>
                <w:lang w:val="es-ES_tradnl"/>
              </w:rPr>
            </w:pPr>
            <w:r>
              <w:rPr>
                <w:kern w:val="2"/>
                <w:lang w:val="es-ES_tradnl"/>
              </w:rPr>
              <w:t>15 de julio de 1983</w:t>
            </w:r>
            <w:r>
              <w:rPr>
                <w:kern w:val="2"/>
                <w:lang w:val="es-ES_tradnl"/>
              </w:rPr>
              <w:br/>
              <w:t>(CEDAW/C/5/Add.16)</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Cuarto (1985)</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Chad</w:t>
            </w:r>
          </w:p>
        </w:tc>
        <w:tc>
          <w:tcPr>
            <w:tcW w:w="2430" w:type="dxa"/>
          </w:tcPr>
          <w:p w:rsidR="00000000" w:rsidRDefault="00000000">
            <w:pPr>
              <w:spacing w:before="40" w:after="40"/>
              <w:rPr>
                <w:kern w:val="2"/>
                <w:lang w:val="es-ES_tradnl"/>
              </w:rPr>
            </w:pPr>
            <w:r>
              <w:rPr>
                <w:kern w:val="2"/>
                <w:lang w:val="es-ES_tradnl"/>
              </w:rPr>
              <w:t>9 de julio de 1996</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Chile</w:t>
            </w:r>
          </w:p>
        </w:tc>
        <w:tc>
          <w:tcPr>
            <w:tcW w:w="2430" w:type="dxa"/>
          </w:tcPr>
          <w:p w:rsidR="00000000" w:rsidRDefault="00000000">
            <w:pPr>
              <w:spacing w:before="40" w:after="40"/>
              <w:rPr>
                <w:kern w:val="2"/>
                <w:lang w:val="es-ES_tradnl"/>
              </w:rPr>
            </w:pPr>
            <w:r>
              <w:rPr>
                <w:kern w:val="2"/>
                <w:lang w:val="es-ES_tradnl"/>
              </w:rPr>
              <w:t>6 de enero de 1991</w:t>
            </w:r>
          </w:p>
        </w:tc>
        <w:tc>
          <w:tcPr>
            <w:tcW w:w="2880" w:type="dxa"/>
          </w:tcPr>
          <w:p w:rsidR="00000000" w:rsidRDefault="00000000">
            <w:pPr>
              <w:spacing w:before="40" w:after="40"/>
              <w:rPr>
                <w:kern w:val="2"/>
                <w:lang w:val="es-ES_tradnl"/>
              </w:rPr>
            </w:pPr>
            <w:r>
              <w:rPr>
                <w:kern w:val="2"/>
                <w:lang w:val="es-ES_tradnl"/>
              </w:rPr>
              <w:t>3 de septiembre de 1991</w:t>
            </w:r>
            <w:r>
              <w:rPr>
                <w:kern w:val="2"/>
                <w:lang w:val="es-ES_tradnl"/>
              </w:rPr>
              <w:br/>
              <w:t>(CEDAW/C/CHI/1)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China</w:t>
            </w:r>
          </w:p>
        </w:tc>
        <w:tc>
          <w:tcPr>
            <w:tcW w:w="2430" w:type="dxa"/>
          </w:tcPr>
          <w:p w:rsidR="00000000" w:rsidRDefault="00000000">
            <w:pPr>
              <w:spacing w:before="40" w:after="40"/>
              <w:rPr>
                <w:kern w:val="2"/>
                <w:lang w:val="es-ES_tradnl"/>
              </w:rPr>
            </w:pPr>
            <w:r>
              <w:rPr>
                <w:kern w:val="2"/>
                <w:lang w:val="es-ES_tradnl"/>
              </w:rPr>
              <w:t>3 de septiembre de 1982</w:t>
            </w:r>
          </w:p>
        </w:tc>
        <w:tc>
          <w:tcPr>
            <w:tcW w:w="2880" w:type="dxa"/>
          </w:tcPr>
          <w:p w:rsidR="00000000" w:rsidRDefault="00000000">
            <w:pPr>
              <w:spacing w:before="40" w:after="40"/>
              <w:rPr>
                <w:kern w:val="2"/>
                <w:lang w:val="es-ES_tradnl"/>
              </w:rPr>
            </w:pPr>
            <w:r>
              <w:rPr>
                <w:kern w:val="2"/>
                <w:lang w:val="es-ES_tradnl"/>
              </w:rPr>
              <w:t>25 de mayo de 1983</w:t>
            </w:r>
            <w:r>
              <w:rPr>
                <w:kern w:val="2"/>
                <w:lang w:val="es-ES_tradnl"/>
              </w:rPr>
              <w:br/>
              <w:t>(CEDAW/C/5/Add.14)</w:t>
            </w:r>
          </w:p>
        </w:tc>
        <w:tc>
          <w:tcPr>
            <w:tcW w:w="1800" w:type="dxa"/>
          </w:tcPr>
          <w:p w:rsidR="00000000" w:rsidRDefault="00000000">
            <w:pPr>
              <w:spacing w:before="40" w:after="40"/>
              <w:rPr>
                <w:kern w:val="2"/>
                <w:lang w:val="es-ES_tradnl"/>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Tercero (1984)</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Chipre</w:t>
            </w:r>
          </w:p>
        </w:tc>
        <w:tc>
          <w:tcPr>
            <w:tcW w:w="2430" w:type="dxa"/>
          </w:tcPr>
          <w:p w:rsidR="00000000" w:rsidRDefault="00000000">
            <w:pPr>
              <w:spacing w:before="40" w:after="40"/>
              <w:rPr>
                <w:kern w:val="2"/>
                <w:lang w:val="es-ES_tradnl"/>
              </w:rPr>
            </w:pPr>
            <w:r>
              <w:rPr>
                <w:kern w:val="2"/>
                <w:lang w:val="es-ES_tradnl"/>
              </w:rPr>
              <w:t>22 de agosto de 1986</w:t>
            </w:r>
          </w:p>
        </w:tc>
        <w:tc>
          <w:tcPr>
            <w:tcW w:w="2880" w:type="dxa"/>
          </w:tcPr>
          <w:p w:rsidR="00000000" w:rsidRDefault="00000000">
            <w:pPr>
              <w:spacing w:before="40" w:after="40"/>
              <w:rPr>
                <w:kern w:val="2"/>
                <w:lang w:val="es-ES_tradnl"/>
              </w:rPr>
            </w:pPr>
            <w:r>
              <w:rPr>
                <w:kern w:val="2"/>
                <w:lang w:val="es-ES_tradnl"/>
              </w:rPr>
              <w:t>2 de febrero de 1994</w:t>
            </w:r>
            <w:r>
              <w:rPr>
                <w:kern w:val="2"/>
                <w:lang w:val="es-ES_tradnl"/>
              </w:rPr>
              <w:br/>
              <w:t>(CEDAW/C/CYP/1 y 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Colombia</w:t>
            </w:r>
          </w:p>
        </w:tc>
        <w:tc>
          <w:tcPr>
            <w:tcW w:w="2430" w:type="dxa"/>
          </w:tcPr>
          <w:p w:rsidR="00000000" w:rsidRDefault="00000000">
            <w:pPr>
              <w:spacing w:before="40" w:after="40"/>
              <w:rPr>
                <w:kern w:val="2"/>
                <w:lang w:val="es-ES_tradnl"/>
              </w:rPr>
            </w:pPr>
            <w:r>
              <w:rPr>
                <w:kern w:val="2"/>
                <w:lang w:val="es-ES_tradnl"/>
              </w:rPr>
              <w:t>18 de febrero de 1983</w:t>
            </w:r>
          </w:p>
        </w:tc>
        <w:tc>
          <w:tcPr>
            <w:tcW w:w="2880" w:type="dxa"/>
          </w:tcPr>
          <w:p w:rsidR="00000000" w:rsidRDefault="00000000">
            <w:pPr>
              <w:spacing w:before="40" w:after="40"/>
              <w:rPr>
                <w:kern w:val="2"/>
                <w:lang w:val="es-ES_tradnl"/>
              </w:rPr>
            </w:pPr>
            <w:r>
              <w:rPr>
                <w:kern w:val="2"/>
                <w:lang w:val="es-ES_tradnl"/>
              </w:rPr>
              <w:t>16 de enero de 1986</w:t>
            </w:r>
            <w:r>
              <w:rPr>
                <w:kern w:val="2"/>
                <w:lang w:val="es-ES_tradnl"/>
              </w:rPr>
              <w:br/>
              <w:t>(CEDAW/C/5/Add.32)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Comoras</w:t>
            </w:r>
          </w:p>
        </w:tc>
        <w:tc>
          <w:tcPr>
            <w:tcW w:w="2430" w:type="dxa"/>
          </w:tcPr>
          <w:p w:rsidR="00000000" w:rsidRDefault="00000000">
            <w:pPr>
              <w:spacing w:before="40" w:after="40"/>
              <w:rPr>
                <w:kern w:val="2"/>
                <w:lang w:val="es-ES_tradnl"/>
              </w:rPr>
            </w:pPr>
            <w:r>
              <w:rPr>
                <w:kern w:val="2"/>
                <w:lang w:val="es-ES_tradnl"/>
              </w:rPr>
              <w:t>30 de noviembre de 1995</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Height w:val="90"/>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Congo</w:t>
            </w:r>
          </w:p>
        </w:tc>
        <w:tc>
          <w:tcPr>
            <w:tcW w:w="2430" w:type="dxa"/>
          </w:tcPr>
          <w:p w:rsidR="00000000" w:rsidRDefault="00000000">
            <w:pPr>
              <w:spacing w:before="40" w:after="40"/>
              <w:rPr>
                <w:kern w:val="2"/>
                <w:lang w:val="es-ES_tradnl"/>
              </w:rPr>
            </w:pPr>
            <w:r>
              <w:rPr>
                <w:kern w:val="2"/>
                <w:lang w:val="es-ES_tradnl"/>
              </w:rPr>
              <w:t>25 de agosto de 1983</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Costa Rica</w:t>
            </w:r>
          </w:p>
        </w:tc>
        <w:tc>
          <w:tcPr>
            <w:tcW w:w="2430" w:type="dxa"/>
          </w:tcPr>
          <w:p w:rsidR="00000000" w:rsidRDefault="00000000">
            <w:pPr>
              <w:keepNext/>
              <w:keepLines/>
              <w:spacing w:before="40" w:after="40"/>
              <w:rPr>
                <w:kern w:val="2"/>
                <w:lang w:val="es-ES_tradnl"/>
              </w:rPr>
            </w:pPr>
            <w:r>
              <w:rPr>
                <w:kern w:val="2"/>
                <w:lang w:val="es-ES_tradnl"/>
              </w:rPr>
              <w:t>4 de mayo de 1987</w:t>
            </w:r>
          </w:p>
        </w:tc>
        <w:tc>
          <w:tcPr>
            <w:tcW w:w="2880" w:type="dxa"/>
          </w:tcPr>
          <w:p w:rsidR="00000000" w:rsidRDefault="00000000">
            <w:pPr>
              <w:keepNext/>
              <w:keepLines/>
              <w:spacing w:before="40" w:after="40"/>
              <w:rPr>
                <w:kern w:val="2"/>
                <w:lang w:val="es-ES_tradnl"/>
              </w:rPr>
            </w:pPr>
            <w:r>
              <w:rPr>
                <w:kern w:val="2"/>
                <w:lang w:val="es-ES_tradnl"/>
              </w:rPr>
              <w:t>10 de julio de 2001</w:t>
            </w:r>
            <w:r>
              <w:rPr>
                <w:kern w:val="2"/>
                <w:lang w:val="es-ES_tradnl"/>
              </w:rPr>
              <w:br/>
              <w:t>(CEDAW/C/CRI/1)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Côte d'Ivoire</w:t>
            </w:r>
          </w:p>
        </w:tc>
        <w:tc>
          <w:tcPr>
            <w:tcW w:w="2430" w:type="dxa"/>
          </w:tcPr>
          <w:p w:rsidR="00000000" w:rsidRDefault="00000000">
            <w:pPr>
              <w:spacing w:before="40" w:after="40"/>
              <w:rPr>
                <w:kern w:val="2"/>
                <w:lang w:val="es-ES_tradnl"/>
              </w:rPr>
            </w:pPr>
            <w:r>
              <w:rPr>
                <w:kern w:val="2"/>
                <w:lang w:val="es-ES_tradnl"/>
              </w:rPr>
              <w:t>17 de enero de 1997</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Croacia</w:t>
            </w:r>
          </w:p>
        </w:tc>
        <w:tc>
          <w:tcPr>
            <w:tcW w:w="2430" w:type="dxa"/>
          </w:tcPr>
          <w:p w:rsidR="00000000" w:rsidRDefault="00000000">
            <w:pPr>
              <w:spacing w:before="40" w:after="40"/>
              <w:rPr>
                <w:kern w:val="2"/>
                <w:lang w:val="es-ES_tradnl"/>
              </w:rPr>
            </w:pPr>
            <w:r>
              <w:rPr>
                <w:kern w:val="2"/>
                <w:lang w:val="es-ES_tradnl"/>
              </w:rPr>
              <w:t>9 de octubre de 1993</w:t>
            </w:r>
          </w:p>
        </w:tc>
        <w:tc>
          <w:tcPr>
            <w:tcW w:w="2880" w:type="dxa"/>
          </w:tcPr>
          <w:p w:rsidR="00000000" w:rsidRDefault="00000000">
            <w:pPr>
              <w:spacing w:before="40" w:after="40"/>
              <w:rPr>
                <w:kern w:val="2"/>
                <w:lang w:val="es-ES_tradnl"/>
              </w:rPr>
            </w:pPr>
            <w:r>
              <w:rPr>
                <w:kern w:val="2"/>
                <w:lang w:val="es-ES_tradnl"/>
              </w:rPr>
              <w:t>10 de enero de 1995</w:t>
            </w:r>
            <w:r>
              <w:rPr>
                <w:kern w:val="2"/>
                <w:lang w:val="es-ES_tradnl"/>
              </w:rPr>
              <w:br/>
              <w:t>(CEDAW/C/CRO/1)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Cuba</w:t>
            </w:r>
          </w:p>
        </w:tc>
        <w:tc>
          <w:tcPr>
            <w:tcW w:w="2430" w:type="dxa"/>
          </w:tcPr>
          <w:p w:rsidR="00000000" w:rsidRDefault="00000000">
            <w:pPr>
              <w:spacing w:before="40" w:after="40"/>
              <w:rPr>
                <w:kern w:val="2"/>
                <w:lang w:val="es-ES_tradnl"/>
              </w:rPr>
            </w:pPr>
            <w:r>
              <w:rPr>
                <w:kern w:val="2"/>
                <w:lang w:val="es-ES_tradnl"/>
              </w:rPr>
              <w:t>3 de septiembre de 1982</w:t>
            </w:r>
          </w:p>
        </w:tc>
        <w:tc>
          <w:tcPr>
            <w:tcW w:w="2880" w:type="dxa"/>
          </w:tcPr>
          <w:p w:rsidR="00000000" w:rsidRDefault="00000000">
            <w:pPr>
              <w:spacing w:before="40" w:after="40"/>
              <w:rPr>
                <w:kern w:val="2"/>
                <w:lang w:val="es-ES_tradnl"/>
              </w:rPr>
            </w:pPr>
            <w:r>
              <w:rPr>
                <w:kern w:val="2"/>
                <w:lang w:val="es-ES_tradnl"/>
              </w:rPr>
              <w:t>27 de septiembre de 1982</w:t>
            </w:r>
            <w:r>
              <w:rPr>
                <w:kern w:val="2"/>
                <w:lang w:val="es-ES_tradnl"/>
              </w:rPr>
              <w:br/>
              <w:t>(CEDAW/C/5/Add.4)</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Segundo (1983)</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Dinamarca</w:t>
            </w:r>
          </w:p>
        </w:tc>
        <w:tc>
          <w:tcPr>
            <w:tcW w:w="2430" w:type="dxa"/>
          </w:tcPr>
          <w:p w:rsidR="00000000" w:rsidRDefault="00000000">
            <w:pPr>
              <w:spacing w:before="40" w:after="40"/>
              <w:rPr>
                <w:kern w:val="2"/>
                <w:lang w:val="es-ES_tradnl"/>
              </w:rPr>
            </w:pPr>
            <w:r>
              <w:rPr>
                <w:kern w:val="2"/>
                <w:lang w:val="es-ES_tradnl"/>
              </w:rPr>
              <w:t>21 de mayo de 1984</w:t>
            </w:r>
          </w:p>
        </w:tc>
        <w:tc>
          <w:tcPr>
            <w:tcW w:w="2880" w:type="dxa"/>
          </w:tcPr>
          <w:p w:rsidR="00000000" w:rsidRDefault="00000000">
            <w:pPr>
              <w:spacing w:before="40" w:after="40"/>
              <w:rPr>
                <w:kern w:val="2"/>
                <w:lang w:val="es-ES_tradnl"/>
              </w:rPr>
            </w:pPr>
            <w:r>
              <w:rPr>
                <w:kern w:val="2"/>
                <w:lang w:val="es-ES_tradnl"/>
              </w:rPr>
              <w:t>30 de julio de 1984</w:t>
            </w:r>
            <w:r>
              <w:rPr>
                <w:kern w:val="2"/>
                <w:lang w:val="es-ES_tradnl"/>
              </w:rPr>
              <w:br/>
              <w:t>(CEDAW/C/5/Add.22)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Quinto (1986)</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Dominica</w:t>
            </w:r>
          </w:p>
        </w:tc>
        <w:tc>
          <w:tcPr>
            <w:tcW w:w="2430" w:type="dxa"/>
          </w:tcPr>
          <w:p w:rsidR="00000000" w:rsidRDefault="00000000">
            <w:pPr>
              <w:spacing w:before="40" w:after="40"/>
              <w:rPr>
                <w:kern w:val="2"/>
                <w:lang w:val="es-ES_tradnl"/>
              </w:rPr>
            </w:pPr>
            <w:r>
              <w:rPr>
                <w:kern w:val="2"/>
                <w:lang w:val="es-ES_tradnl"/>
              </w:rPr>
              <w:t>3 de septiembre de 1982</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Djibouti</w:t>
            </w:r>
          </w:p>
        </w:tc>
        <w:tc>
          <w:tcPr>
            <w:tcW w:w="2430" w:type="dxa"/>
          </w:tcPr>
          <w:p w:rsidR="00000000" w:rsidRDefault="00000000">
            <w:pPr>
              <w:spacing w:before="40" w:after="40"/>
              <w:rPr>
                <w:kern w:val="2"/>
                <w:lang w:val="es-ES_tradnl"/>
              </w:rPr>
            </w:pPr>
            <w:r>
              <w:rPr>
                <w:kern w:val="2"/>
                <w:lang w:val="es-ES_tradnl"/>
              </w:rPr>
              <w:t>2 de enero de 2000</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Ecuador</w:t>
            </w:r>
          </w:p>
        </w:tc>
        <w:tc>
          <w:tcPr>
            <w:tcW w:w="2430" w:type="dxa"/>
          </w:tcPr>
          <w:p w:rsidR="00000000" w:rsidRDefault="00000000">
            <w:pPr>
              <w:spacing w:before="40" w:after="40"/>
              <w:rPr>
                <w:kern w:val="2"/>
                <w:lang w:val="es-ES_tradnl"/>
              </w:rPr>
            </w:pPr>
            <w:r>
              <w:rPr>
                <w:kern w:val="2"/>
                <w:lang w:val="es-ES_tradnl"/>
              </w:rPr>
              <w:t>9 de diciembre de 1982</w:t>
            </w:r>
          </w:p>
        </w:tc>
        <w:tc>
          <w:tcPr>
            <w:tcW w:w="2880" w:type="dxa"/>
          </w:tcPr>
          <w:p w:rsidR="00000000" w:rsidRDefault="00000000">
            <w:pPr>
              <w:spacing w:before="40" w:after="40"/>
              <w:rPr>
                <w:kern w:val="2"/>
                <w:lang w:val="es-ES_tradnl"/>
              </w:rPr>
            </w:pPr>
            <w:r>
              <w:rPr>
                <w:kern w:val="2"/>
                <w:lang w:val="es-ES_tradnl"/>
              </w:rPr>
              <w:t>14 de agosto de 1984</w:t>
            </w:r>
            <w:r>
              <w:rPr>
                <w:kern w:val="2"/>
                <w:lang w:val="es-ES_tradnl"/>
              </w:rPr>
              <w:br/>
              <w:t>(CEDAW/C/5/Add.23)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Quinto (1986)</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Egipto</w:t>
            </w:r>
          </w:p>
        </w:tc>
        <w:tc>
          <w:tcPr>
            <w:tcW w:w="2430" w:type="dxa"/>
          </w:tcPr>
          <w:p w:rsidR="00000000" w:rsidRDefault="00000000">
            <w:pPr>
              <w:spacing w:before="40" w:after="40"/>
              <w:rPr>
                <w:kern w:val="2"/>
                <w:lang w:val="es-ES_tradnl"/>
              </w:rPr>
            </w:pPr>
            <w:r>
              <w:rPr>
                <w:kern w:val="2"/>
                <w:lang w:val="es-ES_tradnl"/>
              </w:rPr>
              <w:t>18 de octubre de 1982</w:t>
            </w:r>
          </w:p>
        </w:tc>
        <w:tc>
          <w:tcPr>
            <w:tcW w:w="2880" w:type="dxa"/>
          </w:tcPr>
          <w:p w:rsidR="00000000" w:rsidRDefault="00000000">
            <w:pPr>
              <w:spacing w:before="40" w:after="40"/>
              <w:rPr>
                <w:kern w:val="2"/>
                <w:lang w:val="es-ES_tradnl"/>
              </w:rPr>
            </w:pPr>
            <w:r>
              <w:rPr>
                <w:kern w:val="2"/>
                <w:lang w:val="es-ES_tradnl"/>
              </w:rPr>
              <w:t>2 de febrero de 1983</w:t>
            </w:r>
            <w:r>
              <w:rPr>
                <w:kern w:val="2"/>
                <w:lang w:val="es-ES_tradnl"/>
              </w:rPr>
              <w:br/>
              <w:t>(CEDAW/C/5/Add.10)</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Tercero (1984)</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El Salvador</w:t>
            </w:r>
          </w:p>
        </w:tc>
        <w:tc>
          <w:tcPr>
            <w:tcW w:w="2430" w:type="dxa"/>
          </w:tcPr>
          <w:p w:rsidR="00000000" w:rsidRDefault="00000000">
            <w:pPr>
              <w:spacing w:before="40" w:after="40"/>
              <w:rPr>
                <w:kern w:val="2"/>
                <w:lang w:val="es-ES_tradnl"/>
              </w:rPr>
            </w:pPr>
            <w:r>
              <w:rPr>
                <w:kern w:val="2"/>
                <w:lang w:val="es-ES_tradnl"/>
              </w:rPr>
              <w:t>18 de septiembre de 1982</w:t>
            </w:r>
          </w:p>
        </w:tc>
        <w:tc>
          <w:tcPr>
            <w:tcW w:w="2880" w:type="dxa"/>
          </w:tcPr>
          <w:p w:rsidR="00000000" w:rsidRDefault="00000000">
            <w:pPr>
              <w:spacing w:before="40" w:after="40"/>
              <w:rPr>
                <w:kern w:val="2"/>
                <w:lang w:val="es-ES_tradnl"/>
              </w:rPr>
            </w:pPr>
            <w:r>
              <w:rPr>
                <w:kern w:val="2"/>
                <w:lang w:val="es-ES_tradnl"/>
              </w:rPr>
              <w:t>3 de noviembre de 1983</w:t>
            </w:r>
            <w:r>
              <w:rPr>
                <w:kern w:val="2"/>
                <w:lang w:val="es-ES_tradnl"/>
              </w:rPr>
              <w:br/>
              <w:t>(CEDAW/C/5/Add.19)</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Quinto (1986)</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Eritrea</w:t>
            </w:r>
          </w:p>
        </w:tc>
        <w:tc>
          <w:tcPr>
            <w:tcW w:w="2430" w:type="dxa"/>
          </w:tcPr>
          <w:p w:rsidR="00000000" w:rsidRDefault="00000000">
            <w:pPr>
              <w:spacing w:before="40" w:after="40"/>
              <w:rPr>
                <w:kern w:val="2"/>
                <w:lang w:val="es-ES_tradnl"/>
              </w:rPr>
            </w:pPr>
            <w:r>
              <w:rPr>
                <w:kern w:val="2"/>
                <w:lang w:val="es-ES_tradnl"/>
              </w:rPr>
              <w:t>5 de octubre de 1996</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Eslovaquia</w:t>
            </w:r>
          </w:p>
        </w:tc>
        <w:tc>
          <w:tcPr>
            <w:tcW w:w="2430" w:type="dxa"/>
          </w:tcPr>
          <w:p w:rsidR="00000000" w:rsidRDefault="00000000">
            <w:pPr>
              <w:spacing w:before="40" w:after="40"/>
              <w:rPr>
                <w:kern w:val="2"/>
                <w:lang w:val="es-ES_tradnl"/>
              </w:rPr>
            </w:pPr>
            <w:r>
              <w:rPr>
                <w:kern w:val="2"/>
                <w:lang w:val="es-ES_tradnl"/>
              </w:rPr>
              <w:t>27 de junio de 1994</w:t>
            </w:r>
          </w:p>
        </w:tc>
        <w:tc>
          <w:tcPr>
            <w:tcW w:w="2880" w:type="dxa"/>
          </w:tcPr>
          <w:p w:rsidR="00000000" w:rsidRDefault="00000000">
            <w:pPr>
              <w:spacing w:before="40" w:after="40"/>
              <w:rPr>
                <w:kern w:val="2"/>
                <w:lang w:val="es-ES_tradnl"/>
              </w:rPr>
            </w:pPr>
            <w:r>
              <w:rPr>
                <w:kern w:val="2"/>
                <w:lang w:val="es-ES_tradnl"/>
              </w:rPr>
              <w:t>29 de abril de 1996</w:t>
            </w:r>
            <w:r>
              <w:rPr>
                <w:kern w:val="2"/>
                <w:lang w:val="es-ES_tradnl"/>
              </w:rPr>
              <w:br/>
              <w:t>(CEDAW/C/SVK/1)</w:t>
            </w:r>
            <w:r>
              <w:rPr>
                <w:kern w:val="2"/>
                <w:lang w:val="es-ES_tradnl"/>
              </w:rPr>
              <w:br/>
              <w:t>11 de mayo de 1998</w:t>
            </w:r>
            <w:r>
              <w:rPr>
                <w:kern w:val="2"/>
                <w:lang w:val="es-ES_tradnl"/>
              </w:rPr>
              <w:br/>
              <w:t>(CEDAW/C/SVK/1/Add.1)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Eslovenia</w:t>
            </w:r>
          </w:p>
        </w:tc>
        <w:tc>
          <w:tcPr>
            <w:tcW w:w="2430" w:type="dxa"/>
          </w:tcPr>
          <w:p w:rsidR="00000000" w:rsidRDefault="00000000">
            <w:pPr>
              <w:spacing w:before="40" w:after="40"/>
              <w:rPr>
                <w:kern w:val="2"/>
                <w:lang w:val="es-ES_tradnl"/>
              </w:rPr>
            </w:pPr>
            <w:r>
              <w:rPr>
                <w:kern w:val="2"/>
                <w:lang w:val="es-ES_tradnl"/>
              </w:rPr>
              <w:t>5 de agosto de 1993</w:t>
            </w:r>
          </w:p>
        </w:tc>
        <w:tc>
          <w:tcPr>
            <w:tcW w:w="2880" w:type="dxa"/>
          </w:tcPr>
          <w:p w:rsidR="00000000" w:rsidRDefault="00000000">
            <w:pPr>
              <w:spacing w:before="40" w:after="40"/>
              <w:rPr>
                <w:kern w:val="2"/>
                <w:lang w:val="es-ES_tradnl"/>
              </w:rPr>
            </w:pPr>
            <w:r>
              <w:rPr>
                <w:kern w:val="2"/>
                <w:lang w:val="es-ES_tradnl"/>
              </w:rPr>
              <w:t>23 de noviembre de 1993</w:t>
            </w:r>
            <w:r>
              <w:rPr>
                <w:kern w:val="2"/>
                <w:lang w:val="es-ES_tradnl"/>
              </w:rPr>
              <w:br/>
              <w:t>(CEDAW/C/SVN/1)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España</w:t>
            </w:r>
          </w:p>
        </w:tc>
        <w:tc>
          <w:tcPr>
            <w:tcW w:w="2430" w:type="dxa"/>
          </w:tcPr>
          <w:p w:rsidR="00000000" w:rsidRDefault="00000000">
            <w:pPr>
              <w:spacing w:before="40" w:after="40"/>
              <w:rPr>
                <w:kern w:val="2"/>
                <w:lang w:val="es-ES_tradnl"/>
              </w:rPr>
            </w:pPr>
            <w:r>
              <w:rPr>
                <w:kern w:val="2"/>
                <w:lang w:val="es-ES_tradnl"/>
              </w:rPr>
              <w:t>4 de febrero de 1985</w:t>
            </w:r>
          </w:p>
        </w:tc>
        <w:tc>
          <w:tcPr>
            <w:tcW w:w="2880" w:type="dxa"/>
          </w:tcPr>
          <w:p w:rsidR="00000000" w:rsidRDefault="00000000">
            <w:pPr>
              <w:spacing w:before="40" w:after="40"/>
              <w:rPr>
                <w:kern w:val="2"/>
                <w:lang w:val="es-ES_tradnl"/>
              </w:rPr>
            </w:pPr>
            <w:r>
              <w:rPr>
                <w:kern w:val="2"/>
                <w:lang w:val="es-ES_tradnl"/>
              </w:rPr>
              <w:t>20 de agosto de 1985</w:t>
            </w:r>
            <w:r>
              <w:rPr>
                <w:kern w:val="2"/>
                <w:lang w:val="es-ES_tradnl"/>
              </w:rPr>
              <w:br/>
              <w:t>(CEDAW/C/5/Add.30)</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Estonia</w:t>
            </w:r>
          </w:p>
        </w:tc>
        <w:tc>
          <w:tcPr>
            <w:tcW w:w="2430" w:type="dxa"/>
          </w:tcPr>
          <w:p w:rsidR="00000000" w:rsidRDefault="00000000">
            <w:pPr>
              <w:spacing w:before="40" w:after="40"/>
              <w:rPr>
                <w:kern w:val="2"/>
                <w:lang w:val="es-ES_tradnl"/>
              </w:rPr>
            </w:pPr>
            <w:r>
              <w:rPr>
                <w:kern w:val="2"/>
                <w:lang w:val="es-ES_tradnl"/>
              </w:rPr>
              <w:t>20 de noviembre de 1992</w:t>
            </w:r>
          </w:p>
        </w:tc>
        <w:tc>
          <w:tcPr>
            <w:tcW w:w="2880" w:type="dxa"/>
          </w:tcPr>
          <w:p w:rsidR="00000000" w:rsidRDefault="00000000">
            <w:pPr>
              <w:spacing w:before="40" w:after="40"/>
              <w:rPr>
                <w:kern w:val="2"/>
                <w:lang w:val="es-ES_tradnl"/>
              </w:rPr>
            </w:pPr>
            <w:r>
              <w:rPr>
                <w:kern w:val="2"/>
                <w:lang w:val="es-ES_tradnl"/>
              </w:rPr>
              <w:t>14 de junio de 2001 (CEDAW/C/EST/1 a 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Etiopía</w:t>
            </w:r>
          </w:p>
        </w:tc>
        <w:tc>
          <w:tcPr>
            <w:tcW w:w="2430" w:type="dxa"/>
          </w:tcPr>
          <w:p w:rsidR="00000000" w:rsidRDefault="00000000">
            <w:pPr>
              <w:spacing w:before="40" w:after="40"/>
              <w:rPr>
                <w:kern w:val="2"/>
                <w:lang w:val="es-ES_tradnl"/>
              </w:rPr>
            </w:pPr>
            <w:r>
              <w:rPr>
                <w:kern w:val="2"/>
                <w:lang w:val="es-ES_tradnl"/>
              </w:rPr>
              <w:t>10 de octubre de 1982</w:t>
            </w:r>
          </w:p>
        </w:tc>
        <w:tc>
          <w:tcPr>
            <w:tcW w:w="2880" w:type="dxa"/>
          </w:tcPr>
          <w:p w:rsidR="00000000" w:rsidRDefault="00000000">
            <w:pPr>
              <w:spacing w:before="40" w:after="40"/>
              <w:rPr>
                <w:kern w:val="2"/>
                <w:lang w:val="es-ES_tradnl"/>
              </w:rPr>
            </w:pPr>
            <w:r>
              <w:rPr>
                <w:kern w:val="2"/>
                <w:lang w:val="es-ES_tradnl"/>
              </w:rPr>
              <w:t>22 de abril de 1993</w:t>
            </w:r>
            <w:r>
              <w:rPr>
                <w:kern w:val="2"/>
                <w:lang w:val="es-ES_tradnl"/>
              </w:rPr>
              <w:br/>
              <w:t>(CEDAW/C/ETH/1 a 3)</w:t>
            </w:r>
            <w:r>
              <w:rPr>
                <w:kern w:val="2"/>
                <w:lang w:val="es-ES_tradnl"/>
              </w:rPr>
              <w:br/>
              <w:t>16 de octubre de 1995</w:t>
            </w:r>
            <w:r>
              <w:rPr>
                <w:kern w:val="2"/>
                <w:lang w:val="es-ES_tradnl"/>
              </w:rPr>
              <w:br/>
              <w:t>(CEDAW/C/ETH/1 a 3/Add.1)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Ex República Yugoslava de Macedonia</w:t>
            </w:r>
          </w:p>
        </w:tc>
        <w:tc>
          <w:tcPr>
            <w:tcW w:w="2430" w:type="dxa"/>
          </w:tcPr>
          <w:p w:rsidR="00000000" w:rsidRDefault="00000000">
            <w:pPr>
              <w:spacing w:before="40" w:after="40"/>
              <w:rPr>
                <w:kern w:val="2"/>
                <w:lang w:val="es-ES_tradnl"/>
              </w:rPr>
            </w:pPr>
            <w:r>
              <w:rPr>
                <w:kern w:val="2"/>
                <w:lang w:val="es-ES_tradnl"/>
              </w:rPr>
              <w:t>17 de febrero de 1995</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Federación de Rusia</w:t>
            </w:r>
          </w:p>
        </w:tc>
        <w:tc>
          <w:tcPr>
            <w:tcW w:w="2430" w:type="dxa"/>
          </w:tcPr>
          <w:p w:rsidR="00000000" w:rsidRDefault="00000000">
            <w:pPr>
              <w:spacing w:before="40" w:after="40"/>
              <w:rPr>
                <w:kern w:val="2"/>
                <w:lang w:val="es-ES_tradnl"/>
              </w:rPr>
            </w:pPr>
            <w:r>
              <w:rPr>
                <w:kern w:val="2"/>
                <w:lang w:val="es-ES_tradnl"/>
              </w:rPr>
              <w:t>3 de septiembre de 1982</w:t>
            </w:r>
          </w:p>
        </w:tc>
        <w:tc>
          <w:tcPr>
            <w:tcW w:w="2880" w:type="dxa"/>
          </w:tcPr>
          <w:p w:rsidR="00000000" w:rsidRDefault="00000000">
            <w:pPr>
              <w:spacing w:before="40" w:after="40"/>
              <w:rPr>
                <w:kern w:val="2"/>
                <w:lang w:val="es-ES_tradnl"/>
              </w:rPr>
            </w:pPr>
            <w:r>
              <w:rPr>
                <w:kern w:val="2"/>
                <w:lang w:val="es-ES_tradnl"/>
              </w:rPr>
              <w:t>2 de marzo de 1983</w:t>
            </w:r>
            <w:r>
              <w:rPr>
                <w:kern w:val="2"/>
                <w:lang w:val="es-ES_tradnl"/>
              </w:rPr>
              <w:br/>
              <w:t>(CEDAW/C/5/Add.12)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Segundo (1983)</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Fiji</w:t>
            </w:r>
          </w:p>
        </w:tc>
        <w:tc>
          <w:tcPr>
            <w:tcW w:w="2430" w:type="dxa"/>
          </w:tcPr>
          <w:p w:rsidR="00000000" w:rsidRDefault="00000000">
            <w:pPr>
              <w:keepNext/>
              <w:keepLines/>
              <w:spacing w:before="40" w:after="40"/>
              <w:rPr>
                <w:kern w:val="2"/>
                <w:lang w:val="es-ES_tradnl"/>
              </w:rPr>
            </w:pPr>
            <w:r>
              <w:rPr>
                <w:kern w:val="2"/>
                <w:lang w:val="es-ES_tradnl"/>
              </w:rPr>
              <w:t>27 de septiembre de 1996</w:t>
            </w:r>
          </w:p>
        </w:tc>
        <w:tc>
          <w:tcPr>
            <w:tcW w:w="2880" w:type="dxa"/>
          </w:tcPr>
          <w:p w:rsidR="00000000" w:rsidRDefault="00000000">
            <w:pPr>
              <w:keepNext/>
              <w:keepLines/>
              <w:spacing w:before="40" w:after="40"/>
              <w:rPr>
                <w:kern w:val="2"/>
                <w:lang w:val="es-ES_tradnl"/>
              </w:rPr>
            </w:pPr>
            <w:r>
              <w:rPr>
                <w:kern w:val="2"/>
                <w:lang w:val="es-ES_tradnl"/>
              </w:rPr>
              <w:t>29 de febrero de 2000</w:t>
            </w:r>
            <w:r>
              <w:rPr>
                <w:kern w:val="2"/>
                <w:lang w:val="es-ES_tradnl"/>
              </w:rPr>
              <w:br/>
              <w:t>(CEDAW/C/FJI/1)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Filipinas</w:t>
            </w:r>
          </w:p>
        </w:tc>
        <w:tc>
          <w:tcPr>
            <w:tcW w:w="2430" w:type="dxa"/>
          </w:tcPr>
          <w:p w:rsidR="00000000" w:rsidRDefault="00000000">
            <w:pPr>
              <w:spacing w:before="40" w:after="40"/>
              <w:rPr>
                <w:kern w:val="2"/>
                <w:lang w:val="es-ES_tradnl"/>
              </w:rPr>
            </w:pPr>
            <w:r>
              <w:rPr>
                <w:kern w:val="2"/>
                <w:lang w:val="es-ES_tradnl"/>
              </w:rPr>
              <w:t>4 de septiembre de 1982</w:t>
            </w:r>
          </w:p>
        </w:tc>
        <w:tc>
          <w:tcPr>
            <w:tcW w:w="2880" w:type="dxa"/>
          </w:tcPr>
          <w:p w:rsidR="00000000" w:rsidRDefault="00000000">
            <w:pPr>
              <w:spacing w:before="40" w:after="40"/>
              <w:rPr>
                <w:kern w:val="2"/>
                <w:lang w:val="es-ES_tradnl"/>
              </w:rPr>
            </w:pPr>
            <w:r>
              <w:rPr>
                <w:kern w:val="2"/>
                <w:lang w:val="es-ES_tradnl"/>
              </w:rPr>
              <w:t>22 de octubre de 1982</w:t>
            </w:r>
            <w:r>
              <w:rPr>
                <w:kern w:val="2"/>
                <w:lang w:val="es-ES_tradnl"/>
              </w:rPr>
              <w:br/>
              <w:t>(CEDAW/C/5/Add.6)</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Tercero (1984)</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Finlandia</w:t>
            </w:r>
          </w:p>
        </w:tc>
        <w:tc>
          <w:tcPr>
            <w:tcW w:w="2430" w:type="dxa"/>
          </w:tcPr>
          <w:p w:rsidR="00000000" w:rsidRDefault="00000000">
            <w:pPr>
              <w:keepNext/>
              <w:keepLines/>
              <w:spacing w:before="40" w:after="40"/>
              <w:rPr>
                <w:kern w:val="2"/>
                <w:lang w:val="es-ES_tradnl"/>
              </w:rPr>
            </w:pPr>
            <w:r>
              <w:rPr>
                <w:kern w:val="2"/>
                <w:lang w:val="es-ES_tradnl"/>
              </w:rPr>
              <w:t>4 de octubre de 1987</w:t>
            </w:r>
          </w:p>
        </w:tc>
        <w:tc>
          <w:tcPr>
            <w:tcW w:w="2880" w:type="dxa"/>
          </w:tcPr>
          <w:p w:rsidR="00000000" w:rsidRDefault="00000000">
            <w:pPr>
              <w:keepNext/>
              <w:keepLines/>
              <w:spacing w:before="40" w:after="40"/>
              <w:rPr>
                <w:kern w:val="2"/>
                <w:lang w:val="es-ES_tradnl"/>
              </w:rPr>
            </w:pPr>
            <w:r>
              <w:rPr>
                <w:kern w:val="2"/>
                <w:lang w:val="es-ES_tradnl"/>
              </w:rPr>
              <w:t>16 de febrero de 1988</w:t>
            </w:r>
            <w:r>
              <w:rPr>
                <w:kern w:val="2"/>
                <w:lang w:val="es-ES_tradnl"/>
              </w:rPr>
              <w:br/>
              <w:t>(CEDAW/C/5/Add.56)</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Octavo (1989)</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Francia</w:t>
            </w:r>
          </w:p>
        </w:tc>
        <w:tc>
          <w:tcPr>
            <w:tcW w:w="2430" w:type="dxa"/>
          </w:tcPr>
          <w:p w:rsidR="00000000" w:rsidRDefault="00000000">
            <w:pPr>
              <w:spacing w:before="40" w:after="40"/>
              <w:rPr>
                <w:kern w:val="2"/>
                <w:lang w:val="es-ES_tradnl"/>
              </w:rPr>
            </w:pPr>
            <w:r>
              <w:rPr>
                <w:kern w:val="2"/>
                <w:lang w:val="es-ES_tradnl"/>
              </w:rPr>
              <w:t>13 de enero de 1985</w:t>
            </w:r>
          </w:p>
        </w:tc>
        <w:tc>
          <w:tcPr>
            <w:tcW w:w="2880" w:type="dxa"/>
          </w:tcPr>
          <w:p w:rsidR="00000000" w:rsidRDefault="00000000">
            <w:pPr>
              <w:spacing w:before="40" w:after="40"/>
              <w:rPr>
                <w:kern w:val="2"/>
                <w:lang w:val="es-ES_tradnl"/>
              </w:rPr>
            </w:pPr>
            <w:r>
              <w:rPr>
                <w:kern w:val="2"/>
                <w:lang w:val="es-ES_tradnl"/>
              </w:rPr>
              <w:t>13 de febrero de 1986</w:t>
            </w:r>
            <w:r>
              <w:rPr>
                <w:kern w:val="2"/>
                <w:lang w:val="es-ES_tradnl"/>
              </w:rPr>
              <w:br/>
              <w:t>(CEDAW/C/5/Add.33)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Gabón</w:t>
            </w:r>
          </w:p>
        </w:tc>
        <w:tc>
          <w:tcPr>
            <w:tcW w:w="2430" w:type="dxa"/>
          </w:tcPr>
          <w:p w:rsidR="00000000" w:rsidRDefault="00000000">
            <w:pPr>
              <w:spacing w:before="40" w:after="40"/>
              <w:rPr>
                <w:kern w:val="2"/>
                <w:lang w:val="es-ES_tradnl"/>
              </w:rPr>
            </w:pPr>
            <w:r>
              <w:rPr>
                <w:kern w:val="2"/>
                <w:lang w:val="es-ES_tradnl"/>
              </w:rPr>
              <w:t>20 de febrero de 1984</w:t>
            </w:r>
          </w:p>
        </w:tc>
        <w:tc>
          <w:tcPr>
            <w:tcW w:w="2880" w:type="dxa"/>
          </w:tcPr>
          <w:p w:rsidR="00000000" w:rsidRDefault="00000000">
            <w:pPr>
              <w:spacing w:before="40" w:after="40"/>
              <w:rPr>
                <w:kern w:val="2"/>
                <w:lang w:val="es-ES_tradnl"/>
              </w:rPr>
            </w:pPr>
            <w:r>
              <w:rPr>
                <w:kern w:val="2"/>
                <w:lang w:val="es-ES_tradnl"/>
              </w:rPr>
              <w:t>19 de junio de 1987</w:t>
            </w:r>
            <w:r>
              <w:rPr>
                <w:kern w:val="2"/>
                <w:lang w:val="es-ES_tradnl"/>
              </w:rPr>
              <w:br/>
              <w:t>(CEDAW/C/5/Add.54)</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Octavo (1989)</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Gambia</w:t>
            </w:r>
          </w:p>
        </w:tc>
        <w:tc>
          <w:tcPr>
            <w:tcW w:w="2430" w:type="dxa"/>
          </w:tcPr>
          <w:p w:rsidR="00000000" w:rsidRDefault="00000000">
            <w:pPr>
              <w:spacing w:before="40" w:after="40"/>
              <w:rPr>
                <w:kern w:val="2"/>
                <w:lang w:val="es-ES_tradnl"/>
              </w:rPr>
            </w:pPr>
            <w:r>
              <w:rPr>
                <w:kern w:val="2"/>
                <w:lang w:val="es-ES_tradnl"/>
              </w:rPr>
              <w:t>16 de mayo de 1994</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Georgia</w:t>
            </w:r>
          </w:p>
        </w:tc>
        <w:tc>
          <w:tcPr>
            <w:tcW w:w="2430" w:type="dxa"/>
          </w:tcPr>
          <w:p w:rsidR="00000000" w:rsidRDefault="00000000">
            <w:pPr>
              <w:spacing w:before="40" w:after="40"/>
              <w:rPr>
                <w:kern w:val="2"/>
                <w:lang w:val="es-ES_tradnl"/>
              </w:rPr>
            </w:pPr>
            <w:r>
              <w:rPr>
                <w:kern w:val="2"/>
                <w:lang w:val="es-ES_tradnl"/>
              </w:rPr>
              <w:t>25 de noviembre de 1995</w:t>
            </w:r>
          </w:p>
        </w:tc>
        <w:tc>
          <w:tcPr>
            <w:tcW w:w="2880" w:type="dxa"/>
          </w:tcPr>
          <w:p w:rsidR="00000000" w:rsidRDefault="00000000">
            <w:pPr>
              <w:spacing w:before="40" w:after="40"/>
              <w:rPr>
                <w:kern w:val="2"/>
                <w:lang w:val="es-ES_tradnl"/>
              </w:rPr>
            </w:pPr>
            <w:r>
              <w:rPr>
                <w:kern w:val="2"/>
                <w:lang w:val="es-ES_tradnl"/>
              </w:rPr>
              <w:t>9 de marzo de 1998</w:t>
            </w:r>
            <w:r>
              <w:rPr>
                <w:kern w:val="2"/>
                <w:lang w:val="es-ES_tradnl"/>
              </w:rPr>
              <w:br/>
              <w:t>(CEDAW/C/GEO/1)</w:t>
            </w:r>
            <w:r>
              <w:rPr>
                <w:kern w:val="2"/>
                <w:lang w:val="es-ES_tradnl"/>
              </w:rPr>
              <w:br/>
              <w:t>6 de abril de 1999</w:t>
            </w:r>
            <w:r>
              <w:rPr>
                <w:kern w:val="2"/>
                <w:lang w:val="es-ES_tradnl"/>
              </w:rPr>
              <w:br/>
              <w:t>(CEDAW/C/GEO/1/Add.1)</w:t>
            </w:r>
            <w:r>
              <w:rPr>
                <w:kern w:val="2"/>
                <w:lang w:val="es-ES_tradnl"/>
              </w:rPr>
              <w:br/>
              <w:t>21 de mayo de 1999</w:t>
            </w:r>
            <w:r>
              <w:rPr>
                <w:kern w:val="2"/>
                <w:lang w:val="es-ES_tradnl"/>
              </w:rPr>
              <w:br/>
            </w:r>
            <w:r>
              <w:rPr>
                <w:spacing w:val="2"/>
                <w:w w:val="101"/>
                <w:kern w:val="2"/>
                <w:lang w:val="es-ES_tradnl"/>
              </w:rPr>
              <w:t>(CEDAW/C/GEO/1/Add.1/Corr.1)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21° (1999)</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Ghana</w:t>
            </w:r>
          </w:p>
        </w:tc>
        <w:tc>
          <w:tcPr>
            <w:tcW w:w="2430" w:type="dxa"/>
          </w:tcPr>
          <w:p w:rsidR="00000000" w:rsidRDefault="00000000">
            <w:pPr>
              <w:spacing w:before="40" w:after="40"/>
              <w:rPr>
                <w:kern w:val="2"/>
                <w:lang w:val="es-ES_tradnl"/>
              </w:rPr>
            </w:pPr>
            <w:r>
              <w:rPr>
                <w:kern w:val="2"/>
                <w:lang w:val="es-ES_tradnl"/>
              </w:rPr>
              <w:t>1º de febrero de 1987</w:t>
            </w:r>
          </w:p>
        </w:tc>
        <w:tc>
          <w:tcPr>
            <w:tcW w:w="2880" w:type="dxa"/>
          </w:tcPr>
          <w:p w:rsidR="00000000" w:rsidRDefault="00000000">
            <w:pPr>
              <w:spacing w:before="40" w:after="40"/>
              <w:rPr>
                <w:kern w:val="2"/>
                <w:lang w:val="es-ES_tradnl"/>
              </w:rPr>
            </w:pPr>
            <w:r>
              <w:rPr>
                <w:kern w:val="2"/>
                <w:lang w:val="es-ES_tradnl"/>
              </w:rPr>
              <w:t>29 de enero de 1991</w:t>
            </w:r>
            <w:r>
              <w:rPr>
                <w:kern w:val="2"/>
                <w:lang w:val="es-ES_tradnl"/>
              </w:rPr>
              <w:br/>
              <w:t>(CEDAW/C/GHA/1 y 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11° (1992)</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Granada</w:t>
            </w:r>
          </w:p>
        </w:tc>
        <w:tc>
          <w:tcPr>
            <w:tcW w:w="2430" w:type="dxa"/>
          </w:tcPr>
          <w:p w:rsidR="00000000" w:rsidRDefault="00000000">
            <w:pPr>
              <w:spacing w:before="40" w:after="40"/>
              <w:rPr>
                <w:kern w:val="2"/>
                <w:lang w:val="es-ES_tradnl"/>
              </w:rPr>
            </w:pPr>
            <w:r>
              <w:rPr>
                <w:kern w:val="2"/>
                <w:lang w:val="es-ES_tradnl"/>
              </w:rPr>
              <w:t>29 de septiembre de 1991</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Grecia</w:t>
            </w:r>
          </w:p>
        </w:tc>
        <w:tc>
          <w:tcPr>
            <w:tcW w:w="2430" w:type="dxa"/>
          </w:tcPr>
          <w:p w:rsidR="00000000" w:rsidRDefault="00000000">
            <w:pPr>
              <w:spacing w:before="40" w:after="40"/>
              <w:rPr>
                <w:kern w:val="2"/>
                <w:lang w:val="es-ES_tradnl"/>
              </w:rPr>
            </w:pPr>
            <w:r>
              <w:rPr>
                <w:kern w:val="2"/>
                <w:lang w:val="es-ES_tradnl"/>
              </w:rPr>
              <w:t>7 de julio de 1984</w:t>
            </w:r>
          </w:p>
        </w:tc>
        <w:tc>
          <w:tcPr>
            <w:tcW w:w="2880" w:type="dxa"/>
          </w:tcPr>
          <w:p w:rsidR="00000000" w:rsidRDefault="00000000">
            <w:pPr>
              <w:spacing w:before="40" w:after="40"/>
              <w:rPr>
                <w:kern w:val="2"/>
                <w:lang w:val="es-ES_tradnl"/>
              </w:rPr>
            </w:pPr>
            <w:r>
              <w:rPr>
                <w:kern w:val="2"/>
                <w:lang w:val="es-ES_tradnl"/>
              </w:rPr>
              <w:t>5 de abril de 1985</w:t>
            </w:r>
            <w:r>
              <w:rPr>
                <w:kern w:val="2"/>
                <w:lang w:val="es-ES_tradnl"/>
              </w:rPr>
              <w:br/>
              <w:t>(CEDAW/C/5/Add.28)</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Guatemala</w:t>
            </w:r>
          </w:p>
        </w:tc>
        <w:tc>
          <w:tcPr>
            <w:tcW w:w="2430" w:type="dxa"/>
          </w:tcPr>
          <w:p w:rsidR="00000000" w:rsidRDefault="00000000">
            <w:pPr>
              <w:spacing w:before="40" w:after="40"/>
              <w:rPr>
                <w:kern w:val="2"/>
                <w:lang w:val="es-ES_tradnl"/>
              </w:rPr>
            </w:pPr>
            <w:r>
              <w:rPr>
                <w:kern w:val="2"/>
                <w:lang w:val="es-ES_tradnl"/>
              </w:rPr>
              <w:t>11 de septiembre de 1983</w:t>
            </w:r>
          </w:p>
        </w:tc>
        <w:tc>
          <w:tcPr>
            <w:tcW w:w="2880" w:type="dxa"/>
          </w:tcPr>
          <w:p w:rsidR="00000000" w:rsidRDefault="00000000">
            <w:pPr>
              <w:spacing w:before="40" w:after="40"/>
              <w:rPr>
                <w:kern w:val="2"/>
                <w:lang w:val="es-ES_tradnl"/>
              </w:rPr>
            </w:pPr>
            <w:r>
              <w:rPr>
                <w:kern w:val="2"/>
                <w:lang w:val="es-ES_tradnl"/>
              </w:rPr>
              <w:t>2 de abril de 1991</w:t>
            </w:r>
            <w:r>
              <w:rPr>
                <w:kern w:val="2"/>
                <w:lang w:val="es-ES_tradnl"/>
              </w:rPr>
              <w:br/>
            </w:r>
            <w:r>
              <w:rPr>
                <w:rStyle w:val="H56"/>
                <w:spacing w:val="2"/>
                <w:kern w:val="2"/>
                <w:lang w:val="es-ES_tradnl"/>
              </w:rPr>
              <w:t>(CEDAW/C/GUA/1 y 2 y Corr.1)</w:t>
            </w:r>
            <w:r>
              <w:rPr>
                <w:rStyle w:val="H56"/>
                <w:kern w:val="2"/>
                <w:lang w:val="es-ES_tradnl"/>
              </w:rPr>
              <w:br/>
              <w:t>7 de abril de 1993</w:t>
            </w:r>
            <w:r>
              <w:rPr>
                <w:rStyle w:val="H56"/>
                <w:kern w:val="2"/>
                <w:lang w:val="es-ES_tradnl"/>
              </w:rPr>
              <w:br/>
            </w:r>
            <w:r>
              <w:rPr>
                <w:kern w:val="2"/>
                <w:lang w:val="es-ES_tradnl"/>
              </w:rPr>
              <w:t>(CEDAW/C/GUA/1 y 2/Amend.1)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13°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Guinea</w:t>
            </w:r>
          </w:p>
        </w:tc>
        <w:tc>
          <w:tcPr>
            <w:tcW w:w="2430" w:type="dxa"/>
          </w:tcPr>
          <w:p w:rsidR="00000000" w:rsidRDefault="00000000">
            <w:pPr>
              <w:spacing w:before="40" w:after="40"/>
              <w:rPr>
                <w:kern w:val="2"/>
                <w:lang w:val="es-ES_tradnl"/>
              </w:rPr>
            </w:pPr>
            <w:r>
              <w:rPr>
                <w:kern w:val="2"/>
                <w:lang w:val="es-ES_tradnl"/>
              </w:rPr>
              <w:t>8 de septiembre de 1983</w:t>
            </w:r>
          </w:p>
        </w:tc>
        <w:tc>
          <w:tcPr>
            <w:tcW w:w="2880" w:type="dxa"/>
          </w:tcPr>
          <w:p w:rsidR="00000000" w:rsidRDefault="00000000">
            <w:pPr>
              <w:spacing w:before="40" w:after="40"/>
              <w:rPr>
                <w:kern w:val="2"/>
                <w:lang w:val="es-ES_tradnl"/>
              </w:rPr>
            </w:pPr>
            <w:r>
              <w:rPr>
                <w:kern w:val="2"/>
                <w:lang w:val="es-ES_tradnl"/>
              </w:rPr>
              <w:t>4 de agosto de 2000 (CEDAW/C/GIN/1 a 3 y Corr.1)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25º (2001)</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Guinea–Bissau</w:t>
            </w:r>
          </w:p>
        </w:tc>
        <w:tc>
          <w:tcPr>
            <w:tcW w:w="2430" w:type="dxa"/>
          </w:tcPr>
          <w:p w:rsidR="00000000" w:rsidRDefault="00000000">
            <w:pPr>
              <w:spacing w:before="40" w:after="40"/>
              <w:rPr>
                <w:kern w:val="2"/>
                <w:lang w:val="es-ES_tradnl"/>
              </w:rPr>
            </w:pPr>
            <w:r>
              <w:rPr>
                <w:kern w:val="2"/>
                <w:lang w:val="es-ES_tradnl"/>
              </w:rPr>
              <w:t>22 de septiembre de 1986</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Guinea Ecuatorial</w:t>
            </w:r>
          </w:p>
        </w:tc>
        <w:tc>
          <w:tcPr>
            <w:tcW w:w="2430" w:type="dxa"/>
          </w:tcPr>
          <w:p w:rsidR="00000000" w:rsidRDefault="00000000">
            <w:pPr>
              <w:spacing w:before="40" w:after="40"/>
              <w:rPr>
                <w:kern w:val="2"/>
                <w:lang w:val="es-ES_tradnl"/>
              </w:rPr>
            </w:pPr>
            <w:r>
              <w:rPr>
                <w:kern w:val="2"/>
                <w:lang w:val="es-ES_tradnl"/>
              </w:rPr>
              <w:t>22 de noviembre de 1985</w:t>
            </w:r>
          </w:p>
        </w:tc>
        <w:tc>
          <w:tcPr>
            <w:tcW w:w="2880" w:type="dxa"/>
          </w:tcPr>
          <w:p w:rsidR="00000000" w:rsidRDefault="00000000">
            <w:pPr>
              <w:spacing w:before="40" w:after="40"/>
              <w:rPr>
                <w:kern w:val="2"/>
                <w:lang w:val="es-ES_tradnl"/>
              </w:rPr>
            </w:pPr>
            <w:r>
              <w:rPr>
                <w:kern w:val="2"/>
                <w:lang w:val="es-ES_tradnl"/>
              </w:rPr>
              <w:t>16 de marzo de 1987</w:t>
            </w:r>
            <w:r>
              <w:rPr>
                <w:kern w:val="2"/>
                <w:lang w:val="es-ES_tradnl"/>
              </w:rPr>
              <w:br/>
              <w:t>(CEDAW/C/5/Add.50)</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Octavo (1989)</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Guyana</w:t>
            </w:r>
          </w:p>
        </w:tc>
        <w:tc>
          <w:tcPr>
            <w:tcW w:w="2430" w:type="dxa"/>
          </w:tcPr>
          <w:p w:rsidR="00000000" w:rsidRDefault="00000000">
            <w:pPr>
              <w:spacing w:before="40" w:after="40"/>
              <w:rPr>
                <w:kern w:val="2"/>
                <w:lang w:val="es-ES_tradnl"/>
              </w:rPr>
            </w:pPr>
            <w:r>
              <w:rPr>
                <w:kern w:val="2"/>
                <w:lang w:val="es-ES_tradnl"/>
              </w:rPr>
              <w:t>3 de septiembre de 1982</w:t>
            </w:r>
          </w:p>
        </w:tc>
        <w:tc>
          <w:tcPr>
            <w:tcW w:w="2880" w:type="dxa"/>
          </w:tcPr>
          <w:p w:rsidR="00000000" w:rsidRDefault="00000000">
            <w:pPr>
              <w:spacing w:before="40" w:after="40"/>
              <w:rPr>
                <w:kern w:val="2"/>
                <w:lang w:val="es-ES_tradnl"/>
              </w:rPr>
            </w:pPr>
            <w:r>
              <w:rPr>
                <w:kern w:val="2"/>
                <w:lang w:val="es-ES_tradnl"/>
              </w:rPr>
              <w:t>23 de enero de 1990</w:t>
            </w:r>
            <w:r>
              <w:rPr>
                <w:kern w:val="2"/>
                <w:lang w:val="es-ES_tradnl"/>
              </w:rPr>
              <w:br/>
              <w:t>(CEDAW/C/5/Add.63)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13° (1994)</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Haití</w:t>
            </w:r>
          </w:p>
        </w:tc>
        <w:tc>
          <w:tcPr>
            <w:tcW w:w="2430" w:type="dxa"/>
          </w:tcPr>
          <w:p w:rsidR="00000000" w:rsidRDefault="00000000">
            <w:pPr>
              <w:spacing w:before="40" w:after="40"/>
              <w:rPr>
                <w:kern w:val="2"/>
                <w:lang w:val="es-ES_tradnl"/>
              </w:rPr>
            </w:pPr>
            <w:r>
              <w:rPr>
                <w:kern w:val="2"/>
                <w:lang w:val="es-ES_tradnl"/>
              </w:rPr>
              <w:t>3 de septiembre de 1982</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Honduras</w:t>
            </w:r>
          </w:p>
        </w:tc>
        <w:tc>
          <w:tcPr>
            <w:tcW w:w="2430" w:type="dxa"/>
          </w:tcPr>
          <w:p w:rsidR="00000000" w:rsidRDefault="00000000">
            <w:pPr>
              <w:spacing w:before="40" w:after="40"/>
              <w:rPr>
                <w:kern w:val="2"/>
                <w:lang w:val="es-ES_tradnl"/>
              </w:rPr>
            </w:pPr>
            <w:r>
              <w:rPr>
                <w:kern w:val="2"/>
                <w:lang w:val="es-ES_tradnl"/>
              </w:rPr>
              <w:t>2 de abril de 1984</w:t>
            </w:r>
          </w:p>
        </w:tc>
        <w:tc>
          <w:tcPr>
            <w:tcW w:w="2880" w:type="dxa"/>
          </w:tcPr>
          <w:p w:rsidR="00000000" w:rsidRDefault="00000000">
            <w:pPr>
              <w:spacing w:before="40" w:after="40"/>
              <w:rPr>
                <w:kern w:val="2"/>
                <w:lang w:val="es-ES_tradnl"/>
              </w:rPr>
            </w:pPr>
            <w:r>
              <w:rPr>
                <w:kern w:val="2"/>
                <w:lang w:val="es-ES_tradnl"/>
              </w:rPr>
              <w:t>3 de diciembre de 1986</w:t>
            </w:r>
            <w:r>
              <w:rPr>
                <w:kern w:val="2"/>
                <w:lang w:val="es-ES_tradnl"/>
              </w:rPr>
              <w:br/>
              <w:t>(CEDAW/C/5/Add.44)</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11° (1992)</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Hungría</w:t>
            </w:r>
          </w:p>
        </w:tc>
        <w:tc>
          <w:tcPr>
            <w:tcW w:w="2430" w:type="dxa"/>
          </w:tcPr>
          <w:p w:rsidR="00000000" w:rsidRDefault="00000000">
            <w:pPr>
              <w:spacing w:before="40" w:after="40"/>
              <w:rPr>
                <w:kern w:val="2"/>
                <w:lang w:val="es-ES_tradnl"/>
              </w:rPr>
            </w:pPr>
            <w:r>
              <w:rPr>
                <w:kern w:val="2"/>
                <w:lang w:val="es-ES_tradnl"/>
              </w:rPr>
              <w:t>3 de septiembre de 1982</w:t>
            </w:r>
          </w:p>
        </w:tc>
        <w:tc>
          <w:tcPr>
            <w:tcW w:w="2880" w:type="dxa"/>
          </w:tcPr>
          <w:p w:rsidR="00000000" w:rsidRDefault="00000000">
            <w:pPr>
              <w:spacing w:before="40" w:after="40"/>
              <w:rPr>
                <w:kern w:val="2"/>
                <w:lang w:val="es-ES_tradnl"/>
              </w:rPr>
            </w:pPr>
            <w:r>
              <w:rPr>
                <w:kern w:val="2"/>
                <w:lang w:val="es-ES_tradnl"/>
              </w:rPr>
              <w:t>20 de septiembre de 1982</w:t>
            </w:r>
            <w:r>
              <w:rPr>
                <w:kern w:val="2"/>
                <w:lang w:val="es-ES_tradnl"/>
              </w:rPr>
              <w:br/>
              <w:t>(CEDAW/C/5/Add.3)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Tercero (1984)</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India</w:t>
            </w:r>
          </w:p>
        </w:tc>
        <w:tc>
          <w:tcPr>
            <w:tcW w:w="2430" w:type="dxa"/>
          </w:tcPr>
          <w:p w:rsidR="00000000" w:rsidRDefault="00000000">
            <w:pPr>
              <w:keepNext/>
              <w:keepLines/>
              <w:spacing w:before="40" w:after="40"/>
              <w:rPr>
                <w:kern w:val="2"/>
                <w:lang w:val="es-ES_tradnl"/>
              </w:rPr>
            </w:pPr>
            <w:r>
              <w:rPr>
                <w:kern w:val="2"/>
                <w:lang w:val="es-ES_tradnl"/>
              </w:rPr>
              <w:t>8 de agosto de 1994</w:t>
            </w:r>
          </w:p>
        </w:tc>
        <w:tc>
          <w:tcPr>
            <w:tcW w:w="2880" w:type="dxa"/>
          </w:tcPr>
          <w:p w:rsidR="00000000" w:rsidRDefault="00000000">
            <w:pPr>
              <w:keepNext/>
              <w:keepLines/>
              <w:spacing w:before="40" w:after="40"/>
              <w:rPr>
                <w:kern w:val="2"/>
                <w:lang w:val="es-ES_tradnl"/>
              </w:rPr>
            </w:pPr>
            <w:r>
              <w:rPr>
                <w:kern w:val="2"/>
                <w:lang w:val="es-ES_tradnl"/>
              </w:rPr>
              <w:t>2 de febrero de 1999</w:t>
            </w:r>
            <w:r>
              <w:rPr>
                <w:kern w:val="2"/>
                <w:lang w:val="es-ES_tradnl"/>
              </w:rPr>
              <w:br/>
              <w:t>(CEDAW/C/IND/1)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2º (2000)</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Indonesia</w:t>
            </w:r>
          </w:p>
        </w:tc>
        <w:tc>
          <w:tcPr>
            <w:tcW w:w="2430" w:type="dxa"/>
          </w:tcPr>
          <w:p w:rsidR="00000000" w:rsidRDefault="00000000">
            <w:pPr>
              <w:spacing w:before="40" w:after="40"/>
              <w:rPr>
                <w:kern w:val="2"/>
                <w:lang w:val="es-ES_tradnl"/>
              </w:rPr>
            </w:pPr>
            <w:r>
              <w:rPr>
                <w:kern w:val="2"/>
                <w:lang w:val="es-ES_tradnl"/>
              </w:rPr>
              <w:t>13 de octubre de 1985</w:t>
            </w:r>
          </w:p>
        </w:tc>
        <w:tc>
          <w:tcPr>
            <w:tcW w:w="2880" w:type="dxa"/>
          </w:tcPr>
          <w:p w:rsidR="00000000" w:rsidRDefault="00000000">
            <w:pPr>
              <w:spacing w:before="40" w:after="40"/>
              <w:rPr>
                <w:kern w:val="2"/>
                <w:lang w:val="es-ES_tradnl"/>
              </w:rPr>
            </w:pPr>
            <w:r>
              <w:rPr>
                <w:kern w:val="2"/>
                <w:lang w:val="es-ES_tradnl"/>
              </w:rPr>
              <w:t>17 de marzo de 1986</w:t>
            </w:r>
            <w:r>
              <w:rPr>
                <w:kern w:val="2"/>
                <w:lang w:val="es-ES_tradnl"/>
              </w:rPr>
              <w:br/>
              <w:t>(CEDAW/C/5/Add.36)</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Iraq</w:t>
            </w:r>
          </w:p>
        </w:tc>
        <w:tc>
          <w:tcPr>
            <w:tcW w:w="2430" w:type="dxa"/>
          </w:tcPr>
          <w:p w:rsidR="00000000" w:rsidRDefault="00000000">
            <w:pPr>
              <w:spacing w:before="40" w:after="40"/>
              <w:rPr>
                <w:kern w:val="2"/>
                <w:lang w:val="es-ES_tradnl"/>
              </w:rPr>
            </w:pPr>
            <w:r>
              <w:rPr>
                <w:kern w:val="2"/>
                <w:lang w:val="es-ES_tradnl"/>
              </w:rPr>
              <w:t>12 de septiembre de 1987</w:t>
            </w:r>
          </w:p>
        </w:tc>
        <w:tc>
          <w:tcPr>
            <w:tcW w:w="2880" w:type="dxa"/>
          </w:tcPr>
          <w:p w:rsidR="00000000" w:rsidRDefault="00000000">
            <w:pPr>
              <w:spacing w:before="40" w:after="40"/>
              <w:rPr>
                <w:kern w:val="2"/>
                <w:lang w:val="es-ES_tradnl"/>
              </w:rPr>
            </w:pPr>
            <w:r>
              <w:rPr>
                <w:kern w:val="2"/>
                <w:lang w:val="es-ES_tradnl"/>
              </w:rPr>
              <w:t>16 de mayo de 1990</w:t>
            </w:r>
            <w:r>
              <w:rPr>
                <w:kern w:val="2"/>
                <w:lang w:val="es-ES_tradnl"/>
              </w:rPr>
              <w:br/>
              <w:t>(CEDAW/C/5/Add.66/Rev.1)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Irlanda</w:t>
            </w:r>
          </w:p>
        </w:tc>
        <w:tc>
          <w:tcPr>
            <w:tcW w:w="2430" w:type="dxa"/>
          </w:tcPr>
          <w:p w:rsidR="00000000" w:rsidRDefault="00000000">
            <w:pPr>
              <w:spacing w:before="40" w:after="40"/>
              <w:rPr>
                <w:kern w:val="2"/>
                <w:lang w:val="es-ES_tradnl"/>
              </w:rPr>
            </w:pPr>
            <w:r>
              <w:rPr>
                <w:kern w:val="2"/>
                <w:lang w:val="es-ES_tradnl"/>
              </w:rPr>
              <w:t>22 de enero de 1987</w:t>
            </w:r>
          </w:p>
        </w:tc>
        <w:tc>
          <w:tcPr>
            <w:tcW w:w="2880" w:type="dxa"/>
          </w:tcPr>
          <w:p w:rsidR="00000000" w:rsidRDefault="00000000">
            <w:pPr>
              <w:spacing w:before="40" w:after="40"/>
              <w:rPr>
                <w:kern w:val="2"/>
                <w:lang w:val="es-ES_tradnl"/>
              </w:rPr>
            </w:pPr>
            <w:r>
              <w:rPr>
                <w:kern w:val="2"/>
                <w:lang w:val="es-ES_tradnl"/>
              </w:rPr>
              <w:t>18 de febrero de 1987</w:t>
            </w:r>
            <w:r>
              <w:rPr>
                <w:kern w:val="2"/>
                <w:lang w:val="es-ES_tradnl"/>
              </w:rPr>
              <w:br/>
              <w:t>(CEDAW/C/5/Add.47)</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Octavo (1989)</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Islandia</w:t>
            </w:r>
          </w:p>
        </w:tc>
        <w:tc>
          <w:tcPr>
            <w:tcW w:w="2430" w:type="dxa"/>
          </w:tcPr>
          <w:p w:rsidR="00000000" w:rsidRDefault="00000000">
            <w:pPr>
              <w:spacing w:before="40" w:after="40"/>
              <w:rPr>
                <w:kern w:val="2"/>
                <w:lang w:val="es-ES_tradnl"/>
              </w:rPr>
            </w:pPr>
            <w:r>
              <w:rPr>
                <w:kern w:val="2"/>
                <w:lang w:val="es-ES_tradnl"/>
              </w:rPr>
              <w:t>18 de julio de 1986</w:t>
            </w:r>
          </w:p>
        </w:tc>
        <w:tc>
          <w:tcPr>
            <w:tcW w:w="2880" w:type="dxa"/>
          </w:tcPr>
          <w:p w:rsidR="00000000" w:rsidRDefault="00000000">
            <w:pPr>
              <w:spacing w:before="40" w:after="40"/>
              <w:rPr>
                <w:kern w:val="2"/>
                <w:lang w:val="es-ES_tradnl"/>
              </w:rPr>
            </w:pPr>
            <w:r>
              <w:rPr>
                <w:kern w:val="2"/>
                <w:lang w:val="es-ES_tradnl"/>
              </w:rPr>
              <w:t>5 de mayo de 1993</w:t>
            </w:r>
            <w:r>
              <w:rPr>
                <w:kern w:val="2"/>
                <w:lang w:val="es-ES_tradnl"/>
              </w:rPr>
              <w:br/>
              <w:t>(CEDAW/C/ICE/1 y 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Israel</w:t>
            </w:r>
          </w:p>
        </w:tc>
        <w:tc>
          <w:tcPr>
            <w:tcW w:w="2430" w:type="dxa"/>
          </w:tcPr>
          <w:p w:rsidR="00000000" w:rsidRDefault="00000000">
            <w:pPr>
              <w:spacing w:before="40" w:after="40"/>
              <w:rPr>
                <w:kern w:val="2"/>
                <w:lang w:val="es-ES_tradnl"/>
              </w:rPr>
            </w:pPr>
            <w:r>
              <w:rPr>
                <w:kern w:val="2"/>
                <w:lang w:val="es-ES_tradnl"/>
              </w:rPr>
              <w:t>2 de noviembre de 1992</w:t>
            </w:r>
          </w:p>
        </w:tc>
        <w:tc>
          <w:tcPr>
            <w:tcW w:w="2880" w:type="dxa"/>
          </w:tcPr>
          <w:p w:rsidR="00000000" w:rsidRDefault="00000000">
            <w:pPr>
              <w:spacing w:before="40" w:after="40"/>
              <w:rPr>
                <w:kern w:val="2"/>
                <w:lang w:val="es-ES_tradnl"/>
              </w:rPr>
            </w:pPr>
            <w:r>
              <w:rPr>
                <w:kern w:val="2"/>
                <w:lang w:val="es-ES_tradnl"/>
              </w:rPr>
              <w:t>12 de enero de 1994</w:t>
            </w:r>
            <w:r>
              <w:rPr>
                <w:kern w:val="2"/>
                <w:vertAlign w:val="superscript"/>
                <w:lang w:val="es-ES_tradnl"/>
              </w:rPr>
              <w:t>c</w:t>
            </w:r>
            <w:r>
              <w:rPr>
                <w:kern w:val="2"/>
                <w:lang w:val="es-ES_tradnl"/>
              </w:rPr>
              <w:br/>
              <w:t>7 de abril de 1997</w:t>
            </w:r>
            <w:r>
              <w:rPr>
                <w:kern w:val="2"/>
                <w:lang w:val="es-ES_tradnl"/>
              </w:rPr>
              <w:br/>
              <w:t>(CEDAW/C/ISR/1 y 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Italia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10 de julio de 1986</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20 de octubre de 1989</w:t>
            </w:r>
            <w:r>
              <w:rPr>
                <w:kern w:val="2"/>
                <w:lang w:val="es-ES_tradnl"/>
              </w:rPr>
              <w:br/>
              <w:t>(CEDAW/C/5/Add.62)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Décimo (1991)</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spacing w:before="40" w:after="40"/>
              <w:rPr>
                <w:kern w:val="2"/>
                <w:lang w:val="es-ES_tradnl"/>
              </w:rPr>
            </w:pPr>
            <w:r>
              <w:rPr>
                <w:kern w:val="2"/>
                <w:lang w:val="es-ES_tradnl"/>
              </w:rPr>
              <w:t>Jamahiriya Árabe Libia</w:t>
            </w:r>
          </w:p>
        </w:tc>
        <w:tc>
          <w:tcPr>
            <w:tcW w:w="2430" w:type="dxa"/>
          </w:tcPr>
          <w:p w:rsidR="00000000" w:rsidRDefault="00000000">
            <w:pPr>
              <w:spacing w:before="40" w:after="40"/>
              <w:rPr>
                <w:kern w:val="2"/>
                <w:lang w:val="es-ES_tradnl"/>
              </w:rPr>
            </w:pPr>
            <w:r>
              <w:rPr>
                <w:kern w:val="2"/>
                <w:lang w:val="es-ES_tradnl"/>
              </w:rPr>
              <w:t>15 de junio de 1990</w:t>
            </w:r>
          </w:p>
        </w:tc>
        <w:tc>
          <w:tcPr>
            <w:tcW w:w="2880" w:type="dxa"/>
          </w:tcPr>
          <w:p w:rsidR="00000000" w:rsidRDefault="00000000">
            <w:pPr>
              <w:spacing w:before="40" w:after="40"/>
              <w:rPr>
                <w:kern w:val="2"/>
                <w:lang w:val="es-ES_tradnl"/>
              </w:rPr>
            </w:pPr>
            <w:r>
              <w:rPr>
                <w:kern w:val="2"/>
                <w:lang w:val="es-ES_tradnl"/>
              </w:rPr>
              <w:t>18 de febrero de 1991</w:t>
            </w:r>
            <w:r>
              <w:rPr>
                <w:kern w:val="2"/>
                <w:lang w:val="es-ES_tradnl"/>
              </w:rPr>
              <w:br/>
              <w:t>(CEDAW/C/LIB/1)</w:t>
            </w:r>
            <w:r>
              <w:rPr>
                <w:kern w:val="2"/>
                <w:lang w:val="es-ES_tradnl"/>
              </w:rPr>
              <w:br/>
              <w:t>4 de octubre de 1993</w:t>
            </w:r>
            <w:r>
              <w:rPr>
                <w:kern w:val="2"/>
                <w:lang w:val="es-ES_tradnl"/>
              </w:rPr>
              <w:br/>
              <w:t>(CEDAW/C/LIB/1/Add.1)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13°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spacing w:before="40" w:after="40"/>
              <w:rPr>
                <w:kern w:val="2"/>
                <w:lang w:val="es-ES_tradnl"/>
              </w:rPr>
            </w:pPr>
            <w:r>
              <w:rPr>
                <w:kern w:val="2"/>
                <w:lang w:val="es-ES_tradnl"/>
              </w:rPr>
              <w:t>Jamaica</w:t>
            </w:r>
          </w:p>
        </w:tc>
        <w:tc>
          <w:tcPr>
            <w:tcW w:w="2430" w:type="dxa"/>
          </w:tcPr>
          <w:p w:rsidR="00000000" w:rsidRDefault="00000000">
            <w:pPr>
              <w:spacing w:before="40" w:after="40"/>
              <w:rPr>
                <w:kern w:val="2"/>
                <w:lang w:val="es-ES_tradnl"/>
              </w:rPr>
            </w:pPr>
            <w:r>
              <w:rPr>
                <w:kern w:val="2"/>
                <w:lang w:val="es-ES_tradnl"/>
              </w:rPr>
              <w:t>18 de noviembre de 1985</w:t>
            </w:r>
          </w:p>
        </w:tc>
        <w:tc>
          <w:tcPr>
            <w:tcW w:w="2880" w:type="dxa"/>
          </w:tcPr>
          <w:p w:rsidR="00000000" w:rsidRDefault="00000000">
            <w:pPr>
              <w:spacing w:before="40" w:after="40"/>
              <w:rPr>
                <w:kern w:val="2"/>
                <w:lang w:val="es-ES_tradnl"/>
              </w:rPr>
            </w:pPr>
            <w:r>
              <w:rPr>
                <w:kern w:val="2"/>
                <w:lang w:val="es-ES_tradnl"/>
              </w:rPr>
              <w:t>12 de septiembre de 1986</w:t>
            </w:r>
            <w:r>
              <w:rPr>
                <w:kern w:val="2"/>
                <w:lang w:val="es-ES_tradnl"/>
              </w:rPr>
              <w:br/>
              <w:t>(CEDAW/C/5/Add.38)</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spacing w:before="40" w:after="40"/>
              <w:rPr>
                <w:kern w:val="2"/>
                <w:lang w:val="es-ES_tradnl"/>
              </w:rPr>
            </w:pPr>
            <w:r>
              <w:rPr>
                <w:kern w:val="2"/>
                <w:lang w:val="es-ES_tradnl"/>
              </w:rPr>
              <w:t>Japón</w:t>
            </w:r>
          </w:p>
        </w:tc>
        <w:tc>
          <w:tcPr>
            <w:tcW w:w="2430" w:type="dxa"/>
          </w:tcPr>
          <w:p w:rsidR="00000000" w:rsidRDefault="00000000">
            <w:pPr>
              <w:spacing w:before="40" w:after="40"/>
              <w:rPr>
                <w:kern w:val="2"/>
                <w:lang w:val="es-ES_tradnl"/>
              </w:rPr>
            </w:pPr>
            <w:r>
              <w:rPr>
                <w:kern w:val="2"/>
                <w:lang w:val="es-ES_tradnl"/>
              </w:rPr>
              <w:t>25 de julio de 1986</w:t>
            </w:r>
          </w:p>
        </w:tc>
        <w:tc>
          <w:tcPr>
            <w:tcW w:w="2880" w:type="dxa"/>
          </w:tcPr>
          <w:p w:rsidR="00000000" w:rsidRDefault="00000000">
            <w:pPr>
              <w:spacing w:before="40" w:after="40"/>
              <w:rPr>
                <w:kern w:val="2"/>
                <w:lang w:val="es-ES_tradnl"/>
              </w:rPr>
            </w:pPr>
            <w:r>
              <w:rPr>
                <w:kern w:val="2"/>
                <w:lang w:val="es-ES_tradnl"/>
              </w:rPr>
              <w:t>13 de marzo de 1987</w:t>
            </w:r>
            <w:r>
              <w:rPr>
                <w:kern w:val="2"/>
                <w:lang w:val="es-ES_tradnl"/>
              </w:rPr>
              <w:br/>
              <w:t>(CEDAW/C/5/Add.48)</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spacing w:before="40" w:after="40"/>
              <w:rPr>
                <w:kern w:val="2"/>
                <w:lang w:val="es-ES_tradnl"/>
              </w:rPr>
            </w:pPr>
            <w:r>
              <w:rPr>
                <w:kern w:val="2"/>
                <w:lang w:val="es-ES_tradnl"/>
              </w:rPr>
              <w:t>Jordania</w:t>
            </w:r>
          </w:p>
        </w:tc>
        <w:tc>
          <w:tcPr>
            <w:tcW w:w="2430" w:type="dxa"/>
          </w:tcPr>
          <w:p w:rsidR="00000000" w:rsidRDefault="00000000">
            <w:pPr>
              <w:spacing w:before="40" w:after="40"/>
              <w:rPr>
                <w:kern w:val="2"/>
                <w:lang w:val="es-ES_tradnl"/>
              </w:rPr>
            </w:pPr>
            <w:r>
              <w:rPr>
                <w:kern w:val="2"/>
                <w:lang w:val="es-ES_tradnl"/>
              </w:rPr>
              <w:t>31 de julio de 1993</w:t>
            </w:r>
          </w:p>
        </w:tc>
        <w:tc>
          <w:tcPr>
            <w:tcW w:w="2880" w:type="dxa"/>
          </w:tcPr>
          <w:p w:rsidR="00000000" w:rsidRDefault="00000000">
            <w:pPr>
              <w:spacing w:before="40" w:after="40"/>
              <w:rPr>
                <w:kern w:val="2"/>
                <w:lang w:val="es-ES_tradnl"/>
              </w:rPr>
            </w:pPr>
            <w:r>
              <w:rPr>
                <w:kern w:val="2"/>
                <w:lang w:val="es-ES_tradnl"/>
              </w:rPr>
              <w:t>27 de octubre de 1997</w:t>
            </w:r>
            <w:r>
              <w:rPr>
                <w:kern w:val="2"/>
                <w:lang w:val="es-ES_tradnl"/>
              </w:rPr>
              <w:br/>
              <w:t>(CEDAW/C/JOR/1)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spacing w:before="40" w:after="40"/>
              <w:rPr>
                <w:kern w:val="2"/>
                <w:lang w:val="es-ES_tradnl"/>
              </w:rPr>
            </w:pPr>
            <w:r>
              <w:rPr>
                <w:kern w:val="2"/>
                <w:lang w:val="es-ES_tradnl"/>
              </w:rPr>
              <w:t>Kazajstán</w:t>
            </w:r>
          </w:p>
        </w:tc>
        <w:tc>
          <w:tcPr>
            <w:tcW w:w="2430" w:type="dxa"/>
          </w:tcPr>
          <w:p w:rsidR="00000000" w:rsidRDefault="00000000">
            <w:pPr>
              <w:spacing w:before="40" w:after="40"/>
              <w:rPr>
                <w:kern w:val="2"/>
                <w:lang w:val="es-ES_tradnl"/>
              </w:rPr>
            </w:pPr>
            <w:r>
              <w:rPr>
                <w:kern w:val="2"/>
                <w:lang w:val="es-ES_tradnl"/>
              </w:rPr>
              <w:t>25 de septiembre de 1999</w:t>
            </w:r>
          </w:p>
        </w:tc>
        <w:tc>
          <w:tcPr>
            <w:tcW w:w="2880" w:type="dxa"/>
          </w:tcPr>
          <w:p w:rsidR="00000000" w:rsidRDefault="00000000">
            <w:pPr>
              <w:spacing w:before="40" w:after="40"/>
              <w:rPr>
                <w:kern w:val="2"/>
                <w:lang w:val="es-ES_tradnl"/>
              </w:rPr>
            </w:pPr>
            <w:r>
              <w:rPr>
                <w:kern w:val="2"/>
                <w:lang w:val="es-ES_tradnl"/>
              </w:rPr>
              <w:t>26 de enero de 2000</w:t>
            </w:r>
            <w:r>
              <w:rPr>
                <w:kern w:val="2"/>
                <w:lang w:val="es-ES_tradnl"/>
              </w:rPr>
              <w:br/>
              <w:t>(CEDAW/C/KAZ/1)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24º (2001)</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spacing w:before="40" w:after="40"/>
              <w:rPr>
                <w:kern w:val="2"/>
                <w:lang w:val="es-ES_tradnl"/>
              </w:rPr>
            </w:pPr>
            <w:r>
              <w:rPr>
                <w:kern w:val="2"/>
                <w:lang w:val="es-ES_tradnl"/>
              </w:rPr>
              <w:t>Kenya</w:t>
            </w:r>
          </w:p>
        </w:tc>
        <w:tc>
          <w:tcPr>
            <w:tcW w:w="2430" w:type="dxa"/>
          </w:tcPr>
          <w:p w:rsidR="00000000" w:rsidRDefault="00000000">
            <w:pPr>
              <w:spacing w:before="40" w:after="40"/>
              <w:rPr>
                <w:kern w:val="2"/>
                <w:lang w:val="es-ES_tradnl"/>
              </w:rPr>
            </w:pPr>
            <w:r>
              <w:rPr>
                <w:kern w:val="2"/>
                <w:lang w:val="es-ES_tradnl"/>
              </w:rPr>
              <w:t>8 de abril de 1985</w:t>
            </w:r>
          </w:p>
        </w:tc>
        <w:tc>
          <w:tcPr>
            <w:tcW w:w="2880" w:type="dxa"/>
          </w:tcPr>
          <w:p w:rsidR="00000000" w:rsidRDefault="00000000">
            <w:pPr>
              <w:spacing w:before="40" w:after="40"/>
              <w:rPr>
                <w:kern w:val="2"/>
                <w:lang w:val="es-ES_tradnl"/>
              </w:rPr>
            </w:pPr>
            <w:r>
              <w:rPr>
                <w:kern w:val="2"/>
                <w:lang w:val="es-ES_tradnl"/>
              </w:rPr>
              <w:t>4 de diciembre de 1990</w:t>
            </w:r>
            <w:r>
              <w:rPr>
                <w:kern w:val="2"/>
                <w:lang w:val="es-ES_tradnl"/>
              </w:rPr>
              <w:br/>
              <w:t>(CEDAW/C/KEN/1 y 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spacing w:before="40" w:after="40"/>
              <w:rPr>
                <w:kern w:val="2"/>
                <w:lang w:val="es-ES_tradnl"/>
              </w:rPr>
            </w:pPr>
            <w:r>
              <w:rPr>
                <w:kern w:val="2"/>
                <w:lang w:val="es-ES_tradnl"/>
              </w:rPr>
              <w:t>Kirguistán</w:t>
            </w:r>
          </w:p>
        </w:tc>
        <w:tc>
          <w:tcPr>
            <w:tcW w:w="2430" w:type="dxa"/>
          </w:tcPr>
          <w:p w:rsidR="00000000" w:rsidRDefault="00000000">
            <w:pPr>
              <w:spacing w:before="40" w:after="40"/>
              <w:rPr>
                <w:kern w:val="2"/>
                <w:lang w:val="es-ES_tradnl"/>
              </w:rPr>
            </w:pPr>
            <w:r>
              <w:rPr>
                <w:kern w:val="2"/>
                <w:lang w:val="es-ES_tradnl"/>
              </w:rPr>
              <w:t>12 de marzo de 1998</w:t>
            </w:r>
          </w:p>
        </w:tc>
        <w:tc>
          <w:tcPr>
            <w:tcW w:w="2880" w:type="dxa"/>
          </w:tcPr>
          <w:p w:rsidR="00000000" w:rsidRDefault="00000000">
            <w:pPr>
              <w:spacing w:before="40" w:after="40"/>
              <w:rPr>
                <w:kern w:val="2"/>
                <w:lang w:val="es-ES_tradnl"/>
              </w:rPr>
            </w:pPr>
            <w:r>
              <w:rPr>
                <w:kern w:val="2"/>
                <w:lang w:val="es-ES_tradnl"/>
              </w:rPr>
              <w:t>26 de agosto de 1998</w:t>
            </w:r>
            <w:r>
              <w:rPr>
                <w:kern w:val="2"/>
                <w:lang w:val="es-ES_tradnl"/>
              </w:rPr>
              <w:br/>
              <w:t>(CEDAW/C/KGZ/1)</w:t>
            </w:r>
          </w:p>
        </w:tc>
        <w:tc>
          <w:tcPr>
            <w:tcW w:w="1800" w:type="dxa"/>
          </w:tcPr>
          <w:p w:rsidR="00000000" w:rsidRDefault="00000000">
            <w:pPr>
              <w:spacing w:before="40" w:after="40"/>
              <w:rPr>
                <w:kern w:val="2"/>
                <w:lang w:val="es-ES_tradnl"/>
              </w:rPr>
            </w:pPr>
            <w:r>
              <w:rPr>
                <w:kern w:val="2"/>
                <w:lang w:val="es-ES_tradnl"/>
              </w:rPr>
              <w:t>20° (1999)</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spacing w:before="40" w:after="40"/>
              <w:rPr>
                <w:kern w:val="2"/>
                <w:lang w:val="es-ES_tradnl"/>
              </w:rPr>
            </w:pPr>
            <w:r>
              <w:rPr>
                <w:kern w:val="2"/>
                <w:lang w:val="es-ES_tradnl"/>
              </w:rPr>
              <w:t>Kuwait</w:t>
            </w:r>
          </w:p>
        </w:tc>
        <w:tc>
          <w:tcPr>
            <w:tcW w:w="2430" w:type="dxa"/>
          </w:tcPr>
          <w:p w:rsidR="00000000" w:rsidRDefault="00000000">
            <w:pPr>
              <w:spacing w:before="40" w:after="40"/>
              <w:rPr>
                <w:kern w:val="2"/>
                <w:lang w:val="es-ES_tradnl"/>
              </w:rPr>
            </w:pPr>
            <w:r>
              <w:rPr>
                <w:kern w:val="2"/>
                <w:lang w:val="es-ES_tradnl"/>
              </w:rPr>
              <w:t>1° de octubre de 1995</w:t>
            </w:r>
          </w:p>
        </w:tc>
        <w:tc>
          <w:tcPr>
            <w:tcW w:w="2880" w:type="dxa"/>
          </w:tcPr>
          <w:p w:rsidR="00000000" w:rsidRDefault="00000000">
            <w:pPr>
              <w:spacing w:before="40" w:after="40"/>
              <w:rPr>
                <w:kern w:val="2"/>
                <w:lang w:val="es-ES_tradnl"/>
              </w:rPr>
            </w:pPr>
          </w:p>
        </w:tc>
        <w:tc>
          <w:tcPr>
            <w:tcW w:w="1800" w:type="dxa"/>
          </w:tcPr>
          <w:p w:rsidR="00000000" w:rsidRDefault="00000000">
            <w:pPr>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spacing w:before="40" w:after="40"/>
              <w:rPr>
                <w:kern w:val="2"/>
                <w:lang w:val="es-ES_tradnl"/>
              </w:rPr>
            </w:pPr>
            <w:r>
              <w:rPr>
                <w:kern w:val="2"/>
                <w:lang w:val="es-ES_tradnl"/>
              </w:rPr>
              <w:t>Lesotho</w:t>
            </w:r>
          </w:p>
        </w:tc>
        <w:tc>
          <w:tcPr>
            <w:tcW w:w="2430" w:type="dxa"/>
          </w:tcPr>
          <w:p w:rsidR="00000000" w:rsidRDefault="00000000">
            <w:pPr>
              <w:spacing w:before="40" w:after="40"/>
              <w:rPr>
                <w:kern w:val="2"/>
                <w:lang w:val="es-ES_tradnl"/>
              </w:rPr>
            </w:pPr>
            <w:r>
              <w:rPr>
                <w:kern w:val="2"/>
                <w:lang w:val="es-ES_tradnl"/>
              </w:rPr>
              <w:t>21 de septiembre de 1996</w:t>
            </w:r>
          </w:p>
        </w:tc>
        <w:tc>
          <w:tcPr>
            <w:tcW w:w="2880" w:type="dxa"/>
          </w:tcPr>
          <w:p w:rsidR="00000000" w:rsidRDefault="00000000">
            <w:pPr>
              <w:spacing w:before="40" w:after="40"/>
              <w:rPr>
                <w:kern w:val="2"/>
                <w:lang w:val="es-ES_tradnl"/>
              </w:rPr>
            </w:pPr>
          </w:p>
        </w:tc>
        <w:tc>
          <w:tcPr>
            <w:tcW w:w="1800" w:type="dxa"/>
          </w:tcPr>
          <w:p w:rsidR="00000000" w:rsidRDefault="00000000">
            <w:pPr>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spacing w:before="40" w:after="40"/>
              <w:rPr>
                <w:kern w:val="2"/>
                <w:lang w:val="es-ES_tradnl"/>
              </w:rPr>
            </w:pPr>
            <w:r>
              <w:rPr>
                <w:kern w:val="2"/>
                <w:lang w:val="es-ES_tradnl"/>
              </w:rPr>
              <w:t>Letonia</w:t>
            </w:r>
          </w:p>
        </w:tc>
        <w:tc>
          <w:tcPr>
            <w:tcW w:w="2430" w:type="dxa"/>
          </w:tcPr>
          <w:p w:rsidR="00000000" w:rsidRDefault="00000000">
            <w:pPr>
              <w:spacing w:before="40" w:after="40"/>
              <w:rPr>
                <w:kern w:val="2"/>
                <w:lang w:val="es-ES_tradnl"/>
              </w:rPr>
            </w:pPr>
            <w:r>
              <w:rPr>
                <w:kern w:val="2"/>
                <w:lang w:val="es-ES_tradnl"/>
              </w:rPr>
              <w:t>14 de mayo de 1993</w:t>
            </w:r>
          </w:p>
        </w:tc>
        <w:tc>
          <w:tcPr>
            <w:tcW w:w="2880" w:type="dxa"/>
          </w:tcPr>
          <w:p w:rsidR="00000000" w:rsidRDefault="00000000">
            <w:pPr>
              <w:spacing w:before="40" w:after="40"/>
              <w:rPr>
                <w:kern w:val="2"/>
                <w:lang w:val="es-ES_tradnl"/>
              </w:rPr>
            </w:pPr>
          </w:p>
        </w:tc>
        <w:tc>
          <w:tcPr>
            <w:tcW w:w="1800" w:type="dxa"/>
          </w:tcPr>
          <w:p w:rsidR="00000000" w:rsidRDefault="00000000">
            <w:pPr>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spacing w:before="40" w:after="40"/>
              <w:rPr>
                <w:kern w:val="2"/>
                <w:lang w:val="es-ES_tradnl"/>
              </w:rPr>
            </w:pPr>
            <w:r>
              <w:rPr>
                <w:kern w:val="2"/>
                <w:lang w:val="es-ES_tradnl"/>
              </w:rPr>
              <w:t>Líbano</w:t>
            </w:r>
          </w:p>
        </w:tc>
        <w:tc>
          <w:tcPr>
            <w:tcW w:w="2430" w:type="dxa"/>
          </w:tcPr>
          <w:p w:rsidR="00000000" w:rsidRDefault="00000000">
            <w:pPr>
              <w:spacing w:before="40" w:after="40"/>
              <w:rPr>
                <w:kern w:val="2"/>
                <w:lang w:val="es-ES_tradnl"/>
              </w:rPr>
            </w:pPr>
            <w:r>
              <w:rPr>
                <w:kern w:val="2"/>
                <w:lang w:val="es-ES_tradnl"/>
              </w:rPr>
              <w:t>21 de mayo de 1998</w:t>
            </w:r>
          </w:p>
        </w:tc>
        <w:tc>
          <w:tcPr>
            <w:tcW w:w="2880" w:type="dxa"/>
          </w:tcPr>
          <w:p w:rsidR="00000000" w:rsidRDefault="00000000">
            <w:pPr>
              <w:spacing w:before="40" w:after="40"/>
              <w:rPr>
                <w:kern w:val="2"/>
                <w:lang w:val="es-ES_tradnl"/>
              </w:rPr>
            </w:pPr>
          </w:p>
        </w:tc>
        <w:tc>
          <w:tcPr>
            <w:tcW w:w="1800" w:type="dxa"/>
          </w:tcPr>
          <w:p w:rsidR="00000000" w:rsidRDefault="00000000">
            <w:pPr>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spacing w:before="40" w:after="40"/>
              <w:rPr>
                <w:kern w:val="2"/>
                <w:lang w:val="es-ES_tradnl"/>
              </w:rPr>
            </w:pPr>
            <w:r>
              <w:rPr>
                <w:kern w:val="2"/>
                <w:lang w:val="es-ES_tradnl"/>
              </w:rPr>
              <w:t>Liberia</w:t>
            </w:r>
          </w:p>
        </w:tc>
        <w:tc>
          <w:tcPr>
            <w:tcW w:w="2430" w:type="dxa"/>
          </w:tcPr>
          <w:p w:rsidR="00000000" w:rsidRDefault="00000000">
            <w:pPr>
              <w:spacing w:before="40" w:after="40"/>
              <w:rPr>
                <w:kern w:val="2"/>
                <w:lang w:val="es-ES_tradnl"/>
              </w:rPr>
            </w:pPr>
            <w:r>
              <w:rPr>
                <w:kern w:val="2"/>
                <w:lang w:val="es-ES_tradnl"/>
              </w:rPr>
              <w:t>16 de agosto de 1985</w:t>
            </w:r>
          </w:p>
        </w:tc>
        <w:tc>
          <w:tcPr>
            <w:tcW w:w="2880" w:type="dxa"/>
          </w:tcPr>
          <w:p w:rsidR="00000000" w:rsidRDefault="00000000">
            <w:pPr>
              <w:spacing w:before="40" w:after="40"/>
              <w:rPr>
                <w:kern w:val="2"/>
                <w:lang w:val="es-ES_tradnl"/>
              </w:rPr>
            </w:pPr>
          </w:p>
        </w:tc>
        <w:tc>
          <w:tcPr>
            <w:tcW w:w="1800" w:type="dxa"/>
          </w:tcPr>
          <w:p w:rsidR="00000000" w:rsidRDefault="00000000">
            <w:pPr>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spacing w:before="40" w:after="40"/>
              <w:rPr>
                <w:kern w:val="2"/>
                <w:lang w:val="es-ES_tradnl"/>
              </w:rPr>
            </w:pPr>
            <w:r>
              <w:rPr>
                <w:kern w:val="2"/>
                <w:lang w:val="es-ES_tradnl"/>
              </w:rPr>
              <w:t>Liechtenstein</w:t>
            </w:r>
          </w:p>
        </w:tc>
        <w:tc>
          <w:tcPr>
            <w:tcW w:w="2430" w:type="dxa"/>
          </w:tcPr>
          <w:p w:rsidR="00000000" w:rsidRDefault="00000000">
            <w:pPr>
              <w:spacing w:before="40" w:after="40"/>
              <w:rPr>
                <w:kern w:val="2"/>
                <w:lang w:val="es-ES_tradnl"/>
              </w:rPr>
            </w:pPr>
            <w:r>
              <w:rPr>
                <w:kern w:val="2"/>
                <w:lang w:val="es-ES_tradnl"/>
              </w:rPr>
              <w:t>21 de enero de 1997</w:t>
            </w:r>
          </w:p>
        </w:tc>
        <w:tc>
          <w:tcPr>
            <w:tcW w:w="2880" w:type="dxa"/>
          </w:tcPr>
          <w:p w:rsidR="00000000" w:rsidRDefault="00000000">
            <w:pPr>
              <w:spacing w:before="40" w:after="40"/>
              <w:rPr>
                <w:kern w:val="2"/>
                <w:lang w:val="es-ES_tradnl"/>
              </w:rPr>
            </w:pPr>
            <w:r>
              <w:rPr>
                <w:kern w:val="2"/>
                <w:lang w:val="es-ES_tradnl"/>
              </w:rPr>
              <w:t>4 de agosto de 1997</w:t>
            </w:r>
            <w:r>
              <w:rPr>
                <w:kern w:val="2"/>
                <w:lang w:val="es-ES_tradnl"/>
              </w:rPr>
              <w:br/>
              <w:t>(CEDAW/C/LIE/1)</w:t>
            </w:r>
          </w:p>
        </w:tc>
        <w:tc>
          <w:tcPr>
            <w:tcW w:w="1800" w:type="dxa"/>
          </w:tcPr>
          <w:p w:rsidR="00000000" w:rsidRDefault="00000000">
            <w:pPr>
              <w:spacing w:before="40" w:after="40"/>
              <w:rPr>
                <w:kern w:val="2"/>
                <w:lang w:val="es-ES_tradnl"/>
              </w:rPr>
            </w:pPr>
            <w:r>
              <w:rPr>
                <w:kern w:val="2"/>
                <w:lang w:val="es-ES_tradnl"/>
              </w:rPr>
              <w:t>20° (1999)</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Lituania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17 de febrero de 1995</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4 de junio de 1998</w:t>
            </w:r>
            <w:r>
              <w:rPr>
                <w:kern w:val="2"/>
                <w:lang w:val="es-ES_tradnl"/>
              </w:rPr>
              <w:br/>
              <w:t>(CEDAW/C/LTU/1)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23° (2000)</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Luxemburgo</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4 de marzo de 1990</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13 de noviembre de 1996</w:t>
            </w:r>
            <w:r>
              <w:rPr>
                <w:kern w:val="2"/>
                <w:lang w:val="es-ES_tradnl"/>
              </w:rPr>
              <w:br/>
              <w:t>(CEDAW/C/LUX/1)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Madagascar</w:t>
            </w:r>
          </w:p>
        </w:tc>
        <w:tc>
          <w:tcPr>
            <w:tcW w:w="243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16 de abril de 1990</w:t>
            </w:r>
          </w:p>
        </w:tc>
        <w:tc>
          <w:tcPr>
            <w:tcW w:w="28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21 de mayo de 1990</w:t>
            </w:r>
            <w:r>
              <w:rPr>
                <w:kern w:val="2"/>
                <w:lang w:val="es-ES_tradnl"/>
              </w:rPr>
              <w:br/>
              <w:t>(CEDAW/C/5/Add.65)</w:t>
            </w:r>
            <w:r>
              <w:rPr>
                <w:kern w:val="2"/>
                <w:lang w:val="es-ES_tradnl"/>
              </w:rPr>
              <w:br/>
              <w:t>8 de noviembre de 1993</w:t>
            </w:r>
            <w:r>
              <w:rPr>
                <w:kern w:val="2"/>
                <w:lang w:val="es-ES_tradnl"/>
              </w:rPr>
              <w:br/>
              <w:t>(CEDAW/C/5/Add.65/Rev.2)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br/>
            </w:r>
            <w:r>
              <w:rPr>
                <w:kern w:val="2"/>
                <w:lang w:val="es-ES_tradnl"/>
              </w:rPr>
              <w:br/>
              <w:t>13° (1994)</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Malasia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4 de agosto de 1996</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Malawi</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11 de abril de 1988</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15 de julio de 1988</w:t>
            </w:r>
            <w:r>
              <w:rPr>
                <w:kern w:val="2"/>
                <w:lang w:val="es-ES_tradnl"/>
              </w:rPr>
              <w:br/>
              <w:t>(CEDAW/C/5/Add.58)</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Noveno (1990)</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Maldivas</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w:t>
            </w:r>
            <w:r>
              <w:rPr>
                <w:rFonts w:ascii="WP TypographicSymbols" w:hAnsi="WP TypographicSymbols"/>
                <w:kern w:val="2"/>
                <w:lang w:val="es-ES_tradnl"/>
              </w:rPr>
              <w:t></w:t>
            </w:r>
            <w:r>
              <w:rPr>
                <w:kern w:val="2"/>
                <w:lang w:val="es-ES_tradnl"/>
              </w:rPr>
              <w:t xml:space="preserve"> de julio de 1994</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28 de enero de 1999</w:t>
            </w:r>
            <w:r>
              <w:rPr>
                <w:kern w:val="2"/>
                <w:lang w:val="es-ES_tradnl"/>
              </w:rPr>
              <w:br/>
              <w:t>(CEDAW/C/MDV/1)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24° (2001)</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Malí</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10 de octubre de 1986</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13 de noviembre de 1986</w:t>
            </w:r>
            <w:r>
              <w:rPr>
                <w:kern w:val="2"/>
                <w:lang w:val="es-ES_tradnl"/>
              </w:rPr>
              <w:br/>
              <w:t>(CEDAW/C/5/Add.43)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Malta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7 de abril de 1992</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Marruecos</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21 de julio de 1994</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14 de septiembre de 1994</w:t>
            </w:r>
            <w:r>
              <w:rPr>
                <w:kern w:val="2"/>
                <w:lang w:val="es-ES_tradnl"/>
              </w:rPr>
              <w:br/>
              <w:t>(CEDAW/C/MOR/1)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Mauricio</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8 de agosto de 1985</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23 de febrero de 1992</w:t>
            </w:r>
            <w:r>
              <w:rPr>
                <w:kern w:val="2"/>
                <w:lang w:val="es-ES_tradnl"/>
              </w:rPr>
              <w:br/>
              <w:t>(CEDAW/C/MAR/1 y 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México</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3 de septiembre de 1982</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14 de septiembre de 1982</w:t>
            </w:r>
            <w:r>
              <w:rPr>
                <w:kern w:val="2"/>
                <w:lang w:val="es-ES_tradnl"/>
              </w:rPr>
              <w:br/>
              <w:t>(CEDAW/C/5/Add.2)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Segundo (1983)</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Mongolia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3 de septiembre de 1982</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18 de noviembre de 1983</w:t>
            </w:r>
            <w:r>
              <w:rPr>
                <w:kern w:val="2"/>
                <w:lang w:val="es-ES_tradnl"/>
              </w:rPr>
              <w:br/>
              <w:t>(CEDAW/C/5/Add.20)</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Quinto (1986)</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Mozambique</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16 de mayo de 1998</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Myanmar</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21 de agosto de 1998</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14 de marzo de 1999</w:t>
            </w:r>
            <w:r>
              <w:rPr>
                <w:kern w:val="2"/>
                <w:lang w:val="es-ES_tradnl"/>
              </w:rPr>
              <w:br/>
              <w:t>(CEDAW/C/MNR/1)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Namibia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23 de diciembre de 1993</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4 de noviembre de 1996</w:t>
            </w:r>
            <w:r>
              <w:rPr>
                <w:kern w:val="2"/>
                <w:lang w:val="es-ES_tradnl"/>
              </w:rPr>
              <w:br/>
              <w:t>(CEDAW/C/NAM/1)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Nepal</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22 de mayo de 1992</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16 de noviembre de 1998</w:t>
            </w:r>
            <w:r>
              <w:rPr>
                <w:kern w:val="2"/>
                <w:lang w:val="es-ES_tradnl"/>
              </w:rPr>
              <w:br/>
              <w:t>(CEDAW/C/NPL/1)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21° (1999)</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Nicaragua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26 de noviembre de 1982</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22 de septiembre de 1987</w:t>
            </w:r>
            <w:r>
              <w:rPr>
                <w:kern w:val="2"/>
                <w:lang w:val="es-ES_tradnl"/>
              </w:rPr>
              <w:br/>
              <w:t>(CEDAW/C/5/Add.55)</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Octavo (1989)</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Níger</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 xml:space="preserve">8 de noviembre de 2000 </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Nigeria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13 de julio de 1986</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1º de abril de 1987</w:t>
            </w:r>
            <w:r>
              <w:rPr>
                <w:kern w:val="2"/>
                <w:lang w:val="es-ES_tradnl"/>
              </w:rPr>
              <w:br/>
              <w:t>(CEDAW/C/5/Add.49)</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Séptimo (1987)</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Noruega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3 de septiembre de 1982</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18 de noviembre de 1982</w:t>
            </w:r>
            <w:r>
              <w:rPr>
                <w:kern w:val="2"/>
                <w:lang w:val="es-ES_tradnl"/>
              </w:rPr>
              <w:br/>
              <w:t>(CEDAW/C/5/Add.7)</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Tercero (1984)</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Nueva Zelandia</w:t>
            </w:r>
          </w:p>
        </w:tc>
        <w:tc>
          <w:tcPr>
            <w:tcW w:w="243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9 de febrero de 1986</w:t>
            </w:r>
          </w:p>
        </w:tc>
        <w:tc>
          <w:tcPr>
            <w:tcW w:w="28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3 de septiembre de 1986</w:t>
            </w:r>
            <w:r>
              <w:rPr>
                <w:kern w:val="2"/>
                <w:lang w:val="es-ES_tradnl"/>
              </w:rPr>
              <w:br/>
              <w:t>(CEDAW/C/5/Add.41)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Países Bajos</w:t>
            </w:r>
          </w:p>
        </w:tc>
        <w:tc>
          <w:tcPr>
            <w:tcW w:w="243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22 de agosto de 1992</w:t>
            </w:r>
          </w:p>
        </w:tc>
        <w:tc>
          <w:tcPr>
            <w:tcW w:w="28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19 de noviembre de 1992</w:t>
            </w:r>
            <w:r>
              <w:rPr>
                <w:kern w:val="2"/>
                <w:lang w:val="es-ES_tradnl"/>
              </w:rPr>
              <w:br/>
              <w:t>(CEDAW/C/NET/1)</w:t>
            </w:r>
            <w:r>
              <w:rPr>
                <w:kern w:val="2"/>
                <w:lang w:val="es-ES_tradnl"/>
              </w:rPr>
              <w:br/>
              <w:t>17 de septiembre de 1993</w:t>
            </w:r>
            <w:r>
              <w:rPr>
                <w:kern w:val="2"/>
                <w:lang w:val="es-ES_tradnl"/>
              </w:rPr>
              <w:br/>
              <w:t>(CEDAW/C/NET/1/Add.1)</w:t>
            </w:r>
            <w:r>
              <w:rPr>
                <w:kern w:val="2"/>
                <w:lang w:val="es-ES_tradnl"/>
              </w:rPr>
              <w:br/>
              <w:t>20 de septiembre de 1993</w:t>
            </w:r>
            <w:r>
              <w:rPr>
                <w:kern w:val="2"/>
                <w:lang w:val="es-ES_tradnl"/>
              </w:rPr>
              <w:br/>
              <w:t>CEDAW/C/NET/1/Add.2)</w:t>
            </w:r>
            <w:r>
              <w:rPr>
                <w:kern w:val="2"/>
                <w:lang w:val="es-ES_tradnl"/>
              </w:rPr>
              <w:br/>
              <w:t>9 de octubre de 1993</w:t>
            </w:r>
            <w:r>
              <w:rPr>
                <w:kern w:val="2"/>
                <w:lang w:val="es-ES_tradnl"/>
              </w:rPr>
              <w:br/>
              <w:t>(CEDAW/C/NET/1/Add.3)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w:t>
            </w:r>
            <w:r>
              <w:rPr>
                <w:kern w:val="2"/>
                <w:lang w:val="es-ES_tradnl"/>
              </w:rPr>
              <w:br/>
              <w:t>)</w:t>
            </w:r>
            <w:r>
              <w:rPr>
                <w:kern w:val="2"/>
                <w:lang w:val="es-ES_tradnl"/>
              </w:rPr>
              <w:br/>
              <w:t>)</w:t>
            </w:r>
            <w:r>
              <w:rPr>
                <w:kern w:val="2"/>
                <w:lang w:val="es-ES_tradnl"/>
              </w:rPr>
              <w:br/>
              <w:t>)13° (1994)</w:t>
            </w:r>
            <w:r>
              <w:rPr>
                <w:kern w:val="2"/>
                <w:lang w:val="es-ES_tradnl"/>
              </w:rPr>
              <w:br/>
              <w:t>)</w:t>
            </w:r>
            <w:r>
              <w:rPr>
                <w:kern w:val="2"/>
                <w:lang w:val="es-ES_tradnl"/>
              </w:rPr>
              <w:br/>
              <w:t>)</w:t>
            </w:r>
            <w:r>
              <w:rPr>
                <w:kern w:val="2"/>
                <w:lang w:val="es-ES_tradnl"/>
              </w:rPr>
              <w:br/>
              <w:t>)</w:t>
            </w:r>
            <w:r>
              <w:rPr>
                <w:kern w:val="2"/>
                <w:lang w:val="es-ES_tradnl"/>
              </w:rPr>
              <w:br/>
              <w:t>)</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Pakistán</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11 de abril de 1997</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Panamá</w:t>
            </w:r>
          </w:p>
        </w:tc>
        <w:tc>
          <w:tcPr>
            <w:tcW w:w="243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28 de noviembre de 1982</w:t>
            </w:r>
          </w:p>
        </w:tc>
        <w:tc>
          <w:tcPr>
            <w:tcW w:w="28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12 de diciembre de 1982</w:t>
            </w:r>
            <w:r>
              <w:rPr>
                <w:kern w:val="2"/>
                <w:lang w:val="es-ES_tradnl"/>
              </w:rPr>
              <w:br/>
              <w:t>(CEDAW/C/5/Add.9)</w:t>
            </w:r>
          </w:p>
        </w:tc>
        <w:tc>
          <w:tcPr>
            <w:tcW w:w="18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Cuarto (1985)</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Papua Nueva Guinea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11 de febrero de 1996</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Paraguay</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6 de mayo de 1988</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4 de junio de 1992</w:t>
            </w:r>
            <w:r>
              <w:rPr>
                <w:kern w:val="2"/>
                <w:lang w:val="es-ES_tradnl"/>
              </w:rPr>
              <w:br/>
              <w:t>(CEDAW/C/PAR/1 y 2)</w:t>
            </w:r>
            <w:r>
              <w:rPr>
                <w:kern w:val="2"/>
                <w:lang w:val="es-ES_tradnl"/>
              </w:rPr>
              <w:br/>
              <w:t>23 de agosto de 1995</w:t>
            </w:r>
            <w:r>
              <w:rPr>
                <w:kern w:val="2"/>
                <w:lang w:val="es-ES_tradnl"/>
              </w:rPr>
              <w:br/>
              <w:t>(CEDAW/C/PAR/1 y 2/Add.1)</w:t>
            </w:r>
            <w:r>
              <w:rPr>
                <w:kern w:val="2"/>
                <w:lang w:val="es-ES_tradnl"/>
              </w:rPr>
              <w:br/>
              <w:t>20 de noviembre de 1995</w:t>
            </w:r>
            <w:r>
              <w:rPr>
                <w:kern w:val="2"/>
                <w:lang w:val="es-ES_tradnl"/>
              </w:rPr>
              <w:br/>
              <w:t>(CEDAW/C/PAR/1 y 2/Add.2)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Perú</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13 de octubre de 1983</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14 de septiembre de 1988</w:t>
            </w:r>
            <w:r>
              <w:rPr>
                <w:kern w:val="2"/>
                <w:lang w:val="es-ES_tradnl"/>
              </w:rPr>
              <w:br/>
              <w:t>(CEDAW/C/5/Add.60)</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Noveno (1990)</w:t>
            </w:r>
            <w:r>
              <w:rPr>
                <w:kern w:val="2"/>
                <w:lang w:val="es-ES_tradnl"/>
              </w:rPr>
              <w:br/>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Polonia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3 de septiembre de 1982</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10 de octubre de 1985</w:t>
            </w:r>
            <w:r>
              <w:rPr>
                <w:kern w:val="2"/>
                <w:lang w:val="es-ES_tradnl"/>
              </w:rPr>
              <w:br/>
              <w:t>(CEDAW/C/5/Add.31)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Portugal</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3 de septiembre de 1982</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19 de julio de 1983</w:t>
            </w:r>
            <w:r>
              <w:rPr>
                <w:kern w:val="2"/>
                <w:lang w:val="es-ES_tradnl"/>
              </w:rPr>
              <w:br/>
              <w:t>(CEDAW/C/5/Add.21)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Quinto (1986)</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Reino Unido de Gran Bretaña e Irlanda del Norte</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7 de mayo de 1987</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25 de junio de 1987</w:t>
            </w:r>
            <w:r>
              <w:rPr>
                <w:kern w:val="2"/>
                <w:lang w:val="es-ES_tradnl"/>
              </w:rPr>
              <w:br/>
              <w:t>(CEDAW/C/5/Add.52)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Noveno (1990)</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República Centroafricana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21 de julio de 1992</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República Checa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24 de marzo de 1994</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30 de octubre de 1995</w:t>
            </w:r>
            <w:r>
              <w:rPr>
                <w:kern w:val="2"/>
                <w:lang w:val="es-ES_tradnl"/>
              </w:rPr>
              <w:br/>
              <w:t>(CEDAW/C/CZE/1)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República de Corea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26 de enero de 1986</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13 de marzo de 1986</w:t>
            </w:r>
            <w:r>
              <w:rPr>
                <w:kern w:val="2"/>
                <w:lang w:val="es-ES_tradnl"/>
              </w:rPr>
              <w:br/>
              <w:t>(CEDAW/C/5/Add.35)</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República Democrática del Congo</w:t>
            </w:r>
            <w:r>
              <w:rPr>
                <w:kern w:val="2"/>
                <w:vertAlign w:val="superscript"/>
                <w:lang w:val="es-ES_tradnl"/>
              </w:rPr>
              <w:t>b</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16 de noviembre de 1987</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1º de marzo de 1994</w:t>
            </w:r>
            <w:r>
              <w:rPr>
                <w:kern w:val="2"/>
                <w:lang w:val="es-ES_tradnl"/>
              </w:rPr>
              <w:br/>
              <w:t>(CEDAW/C/ZAR/1)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República Democrática Popular Lao</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13 de septiembre de 1982</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República de Moldova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31 de julio de 1995</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26 de septiembre de 1998</w:t>
            </w:r>
            <w:r>
              <w:rPr>
                <w:kern w:val="2"/>
                <w:lang w:val="es-ES_tradnl"/>
              </w:rPr>
              <w:br/>
              <w:t>(CEDAW/C/MDA/1)</w:t>
            </w:r>
          </w:p>
        </w:tc>
        <w:tc>
          <w:tcPr>
            <w:tcW w:w="1800" w:type="dxa"/>
          </w:tcPr>
          <w:p w:rsidR="00000000" w:rsidRDefault="00000000">
            <w:pPr>
              <w:tabs>
                <w:tab w:val="left" w:pos="288"/>
                <w:tab w:val="left" w:pos="576"/>
                <w:tab w:val="left" w:pos="864"/>
                <w:tab w:val="left" w:pos="1152"/>
              </w:tabs>
              <w:spacing w:before="40" w:after="40"/>
              <w:rPr>
                <w:sz w:val="17"/>
              </w:rPr>
            </w:pPr>
            <w:r>
              <w:rPr>
                <w:sz w:val="17"/>
              </w:rPr>
              <w:t>23° (2000)</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República Dominicana</w:t>
            </w:r>
          </w:p>
        </w:tc>
        <w:tc>
          <w:tcPr>
            <w:tcW w:w="2430" w:type="dxa"/>
          </w:tcPr>
          <w:p w:rsidR="00000000" w:rsidRDefault="00000000">
            <w:pPr>
              <w:spacing w:before="40" w:after="40"/>
              <w:rPr>
                <w:kern w:val="2"/>
                <w:lang w:val="es-ES_tradnl"/>
              </w:rPr>
            </w:pPr>
            <w:r>
              <w:rPr>
                <w:kern w:val="2"/>
                <w:lang w:val="es-ES_tradnl"/>
              </w:rPr>
              <w:t>2 de octubre de 1983</w:t>
            </w:r>
          </w:p>
        </w:tc>
        <w:tc>
          <w:tcPr>
            <w:tcW w:w="2880" w:type="dxa"/>
          </w:tcPr>
          <w:p w:rsidR="00000000" w:rsidRDefault="00000000">
            <w:pPr>
              <w:spacing w:before="40" w:after="40"/>
              <w:rPr>
                <w:kern w:val="2"/>
                <w:lang w:val="es-ES_tradnl"/>
              </w:rPr>
            </w:pPr>
            <w:r>
              <w:rPr>
                <w:kern w:val="2"/>
                <w:lang w:val="es-ES_tradnl"/>
              </w:rPr>
              <w:t>2 de mayo de 1986</w:t>
            </w:r>
            <w:r>
              <w:rPr>
                <w:kern w:val="2"/>
                <w:lang w:val="es-ES_tradnl"/>
              </w:rPr>
              <w:br/>
              <w:t>(CEDAW/C/5/Add.37)</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República Unida de Tanzanía</w:t>
            </w:r>
          </w:p>
        </w:tc>
        <w:tc>
          <w:tcPr>
            <w:tcW w:w="2430" w:type="dxa"/>
          </w:tcPr>
          <w:p w:rsidR="00000000" w:rsidRDefault="00000000">
            <w:pPr>
              <w:keepNext/>
              <w:keepLines/>
              <w:spacing w:before="40" w:after="40"/>
              <w:rPr>
                <w:kern w:val="2"/>
                <w:lang w:val="es-ES_tradnl"/>
              </w:rPr>
            </w:pPr>
            <w:r>
              <w:rPr>
                <w:kern w:val="2"/>
                <w:lang w:val="es-ES_tradnl"/>
              </w:rPr>
              <w:t>19 de septiembre de 1986</w:t>
            </w:r>
          </w:p>
        </w:tc>
        <w:tc>
          <w:tcPr>
            <w:tcW w:w="2880" w:type="dxa"/>
          </w:tcPr>
          <w:p w:rsidR="00000000" w:rsidRDefault="00000000">
            <w:pPr>
              <w:keepNext/>
              <w:keepLines/>
              <w:spacing w:before="40" w:after="40"/>
              <w:rPr>
                <w:kern w:val="2"/>
                <w:lang w:val="es-ES_tradnl"/>
              </w:rPr>
            </w:pPr>
            <w:r>
              <w:rPr>
                <w:kern w:val="2"/>
                <w:lang w:val="es-ES_tradnl"/>
              </w:rPr>
              <w:t>9 de marzo de 1988</w:t>
            </w:r>
            <w:r>
              <w:rPr>
                <w:kern w:val="2"/>
                <w:lang w:val="es-ES_tradnl"/>
              </w:rPr>
              <w:br/>
              <w:t>(CEDAW/C/5/Add.57)</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Noveno (1990)</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Rumania</w:t>
            </w:r>
          </w:p>
        </w:tc>
        <w:tc>
          <w:tcPr>
            <w:tcW w:w="2430" w:type="dxa"/>
          </w:tcPr>
          <w:p w:rsidR="00000000" w:rsidRDefault="00000000">
            <w:pPr>
              <w:spacing w:before="40" w:after="40"/>
              <w:rPr>
                <w:kern w:val="2"/>
                <w:lang w:val="es-ES_tradnl"/>
              </w:rPr>
            </w:pPr>
            <w:r>
              <w:rPr>
                <w:kern w:val="2"/>
                <w:lang w:val="es-ES_tradnl"/>
              </w:rPr>
              <w:t>6 de febrero de 1983</w:t>
            </w:r>
          </w:p>
        </w:tc>
        <w:tc>
          <w:tcPr>
            <w:tcW w:w="2880" w:type="dxa"/>
          </w:tcPr>
          <w:p w:rsidR="00000000" w:rsidRDefault="00000000">
            <w:pPr>
              <w:spacing w:before="40" w:after="40"/>
              <w:rPr>
                <w:kern w:val="2"/>
                <w:lang w:val="es-ES_tradnl"/>
              </w:rPr>
            </w:pPr>
            <w:r>
              <w:rPr>
                <w:kern w:val="2"/>
                <w:lang w:val="es-ES_tradnl"/>
              </w:rPr>
              <w:t>14 de enero de 1987</w:t>
            </w:r>
            <w:r>
              <w:rPr>
                <w:kern w:val="2"/>
                <w:lang w:val="es-ES_tradnl"/>
              </w:rPr>
              <w:br/>
              <w:t>(CEDAW/C/5/Add.45)</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Rwanda</w:t>
            </w:r>
          </w:p>
        </w:tc>
        <w:tc>
          <w:tcPr>
            <w:tcW w:w="2430" w:type="dxa"/>
          </w:tcPr>
          <w:p w:rsidR="00000000" w:rsidRDefault="00000000">
            <w:pPr>
              <w:spacing w:before="40" w:after="40"/>
              <w:rPr>
                <w:kern w:val="2"/>
                <w:lang w:val="es-ES_tradnl"/>
              </w:rPr>
            </w:pPr>
            <w:r>
              <w:rPr>
                <w:kern w:val="2"/>
                <w:lang w:val="es-ES_tradnl"/>
              </w:rPr>
              <w:t>3 de septiembre de 1982</w:t>
            </w:r>
          </w:p>
        </w:tc>
        <w:tc>
          <w:tcPr>
            <w:tcW w:w="2880" w:type="dxa"/>
          </w:tcPr>
          <w:p w:rsidR="00000000" w:rsidRDefault="00000000">
            <w:pPr>
              <w:spacing w:before="40" w:after="40"/>
              <w:rPr>
                <w:kern w:val="2"/>
                <w:lang w:val="es-ES_tradnl"/>
              </w:rPr>
            </w:pPr>
            <w:r>
              <w:rPr>
                <w:kern w:val="2"/>
                <w:lang w:val="es-ES_tradnl"/>
              </w:rPr>
              <w:t>24 de mayo de 1983</w:t>
            </w:r>
            <w:r>
              <w:rPr>
                <w:kern w:val="2"/>
                <w:lang w:val="es-ES_tradnl"/>
              </w:rPr>
              <w:br/>
              <w:t>(CEDAW/C/5/Add.13)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Tercero (1984)</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Saint Kitts y Nevis</w:t>
            </w:r>
          </w:p>
        </w:tc>
        <w:tc>
          <w:tcPr>
            <w:tcW w:w="2430" w:type="dxa"/>
          </w:tcPr>
          <w:p w:rsidR="00000000" w:rsidRDefault="00000000">
            <w:pPr>
              <w:spacing w:before="40" w:after="40"/>
              <w:rPr>
                <w:kern w:val="2"/>
                <w:lang w:val="es-ES_tradnl"/>
              </w:rPr>
            </w:pPr>
            <w:r>
              <w:rPr>
                <w:kern w:val="2"/>
                <w:lang w:val="es-ES_tradnl"/>
              </w:rPr>
              <w:t>25 de mayo de 1986</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Samoa</w:t>
            </w:r>
          </w:p>
        </w:tc>
        <w:tc>
          <w:tcPr>
            <w:tcW w:w="2430" w:type="dxa"/>
          </w:tcPr>
          <w:p w:rsidR="00000000" w:rsidRDefault="00000000">
            <w:pPr>
              <w:spacing w:before="40" w:after="40"/>
              <w:rPr>
                <w:kern w:val="2"/>
                <w:lang w:val="es-ES_tradnl"/>
              </w:rPr>
            </w:pPr>
            <w:r>
              <w:rPr>
                <w:kern w:val="2"/>
                <w:lang w:val="es-ES_tradnl"/>
              </w:rPr>
              <w:t>25 de octubre de 1993</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Santa Lucía</w:t>
            </w:r>
          </w:p>
        </w:tc>
        <w:tc>
          <w:tcPr>
            <w:tcW w:w="2430" w:type="dxa"/>
          </w:tcPr>
          <w:p w:rsidR="00000000" w:rsidRDefault="00000000">
            <w:pPr>
              <w:spacing w:before="40" w:after="40"/>
              <w:rPr>
                <w:kern w:val="2"/>
                <w:lang w:val="es-ES_tradnl"/>
              </w:rPr>
            </w:pPr>
            <w:r>
              <w:rPr>
                <w:kern w:val="2"/>
                <w:lang w:val="es-ES_tradnl"/>
              </w:rPr>
              <w:t>7 de noviembre de 1983</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San Vicente y las Granadinas</w:t>
            </w:r>
          </w:p>
        </w:tc>
        <w:tc>
          <w:tcPr>
            <w:tcW w:w="2430" w:type="dxa"/>
          </w:tcPr>
          <w:p w:rsidR="00000000" w:rsidRDefault="00000000">
            <w:pPr>
              <w:keepNext/>
              <w:keepLines/>
              <w:spacing w:before="40" w:after="40"/>
              <w:rPr>
                <w:kern w:val="2"/>
                <w:lang w:val="es-ES_tradnl"/>
              </w:rPr>
            </w:pPr>
            <w:r>
              <w:rPr>
                <w:kern w:val="2"/>
                <w:lang w:val="es-ES_tradnl"/>
              </w:rPr>
              <w:t>3 de septiembre de 1982</w:t>
            </w:r>
          </w:p>
        </w:tc>
        <w:tc>
          <w:tcPr>
            <w:tcW w:w="2880" w:type="dxa"/>
          </w:tcPr>
          <w:p w:rsidR="00000000" w:rsidRDefault="00000000">
            <w:pPr>
              <w:keepNext/>
              <w:keepLines/>
              <w:spacing w:before="40" w:after="40"/>
              <w:rPr>
                <w:kern w:val="2"/>
                <w:lang w:val="es-ES_tradnl"/>
              </w:rPr>
            </w:pPr>
            <w:r>
              <w:rPr>
                <w:kern w:val="2"/>
                <w:lang w:val="es-ES_tradnl"/>
              </w:rPr>
              <w:t>27 de septiembre de 1991</w:t>
            </w:r>
            <w:r>
              <w:rPr>
                <w:kern w:val="2"/>
                <w:lang w:val="es-ES_tradnl"/>
              </w:rPr>
              <w:br/>
              <w:t>(CEDAW/C/STV/1 a 3)</w:t>
            </w:r>
            <w:r>
              <w:rPr>
                <w:kern w:val="2"/>
                <w:lang w:val="es-ES_tradnl"/>
              </w:rPr>
              <w:br/>
              <w:t>28 de julio de 1994</w:t>
            </w:r>
            <w:r>
              <w:rPr>
                <w:kern w:val="2"/>
                <w:lang w:val="es-ES_tradnl"/>
              </w:rPr>
              <w:br/>
              <w:t>(CEDAW/C/STV/1 a 3/Add.1)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Senegal</w:t>
            </w:r>
          </w:p>
        </w:tc>
        <w:tc>
          <w:tcPr>
            <w:tcW w:w="2430" w:type="dxa"/>
          </w:tcPr>
          <w:p w:rsidR="00000000" w:rsidRDefault="00000000">
            <w:pPr>
              <w:spacing w:before="40" w:after="40"/>
              <w:rPr>
                <w:kern w:val="2"/>
                <w:lang w:val="es-ES_tradnl"/>
              </w:rPr>
            </w:pPr>
            <w:r>
              <w:rPr>
                <w:kern w:val="2"/>
                <w:lang w:val="es-ES_tradnl"/>
              </w:rPr>
              <w:t>7 de marzo de 1986</w:t>
            </w:r>
          </w:p>
        </w:tc>
        <w:tc>
          <w:tcPr>
            <w:tcW w:w="2880" w:type="dxa"/>
          </w:tcPr>
          <w:p w:rsidR="00000000" w:rsidRDefault="00000000">
            <w:pPr>
              <w:spacing w:before="40" w:after="40"/>
              <w:rPr>
                <w:kern w:val="2"/>
                <w:lang w:val="es-ES_tradnl"/>
              </w:rPr>
            </w:pPr>
            <w:r>
              <w:rPr>
                <w:kern w:val="2"/>
                <w:lang w:val="es-ES_tradnl"/>
              </w:rPr>
              <w:t>5 de noviembre de 1986</w:t>
            </w:r>
            <w:r>
              <w:rPr>
                <w:kern w:val="2"/>
                <w:lang w:val="es-ES_tradnl"/>
              </w:rPr>
              <w:br/>
              <w:t>(CEDAW/C/5/Add.42)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Seychelles</w:t>
            </w:r>
          </w:p>
        </w:tc>
        <w:tc>
          <w:tcPr>
            <w:tcW w:w="2430" w:type="dxa"/>
          </w:tcPr>
          <w:p w:rsidR="00000000" w:rsidRDefault="00000000">
            <w:pPr>
              <w:spacing w:before="40" w:after="40"/>
              <w:rPr>
                <w:kern w:val="2"/>
                <w:lang w:val="es-ES_tradnl"/>
              </w:rPr>
            </w:pPr>
            <w:r>
              <w:rPr>
                <w:kern w:val="2"/>
                <w:lang w:val="es-ES_tradnl"/>
              </w:rPr>
              <w:t>4 de junio de 1993</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Sierra Leona</w:t>
            </w:r>
          </w:p>
        </w:tc>
        <w:tc>
          <w:tcPr>
            <w:tcW w:w="2430" w:type="dxa"/>
          </w:tcPr>
          <w:p w:rsidR="00000000" w:rsidRDefault="00000000">
            <w:pPr>
              <w:spacing w:before="40" w:after="40"/>
              <w:rPr>
                <w:kern w:val="2"/>
                <w:lang w:val="es-ES_tradnl"/>
              </w:rPr>
            </w:pPr>
            <w:r>
              <w:rPr>
                <w:kern w:val="2"/>
                <w:lang w:val="es-ES_tradnl"/>
              </w:rPr>
              <w:t>11 de diciembre de 1989</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Singapur</w:t>
            </w:r>
          </w:p>
        </w:tc>
        <w:tc>
          <w:tcPr>
            <w:tcW w:w="2430" w:type="dxa"/>
          </w:tcPr>
          <w:p w:rsidR="00000000" w:rsidRDefault="00000000">
            <w:pPr>
              <w:spacing w:before="40" w:after="40"/>
              <w:rPr>
                <w:kern w:val="2"/>
                <w:lang w:val="es-ES_tradnl"/>
              </w:rPr>
            </w:pPr>
            <w:r>
              <w:rPr>
                <w:kern w:val="2"/>
                <w:lang w:val="es-ES_tradnl"/>
              </w:rPr>
              <w:t>4 de noviembre de 1996</w:t>
            </w:r>
          </w:p>
        </w:tc>
        <w:tc>
          <w:tcPr>
            <w:tcW w:w="2880" w:type="dxa"/>
          </w:tcPr>
          <w:p w:rsidR="00000000" w:rsidRDefault="00000000">
            <w:pPr>
              <w:spacing w:before="40" w:after="40"/>
              <w:rPr>
                <w:kern w:val="2"/>
                <w:lang w:val="es-ES_tradnl"/>
              </w:rPr>
            </w:pPr>
            <w:r>
              <w:rPr>
                <w:kern w:val="2"/>
                <w:lang w:val="es-ES_tradnl"/>
              </w:rPr>
              <w:t>1° de diciembre de 1999</w:t>
            </w:r>
            <w:r>
              <w:rPr>
                <w:kern w:val="2"/>
                <w:lang w:val="es-ES_tradnl"/>
              </w:rPr>
              <w:br/>
              <w:t>(CEDAW/C/SGP/1)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25° (2001)</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Sri Lanka</w:t>
            </w:r>
          </w:p>
        </w:tc>
        <w:tc>
          <w:tcPr>
            <w:tcW w:w="2430" w:type="dxa"/>
          </w:tcPr>
          <w:p w:rsidR="00000000" w:rsidRDefault="00000000">
            <w:pPr>
              <w:spacing w:before="40" w:after="40"/>
              <w:rPr>
                <w:kern w:val="2"/>
                <w:lang w:val="es-ES_tradnl"/>
              </w:rPr>
            </w:pPr>
            <w:r>
              <w:rPr>
                <w:kern w:val="2"/>
                <w:lang w:val="es-ES_tradnl"/>
              </w:rPr>
              <w:t>4 de noviembre de 1982</w:t>
            </w:r>
          </w:p>
        </w:tc>
        <w:tc>
          <w:tcPr>
            <w:tcW w:w="2880" w:type="dxa"/>
          </w:tcPr>
          <w:p w:rsidR="00000000" w:rsidRDefault="00000000">
            <w:pPr>
              <w:spacing w:before="40" w:after="40"/>
              <w:rPr>
                <w:kern w:val="2"/>
                <w:lang w:val="es-ES_tradnl"/>
              </w:rPr>
            </w:pPr>
            <w:r>
              <w:rPr>
                <w:kern w:val="2"/>
                <w:lang w:val="es-ES_tradnl"/>
              </w:rPr>
              <w:t>7 de julio de 1985</w:t>
            </w:r>
            <w:r>
              <w:rPr>
                <w:kern w:val="2"/>
                <w:lang w:val="es-ES_tradnl"/>
              </w:rPr>
              <w:br/>
              <w:t>(CEDAW/C/5/Add.29)</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Sudáfrica</w:t>
            </w:r>
          </w:p>
        </w:tc>
        <w:tc>
          <w:tcPr>
            <w:tcW w:w="2430" w:type="dxa"/>
          </w:tcPr>
          <w:p w:rsidR="00000000" w:rsidRDefault="00000000">
            <w:pPr>
              <w:spacing w:before="40" w:after="40"/>
              <w:rPr>
                <w:kern w:val="2"/>
                <w:lang w:val="es-ES_tradnl"/>
              </w:rPr>
            </w:pPr>
            <w:r>
              <w:rPr>
                <w:kern w:val="2"/>
                <w:lang w:val="es-ES_tradnl"/>
              </w:rPr>
              <w:t>14 de enero de 1997</w:t>
            </w:r>
          </w:p>
        </w:tc>
        <w:tc>
          <w:tcPr>
            <w:tcW w:w="2880" w:type="dxa"/>
          </w:tcPr>
          <w:p w:rsidR="00000000" w:rsidRDefault="00000000">
            <w:pPr>
              <w:spacing w:before="40" w:after="40"/>
              <w:rPr>
                <w:kern w:val="2"/>
                <w:lang w:val="es-ES_tradnl"/>
              </w:rPr>
            </w:pPr>
            <w:r>
              <w:rPr>
                <w:kern w:val="2"/>
                <w:lang w:val="es-ES_tradnl"/>
              </w:rPr>
              <w:t>5 de febrero de 1998</w:t>
            </w:r>
            <w:r>
              <w:rPr>
                <w:kern w:val="2"/>
                <w:lang w:val="es-ES_tradnl"/>
              </w:rPr>
              <w:br/>
              <w:t>(CEDAW/C/ZAF/1)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Suecia</w:t>
            </w:r>
          </w:p>
        </w:tc>
        <w:tc>
          <w:tcPr>
            <w:tcW w:w="2430" w:type="dxa"/>
          </w:tcPr>
          <w:p w:rsidR="00000000" w:rsidRDefault="00000000">
            <w:pPr>
              <w:spacing w:before="40" w:after="40"/>
              <w:rPr>
                <w:kern w:val="2"/>
                <w:lang w:val="es-ES_tradnl"/>
              </w:rPr>
            </w:pPr>
            <w:r>
              <w:rPr>
                <w:kern w:val="2"/>
                <w:lang w:val="es-ES_tradnl"/>
              </w:rPr>
              <w:t>3 de septiembre de 1982</w:t>
            </w:r>
          </w:p>
        </w:tc>
        <w:tc>
          <w:tcPr>
            <w:tcW w:w="2880" w:type="dxa"/>
          </w:tcPr>
          <w:p w:rsidR="00000000" w:rsidRDefault="00000000">
            <w:pPr>
              <w:spacing w:before="40" w:after="40"/>
              <w:rPr>
                <w:kern w:val="2"/>
                <w:lang w:val="es-ES_tradnl"/>
              </w:rPr>
            </w:pPr>
            <w:r>
              <w:rPr>
                <w:kern w:val="2"/>
                <w:lang w:val="es-ES_tradnl"/>
              </w:rPr>
              <w:t>22 de octubre de 1982</w:t>
            </w:r>
            <w:r>
              <w:rPr>
                <w:kern w:val="2"/>
                <w:lang w:val="es-ES_tradnl"/>
              </w:rPr>
              <w:br/>
              <w:t>(CEDAW/C/5/Add.8)</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Segundo (1983)</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Suiza</w:t>
            </w:r>
          </w:p>
        </w:tc>
        <w:tc>
          <w:tcPr>
            <w:tcW w:w="2430" w:type="dxa"/>
          </w:tcPr>
          <w:p w:rsidR="00000000" w:rsidRDefault="00000000">
            <w:pPr>
              <w:spacing w:before="40" w:after="40"/>
              <w:rPr>
                <w:kern w:val="2"/>
                <w:lang w:val="es-ES_tradnl"/>
              </w:rPr>
            </w:pPr>
            <w:r>
              <w:rPr>
                <w:kern w:val="2"/>
                <w:lang w:val="es-ES_tradnl"/>
              </w:rPr>
              <w:t>26 de abril de 1998</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Suriname</w:t>
            </w:r>
          </w:p>
        </w:tc>
        <w:tc>
          <w:tcPr>
            <w:tcW w:w="2430" w:type="dxa"/>
          </w:tcPr>
          <w:p w:rsidR="00000000" w:rsidRDefault="00000000">
            <w:pPr>
              <w:spacing w:before="40" w:after="40"/>
              <w:rPr>
                <w:kern w:val="2"/>
                <w:lang w:val="es-ES_tradnl"/>
              </w:rPr>
            </w:pPr>
            <w:r>
              <w:rPr>
                <w:kern w:val="2"/>
                <w:lang w:val="es-ES_tradnl"/>
              </w:rPr>
              <w:t>31 de marzo de 1994</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Tailandia</w:t>
            </w:r>
          </w:p>
        </w:tc>
        <w:tc>
          <w:tcPr>
            <w:tcW w:w="2430" w:type="dxa"/>
          </w:tcPr>
          <w:p w:rsidR="00000000" w:rsidRDefault="00000000">
            <w:pPr>
              <w:spacing w:before="40" w:after="40"/>
              <w:rPr>
                <w:kern w:val="2"/>
                <w:lang w:val="es-ES_tradnl"/>
              </w:rPr>
            </w:pPr>
            <w:r>
              <w:rPr>
                <w:kern w:val="2"/>
                <w:lang w:val="es-ES_tradnl"/>
              </w:rPr>
              <w:t>8 de septiembre de 1986</w:t>
            </w:r>
          </w:p>
        </w:tc>
        <w:tc>
          <w:tcPr>
            <w:tcW w:w="2880" w:type="dxa"/>
          </w:tcPr>
          <w:p w:rsidR="00000000" w:rsidRDefault="00000000">
            <w:pPr>
              <w:spacing w:before="40" w:after="40"/>
              <w:rPr>
                <w:kern w:val="2"/>
                <w:lang w:val="es-ES_tradnl"/>
              </w:rPr>
            </w:pPr>
            <w:r>
              <w:rPr>
                <w:kern w:val="2"/>
                <w:lang w:val="es-ES_tradnl"/>
              </w:rPr>
              <w:t>1º de junio de 1987</w:t>
            </w:r>
            <w:r>
              <w:rPr>
                <w:kern w:val="2"/>
                <w:lang w:val="es-ES_tradnl"/>
              </w:rPr>
              <w:br/>
              <w:t>(CEDAW/C/5/Add.51)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Noveno (1990)</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Tayikistán</w:t>
            </w:r>
          </w:p>
        </w:tc>
        <w:tc>
          <w:tcPr>
            <w:tcW w:w="2430" w:type="dxa"/>
          </w:tcPr>
          <w:p w:rsidR="00000000" w:rsidRDefault="00000000">
            <w:pPr>
              <w:spacing w:before="40" w:after="40"/>
              <w:rPr>
                <w:kern w:val="2"/>
                <w:lang w:val="es-ES_tradnl"/>
              </w:rPr>
            </w:pPr>
            <w:r>
              <w:rPr>
                <w:kern w:val="2"/>
                <w:lang w:val="es-ES_tradnl"/>
              </w:rPr>
              <w:t>25 de octubre de 1994</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Togo</w:t>
            </w:r>
          </w:p>
        </w:tc>
        <w:tc>
          <w:tcPr>
            <w:tcW w:w="2430" w:type="dxa"/>
          </w:tcPr>
          <w:p w:rsidR="00000000" w:rsidRDefault="00000000">
            <w:pPr>
              <w:spacing w:before="40" w:after="40"/>
              <w:rPr>
                <w:kern w:val="2"/>
                <w:lang w:val="es-ES_tradnl"/>
              </w:rPr>
            </w:pPr>
            <w:r>
              <w:rPr>
                <w:kern w:val="2"/>
                <w:lang w:val="es-ES_tradnl"/>
              </w:rPr>
              <w:t>26 de octubre de 1984</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Trinidad y Tabago</w:t>
            </w:r>
          </w:p>
        </w:tc>
        <w:tc>
          <w:tcPr>
            <w:tcW w:w="2430" w:type="dxa"/>
          </w:tcPr>
          <w:p w:rsidR="00000000" w:rsidRDefault="00000000">
            <w:pPr>
              <w:spacing w:before="40" w:after="40"/>
              <w:rPr>
                <w:kern w:val="2"/>
                <w:lang w:val="es-ES_tradnl"/>
              </w:rPr>
            </w:pPr>
            <w:r>
              <w:rPr>
                <w:kern w:val="2"/>
                <w:lang w:val="es-ES_tradnl"/>
              </w:rPr>
              <w:t>11 de febrero de 1991</w:t>
            </w:r>
          </w:p>
        </w:tc>
        <w:tc>
          <w:tcPr>
            <w:tcW w:w="2880" w:type="dxa"/>
          </w:tcPr>
          <w:p w:rsidR="00000000" w:rsidRDefault="00000000">
            <w:pPr>
              <w:spacing w:before="40" w:after="40"/>
              <w:rPr>
                <w:kern w:val="2"/>
                <w:lang w:val="en-US"/>
              </w:rPr>
            </w:pPr>
            <w:r>
              <w:rPr>
                <w:kern w:val="2"/>
                <w:lang w:val="es-ES_tradnl"/>
              </w:rPr>
              <w:t xml:space="preserve">23 de enero de 2001 </w:t>
            </w:r>
            <w:r>
              <w:rPr>
                <w:kern w:val="2"/>
                <w:lang w:val="es-ES_tradnl"/>
              </w:rPr>
              <w:br/>
              <w:t>(</w:t>
            </w:r>
            <w:r>
              <w:rPr>
                <w:kern w:val="2"/>
                <w:lang w:val="en-US"/>
              </w:rPr>
              <w:t>CEDAW/C/TTO/1)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n-US"/>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Túnez</w:t>
            </w:r>
          </w:p>
        </w:tc>
        <w:tc>
          <w:tcPr>
            <w:tcW w:w="2430" w:type="dxa"/>
          </w:tcPr>
          <w:p w:rsidR="00000000" w:rsidRDefault="00000000">
            <w:pPr>
              <w:spacing w:before="40" w:after="40"/>
              <w:rPr>
                <w:kern w:val="2"/>
                <w:lang w:val="es-ES_tradnl"/>
              </w:rPr>
            </w:pPr>
            <w:r>
              <w:rPr>
                <w:kern w:val="2"/>
                <w:lang w:val="es-ES_tradnl"/>
              </w:rPr>
              <w:t>20 de octubre de 1986</w:t>
            </w:r>
          </w:p>
        </w:tc>
        <w:tc>
          <w:tcPr>
            <w:tcW w:w="2880" w:type="dxa"/>
          </w:tcPr>
          <w:p w:rsidR="00000000" w:rsidRDefault="00000000">
            <w:pPr>
              <w:spacing w:before="40" w:after="40"/>
              <w:rPr>
                <w:kern w:val="2"/>
                <w:lang w:val="es-ES_tradnl"/>
              </w:rPr>
            </w:pPr>
            <w:r>
              <w:rPr>
                <w:kern w:val="2"/>
                <w:lang w:val="es-ES_tradnl"/>
              </w:rPr>
              <w:t>17 de septiembre de 1993</w:t>
            </w:r>
            <w:r>
              <w:rPr>
                <w:kern w:val="2"/>
                <w:lang w:val="es-ES_tradnl"/>
              </w:rPr>
              <w:br/>
              <w:t>(CEDAW/C/TUN/1 y 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Turkmenistán</w:t>
            </w:r>
          </w:p>
        </w:tc>
        <w:tc>
          <w:tcPr>
            <w:tcW w:w="2430" w:type="dxa"/>
          </w:tcPr>
          <w:p w:rsidR="00000000" w:rsidRDefault="00000000">
            <w:pPr>
              <w:spacing w:before="40" w:after="40"/>
              <w:rPr>
                <w:kern w:val="2"/>
                <w:lang w:val="es-ES_tradnl"/>
              </w:rPr>
            </w:pPr>
            <w:r>
              <w:rPr>
                <w:kern w:val="2"/>
                <w:lang w:val="es-ES_tradnl"/>
              </w:rPr>
              <w:t>31 de mayo de 1998</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Turquía</w:t>
            </w:r>
          </w:p>
        </w:tc>
        <w:tc>
          <w:tcPr>
            <w:tcW w:w="2430" w:type="dxa"/>
          </w:tcPr>
          <w:p w:rsidR="00000000" w:rsidRDefault="00000000">
            <w:pPr>
              <w:spacing w:before="40" w:after="40"/>
              <w:rPr>
                <w:kern w:val="2"/>
                <w:lang w:val="es-ES_tradnl"/>
              </w:rPr>
            </w:pPr>
            <w:r>
              <w:rPr>
                <w:kern w:val="2"/>
                <w:lang w:val="es-ES_tradnl"/>
              </w:rPr>
              <w:t>19 de enero de 1987</w:t>
            </w:r>
          </w:p>
        </w:tc>
        <w:tc>
          <w:tcPr>
            <w:tcW w:w="2880" w:type="dxa"/>
          </w:tcPr>
          <w:p w:rsidR="00000000" w:rsidRDefault="00000000">
            <w:pPr>
              <w:spacing w:before="40" w:after="40"/>
              <w:rPr>
                <w:kern w:val="2"/>
                <w:lang w:val="es-ES_tradnl"/>
              </w:rPr>
            </w:pPr>
            <w:r>
              <w:rPr>
                <w:kern w:val="2"/>
                <w:lang w:val="es-ES_tradnl"/>
              </w:rPr>
              <w:t>27 de enero de 1987</w:t>
            </w:r>
            <w:r>
              <w:rPr>
                <w:kern w:val="2"/>
                <w:lang w:val="es-ES_tradnl"/>
              </w:rPr>
              <w:br/>
              <w:t>(CEDAW/C/5/Add.46)</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Noveno (1990)</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Ucrania</w:t>
            </w:r>
          </w:p>
        </w:tc>
        <w:tc>
          <w:tcPr>
            <w:tcW w:w="2430" w:type="dxa"/>
          </w:tcPr>
          <w:p w:rsidR="00000000" w:rsidRDefault="00000000">
            <w:pPr>
              <w:keepNext/>
              <w:keepLines/>
              <w:spacing w:before="40" w:after="40"/>
              <w:rPr>
                <w:kern w:val="2"/>
                <w:lang w:val="es-ES_tradnl"/>
              </w:rPr>
            </w:pPr>
            <w:r>
              <w:rPr>
                <w:kern w:val="2"/>
                <w:lang w:val="es-ES_tradnl"/>
              </w:rPr>
              <w:t>3 de septiembre de 1982</w:t>
            </w:r>
          </w:p>
        </w:tc>
        <w:tc>
          <w:tcPr>
            <w:tcW w:w="2880" w:type="dxa"/>
          </w:tcPr>
          <w:p w:rsidR="00000000" w:rsidRDefault="00000000">
            <w:pPr>
              <w:keepNext/>
              <w:keepLines/>
              <w:spacing w:before="40" w:after="40"/>
              <w:rPr>
                <w:kern w:val="2"/>
                <w:lang w:val="es-ES_tradnl"/>
              </w:rPr>
            </w:pPr>
            <w:r>
              <w:rPr>
                <w:kern w:val="2"/>
                <w:lang w:val="es-ES_tradnl"/>
              </w:rPr>
              <w:t>2 de marzo de 1983</w:t>
            </w:r>
            <w:r>
              <w:rPr>
                <w:kern w:val="2"/>
                <w:lang w:val="es-ES_tradnl"/>
              </w:rPr>
              <w:br/>
              <w:t>(CEDAW/C/5/Add.11)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Segundo (1983)</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Uganda</w:t>
            </w:r>
          </w:p>
        </w:tc>
        <w:tc>
          <w:tcPr>
            <w:tcW w:w="2430" w:type="dxa"/>
          </w:tcPr>
          <w:p w:rsidR="00000000" w:rsidRDefault="00000000">
            <w:pPr>
              <w:spacing w:before="40" w:after="40"/>
              <w:rPr>
                <w:kern w:val="2"/>
                <w:lang w:val="es-ES_tradnl"/>
              </w:rPr>
            </w:pPr>
            <w:r>
              <w:rPr>
                <w:kern w:val="2"/>
                <w:lang w:val="es-ES_tradnl"/>
              </w:rPr>
              <w:t>21 de agosto de 1986</w:t>
            </w:r>
          </w:p>
        </w:tc>
        <w:tc>
          <w:tcPr>
            <w:tcW w:w="2880" w:type="dxa"/>
          </w:tcPr>
          <w:p w:rsidR="00000000" w:rsidRDefault="00000000">
            <w:pPr>
              <w:spacing w:before="40" w:after="40"/>
              <w:rPr>
                <w:kern w:val="2"/>
                <w:lang w:val="es-ES_tradnl"/>
              </w:rPr>
            </w:pPr>
            <w:r>
              <w:rPr>
                <w:kern w:val="2"/>
                <w:lang w:val="es-ES_tradnl"/>
              </w:rPr>
              <w:t>1° de junio de 1992</w:t>
            </w:r>
            <w:r>
              <w:rPr>
                <w:kern w:val="2"/>
                <w:lang w:val="es-ES_tradnl"/>
              </w:rPr>
              <w:br/>
              <w:t>(CEDAW/C/UGA/1 y 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Uruguay</w:t>
            </w:r>
          </w:p>
        </w:tc>
        <w:tc>
          <w:tcPr>
            <w:tcW w:w="2430" w:type="dxa"/>
          </w:tcPr>
          <w:p w:rsidR="00000000" w:rsidRDefault="00000000">
            <w:pPr>
              <w:spacing w:before="40" w:after="40"/>
              <w:rPr>
                <w:kern w:val="2"/>
                <w:lang w:val="es-ES_tradnl"/>
              </w:rPr>
            </w:pPr>
            <w:r>
              <w:rPr>
                <w:kern w:val="2"/>
                <w:lang w:val="es-ES_tradnl"/>
              </w:rPr>
              <w:t>8 de noviembre de 1982</w:t>
            </w:r>
          </w:p>
        </w:tc>
        <w:tc>
          <w:tcPr>
            <w:tcW w:w="2880" w:type="dxa"/>
          </w:tcPr>
          <w:p w:rsidR="00000000" w:rsidRDefault="00000000">
            <w:pPr>
              <w:spacing w:before="40" w:after="40"/>
              <w:rPr>
                <w:kern w:val="2"/>
                <w:lang w:val="es-ES_tradnl"/>
              </w:rPr>
            </w:pPr>
            <w:r>
              <w:rPr>
                <w:kern w:val="2"/>
                <w:lang w:val="es-ES_tradnl"/>
              </w:rPr>
              <w:t>23 de noviembre de 1984</w:t>
            </w:r>
            <w:r>
              <w:rPr>
                <w:kern w:val="2"/>
                <w:lang w:val="es-ES_tradnl"/>
              </w:rPr>
              <w:br/>
              <w:t>(CEDAW/C/5/Add.27)</w:t>
            </w:r>
          </w:p>
        </w:tc>
        <w:tc>
          <w:tcPr>
            <w:tcW w:w="1800" w:type="dxa"/>
          </w:tcPr>
          <w:p w:rsidR="00000000" w:rsidRDefault="00000000">
            <w:pPr>
              <w:spacing w:before="40" w:after="4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Uzbekistán</w:t>
            </w:r>
          </w:p>
        </w:tc>
        <w:tc>
          <w:tcPr>
            <w:tcW w:w="2430" w:type="dxa"/>
          </w:tcPr>
          <w:p w:rsidR="00000000" w:rsidRDefault="00000000">
            <w:pPr>
              <w:spacing w:before="40" w:after="40"/>
              <w:rPr>
                <w:kern w:val="2"/>
                <w:lang w:val="es-ES_tradnl"/>
              </w:rPr>
            </w:pPr>
            <w:r>
              <w:rPr>
                <w:kern w:val="2"/>
                <w:lang w:val="es-ES_tradnl"/>
              </w:rPr>
              <w:t>18 de agosto de 1996</w:t>
            </w:r>
          </w:p>
        </w:tc>
        <w:tc>
          <w:tcPr>
            <w:tcW w:w="2880" w:type="dxa"/>
          </w:tcPr>
          <w:p w:rsidR="00000000" w:rsidRDefault="00000000">
            <w:pPr>
              <w:spacing w:before="40" w:after="40"/>
              <w:rPr>
                <w:kern w:val="2"/>
                <w:lang w:val="es-ES_tradnl"/>
              </w:rPr>
            </w:pPr>
            <w:r>
              <w:rPr>
                <w:kern w:val="2"/>
                <w:lang w:val="es-ES_tradnl"/>
              </w:rPr>
              <w:t>19 de enero de 2000</w:t>
            </w:r>
            <w:r>
              <w:rPr>
                <w:kern w:val="2"/>
                <w:lang w:val="es-ES_tradnl"/>
              </w:rPr>
              <w:br/>
              <w:t>(CEDAW/C/UZB/1)</w:t>
            </w:r>
          </w:p>
        </w:tc>
        <w:tc>
          <w:tcPr>
            <w:tcW w:w="1800" w:type="dxa"/>
          </w:tcPr>
          <w:p w:rsidR="00000000" w:rsidRDefault="00000000">
            <w:pPr>
              <w:spacing w:before="40" w:after="40"/>
              <w:rPr>
                <w:kern w:val="2"/>
                <w:lang w:val="es-ES_tradnl"/>
              </w:rPr>
            </w:pPr>
            <w:r>
              <w:rPr>
                <w:kern w:val="2"/>
                <w:lang w:val="es-ES_tradnl"/>
              </w:rPr>
              <w:t>24º (2001)</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Vanuatu</w:t>
            </w:r>
          </w:p>
        </w:tc>
        <w:tc>
          <w:tcPr>
            <w:tcW w:w="2430" w:type="dxa"/>
          </w:tcPr>
          <w:p w:rsidR="00000000" w:rsidRDefault="00000000">
            <w:pPr>
              <w:spacing w:before="40" w:after="40"/>
              <w:rPr>
                <w:kern w:val="2"/>
                <w:lang w:val="es-ES_tradnl"/>
              </w:rPr>
            </w:pPr>
            <w:r>
              <w:rPr>
                <w:kern w:val="2"/>
                <w:lang w:val="es-ES_tradnl"/>
              </w:rPr>
              <w:t>8 de octubre de 1996</w:t>
            </w:r>
          </w:p>
        </w:tc>
        <w:tc>
          <w:tcPr>
            <w:tcW w:w="2880" w:type="dxa"/>
          </w:tcPr>
          <w:p w:rsidR="00000000" w:rsidRDefault="00000000">
            <w:pPr>
              <w:spacing w:before="40" w:after="40"/>
              <w:rPr>
                <w:kern w:val="2"/>
                <w:lang w:val="es-ES_tradnl"/>
              </w:rPr>
            </w:pPr>
          </w:p>
        </w:tc>
        <w:tc>
          <w:tcPr>
            <w:tcW w:w="1800" w:type="dxa"/>
          </w:tcPr>
          <w:p w:rsidR="00000000" w:rsidRDefault="00000000">
            <w:pPr>
              <w:spacing w:before="40" w:after="40"/>
              <w:rPr>
                <w:kern w:val="2"/>
                <w:lang w:val="es-ES_tradnl"/>
              </w:rPr>
            </w:pP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Venezuela</w:t>
            </w:r>
          </w:p>
        </w:tc>
        <w:tc>
          <w:tcPr>
            <w:tcW w:w="2430" w:type="dxa"/>
          </w:tcPr>
          <w:p w:rsidR="00000000" w:rsidRDefault="00000000">
            <w:pPr>
              <w:spacing w:before="40" w:after="40"/>
              <w:rPr>
                <w:kern w:val="2"/>
                <w:lang w:val="es-ES_tradnl"/>
              </w:rPr>
            </w:pPr>
            <w:r>
              <w:rPr>
                <w:kern w:val="2"/>
                <w:lang w:val="es-ES_tradnl"/>
              </w:rPr>
              <w:t>1° de junio de 1984</w:t>
            </w:r>
            <w:r>
              <w:rPr>
                <w:kern w:val="2"/>
                <w:lang w:val="es-ES_tradnl"/>
              </w:rPr>
              <w:br/>
            </w:r>
          </w:p>
        </w:tc>
        <w:tc>
          <w:tcPr>
            <w:tcW w:w="2880" w:type="dxa"/>
          </w:tcPr>
          <w:p w:rsidR="00000000" w:rsidRDefault="00000000">
            <w:pPr>
              <w:spacing w:before="40" w:after="40"/>
              <w:rPr>
                <w:kern w:val="2"/>
                <w:lang w:val="es-ES_tradnl"/>
              </w:rPr>
            </w:pPr>
            <w:r>
              <w:rPr>
                <w:kern w:val="2"/>
                <w:lang w:val="es-ES_tradnl"/>
              </w:rPr>
              <w:t>27 de agosto de 1984</w:t>
            </w:r>
            <w:r>
              <w:rPr>
                <w:kern w:val="2"/>
                <w:lang w:val="es-ES_tradnl"/>
              </w:rPr>
              <w:br/>
              <w:t>(CEDAW/C/5/Add.24)</w:t>
            </w:r>
          </w:p>
        </w:tc>
        <w:tc>
          <w:tcPr>
            <w:tcW w:w="1800" w:type="dxa"/>
          </w:tcPr>
          <w:p w:rsidR="00000000" w:rsidRDefault="00000000">
            <w:pPr>
              <w:spacing w:before="40" w:after="40"/>
              <w:rPr>
                <w:kern w:val="2"/>
                <w:lang w:val="en-US"/>
              </w:rPr>
            </w:pPr>
            <w:r>
              <w:rPr>
                <w:kern w:val="2"/>
                <w:lang w:val="en-US"/>
              </w:rPr>
              <w:t>Quinto (1986)</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n-US"/>
              </w:rPr>
            </w:pPr>
            <w:r>
              <w:rPr>
                <w:kern w:val="2"/>
                <w:lang w:val="en-US"/>
              </w:rPr>
              <w:t>Viet Nam</w:t>
            </w:r>
          </w:p>
        </w:tc>
        <w:tc>
          <w:tcPr>
            <w:tcW w:w="2430" w:type="dxa"/>
          </w:tcPr>
          <w:p w:rsidR="00000000" w:rsidRDefault="00000000">
            <w:pPr>
              <w:spacing w:before="40" w:after="40"/>
              <w:rPr>
                <w:kern w:val="2"/>
                <w:lang w:val="es-ES_tradnl"/>
              </w:rPr>
            </w:pPr>
            <w:r>
              <w:rPr>
                <w:kern w:val="2"/>
                <w:lang w:val="es-ES_tradnl"/>
              </w:rPr>
              <w:t>19 de marzo de 1983</w:t>
            </w:r>
          </w:p>
        </w:tc>
        <w:tc>
          <w:tcPr>
            <w:tcW w:w="2880" w:type="dxa"/>
          </w:tcPr>
          <w:p w:rsidR="00000000" w:rsidRDefault="00000000">
            <w:pPr>
              <w:spacing w:before="40" w:after="40"/>
              <w:rPr>
                <w:kern w:val="2"/>
                <w:lang w:val="es-ES_tradnl"/>
              </w:rPr>
            </w:pPr>
            <w:r>
              <w:rPr>
                <w:kern w:val="2"/>
                <w:lang w:val="es-ES_tradnl"/>
              </w:rPr>
              <w:t>2 de octubre de 1984</w:t>
            </w:r>
            <w:r>
              <w:rPr>
                <w:kern w:val="2"/>
                <w:lang w:val="es-ES_tradnl"/>
              </w:rPr>
              <w:br/>
              <w:t>(CEDAW/C/5/Add.25)</w:t>
            </w:r>
          </w:p>
        </w:tc>
        <w:tc>
          <w:tcPr>
            <w:tcW w:w="1800" w:type="dxa"/>
          </w:tcPr>
          <w:p w:rsidR="00000000" w:rsidRDefault="00000000">
            <w:pPr>
              <w:spacing w:before="40" w:after="40"/>
              <w:rPr>
                <w:kern w:val="2"/>
                <w:lang w:val="es-ES_tradnl"/>
              </w:rPr>
            </w:pPr>
            <w:r>
              <w:rPr>
                <w:kern w:val="2"/>
                <w:lang w:val="es-ES_tradnl"/>
              </w:rPr>
              <w:t>Quinto (1986)</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Yemen</w:t>
            </w:r>
          </w:p>
        </w:tc>
        <w:tc>
          <w:tcPr>
            <w:tcW w:w="2430" w:type="dxa"/>
          </w:tcPr>
          <w:p w:rsidR="00000000" w:rsidRDefault="00000000">
            <w:pPr>
              <w:spacing w:before="40" w:after="40"/>
              <w:rPr>
                <w:kern w:val="2"/>
                <w:lang w:val="es-ES_tradnl"/>
              </w:rPr>
            </w:pPr>
            <w:r>
              <w:rPr>
                <w:kern w:val="2"/>
                <w:lang w:val="es-ES_tradnl"/>
              </w:rPr>
              <w:t>29 de junio de 1985</w:t>
            </w:r>
          </w:p>
        </w:tc>
        <w:tc>
          <w:tcPr>
            <w:tcW w:w="2880" w:type="dxa"/>
          </w:tcPr>
          <w:p w:rsidR="00000000" w:rsidRDefault="00000000">
            <w:pPr>
              <w:spacing w:before="40" w:after="40"/>
              <w:rPr>
                <w:kern w:val="2"/>
                <w:lang w:val="es-ES_tradnl"/>
              </w:rPr>
            </w:pPr>
            <w:r>
              <w:rPr>
                <w:kern w:val="2"/>
                <w:lang w:val="es-ES_tradnl"/>
              </w:rPr>
              <w:t>23 de enero de 1989</w:t>
            </w:r>
            <w:r>
              <w:rPr>
                <w:kern w:val="2"/>
                <w:lang w:val="es-ES_tradnl"/>
              </w:rPr>
              <w:br/>
              <w:t>(CEDAW/C/5/Add.61)</w:t>
            </w:r>
          </w:p>
        </w:tc>
        <w:tc>
          <w:tcPr>
            <w:tcW w:w="1800" w:type="dxa"/>
          </w:tcPr>
          <w:p w:rsidR="00000000" w:rsidRDefault="00000000">
            <w:pPr>
              <w:spacing w:before="40" w:after="4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Zambia</w:t>
            </w:r>
          </w:p>
        </w:tc>
        <w:tc>
          <w:tcPr>
            <w:tcW w:w="2430" w:type="dxa"/>
          </w:tcPr>
          <w:p w:rsidR="00000000" w:rsidRDefault="00000000">
            <w:pPr>
              <w:spacing w:before="40" w:after="40"/>
              <w:rPr>
                <w:kern w:val="2"/>
                <w:lang w:val="es-ES_tradnl"/>
              </w:rPr>
            </w:pPr>
            <w:r>
              <w:rPr>
                <w:kern w:val="2"/>
                <w:lang w:val="es-ES_tradnl"/>
              </w:rPr>
              <w:t>21 de julio de 1986</w:t>
            </w:r>
          </w:p>
        </w:tc>
        <w:tc>
          <w:tcPr>
            <w:tcW w:w="2880" w:type="dxa"/>
          </w:tcPr>
          <w:p w:rsidR="00000000" w:rsidRDefault="00000000">
            <w:pPr>
              <w:spacing w:before="40" w:after="40"/>
              <w:rPr>
                <w:kern w:val="2"/>
                <w:lang w:val="es-ES_tradnl"/>
              </w:rPr>
            </w:pPr>
            <w:r>
              <w:rPr>
                <w:kern w:val="2"/>
                <w:lang w:val="es-ES_tradnl"/>
              </w:rPr>
              <w:t>6 de marzo de 1991</w:t>
            </w:r>
            <w:r>
              <w:rPr>
                <w:kern w:val="2"/>
                <w:lang w:val="es-ES_tradnl"/>
              </w:rPr>
              <w:br/>
              <w:t>(CEDAW/C/ZAM/1 y 2)</w:t>
            </w:r>
          </w:p>
        </w:tc>
        <w:tc>
          <w:tcPr>
            <w:tcW w:w="1800" w:type="dxa"/>
          </w:tcPr>
          <w:p w:rsidR="00000000" w:rsidRDefault="00000000">
            <w:pPr>
              <w:spacing w:before="40" w:after="40"/>
              <w:rPr>
                <w:kern w:val="2"/>
                <w:lang w:val="es-ES_tradnl"/>
              </w:rPr>
            </w:pPr>
            <w:r>
              <w:rPr>
                <w:kern w:val="2"/>
                <w:lang w:val="es-ES_tradnl"/>
              </w:rPr>
              <w:t>13° (1994)</w:t>
            </w:r>
          </w:p>
        </w:tc>
      </w:tr>
      <w:tr w:rsidR="00000000">
        <w:tblPrEx>
          <w:tblCellMar>
            <w:top w:w="0" w:type="dxa"/>
            <w:left w:w="0" w:type="dxa"/>
            <w:bottom w:w="0" w:type="dxa"/>
            <w:right w:w="0" w:type="dxa"/>
          </w:tblCellMar>
        </w:tblPrEx>
        <w:trPr>
          <w:gridAfter w:val="3"/>
          <w:wAfter w:w="61" w:type="dxa"/>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Zimbabwe</w:t>
            </w:r>
          </w:p>
        </w:tc>
        <w:tc>
          <w:tcPr>
            <w:tcW w:w="2430" w:type="dxa"/>
          </w:tcPr>
          <w:p w:rsidR="00000000" w:rsidRDefault="00000000">
            <w:pPr>
              <w:keepNext/>
              <w:keepLines/>
              <w:spacing w:before="40" w:after="40"/>
              <w:rPr>
                <w:kern w:val="2"/>
                <w:lang w:val="es-ES_tradnl"/>
              </w:rPr>
            </w:pPr>
            <w:r>
              <w:rPr>
                <w:kern w:val="2"/>
                <w:lang w:val="es-ES_tradnl"/>
              </w:rPr>
              <w:t>12 de junio de 1992</w:t>
            </w:r>
          </w:p>
        </w:tc>
        <w:tc>
          <w:tcPr>
            <w:tcW w:w="2880" w:type="dxa"/>
          </w:tcPr>
          <w:p w:rsidR="00000000" w:rsidRDefault="00000000">
            <w:pPr>
              <w:keepNext/>
              <w:keepLines/>
              <w:spacing w:before="40" w:after="40"/>
              <w:rPr>
                <w:kern w:val="2"/>
                <w:lang w:val="es-ES_tradnl"/>
              </w:rPr>
            </w:pPr>
            <w:r>
              <w:rPr>
                <w:kern w:val="2"/>
                <w:lang w:val="es-ES_tradnl"/>
              </w:rPr>
              <w:t>28 de abril de 1996</w:t>
            </w:r>
            <w:r>
              <w:rPr>
                <w:kern w:val="2"/>
                <w:lang w:val="es-ES_tradnl"/>
              </w:rPr>
              <w:br/>
              <w:t>(CEDAW/C/ZWE/1)</w:t>
            </w:r>
          </w:p>
        </w:tc>
        <w:tc>
          <w:tcPr>
            <w:tcW w:w="1800" w:type="dxa"/>
          </w:tcPr>
          <w:p w:rsidR="00000000" w:rsidRDefault="00000000">
            <w:pPr>
              <w:spacing w:before="40" w:after="40"/>
              <w:rPr>
                <w:kern w:val="2"/>
                <w:lang w:val="es-ES_tradnl"/>
              </w:rPr>
            </w:pPr>
            <w:r>
              <w:rPr>
                <w:kern w:val="2"/>
                <w:lang w:val="es-ES_tradnl"/>
              </w:rPr>
              <w:t>18° (1998)</w:t>
            </w:r>
          </w:p>
        </w:tc>
      </w:tr>
      <w:tr w:rsidR="00000000">
        <w:tblPrEx>
          <w:tblCellMar>
            <w:top w:w="0" w:type="dxa"/>
            <w:left w:w="39" w:type="dxa"/>
            <w:bottom w:w="0" w:type="dxa"/>
            <w:right w:w="39" w:type="dxa"/>
          </w:tblCellMar>
        </w:tblPrEx>
        <w:trPr>
          <w:gridAfter w:val="2"/>
          <w:wAfter w:w="32" w:type="dxa"/>
          <w:trHeight w:val="360"/>
        </w:trPr>
        <w:tc>
          <w:tcPr>
            <w:tcW w:w="9839" w:type="dxa"/>
            <w:gridSpan w:val="5"/>
          </w:tcPr>
          <w:p w:rsidR="00000000" w:rsidRDefault="00000000">
            <w:pPr>
              <w:tabs>
                <w:tab w:val="left" w:pos="32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ind w:right="1267"/>
              <w:rPr>
                <w:b/>
              </w:rPr>
            </w:pPr>
            <w:r>
              <w:rPr>
                <w:b/>
              </w:rPr>
              <w:t>B.</w:t>
            </w:r>
            <w:r>
              <w:rPr>
                <w:b/>
              </w:rPr>
              <w:tab/>
            </w:r>
            <w:r>
              <w:rPr>
                <w:b/>
              </w:rPr>
              <w:tab/>
              <w:t>Segundos informes periódicos</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Albania</w:t>
            </w:r>
          </w:p>
        </w:tc>
        <w:tc>
          <w:tcPr>
            <w:tcW w:w="2430" w:type="dxa"/>
          </w:tcPr>
          <w:p w:rsidR="00000000" w:rsidRDefault="00000000">
            <w:pPr>
              <w:spacing w:before="40" w:after="40"/>
            </w:pPr>
            <w:r>
              <w:t>10 de junio de 1999</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Alemania</w:t>
            </w:r>
          </w:p>
        </w:tc>
        <w:tc>
          <w:tcPr>
            <w:tcW w:w="2430" w:type="dxa"/>
          </w:tcPr>
          <w:p w:rsidR="00000000" w:rsidRDefault="00000000">
            <w:pPr>
              <w:spacing w:before="40" w:after="40"/>
            </w:pPr>
            <w:r>
              <w:t>9 de agosto de 1990</w:t>
            </w:r>
          </w:p>
        </w:tc>
        <w:tc>
          <w:tcPr>
            <w:tcW w:w="2880" w:type="dxa"/>
          </w:tcPr>
          <w:p w:rsidR="00000000" w:rsidRDefault="00000000">
            <w:pPr>
              <w:spacing w:before="40" w:after="40"/>
            </w:pPr>
            <w:r>
              <w:t>8 de octubre de 1996</w:t>
            </w:r>
            <w:r>
              <w:br/>
              <w:t>(CEDAW/C/DEU/2 y 3)</w:t>
            </w:r>
          </w:p>
        </w:tc>
        <w:tc>
          <w:tcPr>
            <w:tcW w:w="1829" w:type="dxa"/>
            <w:gridSpan w:val="2"/>
          </w:tcPr>
          <w:p w:rsidR="00000000" w:rsidRDefault="00000000">
            <w:pPr>
              <w:spacing w:before="40" w:after="40"/>
            </w:pPr>
            <w:r>
              <w:t>22° (2000)</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Angola</w:t>
            </w:r>
          </w:p>
        </w:tc>
        <w:tc>
          <w:tcPr>
            <w:tcW w:w="2430" w:type="dxa"/>
          </w:tcPr>
          <w:p w:rsidR="00000000" w:rsidRDefault="00000000">
            <w:pPr>
              <w:spacing w:before="40" w:after="40"/>
            </w:pPr>
            <w:r>
              <w:t>17 de octubre de 1991</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Antigua y Barbuda</w:t>
            </w:r>
          </w:p>
        </w:tc>
        <w:tc>
          <w:tcPr>
            <w:tcW w:w="2430" w:type="dxa"/>
          </w:tcPr>
          <w:p w:rsidR="00000000" w:rsidRDefault="00000000">
            <w:pPr>
              <w:spacing w:before="40" w:after="40"/>
            </w:pPr>
            <w:r>
              <w:t>31 de agosto de 1994</w:t>
            </w:r>
          </w:p>
        </w:tc>
        <w:tc>
          <w:tcPr>
            <w:tcW w:w="2880" w:type="dxa"/>
          </w:tcPr>
          <w:p w:rsidR="00000000" w:rsidRDefault="00000000">
            <w:pPr>
              <w:spacing w:before="40" w:after="40"/>
            </w:pPr>
            <w:r>
              <w:t>21 de septiembre de 1994</w:t>
            </w:r>
            <w:r>
              <w:br/>
              <w:t>(CEDAW/C/ANT/1 a 3)</w:t>
            </w:r>
          </w:p>
        </w:tc>
        <w:tc>
          <w:tcPr>
            <w:tcW w:w="1829" w:type="dxa"/>
            <w:gridSpan w:val="2"/>
          </w:tcPr>
          <w:p w:rsidR="00000000" w:rsidRDefault="00000000">
            <w:pPr>
              <w:spacing w:before="40" w:after="40"/>
            </w:pPr>
            <w:r>
              <w:t>17º (1997)</w:t>
            </w:r>
          </w:p>
        </w:tc>
      </w:tr>
      <w:tr w:rsidR="00000000">
        <w:tblPrEx>
          <w:tblCellMar>
            <w:top w:w="0" w:type="dxa"/>
            <w:left w:w="39" w:type="dxa"/>
            <w:bottom w:w="0" w:type="dxa"/>
            <w:right w:w="39" w:type="dxa"/>
          </w:tblCellMar>
        </w:tblPrEx>
        <w:trPr>
          <w:gridAfter w:val="2"/>
          <w:wAfter w:w="32" w:type="dxa"/>
          <w:trHeight w:val="1404"/>
        </w:trPr>
        <w:tc>
          <w:tcPr>
            <w:tcW w:w="2700" w:type="dxa"/>
          </w:tcPr>
          <w:p w:rsidR="00000000" w:rsidRDefault="00000000">
            <w:pPr>
              <w:spacing w:before="40" w:after="40"/>
            </w:pPr>
            <w:r>
              <w:t>Argentina</w:t>
            </w:r>
          </w:p>
        </w:tc>
        <w:tc>
          <w:tcPr>
            <w:tcW w:w="2430" w:type="dxa"/>
          </w:tcPr>
          <w:p w:rsidR="00000000" w:rsidRDefault="00000000">
            <w:pPr>
              <w:spacing w:before="40" w:after="40"/>
            </w:pPr>
            <w:r>
              <w:t>14 de agosto de 1990</w:t>
            </w:r>
          </w:p>
        </w:tc>
        <w:tc>
          <w:tcPr>
            <w:tcW w:w="2880" w:type="dxa"/>
          </w:tcPr>
          <w:p w:rsidR="00000000" w:rsidRDefault="00000000">
            <w:pPr>
              <w:spacing w:before="40" w:after="40"/>
            </w:pPr>
            <w:r>
              <w:t>13 de febrero de 1992</w:t>
            </w:r>
            <w:r>
              <w:br/>
              <w:t>(CEDAW/C/ARG/2)</w:t>
            </w:r>
            <w:r>
              <w:br/>
              <w:t>27 de mayo de 1994</w:t>
            </w:r>
            <w:r>
              <w:br/>
              <w:t>(CEDAW/C/ARG/2/Add.1)</w:t>
            </w:r>
            <w:r>
              <w:br/>
              <w:t>19 de agosto de 1994</w:t>
            </w:r>
            <w:r>
              <w:br/>
              <w:t>(CEDAW/C/ARG/2/Add.2)</w:t>
            </w:r>
          </w:p>
        </w:tc>
        <w:tc>
          <w:tcPr>
            <w:tcW w:w="1829" w:type="dxa"/>
            <w:gridSpan w:val="2"/>
          </w:tcPr>
          <w:p w:rsidR="00000000" w:rsidRDefault="00000000">
            <w:pPr>
              <w:spacing w:before="40" w:after="40"/>
            </w:pPr>
            <w:r>
              <w:t>17º (1997)</w:t>
            </w:r>
          </w:p>
        </w:tc>
      </w:tr>
      <w:tr w:rsidR="00000000">
        <w:tblPrEx>
          <w:tblCellMar>
            <w:top w:w="0" w:type="dxa"/>
            <w:left w:w="39" w:type="dxa"/>
            <w:bottom w:w="0" w:type="dxa"/>
            <w:right w:w="39" w:type="dxa"/>
          </w:tblCellMar>
        </w:tblPrEx>
        <w:trPr>
          <w:gridAfter w:val="2"/>
          <w:wAfter w:w="32" w:type="dxa"/>
          <w:trHeight w:val="403"/>
        </w:trPr>
        <w:tc>
          <w:tcPr>
            <w:tcW w:w="2700" w:type="dxa"/>
          </w:tcPr>
          <w:p w:rsidR="00000000" w:rsidRDefault="00000000">
            <w:pPr>
              <w:keepNext/>
              <w:keepLines/>
              <w:spacing w:before="40" w:after="40"/>
            </w:pPr>
            <w:r>
              <w:t>Armenia</w:t>
            </w:r>
          </w:p>
        </w:tc>
        <w:tc>
          <w:tcPr>
            <w:tcW w:w="2430" w:type="dxa"/>
          </w:tcPr>
          <w:p w:rsidR="00000000" w:rsidRDefault="00000000">
            <w:pPr>
              <w:keepNext/>
              <w:keepLines/>
              <w:spacing w:before="40" w:after="40"/>
            </w:pPr>
            <w:r>
              <w:t>13 de septiembre de 1998</w:t>
            </w:r>
          </w:p>
        </w:tc>
        <w:tc>
          <w:tcPr>
            <w:tcW w:w="2880" w:type="dxa"/>
          </w:tcPr>
          <w:p w:rsidR="00000000" w:rsidRDefault="00000000">
            <w:pPr>
              <w:keepNext/>
              <w:keepLines/>
              <w:spacing w:before="40" w:after="40"/>
            </w:pPr>
            <w:r>
              <w:t>23 de agosto de 1999</w:t>
            </w:r>
            <w:r>
              <w:br/>
              <w:t>(CEDAW/C/ARM/2)</w:t>
            </w: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Australia</w:t>
            </w:r>
          </w:p>
        </w:tc>
        <w:tc>
          <w:tcPr>
            <w:tcW w:w="2430" w:type="dxa"/>
          </w:tcPr>
          <w:p w:rsidR="00000000" w:rsidRDefault="00000000">
            <w:pPr>
              <w:spacing w:before="40" w:after="40"/>
            </w:pPr>
            <w:r>
              <w:t>27 de agosto de 1988</w:t>
            </w:r>
          </w:p>
        </w:tc>
        <w:tc>
          <w:tcPr>
            <w:tcW w:w="2880" w:type="dxa"/>
          </w:tcPr>
          <w:p w:rsidR="00000000" w:rsidRDefault="00000000">
            <w:pPr>
              <w:spacing w:before="40" w:after="40"/>
            </w:pPr>
            <w:r>
              <w:t>24 de julio de 1992</w:t>
            </w:r>
            <w:r>
              <w:br/>
              <w:t>(CEDAW/C/AUL/2)</w:t>
            </w:r>
          </w:p>
        </w:tc>
        <w:tc>
          <w:tcPr>
            <w:tcW w:w="1829" w:type="dxa"/>
            <w:gridSpan w:val="2"/>
          </w:tcPr>
          <w:p w:rsidR="00000000" w:rsidRDefault="00000000">
            <w:pPr>
              <w:spacing w:before="40" w:after="40"/>
            </w:pPr>
            <w:r>
              <w:t>13º (1994)</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Austria</w:t>
            </w:r>
          </w:p>
        </w:tc>
        <w:tc>
          <w:tcPr>
            <w:tcW w:w="2430" w:type="dxa"/>
          </w:tcPr>
          <w:p w:rsidR="00000000" w:rsidRDefault="00000000">
            <w:pPr>
              <w:spacing w:before="40" w:after="40"/>
            </w:pPr>
            <w:r>
              <w:t>30 de abril de 1987</w:t>
            </w:r>
          </w:p>
        </w:tc>
        <w:tc>
          <w:tcPr>
            <w:tcW w:w="2880" w:type="dxa"/>
          </w:tcPr>
          <w:p w:rsidR="00000000" w:rsidRDefault="00000000">
            <w:pPr>
              <w:spacing w:before="40" w:after="40"/>
            </w:pPr>
            <w:r>
              <w:t>18 de diciembre de 1989</w:t>
            </w:r>
            <w:r>
              <w:br/>
              <w:t>(CEDAW/C/13/Add.27)</w:t>
            </w:r>
          </w:p>
        </w:tc>
        <w:tc>
          <w:tcPr>
            <w:tcW w:w="1829" w:type="dxa"/>
            <w:gridSpan w:val="2"/>
          </w:tcPr>
          <w:p w:rsidR="00000000" w:rsidRDefault="00000000">
            <w:pPr>
              <w:spacing w:before="40" w:after="40"/>
            </w:pPr>
            <w:r>
              <w:t>Décimo (1991)</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Azerbaiyán</w:t>
            </w:r>
          </w:p>
        </w:tc>
        <w:tc>
          <w:tcPr>
            <w:tcW w:w="2430" w:type="dxa"/>
          </w:tcPr>
          <w:p w:rsidR="00000000" w:rsidRDefault="00000000">
            <w:pPr>
              <w:spacing w:before="40" w:after="40"/>
            </w:pPr>
            <w:r>
              <w:t>9 de agosto de 2000</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403"/>
        </w:trPr>
        <w:tc>
          <w:tcPr>
            <w:tcW w:w="2700" w:type="dxa"/>
          </w:tcPr>
          <w:p w:rsidR="00000000" w:rsidRDefault="00000000">
            <w:pPr>
              <w:spacing w:before="40" w:after="40"/>
            </w:pPr>
            <w:r>
              <w:t>Bahamas</w:t>
            </w:r>
          </w:p>
        </w:tc>
        <w:tc>
          <w:tcPr>
            <w:tcW w:w="2430" w:type="dxa"/>
          </w:tcPr>
          <w:p w:rsidR="00000000" w:rsidRDefault="00000000">
            <w:pPr>
              <w:spacing w:before="40" w:after="40"/>
            </w:pPr>
            <w:r>
              <w:t>5 de noviembre de 1998</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Bangladesh</w:t>
            </w:r>
          </w:p>
        </w:tc>
        <w:tc>
          <w:tcPr>
            <w:tcW w:w="2430" w:type="dxa"/>
          </w:tcPr>
          <w:p w:rsidR="00000000" w:rsidRDefault="00000000">
            <w:pPr>
              <w:spacing w:before="40" w:after="40"/>
            </w:pPr>
            <w:r>
              <w:t>6 de diciembre de 1989</w:t>
            </w:r>
          </w:p>
        </w:tc>
        <w:tc>
          <w:tcPr>
            <w:tcW w:w="2880" w:type="dxa"/>
          </w:tcPr>
          <w:p w:rsidR="00000000" w:rsidRDefault="00000000">
            <w:pPr>
              <w:spacing w:before="40" w:after="40"/>
            </w:pPr>
            <w:r>
              <w:t>23 de febrero de 1990</w:t>
            </w:r>
            <w:r>
              <w:br/>
              <w:t>(CEDAW/C/13/Add.30)</w:t>
            </w:r>
          </w:p>
        </w:tc>
        <w:tc>
          <w:tcPr>
            <w:tcW w:w="1829" w:type="dxa"/>
            <w:gridSpan w:val="2"/>
          </w:tcPr>
          <w:p w:rsidR="00000000" w:rsidRDefault="00000000">
            <w:pPr>
              <w:spacing w:before="40" w:after="40"/>
            </w:pPr>
            <w:r>
              <w:t>12º (1993)</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Barbados</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4 de diciembre de 1991</w:t>
            </w:r>
            <w:r>
              <w:br/>
              <w:t>(CEDAW/C/BAR/2 y 3)</w:t>
            </w:r>
          </w:p>
        </w:tc>
        <w:tc>
          <w:tcPr>
            <w:tcW w:w="1829" w:type="dxa"/>
            <w:gridSpan w:val="2"/>
          </w:tcPr>
          <w:p w:rsidR="00000000" w:rsidRDefault="00000000">
            <w:pPr>
              <w:spacing w:before="40" w:after="40"/>
            </w:pPr>
            <w:r>
              <w:t>13º (1994)</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Belarús</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3 de marzo de 1987</w:t>
            </w:r>
            <w:r>
              <w:br/>
              <w:t>(CEDAW/C/13/Add.5)</w:t>
            </w:r>
          </w:p>
        </w:tc>
        <w:tc>
          <w:tcPr>
            <w:tcW w:w="1829" w:type="dxa"/>
            <w:gridSpan w:val="2"/>
          </w:tcPr>
          <w:p w:rsidR="00000000" w:rsidRDefault="00000000">
            <w:pPr>
              <w:spacing w:before="40" w:after="40"/>
            </w:pPr>
            <w:r>
              <w:t>Octavo (1989)</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Bélgica</w:t>
            </w:r>
          </w:p>
        </w:tc>
        <w:tc>
          <w:tcPr>
            <w:tcW w:w="2430" w:type="dxa"/>
          </w:tcPr>
          <w:p w:rsidR="00000000" w:rsidRDefault="00000000">
            <w:pPr>
              <w:spacing w:before="40" w:after="40"/>
            </w:pPr>
            <w:r>
              <w:t>9 de agosto de 1990</w:t>
            </w:r>
          </w:p>
        </w:tc>
        <w:tc>
          <w:tcPr>
            <w:tcW w:w="2880" w:type="dxa"/>
          </w:tcPr>
          <w:p w:rsidR="00000000" w:rsidRDefault="00000000">
            <w:pPr>
              <w:spacing w:before="40" w:after="40"/>
            </w:pPr>
            <w:r>
              <w:t>9 de febrero de 1993</w:t>
            </w:r>
            <w:r>
              <w:br/>
              <w:t>(CEDAW/C/BEL/2)</w:t>
            </w:r>
          </w:p>
        </w:tc>
        <w:tc>
          <w:tcPr>
            <w:tcW w:w="1829" w:type="dxa"/>
            <w:gridSpan w:val="2"/>
          </w:tcPr>
          <w:p w:rsidR="00000000" w:rsidRDefault="00000000">
            <w:pPr>
              <w:spacing w:before="40" w:after="40"/>
            </w:pPr>
            <w:r>
              <w:t>15º (1996)</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Belice</w:t>
            </w:r>
          </w:p>
        </w:tc>
        <w:tc>
          <w:tcPr>
            <w:tcW w:w="2430" w:type="dxa"/>
          </w:tcPr>
          <w:p w:rsidR="00000000" w:rsidRDefault="00000000">
            <w:pPr>
              <w:spacing w:before="40" w:after="40"/>
            </w:pPr>
            <w:r>
              <w:t>15 de junio de 1995</w:t>
            </w:r>
          </w:p>
        </w:tc>
        <w:tc>
          <w:tcPr>
            <w:tcW w:w="2880" w:type="dxa"/>
          </w:tcPr>
          <w:p w:rsidR="00000000" w:rsidRDefault="00000000">
            <w:pPr>
              <w:spacing w:before="40" w:after="40"/>
            </w:pPr>
            <w:r>
              <w:t>19 de junio de 1996</w:t>
            </w:r>
            <w:r>
              <w:br/>
              <w:t>(CEDAW/C/BLZ/1 y 2)</w:t>
            </w:r>
          </w:p>
        </w:tc>
        <w:tc>
          <w:tcPr>
            <w:tcW w:w="1829" w:type="dxa"/>
            <w:gridSpan w:val="2"/>
          </w:tcPr>
          <w:p w:rsidR="00000000" w:rsidRDefault="00000000">
            <w:pPr>
              <w:spacing w:before="40" w:after="40"/>
            </w:pPr>
            <w:r>
              <w:t>21° (1999)</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Benin</w:t>
            </w:r>
          </w:p>
        </w:tc>
        <w:tc>
          <w:tcPr>
            <w:tcW w:w="2430" w:type="dxa"/>
          </w:tcPr>
          <w:p w:rsidR="00000000" w:rsidRDefault="00000000">
            <w:pPr>
              <w:spacing w:before="40" w:after="40"/>
            </w:pPr>
            <w:r>
              <w:t>11 de abril de 1997</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Bhután</w:t>
            </w:r>
          </w:p>
        </w:tc>
        <w:tc>
          <w:tcPr>
            <w:tcW w:w="2430" w:type="dxa"/>
          </w:tcPr>
          <w:p w:rsidR="00000000" w:rsidRDefault="00000000">
            <w:pPr>
              <w:spacing w:before="40" w:after="40"/>
            </w:pPr>
            <w:r>
              <w:t>30 de septiembre de 1986</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Bolivia</w:t>
            </w:r>
          </w:p>
        </w:tc>
        <w:tc>
          <w:tcPr>
            <w:tcW w:w="2430" w:type="dxa"/>
          </w:tcPr>
          <w:p w:rsidR="00000000" w:rsidRDefault="00000000">
            <w:pPr>
              <w:spacing w:before="40" w:after="40"/>
            </w:pPr>
            <w:r>
              <w:t>8 de julio de 1995</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403"/>
        </w:trPr>
        <w:tc>
          <w:tcPr>
            <w:tcW w:w="2700" w:type="dxa"/>
          </w:tcPr>
          <w:p w:rsidR="00000000" w:rsidRDefault="00000000">
            <w:pPr>
              <w:spacing w:before="40" w:after="40"/>
            </w:pPr>
            <w:r>
              <w:t>Bosnia y Herzegovina</w:t>
            </w:r>
          </w:p>
        </w:tc>
        <w:tc>
          <w:tcPr>
            <w:tcW w:w="2430" w:type="dxa"/>
          </w:tcPr>
          <w:p w:rsidR="00000000" w:rsidRDefault="00000000">
            <w:pPr>
              <w:spacing w:before="40" w:after="40"/>
            </w:pPr>
            <w:r>
              <w:t>1° de septiembre de 1998</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Brasil</w:t>
            </w:r>
          </w:p>
        </w:tc>
        <w:tc>
          <w:tcPr>
            <w:tcW w:w="2430" w:type="dxa"/>
          </w:tcPr>
          <w:p w:rsidR="00000000" w:rsidRDefault="00000000">
            <w:pPr>
              <w:spacing w:before="40" w:after="40"/>
            </w:pPr>
            <w:r>
              <w:t>2 de marzo de 1989</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Bulgaria</w:t>
            </w:r>
          </w:p>
        </w:tc>
        <w:tc>
          <w:tcPr>
            <w:tcW w:w="2430" w:type="dxa"/>
          </w:tcPr>
          <w:p w:rsidR="00000000" w:rsidRDefault="00000000">
            <w:pPr>
              <w:spacing w:before="40" w:after="40"/>
            </w:pPr>
            <w:r>
              <w:t>10 de marzo de 1987</w:t>
            </w:r>
          </w:p>
        </w:tc>
        <w:tc>
          <w:tcPr>
            <w:tcW w:w="2880" w:type="dxa"/>
          </w:tcPr>
          <w:p w:rsidR="00000000" w:rsidRDefault="00000000">
            <w:pPr>
              <w:spacing w:before="40" w:after="40"/>
            </w:pPr>
            <w:r>
              <w:t>6 de septiembre de 1994</w:t>
            </w:r>
            <w:r>
              <w:br/>
              <w:t>(CEDAW/C/BGR/2 y 3)</w:t>
            </w:r>
          </w:p>
        </w:tc>
        <w:tc>
          <w:tcPr>
            <w:tcW w:w="1829" w:type="dxa"/>
            <w:gridSpan w:val="2"/>
          </w:tcPr>
          <w:p w:rsidR="00000000" w:rsidRDefault="00000000">
            <w:pPr>
              <w:spacing w:before="40" w:after="40"/>
            </w:pPr>
            <w:r>
              <w:t>18º (1998)</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Burkina Faso</w:t>
            </w:r>
          </w:p>
        </w:tc>
        <w:tc>
          <w:tcPr>
            <w:tcW w:w="2430" w:type="dxa"/>
          </w:tcPr>
          <w:p w:rsidR="00000000" w:rsidRDefault="00000000">
            <w:pPr>
              <w:spacing w:before="40" w:after="40"/>
            </w:pPr>
            <w:r>
              <w:t>13 de noviembre de 1992</w:t>
            </w:r>
          </w:p>
        </w:tc>
        <w:tc>
          <w:tcPr>
            <w:tcW w:w="2880" w:type="dxa"/>
          </w:tcPr>
          <w:p w:rsidR="00000000" w:rsidRDefault="00000000">
            <w:pPr>
              <w:spacing w:before="40" w:after="40"/>
            </w:pPr>
            <w:r>
              <w:t>11 de diciembre de 1997</w:t>
            </w:r>
            <w:r>
              <w:br/>
              <w:t>(CEDAW/C/BFA/2 y 3)</w:t>
            </w:r>
          </w:p>
        </w:tc>
        <w:tc>
          <w:tcPr>
            <w:tcW w:w="1829" w:type="dxa"/>
            <w:gridSpan w:val="2"/>
          </w:tcPr>
          <w:p w:rsidR="00000000" w:rsidRDefault="00000000">
            <w:pPr>
              <w:spacing w:before="40" w:after="40"/>
            </w:pPr>
            <w:r>
              <w:t>22° (2000)</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Burundi</w:t>
            </w:r>
          </w:p>
        </w:tc>
        <w:tc>
          <w:tcPr>
            <w:tcW w:w="2430" w:type="dxa"/>
          </w:tcPr>
          <w:p w:rsidR="00000000" w:rsidRDefault="00000000">
            <w:pPr>
              <w:spacing w:before="40" w:after="40"/>
            </w:pPr>
            <w:r>
              <w:t>7 de febrero de 1997</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Cabo Verde</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403"/>
        </w:trPr>
        <w:tc>
          <w:tcPr>
            <w:tcW w:w="2700" w:type="dxa"/>
          </w:tcPr>
          <w:p w:rsidR="00000000" w:rsidRDefault="00000000">
            <w:pPr>
              <w:spacing w:before="40" w:after="40"/>
            </w:pPr>
            <w:r>
              <w:t>Camboya</w:t>
            </w:r>
          </w:p>
        </w:tc>
        <w:tc>
          <w:tcPr>
            <w:tcW w:w="2430" w:type="dxa"/>
          </w:tcPr>
          <w:p w:rsidR="00000000" w:rsidRDefault="00000000">
            <w:pPr>
              <w:spacing w:before="40" w:after="40"/>
            </w:pPr>
            <w:r>
              <w:t>14 de noviembre de 1997</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Camerún</w:t>
            </w:r>
          </w:p>
        </w:tc>
        <w:tc>
          <w:tcPr>
            <w:tcW w:w="2430" w:type="dxa"/>
          </w:tcPr>
          <w:p w:rsidR="00000000" w:rsidRDefault="00000000">
            <w:pPr>
              <w:spacing w:before="40" w:after="40"/>
            </w:pPr>
            <w:r>
              <w:t>22 de septiembre de 1999</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Canadá</w:t>
            </w:r>
          </w:p>
        </w:tc>
        <w:tc>
          <w:tcPr>
            <w:tcW w:w="2430" w:type="dxa"/>
          </w:tcPr>
          <w:p w:rsidR="00000000" w:rsidRDefault="00000000">
            <w:pPr>
              <w:spacing w:before="40" w:after="40"/>
            </w:pPr>
            <w:r>
              <w:t>9 de enero de 1987</w:t>
            </w:r>
          </w:p>
        </w:tc>
        <w:tc>
          <w:tcPr>
            <w:tcW w:w="2880" w:type="dxa"/>
          </w:tcPr>
          <w:p w:rsidR="00000000" w:rsidRDefault="00000000">
            <w:pPr>
              <w:spacing w:before="40" w:after="40"/>
            </w:pPr>
            <w:r>
              <w:t>20 de enero de 1988</w:t>
            </w:r>
            <w:r>
              <w:br/>
              <w:t>(CEDAW/C/13/Add.11)</w:t>
            </w:r>
          </w:p>
        </w:tc>
        <w:tc>
          <w:tcPr>
            <w:tcW w:w="1829" w:type="dxa"/>
            <w:gridSpan w:val="2"/>
          </w:tcPr>
          <w:p w:rsidR="00000000" w:rsidRDefault="00000000">
            <w:pPr>
              <w:spacing w:before="40" w:after="40"/>
            </w:pPr>
            <w:r>
              <w:t>Noveno (1990)</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Chad</w:t>
            </w:r>
          </w:p>
        </w:tc>
        <w:tc>
          <w:tcPr>
            <w:tcW w:w="2430" w:type="dxa"/>
          </w:tcPr>
          <w:p w:rsidR="00000000" w:rsidRDefault="00000000">
            <w:pPr>
              <w:spacing w:before="40" w:after="40"/>
            </w:pPr>
            <w:r>
              <w:t>9 de julio de 2000</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Chile</w:t>
            </w:r>
          </w:p>
        </w:tc>
        <w:tc>
          <w:tcPr>
            <w:tcW w:w="2430" w:type="dxa"/>
          </w:tcPr>
          <w:p w:rsidR="00000000" w:rsidRDefault="00000000">
            <w:pPr>
              <w:spacing w:before="40" w:after="40"/>
            </w:pPr>
            <w:r>
              <w:t>6 de enero de 1995</w:t>
            </w:r>
          </w:p>
        </w:tc>
        <w:tc>
          <w:tcPr>
            <w:tcW w:w="2880" w:type="dxa"/>
          </w:tcPr>
          <w:p w:rsidR="00000000" w:rsidRDefault="00000000">
            <w:pPr>
              <w:spacing w:before="40" w:after="40"/>
            </w:pPr>
            <w:r>
              <w:t>9 de marzo de 1995</w:t>
            </w:r>
            <w:r>
              <w:br/>
              <w:t>(CEDAW/C/CHI/2)</w:t>
            </w:r>
          </w:p>
        </w:tc>
        <w:tc>
          <w:tcPr>
            <w:tcW w:w="1829" w:type="dxa"/>
            <w:gridSpan w:val="2"/>
          </w:tcPr>
          <w:p w:rsidR="00000000" w:rsidRDefault="00000000">
            <w:pPr>
              <w:spacing w:before="40" w:after="40"/>
            </w:pPr>
            <w:r>
              <w:t>21º (1999)</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China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22 de junio de 1989</w:t>
            </w:r>
            <w:r>
              <w:br/>
              <w:t>(CEDAW/C/13/Add.26)</w:t>
            </w:r>
          </w:p>
        </w:tc>
        <w:tc>
          <w:tcPr>
            <w:tcW w:w="1829" w:type="dxa"/>
            <w:gridSpan w:val="2"/>
          </w:tcPr>
          <w:p w:rsidR="00000000" w:rsidRDefault="00000000">
            <w:pPr>
              <w:spacing w:before="40" w:after="40"/>
            </w:pPr>
            <w:r>
              <w:t>11º (1992)</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Chipre</w:t>
            </w:r>
          </w:p>
        </w:tc>
        <w:tc>
          <w:tcPr>
            <w:tcW w:w="2430" w:type="dxa"/>
          </w:tcPr>
          <w:p w:rsidR="00000000" w:rsidRDefault="00000000">
            <w:pPr>
              <w:spacing w:before="40" w:after="40"/>
            </w:pPr>
            <w:r>
              <w:t>22 de agosto de 1990</w:t>
            </w:r>
          </w:p>
        </w:tc>
        <w:tc>
          <w:tcPr>
            <w:tcW w:w="2880" w:type="dxa"/>
          </w:tcPr>
          <w:p w:rsidR="00000000" w:rsidRDefault="00000000">
            <w:pPr>
              <w:spacing w:before="40" w:after="40"/>
            </w:pPr>
            <w:r>
              <w:t>2 de febrero de 1994</w:t>
            </w:r>
            <w:r>
              <w:br/>
              <w:t>(CEDAW/C/CYP/1 y 2)</w:t>
            </w:r>
          </w:p>
        </w:tc>
        <w:tc>
          <w:tcPr>
            <w:tcW w:w="1829" w:type="dxa"/>
            <w:gridSpan w:val="2"/>
          </w:tcPr>
          <w:p w:rsidR="00000000" w:rsidRDefault="00000000">
            <w:pPr>
              <w:spacing w:before="40" w:after="40"/>
            </w:pPr>
            <w:r>
              <w:t>15º (1996)</w:t>
            </w:r>
          </w:p>
        </w:tc>
      </w:tr>
      <w:tr w:rsidR="00000000">
        <w:tblPrEx>
          <w:tblCellMar>
            <w:top w:w="0" w:type="dxa"/>
            <w:left w:w="39" w:type="dxa"/>
            <w:bottom w:w="0" w:type="dxa"/>
            <w:right w:w="39" w:type="dxa"/>
          </w:tblCellMar>
        </w:tblPrEx>
        <w:trPr>
          <w:gridAfter w:val="2"/>
          <w:wAfter w:w="32" w:type="dxa"/>
          <w:trHeight w:val="984"/>
        </w:trPr>
        <w:tc>
          <w:tcPr>
            <w:tcW w:w="2700" w:type="dxa"/>
          </w:tcPr>
          <w:p w:rsidR="00000000" w:rsidRDefault="00000000">
            <w:pPr>
              <w:spacing w:before="40" w:after="40"/>
            </w:pPr>
            <w:r>
              <w:t>Colombia</w:t>
            </w:r>
          </w:p>
        </w:tc>
        <w:tc>
          <w:tcPr>
            <w:tcW w:w="2430" w:type="dxa"/>
          </w:tcPr>
          <w:p w:rsidR="00000000" w:rsidRDefault="00000000">
            <w:pPr>
              <w:spacing w:before="40" w:after="40"/>
            </w:pPr>
            <w:r>
              <w:t>18 de febrero de 1987</w:t>
            </w:r>
          </w:p>
        </w:tc>
        <w:tc>
          <w:tcPr>
            <w:tcW w:w="2880" w:type="dxa"/>
          </w:tcPr>
          <w:p w:rsidR="00000000" w:rsidRDefault="00000000">
            <w:pPr>
              <w:spacing w:before="40" w:after="40"/>
            </w:pPr>
            <w:r>
              <w:t>14 de enero de 1993</w:t>
            </w:r>
            <w:r>
              <w:br/>
              <w:t>(CEDAW/C/COL/2 y 3)</w:t>
            </w:r>
            <w:r>
              <w:br/>
              <w:t>2 de septiembre de 1993</w:t>
            </w:r>
            <w:r>
              <w:br/>
              <w:t>(CEDAW/C/COL/2 y 3/Rev.1)</w:t>
            </w:r>
          </w:p>
        </w:tc>
        <w:tc>
          <w:tcPr>
            <w:tcW w:w="1829" w:type="dxa"/>
            <w:gridSpan w:val="2"/>
          </w:tcPr>
          <w:p w:rsidR="00000000" w:rsidRDefault="00000000">
            <w:pPr>
              <w:spacing w:before="40" w:after="40"/>
            </w:pPr>
            <w:r>
              <w:t>13º (1994)</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Comoras</w:t>
            </w:r>
          </w:p>
        </w:tc>
        <w:tc>
          <w:tcPr>
            <w:tcW w:w="2430" w:type="dxa"/>
          </w:tcPr>
          <w:p w:rsidR="00000000" w:rsidRDefault="00000000">
            <w:pPr>
              <w:spacing w:before="40" w:after="40"/>
            </w:pPr>
            <w:r>
              <w:t>30 de noviembre de 1999</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Congo</w:t>
            </w:r>
          </w:p>
        </w:tc>
        <w:tc>
          <w:tcPr>
            <w:tcW w:w="2430" w:type="dxa"/>
          </w:tcPr>
          <w:p w:rsidR="00000000" w:rsidRDefault="00000000">
            <w:pPr>
              <w:spacing w:before="40" w:after="40"/>
            </w:pPr>
            <w:r>
              <w:t>25 de agosto de 1987</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Costa Rica</w:t>
            </w:r>
          </w:p>
        </w:tc>
        <w:tc>
          <w:tcPr>
            <w:tcW w:w="2430" w:type="dxa"/>
          </w:tcPr>
          <w:p w:rsidR="00000000" w:rsidRDefault="00000000">
            <w:pPr>
              <w:spacing w:before="40" w:after="40"/>
            </w:pPr>
            <w:r>
              <w:t>4 de mayo de 1991</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Côte d’Ivoire</w:t>
            </w:r>
          </w:p>
        </w:tc>
        <w:tc>
          <w:tcPr>
            <w:tcW w:w="2430" w:type="dxa"/>
          </w:tcPr>
          <w:p w:rsidR="00000000" w:rsidRDefault="00000000">
            <w:pPr>
              <w:spacing w:before="40" w:after="40"/>
            </w:pPr>
            <w:r>
              <w:t xml:space="preserve">17 de enero de 2001 </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403"/>
        </w:trPr>
        <w:tc>
          <w:tcPr>
            <w:tcW w:w="2700" w:type="dxa"/>
          </w:tcPr>
          <w:p w:rsidR="00000000" w:rsidRDefault="00000000">
            <w:pPr>
              <w:spacing w:before="40" w:after="40"/>
            </w:pPr>
            <w:r>
              <w:t>Croacia</w:t>
            </w:r>
          </w:p>
        </w:tc>
        <w:tc>
          <w:tcPr>
            <w:tcW w:w="2430" w:type="dxa"/>
          </w:tcPr>
          <w:p w:rsidR="00000000" w:rsidRDefault="00000000">
            <w:pPr>
              <w:spacing w:before="40" w:after="40"/>
            </w:pPr>
            <w:r>
              <w:t>9 de octubre de 1997</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984"/>
        </w:trPr>
        <w:tc>
          <w:tcPr>
            <w:tcW w:w="2700" w:type="dxa"/>
          </w:tcPr>
          <w:p w:rsidR="00000000" w:rsidRDefault="00000000">
            <w:pPr>
              <w:spacing w:before="40" w:after="40"/>
            </w:pPr>
            <w:r>
              <w:t>Cuba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13 de marzo de 1992</w:t>
            </w:r>
            <w:r>
              <w:br/>
              <w:t>(CEDAW/C/CUB/2 y 3)</w:t>
            </w:r>
            <w:r>
              <w:br/>
              <w:t>30 de noviembre de 1995</w:t>
            </w:r>
            <w:r>
              <w:br/>
              <w:t>(CEDAW/C/CUB/2 y 3/Add.1)</w:t>
            </w:r>
          </w:p>
        </w:tc>
        <w:tc>
          <w:tcPr>
            <w:tcW w:w="1829" w:type="dxa"/>
            <w:gridSpan w:val="2"/>
          </w:tcPr>
          <w:p w:rsidR="00000000" w:rsidRDefault="00000000">
            <w:pPr>
              <w:spacing w:before="40" w:after="40"/>
            </w:pPr>
            <w:r>
              <w:t>15º (1996)</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Dinamarca</w:t>
            </w:r>
          </w:p>
        </w:tc>
        <w:tc>
          <w:tcPr>
            <w:tcW w:w="2430" w:type="dxa"/>
          </w:tcPr>
          <w:p w:rsidR="00000000" w:rsidRDefault="00000000">
            <w:pPr>
              <w:spacing w:before="40" w:after="40"/>
            </w:pPr>
            <w:r>
              <w:t>21 de mayo de 1988</w:t>
            </w:r>
          </w:p>
        </w:tc>
        <w:tc>
          <w:tcPr>
            <w:tcW w:w="2880" w:type="dxa"/>
          </w:tcPr>
          <w:p w:rsidR="00000000" w:rsidRDefault="00000000">
            <w:pPr>
              <w:spacing w:before="40" w:after="40"/>
            </w:pPr>
            <w:r>
              <w:t>2 de junio de 1988</w:t>
            </w:r>
            <w:r>
              <w:br/>
              <w:t>(CEDAW/C/13/Add.14)</w:t>
            </w:r>
          </w:p>
        </w:tc>
        <w:tc>
          <w:tcPr>
            <w:tcW w:w="1829" w:type="dxa"/>
            <w:gridSpan w:val="2"/>
          </w:tcPr>
          <w:p w:rsidR="00000000" w:rsidRDefault="00000000">
            <w:pPr>
              <w:spacing w:before="40" w:after="40"/>
            </w:pPr>
            <w:r>
              <w:t>Décimo (1991)</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Dominica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Ecuador</w:t>
            </w:r>
          </w:p>
        </w:tc>
        <w:tc>
          <w:tcPr>
            <w:tcW w:w="2430" w:type="dxa"/>
          </w:tcPr>
          <w:p w:rsidR="00000000" w:rsidRDefault="00000000">
            <w:pPr>
              <w:spacing w:before="40" w:after="40"/>
            </w:pPr>
            <w:r>
              <w:t>9 de diciembre de 1986</w:t>
            </w:r>
          </w:p>
        </w:tc>
        <w:tc>
          <w:tcPr>
            <w:tcW w:w="2880" w:type="dxa"/>
          </w:tcPr>
          <w:p w:rsidR="00000000" w:rsidRDefault="00000000">
            <w:pPr>
              <w:spacing w:before="40" w:after="40"/>
            </w:pPr>
            <w:r>
              <w:t>28 de mayo de 1990</w:t>
            </w:r>
            <w:r>
              <w:br/>
              <w:t>(CEDAW/C/13/Add.31)</w:t>
            </w:r>
          </w:p>
        </w:tc>
        <w:tc>
          <w:tcPr>
            <w:tcW w:w="1829" w:type="dxa"/>
            <w:gridSpan w:val="2"/>
          </w:tcPr>
          <w:p w:rsidR="00000000" w:rsidRDefault="00000000">
            <w:pPr>
              <w:spacing w:before="40" w:after="40"/>
            </w:pPr>
            <w:r>
              <w:t>13º (1994)</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Egipto</w:t>
            </w:r>
          </w:p>
        </w:tc>
        <w:tc>
          <w:tcPr>
            <w:tcW w:w="2430" w:type="dxa"/>
          </w:tcPr>
          <w:p w:rsidR="00000000" w:rsidRDefault="00000000">
            <w:pPr>
              <w:spacing w:before="40" w:after="40"/>
            </w:pPr>
            <w:r>
              <w:t>18 de octubre de 1986</w:t>
            </w:r>
          </w:p>
        </w:tc>
        <w:tc>
          <w:tcPr>
            <w:tcW w:w="2880" w:type="dxa"/>
          </w:tcPr>
          <w:p w:rsidR="00000000" w:rsidRDefault="00000000">
            <w:pPr>
              <w:spacing w:before="40" w:after="40"/>
            </w:pPr>
            <w:r>
              <w:t>19 de diciembre de 1986</w:t>
            </w:r>
            <w:r>
              <w:br/>
              <w:t>(CEDAW/C/13/Add.2)</w:t>
            </w:r>
          </w:p>
        </w:tc>
        <w:tc>
          <w:tcPr>
            <w:tcW w:w="1829" w:type="dxa"/>
            <w:gridSpan w:val="2"/>
          </w:tcPr>
          <w:p w:rsidR="00000000" w:rsidRDefault="00000000">
            <w:pPr>
              <w:spacing w:before="40" w:after="40"/>
            </w:pPr>
            <w:r>
              <w:t>Noveno (1990)</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El Salvador</w:t>
            </w:r>
          </w:p>
        </w:tc>
        <w:tc>
          <w:tcPr>
            <w:tcW w:w="2430" w:type="dxa"/>
          </w:tcPr>
          <w:p w:rsidR="00000000" w:rsidRDefault="00000000">
            <w:pPr>
              <w:spacing w:before="40" w:after="40"/>
            </w:pPr>
            <w:r>
              <w:t>18 de septiembre de 1986</w:t>
            </w:r>
          </w:p>
        </w:tc>
        <w:tc>
          <w:tcPr>
            <w:tcW w:w="2880" w:type="dxa"/>
          </w:tcPr>
          <w:p w:rsidR="00000000" w:rsidRDefault="00000000">
            <w:pPr>
              <w:spacing w:before="40" w:after="40"/>
            </w:pPr>
            <w:r>
              <w:t>18 de diciembre de 1987</w:t>
            </w:r>
            <w:r>
              <w:br/>
              <w:t>(CEDAW/C/13/Add.12)</w:t>
            </w:r>
          </w:p>
        </w:tc>
        <w:tc>
          <w:tcPr>
            <w:tcW w:w="1829" w:type="dxa"/>
            <w:gridSpan w:val="2"/>
          </w:tcPr>
          <w:p w:rsidR="00000000" w:rsidRDefault="00000000">
            <w:pPr>
              <w:spacing w:before="40" w:after="40"/>
            </w:pPr>
            <w:r>
              <w:t>11º (1992)</w:t>
            </w:r>
          </w:p>
        </w:tc>
      </w:tr>
      <w:tr w:rsidR="00000000">
        <w:tblPrEx>
          <w:tblCellMar>
            <w:top w:w="0" w:type="dxa"/>
            <w:left w:w="39" w:type="dxa"/>
            <w:bottom w:w="0" w:type="dxa"/>
            <w:right w:w="39" w:type="dxa"/>
          </w:tblCellMar>
        </w:tblPrEx>
        <w:trPr>
          <w:gridAfter w:val="2"/>
          <w:wAfter w:w="32" w:type="dxa"/>
          <w:trHeight w:val="403"/>
        </w:trPr>
        <w:tc>
          <w:tcPr>
            <w:tcW w:w="2700" w:type="dxa"/>
          </w:tcPr>
          <w:p w:rsidR="00000000" w:rsidRDefault="00000000">
            <w:pPr>
              <w:spacing w:before="40" w:after="40"/>
            </w:pPr>
            <w:r>
              <w:t>Eritrea</w:t>
            </w:r>
          </w:p>
        </w:tc>
        <w:tc>
          <w:tcPr>
            <w:tcW w:w="2430" w:type="dxa"/>
          </w:tcPr>
          <w:p w:rsidR="00000000" w:rsidRDefault="00000000">
            <w:pPr>
              <w:spacing w:before="40" w:after="40"/>
            </w:pPr>
            <w:r>
              <w:t xml:space="preserve">5 de octubre de 2000 </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403"/>
        </w:trPr>
        <w:tc>
          <w:tcPr>
            <w:tcW w:w="2700" w:type="dxa"/>
          </w:tcPr>
          <w:p w:rsidR="00000000" w:rsidRDefault="00000000">
            <w:pPr>
              <w:spacing w:before="40" w:after="40"/>
            </w:pPr>
            <w:r>
              <w:t>Eslovaquia</w:t>
            </w:r>
          </w:p>
        </w:tc>
        <w:tc>
          <w:tcPr>
            <w:tcW w:w="2430" w:type="dxa"/>
          </w:tcPr>
          <w:p w:rsidR="00000000" w:rsidRDefault="00000000">
            <w:pPr>
              <w:spacing w:before="40" w:after="40"/>
            </w:pPr>
            <w:r>
              <w:t>27 de junio de 1998</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403"/>
        </w:trPr>
        <w:tc>
          <w:tcPr>
            <w:tcW w:w="2700" w:type="dxa"/>
          </w:tcPr>
          <w:p w:rsidR="00000000" w:rsidRDefault="00000000">
            <w:pPr>
              <w:spacing w:before="40" w:after="40"/>
            </w:pPr>
            <w:r>
              <w:t>Eslovenia</w:t>
            </w:r>
          </w:p>
        </w:tc>
        <w:tc>
          <w:tcPr>
            <w:tcW w:w="2430" w:type="dxa"/>
          </w:tcPr>
          <w:p w:rsidR="00000000" w:rsidRDefault="00000000">
            <w:pPr>
              <w:spacing w:before="40" w:after="40"/>
            </w:pPr>
            <w:r>
              <w:t>5 de agosto de 1997</w:t>
            </w:r>
          </w:p>
        </w:tc>
        <w:tc>
          <w:tcPr>
            <w:tcW w:w="2880" w:type="dxa"/>
          </w:tcPr>
          <w:p w:rsidR="00000000" w:rsidRDefault="00000000">
            <w:pPr>
              <w:spacing w:before="40" w:after="40"/>
            </w:pPr>
            <w:r>
              <w:t>26 de abril de 1999</w:t>
            </w:r>
            <w:r>
              <w:br/>
              <w:t>(CEDAW/C/SVN/2)</w:t>
            </w: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España</w:t>
            </w:r>
          </w:p>
        </w:tc>
        <w:tc>
          <w:tcPr>
            <w:tcW w:w="2430" w:type="dxa"/>
          </w:tcPr>
          <w:p w:rsidR="00000000" w:rsidRDefault="00000000">
            <w:pPr>
              <w:spacing w:before="40" w:after="40"/>
            </w:pPr>
            <w:r>
              <w:t>4 de febrero de 1989</w:t>
            </w:r>
          </w:p>
        </w:tc>
        <w:tc>
          <w:tcPr>
            <w:tcW w:w="2880" w:type="dxa"/>
          </w:tcPr>
          <w:p w:rsidR="00000000" w:rsidRDefault="00000000">
            <w:pPr>
              <w:spacing w:before="40" w:after="40"/>
            </w:pPr>
            <w:r>
              <w:t>9 de febrero de 1989</w:t>
            </w:r>
            <w:r>
              <w:br/>
              <w:t>(CEDAW/C/13/Add.19)</w:t>
            </w:r>
          </w:p>
        </w:tc>
        <w:tc>
          <w:tcPr>
            <w:tcW w:w="1829" w:type="dxa"/>
            <w:gridSpan w:val="2"/>
          </w:tcPr>
          <w:p w:rsidR="00000000" w:rsidRDefault="00000000">
            <w:pPr>
              <w:spacing w:before="40" w:after="40"/>
            </w:pPr>
            <w:r>
              <w:t>11º (1992)</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Estonia</w:t>
            </w:r>
          </w:p>
        </w:tc>
        <w:tc>
          <w:tcPr>
            <w:tcW w:w="2430" w:type="dxa"/>
          </w:tcPr>
          <w:p w:rsidR="00000000" w:rsidRDefault="00000000">
            <w:pPr>
              <w:spacing w:before="40" w:after="40"/>
            </w:pPr>
            <w:r>
              <w:t>20 de noviembre de 1996</w:t>
            </w:r>
          </w:p>
        </w:tc>
        <w:tc>
          <w:tcPr>
            <w:tcW w:w="2880" w:type="dxa"/>
          </w:tcPr>
          <w:p w:rsidR="00000000" w:rsidRDefault="00000000">
            <w:pPr>
              <w:spacing w:before="40" w:after="40"/>
              <w:rPr>
                <w:lang w:val="en-US"/>
              </w:rPr>
            </w:pPr>
            <w:r>
              <w:t xml:space="preserve">14 de junio de 2001 </w:t>
            </w:r>
            <w:r>
              <w:br/>
              <w:t>(</w:t>
            </w:r>
            <w:r>
              <w:rPr>
                <w:lang w:val="en-US"/>
              </w:rPr>
              <w:t>CEDAW/C/EST/1 a 3)</w:t>
            </w:r>
          </w:p>
        </w:tc>
        <w:tc>
          <w:tcPr>
            <w:tcW w:w="1829" w:type="dxa"/>
            <w:gridSpan w:val="2"/>
          </w:tcPr>
          <w:p w:rsidR="00000000" w:rsidRDefault="00000000">
            <w:pPr>
              <w:spacing w:before="40" w:after="40"/>
              <w:rPr>
                <w:lang w:val="en-US"/>
              </w:rPr>
            </w:pPr>
          </w:p>
        </w:tc>
      </w:tr>
      <w:tr w:rsidR="00000000">
        <w:tblPrEx>
          <w:tblCellMar>
            <w:top w:w="0" w:type="dxa"/>
            <w:left w:w="39" w:type="dxa"/>
            <w:bottom w:w="0" w:type="dxa"/>
            <w:right w:w="39" w:type="dxa"/>
          </w:tblCellMar>
        </w:tblPrEx>
        <w:trPr>
          <w:gridAfter w:val="2"/>
          <w:wAfter w:w="32" w:type="dxa"/>
          <w:trHeight w:val="984"/>
        </w:trPr>
        <w:tc>
          <w:tcPr>
            <w:tcW w:w="2700" w:type="dxa"/>
          </w:tcPr>
          <w:p w:rsidR="00000000" w:rsidRDefault="00000000">
            <w:pPr>
              <w:spacing w:before="40" w:after="40"/>
            </w:pPr>
            <w:r>
              <w:t>Etiopía</w:t>
            </w:r>
          </w:p>
        </w:tc>
        <w:tc>
          <w:tcPr>
            <w:tcW w:w="2430" w:type="dxa"/>
          </w:tcPr>
          <w:p w:rsidR="00000000" w:rsidRDefault="00000000">
            <w:pPr>
              <w:spacing w:before="40" w:after="40"/>
            </w:pPr>
            <w:r>
              <w:t>10 de octubre de 1986</w:t>
            </w:r>
          </w:p>
        </w:tc>
        <w:tc>
          <w:tcPr>
            <w:tcW w:w="2880" w:type="dxa"/>
          </w:tcPr>
          <w:p w:rsidR="00000000" w:rsidRDefault="00000000">
            <w:pPr>
              <w:spacing w:before="40" w:after="40"/>
            </w:pPr>
            <w:r>
              <w:t>22 de abril de 1993</w:t>
            </w:r>
            <w:r>
              <w:br/>
              <w:t>(CEDAW/C/ETH/1 a 3)</w:t>
            </w:r>
            <w:r>
              <w:br/>
              <w:t>16 de octubre de 1995</w:t>
            </w:r>
            <w:r>
              <w:br/>
              <w:t>(CEDAW/C/ETH/1 a 3/Add.1)</w:t>
            </w:r>
          </w:p>
        </w:tc>
        <w:tc>
          <w:tcPr>
            <w:tcW w:w="1829" w:type="dxa"/>
            <w:gridSpan w:val="2"/>
          </w:tcPr>
          <w:p w:rsidR="00000000" w:rsidRDefault="00000000">
            <w:pPr>
              <w:spacing w:before="40" w:after="40"/>
            </w:pPr>
            <w:r>
              <w:t>15º (1996)</w:t>
            </w:r>
          </w:p>
        </w:tc>
      </w:tr>
      <w:tr w:rsidR="00000000">
        <w:tblPrEx>
          <w:tblCellMar>
            <w:top w:w="0" w:type="dxa"/>
            <w:left w:w="39" w:type="dxa"/>
            <w:bottom w:w="0" w:type="dxa"/>
            <w:right w:w="39" w:type="dxa"/>
          </w:tblCellMar>
        </w:tblPrEx>
        <w:trPr>
          <w:gridAfter w:val="2"/>
          <w:wAfter w:w="32" w:type="dxa"/>
          <w:trHeight w:val="403"/>
        </w:trPr>
        <w:tc>
          <w:tcPr>
            <w:tcW w:w="2700" w:type="dxa"/>
          </w:tcPr>
          <w:p w:rsidR="00000000" w:rsidRDefault="00000000">
            <w:pPr>
              <w:spacing w:before="40" w:after="40"/>
            </w:pPr>
            <w:r>
              <w:t>Ex República Yugoslava de Macedonia</w:t>
            </w:r>
          </w:p>
        </w:tc>
        <w:tc>
          <w:tcPr>
            <w:tcW w:w="2430" w:type="dxa"/>
          </w:tcPr>
          <w:p w:rsidR="00000000" w:rsidRDefault="00000000">
            <w:pPr>
              <w:spacing w:before="40" w:after="40"/>
            </w:pPr>
            <w:r>
              <w:t>17 de febrero de 1999</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Federación de Rusia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10 de febrero de 1987</w:t>
            </w:r>
            <w:r>
              <w:br/>
              <w:t>(CEDAW/C/13/Add.4)</w:t>
            </w:r>
          </w:p>
        </w:tc>
        <w:tc>
          <w:tcPr>
            <w:tcW w:w="1829" w:type="dxa"/>
            <w:gridSpan w:val="2"/>
          </w:tcPr>
          <w:p w:rsidR="00000000" w:rsidRDefault="00000000">
            <w:pPr>
              <w:spacing w:before="40" w:after="40"/>
            </w:pPr>
            <w:r>
              <w:t>Octavo (1989)</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Fiji</w:t>
            </w:r>
          </w:p>
        </w:tc>
        <w:tc>
          <w:tcPr>
            <w:tcW w:w="2430" w:type="dxa"/>
          </w:tcPr>
          <w:p w:rsidR="00000000" w:rsidRDefault="00000000">
            <w:pPr>
              <w:spacing w:before="40" w:after="40"/>
            </w:pPr>
            <w:r>
              <w:t>27 de septiembre de 2000</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Filipinas</w:t>
            </w:r>
          </w:p>
        </w:tc>
        <w:tc>
          <w:tcPr>
            <w:tcW w:w="2430" w:type="dxa"/>
          </w:tcPr>
          <w:p w:rsidR="00000000" w:rsidRDefault="00000000">
            <w:pPr>
              <w:spacing w:before="40" w:after="40"/>
            </w:pPr>
            <w:r>
              <w:t>4 de septiembre de 1986</w:t>
            </w:r>
          </w:p>
        </w:tc>
        <w:tc>
          <w:tcPr>
            <w:tcW w:w="2880" w:type="dxa"/>
          </w:tcPr>
          <w:p w:rsidR="00000000" w:rsidRDefault="00000000">
            <w:pPr>
              <w:spacing w:before="40" w:after="40"/>
            </w:pPr>
            <w:r>
              <w:t>12 de diciembre de 1988</w:t>
            </w:r>
            <w:r>
              <w:br/>
              <w:t>(CEDAW/C/13/Add.17)</w:t>
            </w:r>
          </w:p>
        </w:tc>
        <w:tc>
          <w:tcPr>
            <w:tcW w:w="1829" w:type="dxa"/>
            <w:gridSpan w:val="2"/>
          </w:tcPr>
          <w:p w:rsidR="00000000" w:rsidRDefault="00000000">
            <w:pPr>
              <w:spacing w:before="40" w:after="40"/>
            </w:pPr>
            <w:r>
              <w:t>Décimo (1991)</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Finlandia</w:t>
            </w:r>
          </w:p>
        </w:tc>
        <w:tc>
          <w:tcPr>
            <w:tcW w:w="2430" w:type="dxa"/>
          </w:tcPr>
          <w:p w:rsidR="00000000" w:rsidRDefault="00000000">
            <w:pPr>
              <w:spacing w:before="40" w:after="40"/>
            </w:pPr>
            <w:r>
              <w:t>4 de octubre de 1991</w:t>
            </w:r>
          </w:p>
        </w:tc>
        <w:tc>
          <w:tcPr>
            <w:tcW w:w="2880" w:type="dxa"/>
          </w:tcPr>
          <w:p w:rsidR="00000000" w:rsidRDefault="00000000">
            <w:pPr>
              <w:spacing w:before="40" w:after="40"/>
            </w:pPr>
            <w:r>
              <w:t>9 de febrero de 1993</w:t>
            </w:r>
            <w:r>
              <w:br/>
              <w:t>(CEDAW/C/FIN/2)</w:t>
            </w:r>
          </w:p>
        </w:tc>
        <w:tc>
          <w:tcPr>
            <w:tcW w:w="1829" w:type="dxa"/>
            <w:gridSpan w:val="2"/>
          </w:tcPr>
          <w:p w:rsidR="00000000" w:rsidRDefault="00000000">
            <w:pPr>
              <w:spacing w:before="40" w:after="40"/>
            </w:pPr>
            <w:r>
              <w:t>14º (1995)</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Francia</w:t>
            </w:r>
          </w:p>
        </w:tc>
        <w:tc>
          <w:tcPr>
            <w:tcW w:w="2430" w:type="dxa"/>
          </w:tcPr>
          <w:p w:rsidR="00000000" w:rsidRDefault="00000000">
            <w:pPr>
              <w:spacing w:before="40" w:after="40"/>
            </w:pPr>
            <w:r>
              <w:t>13 de enero de 1989</w:t>
            </w:r>
          </w:p>
        </w:tc>
        <w:tc>
          <w:tcPr>
            <w:tcW w:w="2880" w:type="dxa"/>
          </w:tcPr>
          <w:p w:rsidR="00000000" w:rsidRDefault="00000000">
            <w:pPr>
              <w:spacing w:before="40" w:after="40"/>
            </w:pPr>
            <w:r>
              <w:t>10 de diciembre de 1990</w:t>
            </w:r>
            <w:r>
              <w:br/>
              <w:t>(CEDAW/C/FRA/2 y Rev.1)</w:t>
            </w:r>
          </w:p>
        </w:tc>
        <w:tc>
          <w:tcPr>
            <w:tcW w:w="1829" w:type="dxa"/>
            <w:gridSpan w:val="2"/>
          </w:tcPr>
          <w:p w:rsidR="00000000" w:rsidRDefault="00000000">
            <w:pPr>
              <w:spacing w:before="40" w:after="40"/>
            </w:pPr>
            <w:r>
              <w:t>12º (1993)</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Gabón</w:t>
            </w:r>
          </w:p>
        </w:tc>
        <w:tc>
          <w:tcPr>
            <w:tcW w:w="2430" w:type="dxa"/>
          </w:tcPr>
          <w:p w:rsidR="00000000" w:rsidRDefault="00000000">
            <w:pPr>
              <w:spacing w:before="40" w:after="40"/>
            </w:pPr>
            <w:r>
              <w:t>20 de febrero de 1988</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403"/>
        </w:trPr>
        <w:tc>
          <w:tcPr>
            <w:tcW w:w="2700" w:type="dxa"/>
          </w:tcPr>
          <w:p w:rsidR="00000000" w:rsidRDefault="00000000">
            <w:pPr>
              <w:spacing w:before="40" w:after="40"/>
            </w:pPr>
            <w:r>
              <w:t>Gambia</w:t>
            </w:r>
          </w:p>
        </w:tc>
        <w:tc>
          <w:tcPr>
            <w:tcW w:w="2430" w:type="dxa"/>
          </w:tcPr>
          <w:p w:rsidR="00000000" w:rsidRDefault="00000000">
            <w:pPr>
              <w:spacing w:before="40" w:after="40"/>
            </w:pPr>
            <w:r>
              <w:t>16 de mayo de 1998</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Georgia</w:t>
            </w:r>
          </w:p>
        </w:tc>
        <w:tc>
          <w:tcPr>
            <w:tcW w:w="2430" w:type="dxa"/>
          </w:tcPr>
          <w:p w:rsidR="00000000" w:rsidRDefault="00000000">
            <w:pPr>
              <w:spacing w:before="40" w:after="40"/>
            </w:pPr>
            <w:r>
              <w:t>25 de noviembre de 1999</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Ghana</w:t>
            </w:r>
          </w:p>
        </w:tc>
        <w:tc>
          <w:tcPr>
            <w:tcW w:w="2430" w:type="dxa"/>
          </w:tcPr>
          <w:p w:rsidR="00000000" w:rsidRDefault="00000000">
            <w:pPr>
              <w:spacing w:before="40" w:after="40"/>
            </w:pPr>
            <w:r>
              <w:t>1º de febrero de 1991</w:t>
            </w:r>
          </w:p>
        </w:tc>
        <w:tc>
          <w:tcPr>
            <w:tcW w:w="2880" w:type="dxa"/>
          </w:tcPr>
          <w:p w:rsidR="00000000" w:rsidRDefault="00000000">
            <w:pPr>
              <w:spacing w:before="40" w:after="40"/>
            </w:pPr>
            <w:r>
              <w:t>29 de enero de 1991</w:t>
            </w:r>
            <w:r>
              <w:br/>
              <w:t>(CEDAW/C/GHA/1 y 2)</w:t>
            </w:r>
          </w:p>
        </w:tc>
        <w:tc>
          <w:tcPr>
            <w:tcW w:w="1829" w:type="dxa"/>
            <w:gridSpan w:val="2"/>
          </w:tcPr>
          <w:p w:rsidR="00000000" w:rsidRDefault="00000000">
            <w:pPr>
              <w:spacing w:before="40" w:after="40"/>
            </w:pPr>
            <w:r>
              <w:t>11º (1992)</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Granada</w:t>
            </w:r>
          </w:p>
        </w:tc>
        <w:tc>
          <w:tcPr>
            <w:tcW w:w="2430" w:type="dxa"/>
          </w:tcPr>
          <w:p w:rsidR="00000000" w:rsidRDefault="00000000">
            <w:pPr>
              <w:spacing w:before="40" w:after="40"/>
            </w:pPr>
            <w:r>
              <w:t>29 de septiembre de 1995</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Grecia</w:t>
            </w:r>
          </w:p>
        </w:tc>
        <w:tc>
          <w:tcPr>
            <w:tcW w:w="2430" w:type="dxa"/>
          </w:tcPr>
          <w:p w:rsidR="00000000" w:rsidRDefault="00000000">
            <w:pPr>
              <w:spacing w:before="40" w:after="40"/>
            </w:pPr>
            <w:r>
              <w:t>7 de julio de 1988</w:t>
            </w:r>
          </w:p>
        </w:tc>
        <w:tc>
          <w:tcPr>
            <w:tcW w:w="2880" w:type="dxa"/>
          </w:tcPr>
          <w:p w:rsidR="00000000" w:rsidRDefault="00000000">
            <w:pPr>
              <w:spacing w:before="40" w:after="40"/>
            </w:pPr>
            <w:r>
              <w:t>1º de marzo de 1996</w:t>
            </w:r>
            <w:r>
              <w:br/>
              <w:t>(CEDAW/C/GRC/2 y 3)</w:t>
            </w:r>
          </w:p>
        </w:tc>
        <w:tc>
          <w:tcPr>
            <w:tcW w:w="1829" w:type="dxa"/>
            <w:gridSpan w:val="2"/>
          </w:tcPr>
          <w:p w:rsidR="00000000" w:rsidRDefault="00000000">
            <w:pPr>
              <w:spacing w:before="40" w:after="40"/>
            </w:pPr>
            <w:r>
              <w:t>20° (1999)</w:t>
            </w:r>
          </w:p>
        </w:tc>
      </w:tr>
      <w:tr w:rsidR="00000000">
        <w:tblPrEx>
          <w:tblCellMar>
            <w:top w:w="0" w:type="dxa"/>
            <w:left w:w="39" w:type="dxa"/>
            <w:bottom w:w="0" w:type="dxa"/>
            <w:right w:w="39" w:type="dxa"/>
          </w:tblCellMar>
        </w:tblPrEx>
        <w:trPr>
          <w:gridAfter w:val="2"/>
          <w:wAfter w:w="32" w:type="dxa"/>
          <w:trHeight w:val="984"/>
        </w:trPr>
        <w:tc>
          <w:tcPr>
            <w:tcW w:w="2700" w:type="dxa"/>
          </w:tcPr>
          <w:p w:rsidR="00000000" w:rsidRDefault="00000000">
            <w:pPr>
              <w:spacing w:before="40" w:after="40"/>
            </w:pPr>
            <w:r>
              <w:t>Guatemala</w:t>
            </w:r>
          </w:p>
        </w:tc>
        <w:tc>
          <w:tcPr>
            <w:tcW w:w="2430" w:type="dxa"/>
          </w:tcPr>
          <w:p w:rsidR="00000000" w:rsidRDefault="00000000">
            <w:pPr>
              <w:spacing w:before="40" w:after="40"/>
            </w:pPr>
            <w:r>
              <w:t>11 de septiembre de 1987</w:t>
            </w:r>
          </w:p>
        </w:tc>
        <w:tc>
          <w:tcPr>
            <w:tcW w:w="2880" w:type="dxa"/>
          </w:tcPr>
          <w:p w:rsidR="00000000" w:rsidRDefault="00000000">
            <w:pPr>
              <w:spacing w:before="40" w:after="40"/>
            </w:pPr>
            <w:r>
              <w:t>2 de abril de 1991</w:t>
            </w:r>
            <w:r>
              <w:br/>
              <w:t>(CEDAW/C/GUA/1 y 2 y Corr.1)</w:t>
            </w:r>
            <w:r>
              <w:br/>
              <w:t>7 de abril de 1993</w:t>
            </w:r>
            <w:r>
              <w:br/>
              <w:t>(CEDAW/C/GUA/1 y 2/Amend.1)</w:t>
            </w:r>
          </w:p>
        </w:tc>
        <w:tc>
          <w:tcPr>
            <w:tcW w:w="1829" w:type="dxa"/>
            <w:gridSpan w:val="2"/>
          </w:tcPr>
          <w:p w:rsidR="00000000" w:rsidRDefault="00000000">
            <w:pPr>
              <w:spacing w:before="40" w:after="40"/>
            </w:pPr>
            <w:r>
              <w:t>13º (1994)</w:t>
            </w:r>
            <w:r>
              <w:br/>
            </w:r>
            <w:r>
              <w:br/>
            </w:r>
            <w:r>
              <w:br/>
              <w:t>13º (1994)</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Guinea</w:t>
            </w:r>
          </w:p>
        </w:tc>
        <w:tc>
          <w:tcPr>
            <w:tcW w:w="2430" w:type="dxa"/>
          </w:tcPr>
          <w:p w:rsidR="00000000" w:rsidRDefault="00000000">
            <w:pPr>
              <w:spacing w:before="40" w:after="40"/>
            </w:pPr>
            <w:r>
              <w:t>8 de septiembre de 1987</w:t>
            </w:r>
          </w:p>
        </w:tc>
        <w:tc>
          <w:tcPr>
            <w:tcW w:w="2880" w:type="dxa"/>
          </w:tcPr>
          <w:p w:rsidR="00000000" w:rsidRDefault="00000000">
            <w:pPr>
              <w:spacing w:before="40" w:after="40"/>
            </w:pPr>
            <w:r>
              <w:t>4 de agosto de 2000</w:t>
            </w:r>
            <w:r>
              <w:br/>
              <w:t>(CEDAW/C/GIN/1 a 3 y Corr.1)</w:t>
            </w:r>
          </w:p>
        </w:tc>
        <w:tc>
          <w:tcPr>
            <w:tcW w:w="1829" w:type="dxa"/>
            <w:gridSpan w:val="2"/>
          </w:tcPr>
          <w:p w:rsidR="00000000" w:rsidRDefault="00000000">
            <w:pPr>
              <w:spacing w:before="40" w:after="40"/>
            </w:pPr>
            <w:r>
              <w:t>25° (2001)</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Guinea-Bissau</w:t>
            </w:r>
          </w:p>
        </w:tc>
        <w:tc>
          <w:tcPr>
            <w:tcW w:w="2430" w:type="dxa"/>
          </w:tcPr>
          <w:p w:rsidR="00000000" w:rsidRDefault="00000000">
            <w:pPr>
              <w:spacing w:before="40" w:after="40"/>
            </w:pPr>
            <w:r>
              <w:t>22 de septiembre de 1990</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Guinea Ecuatorial</w:t>
            </w:r>
          </w:p>
        </w:tc>
        <w:tc>
          <w:tcPr>
            <w:tcW w:w="2430" w:type="dxa"/>
          </w:tcPr>
          <w:p w:rsidR="00000000" w:rsidRDefault="00000000">
            <w:pPr>
              <w:spacing w:before="40" w:after="40"/>
            </w:pPr>
            <w:r>
              <w:t>22 de noviembre de 1989</w:t>
            </w:r>
          </w:p>
        </w:tc>
        <w:tc>
          <w:tcPr>
            <w:tcW w:w="2880" w:type="dxa"/>
          </w:tcPr>
          <w:p w:rsidR="00000000" w:rsidRDefault="00000000">
            <w:pPr>
              <w:spacing w:before="40" w:after="40"/>
            </w:pPr>
            <w:r>
              <w:t>6 de enero de 1994</w:t>
            </w:r>
            <w:r>
              <w:br/>
              <w:t>(CEDAW/C/GNQ/2 y 3)</w:t>
            </w: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Guyana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20 de septiembre de 1999</w:t>
            </w:r>
            <w:r>
              <w:br/>
              <w:t>(CEDAW/C/GUY/2)</w:t>
            </w:r>
          </w:p>
        </w:tc>
        <w:tc>
          <w:tcPr>
            <w:tcW w:w="1829" w:type="dxa"/>
            <w:gridSpan w:val="2"/>
          </w:tcPr>
          <w:p w:rsidR="00000000" w:rsidRDefault="00000000">
            <w:pPr>
              <w:spacing w:before="40" w:after="40"/>
            </w:pPr>
            <w:r>
              <w:t>25° (2001)</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Haití</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Honduras</w:t>
            </w:r>
          </w:p>
        </w:tc>
        <w:tc>
          <w:tcPr>
            <w:tcW w:w="2430" w:type="dxa"/>
          </w:tcPr>
          <w:p w:rsidR="00000000" w:rsidRDefault="00000000">
            <w:pPr>
              <w:spacing w:before="40" w:after="40"/>
            </w:pPr>
            <w:r>
              <w:t>2 de abril de 1988</w:t>
            </w:r>
          </w:p>
        </w:tc>
        <w:tc>
          <w:tcPr>
            <w:tcW w:w="2880" w:type="dxa"/>
          </w:tcPr>
          <w:p w:rsidR="00000000" w:rsidRDefault="00000000">
            <w:pPr>
              <w:spacing w:before="40" w:after="40"/>
            </w:pPr>
            <w:r>
              <w:t>28 de octubre de 1987</w:t>
            </w:r>
            <w:r>
              <w:br/>
              <w:t>(CEDAW/C/13/Add.9)</w:t>
            </w:r>
          </w:p>
        </w:tc>
        <w:tc>
          <w:tcPr>
            <w:tcW w:w="1829" w:type="dxa"/>
            <w:gridSpan w:val="2"/>
          </w:tcPr>
          <w:p w:rsidR="00000000" w:rsidRDefault="00000000">
            <w:pPr>
              <w:spacing w:before="40" w:after="40"/>
            </w:pPr>
            <w:r>
              <w:t>11º (1992)</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Hungría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29 de septiembre de 1986</w:t>
            </w:r>
            <w:r>
              <w:br/>
              <w:t>(CEDAW/C/13/Add.1)</w:t>
            </w:r>
          </w:p>
        </w:tc>
        <w:tc>
          <w:tcPr>
            <w:tcW w:w="1829" w:type="dxa"/>
            <w:gridSpan w:val="2"/>
          </w:tcPr>
          <w:p w:rsidR="00000000" w:rsidRDefault="00000000">
            <w:pPr>
              <w:spacing w:before="40" w:after="40"/>
            </w:pPr>
            <w:r>
              <w:t>Séptimo (1988)</w:t>
            </w:r>
          </w:p>
        </w:tc>
      </w:tr>
      <w:tr w:rsidR="00000000">
        <w:tblPrEx>
          <w:tblCellMar>
            <w:top w:w="0" w:type="dxa"/>
            <w:left w:w="39" w:type="dxa"/>
            <w:bottom w:w="0" w:type="dxa"/>
            <w:right w:w="39" w:type="dxa"/>
          </w:tblCellMar>
        </w:tblPrEx>
        <w:trPr>
          <w:gridAfter w:val="2"/>
          <w:wAfter w:w="32" w:type="dxa"/>
          <w:trHeight w:val="403"/>
        </w:trPr>
        <w:tc>
          <w:tcPr>
            <w:tcW w:w="2700" w:type="dxa"/>
          </w:tcPr>
          <w:p w:rsidR="00000000" w:rsidRDefault="00000000">
            <w:pPr>
              <w:spacing w:before="40" w:after="40"/>
            </w:pPr>
            <w:r>
              <w:t>India</w:t>
            </w:r>
          </w:p>
        </w:tc>
        <w:tc>
          <w:tcPr>
            <w:tcW w:w="2430" w:type="dxa"/>
          </w:tcPr>
          <w:p w:rsidR="00000000" w:rsidRDefault="00000000">
            <w:pPr>
              <w:spacing w:before="40" w:after="40"/>
            </w:pPr>
            <w:r>
              <w:t>8 de agosto de 1998</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Indonesia</w:t>
            </w:r>
          </w:p>
        </w:tc>
        <w:tc>
          <w:tcPr>
            <w:tcW w:w="2430" w:type="dxa"/>
          </w:tcPr>
          <w:p w:rsidR="00000000" w:rsidRDefault="00000000">
            <w:pPr>
              <w:spacing w:before="40" w:after="40"/>
            </w:pPr>
            <w:r>
              <w:t>13 de octubre de 1989</w:t>
            </w:r>
          </w:p>
        </w:tc>
        <w:tc>
          <w:tcPr>
            <w:tcW w:w="2880" w:type="dxa"/>
          </w:tcPr>
          <w:p w:rsidR="00000000" w:rsidRDefault="00000000">
            <w:pPr>
              <w:spacing w:before="40" w:after="40"/>
            </w:pPr>
            <w:r>
              <w:t>6 de febrero de 1997</w:t>
            </w:r>
            <w:r>
              <w:br/>
              <w:t>(CEDAW/C/IDN/2 y 3)</w:t>
            </w:r>
          </w:p>
        </w:tc>
        <w:tc>
          <w:tcPr>
            <w:tcW w:w="1829" w:type="dxa"/>
            <w:gridSpan w:val="2"/>
          </w:tcPr>
          <w:p w:rsidR="00000000" w:rsidRDefault="00000000">
            <w:pPr>
              <w:spacing w:before="40" w:after="40"/>
            </w:pPr>
            <w:r>
              <w:t>18º (1998)</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keepNext/>
              <w:keepLines/>
              <w:spacing w:before="40" w:after="40"/>
            </w:pPr>
            <w:r>
              <w:t xml:space="preserve">Iraq </w:t>
            </w:r>
          </w:p>
        </w:tc>
        <w:tc>
          <w:tcPr>
            <w:tcW w:w="2430" w:type="dxa"/>
          </w:tcPr>
          <w:p w:rsidR="00000000" w:rsidRDefault="00000000">
            <w:pPr>
              <w:keepNext/>
              <w:keepLines/>
              <w:spacing w:before="40" w:after="40"/>
            </w:pPr>
            <w:r>
              <w:t>12 de septiembre de 1991</w:t>
            </w:r>
          </w:p>
        </w:tc>
        <w:tc>
          <w:tcPr>
            <w:tcW w:w="2880" w:type="dxa"/>
          </w:tcPr>
          <w:p w:rsidR="00000000" w:rsidRDefault="00000000">
            <w:pPr>
              <w:keepNext/>
              <w:keepLines/>
              <w:spacing w:before="40" w:after="40"/>
            </w:pPr>
            <w:r>
              <w:t>13 de octubre de 1998</w:t>
            </w:r>
            <w:r>
              <w:br/>
              <w:t>(CEDAW/C/IRQ/2 y 3)</w:t>
            </w:r>
          </w:p>
        </w:tc>
        <w:tc>
          <w:tcPr>
            <w:tcW w:w="1829" w:type="dxa"/>
            <w:gridSpan w:val="2"/>
          </w:tcPr>
          <w:p w:rsidR="00000000" w:rsidRDefault="00000000">
            <w:pPr>
              <w:keepNext/>
              <w:keepLines/>
              <w:spacing w:before="40" w:after="40"/>
            </w:pPr>
            <w:r>
              <w:t>23° (2000)</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Irlanda</w:t>
            </w:r>
          </w:p>
        </w:tc>
        <w:tc>
          <w:tcPr>
            <w:tcW w:w="2430" w:type="dxa"/>
          </w:tcPr>
          <w:p w:rsidR="00000000" w:rsidRDefault="00000000">
            <w:pPr>
              <w:spacing w:before="40" w:after="40"/>
            </w:pPr>
            <w:r>
              <w:t>22 de enero de 1991</w:t>
            </w:r>
          </w:p>
        </w:tc>
        <w:tc>
          <w:tcPr>
            <w:tcW w:w="2880" w:type="dxa"/>
          </w:tcPr>
          <w:p w:rsidR="00000000" w:rsidRDefault="00000000">
            <w:pPr>
              <w:spacing w:before="40" w:after="40"/>
            </w:pPr>
            <w:r>
              <w:t>6 de febrero de 1997</w:t>
            </w:r>
            <w:r>
              <w:br/>
              <w:t>(CEDAW/C/IRL/2 y 3)</w:t>
            </w:r>
          </w:p>
        </w:tc>
        <w:tc>
          <w:tcPr>
            <w:tcW w:w="1829" w:type="dxa"/>
            <w:gridSpan w:val="2"/>
          </w:tcPr>
          <w:p w:rsidR="00000000" w:rsidRDefault="00000000">
            <w:pPr>
              <w:spacing w:before="40" w:after="40"/>
            </w:pPr>
            <w:r>
              <w:t>21º (1999)</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Islandia</w:t>
            </w:r>
          </w:p>
        </w:tc>
        <w:tc>
          <w:tcPr>
            <w:tcW w:w="2430" w:type="dxa"/>
          </w:tcPr>
          <w:p w:rsidR="00000000" w:rsidRDefault="00000000">
            <w:pPr>
              <w:spacing w:before="40" w:after="40"/>
            </w:pPr>
            <w:r>
              <w:t>18 de julio de 1990</w:t>
            </w:r>
          </w:p>
        </w:tc>
        <w:tc>
          <w:tcPr>
            <w:tcW w:w="2880" w:type="dxa"/>
          </w:tcPr>
          <w:p w:rsidR="00000000" w:rsidRDefault="00000000">
            <w:pPr>
              <w:spacing w:before="40" w:after="40"/>
            </w:pPr>
            <w:r>
              <w:t>5 de mayo de 1993</w:t>
            </w:r>
            <w:r>
              <w:br/>
              <w:t>(CEDAW/C/ICE/1 y 2)</w:t>
            </w:r>
          </w:p>
        </w:tc>
        <w:tc>
          <w:tcPr>
            <w:tcW w:w="1829" w:type="dxa"/>
            <w:gridSpan w:val="2"/>
          </w:tcPr>
          <w:p w:rsidR="00000000" w:rsidRDefault="00000000">
            <w:pPr>
              <w:spacing w:before="40" w:after="40"/>
            </w:pPr>
            <w:r>
              <w:t>15º (1996)</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Israel</w:t>
            </w:r>
          </w:p>
        </w:tc>
        <w:tc>
          <w:tcPr>
            <w:tcW w:w="2430" w:type="dxa"/>
          </w:tcPr>
          <w:p w:rsidR="00000000" w:rsidRDefault="00000000">
            <w:pPr>
              <w:spacing w:before="40" w:after="40"/>
            </w:pPr>
            <w:r>
              <w:t>2 de noviembre de 1996</w:t>
            </w:r>
          </w:p>
        </w:tc>
        <w:tc>
          <w:tcPr>
            <w:tcW w:w="2880" w:type="dxa"/>
          </w:tcPr>
          <w:p w:rsidR="00000000" w:rsidRDefault="00000000">
            <w:pPr>
              <w:spacing w:before="40" w:after="40"/>
            </w:pPr>
            <w:r>
              <w:t>7 de abril de 1997</w:t>
            </w:r>
            <w:r>
              <w:br/>
              <w:t>(CEDAW/C/ISR/1 y 2)</w:t>
            </w:r>
          </w:p>
        </w:tc>
        <w:tc>
          <w:tcPr>
            <w:tcW w:w="1829" w:type="dxa"/>
            <w:gridSpan w:val="2"/>
          </w:tcPr>
          <w:p w:rsidR="00000000" w:rsidRDefault="00000000">
            <w:pPr>
              <w:spacing w:before="40" w:after="40"/>
            </w:pPr>
            <w:r>
              <w:t>17º (1997)</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Italia</w:t>
            </w:r>
          </w:p>
        </w:tc>
        <w:tc>
          <w:tcPr>
            <w:tcW w:w="2430" w:type="dxa"/>
          </w:tcPr>
          <w:p w:rsidR="00000000" w:rsidRDefault="00000000">
            <w:pPr>
              <w:spacing w:before="40" w:after="40"/>
            </w:pPr>
            <w:r>
              <w:t>10 de julio de 1990</w:t>
            </w:r>
          </w:p>
        </w:tc>
        <w:tc>
          <w:tcPr>
            <w:tcW w:w="2880" w:type="dxa"/>
          </w:tcPr>
          <w:p w:rsidR="00000000" w:rsidRDefault="00000000">
            <w:pPr>
              <w:spacing w:before="40" w:after="40"/>
            </w:pPr>
            <w:r>
              <w:t>1º de marzo de 1994</w:t>
            </w:r>
            <w:r>
              <w:br/>
              <w:t>(CEDAW/C/ITA/2)</w:t>
            </w:r>
          </w:p>
        </w:tc>
        <w:tc>
          <w:tcPr>
            <w:tcW w:w="1829" w:type="dxa"/>
            <w:gridSpan w:val="2"/>
          </w:tcPr>
          <w:p w:rsidR="00000000" w:rsidRDefault="00000000">
            <w:pPr>
              <w:spacing w:before="40" w:after="40"/>
            </w:pPr>
            <w:r>
              <w:t>17º (1997)</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Jamahiriya Árabe Libia</w:t>
            </w:r>
          </w:p>
        </w:tc>
        <w:tc>
          <w:tcPr>
            <w:tcW w:w="2430" w:type="dxa"/>
          </w:tcPr>
          <w:p w:rsidR="00000000" w:rsidRDefault="00000000">
            <w:pPr>
              <w:spacing w:before="40" w:after="40"/>
            </w:pPr>
            <w:r>
              <w:t>15 de junio de 1994</w:t>
            </w:r>
          </w:p>
        </w:tc>
        <w:tc>
          <w:tcPr>
            <w:tcW w:w="2880" w:type="dxa"/>
          </w:tcPr>
          <w:p w:rsidR="00000000" w:rsidRDefault="00000000">
            <w:pPr>
              <w:spacing w:before="40" w:after="40"/>
            </w:pPr>
            <w:r>
              <w:t>14 de diciembre de 1998</w:t>
            </w:r>
            <w:r>
              <w:br/>
              <w:t>(CEDAW/C/LBY/2)</w:t>
            </w: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Jamaica</w:t>
            </w:r>
          </w:p>
        </w:tc>
        <w:tc>
          <w:tcPr>
            <w:tcW w:w="2430" w:type="dxa"/>
          </w:tcPr>
          <w:p w:rsidR="00000000" w:rsidRDefault="00000000">
            <w:pPr>
              <w:spacing w:before="40" w:after="40"/>
            </w:pPr>
            <w:r>
              <w:t>18 de noviembre de 1989</w:t>
            </w:r>
          </w:p>
        </w:tc>
        <w:tc>
          <w:tcPr>
            <w:tcW w:w="2880" w:type="dxa"/>
          </w:tcPr>
          <w:p w:rsidR="00000000" w:rsidRDefault="00000000">
            <w:pPr>
              <w:spacing w:before="40" w:after="40"/>
            </w:pPr>
            <w:r>
              <w:t>17 de febrero de 1998</w:t>
            </w:r>
            <w:r>
              <w:br/>
              <w:t>(CEDAW/C/JAM/2 a 4)</w:t>
            </w:r>
          </w:p>
        </w:tc>
        <w:tc>
          <w:tcPr>
            <w:tcW w:w="1829" w:type="dxa"/>
            <w:gridSpan w:val="2"/>
          </w:tcPr>
          <w:p w:rsidR="00000000" w:rsidRDefault="00000000">
            <w:pPr>
              <w:spacing w:before="40" w:after="40"/>
            </w:pPr>
            <w:r>
              <w:t>24° (2001)</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Japón</w:t>
            </w:r>
          </w:p>
        </w:tc>
        <w:tc>
          <w:tcPr>
            <w:tcW w:w="2430" w:type="dxa"/>
          </w:tcPr>
          <w:p w:rsidR="00000000" w:rsidRDefault="00000000">
            <w:pPr>
              <w:spacing w:before="40" w:after="40"/>
            </w:pPr>
            <w:r>
              <w:t>25 de julio de 1990</w:t>
            </w:r>
          </w:p>
        </w:tc>
        <w:tc>
          <w:tcPr>
            <w:tcW w:w="2880" w:type="dxa"/>
          </w:tcPr>
          <w:p w:rsidR="00000000" w:rsidRDefault="00000000">
            <w:pPr>
              <w:spacing w:before="40" w:after="40"/>
            </w:pPr>
            <w:r>
              <w:t>21 de febrero de 1992</w:t>
            </w:r>
            <w:r>
              <w:br/>
              <w:t>(CEDAW/C/JPN/2)</w:t>
            </w:r>
          </w:p>
        </w:tc>
        <w:tc>
          <w:tcPr>
            <w:tcW w:w="1829" w:type="dxa"/>
            <w:gridSpan w:val="2"/>
          </w:tcPr>
          <w:p w:rsidR="00000000" w:rsidRDefault="00000000">
            <w:pPr>
              <w:spacing w:before="40" w:after="40"/>
            </w:pPr>
            <w:r>
              <w:t>13º (1994)</w:t>
            </w:r>
          </w:p>
        </w:tc>
      </w:tr>
      <w:tr w:rsidR="00000000">
        <w:tblPrEx>
          <w:tblCellMar>
            <w:top w:w="0" w:type="dxa"/>
            <w:left w:w="39" w:type="dxa"/>
            <w:bottom w:w="0" w:type="dxa"/>
            <w:right w:w="39" w:type="dxa"/>
          </w:tblCellMar>
        </w:tblPrEx>
        <w:trPr>
          <w:gridAfter w:val="2"/>
          <w:wAfter w:w="32" w:type="dxa"/>
          <w:trHeight w:val="403"/>
        </w:trPr>
        <w:tc>
          <w:tcPr>
            <w:tcW w:w="2700" w:type="dxa"/>
          </w:tcPr>
          <w:p w:rsidR="00000000" w:rsidRDefault="00000000">
            <w:pPr>
              <w:spacing w:before="40" w:after="40"/>
            </w:pPr>
            <w:r>
              <w:t>Jordania</w:t>
            </w:r>
          </w:p>
        </w:tc>
        <w:tc>
          <w:tcPr>
            <w:tcW w:w="2430" w:type="dxa"/>
          </w:tcPr>
          <w:p w:rsidR="00000000" w:rsidRDefault="00000000">
            <w:pPr>
              <w:spacing w:before="40" w:after="40"/>
            </w:pPr>
            <w:r>
              <w:t>31 de julio de 1997</w:t>
            </w:r>
          </w:p>
        </w:tc>
        <w:tc>
          <w:tcPr>
            <w:tcW w:w="2880" w:type="dxa"/>
          </w:tcPr>
          <w:p w:rsidR="00000000" w:rsidRDefault="00000000">
            <w:pPr>
              <w:spacing w:before="40" w:after="40"/>
            </w:pPr>
            <w:r>
              <w:t>19 de noviembre de 1999</w:t>
            </w:r>
            <w:r>
              <w:br/>
              <w:t>(CEDAW/C/JOR/2)</w:t>
            </w:r>
          </w:p>
        </w:tc>
        <w:tc>
          <w:tcPr>
            <w:tcW w:w="1829" w:type="dxa"/>
            <w:gridSpan w:val="2"/>
          </w:tcPr>
          <w:p w:rsidR="00000000" w:rsidRDefault="00000000">
            <w:pPr>
              <w:spacing w:before="40" w:after="40"/>
            </w:pPr>
            <w:r>
              <w:t>22° (2000)</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Kenya</w:t>
            </w:r>
          </w:p>
        </w:tc>
        <w:tc>
          <w:tcPr>
            <w:tcW w:w="2430" w:type="dxa"/>
          </w:tcPr>
          <w:p w:rsidR="00000000" w:rsidRDefault="00000000">
            <w:pPr>
              <w:spacing w:before="40" w:after="40"/>
            </w:pPr>
            <w:r>
              <w:t>8 de abril de 1989</w:t>
            </w:r>
          </w:p>
        </w:tc>
        <w:tc>
          <w:tcPr>
            <w:tcW w:w="2880" w:type="dxa"/>
          </w:tcPr>
          <w:p w:rsidR="00000000" w:rsidRDefault="00000000">
            <w:pPr>
              <w:spacing w:before="40" w:after="40"/>
            </w:pPr>
            <w:r>
              <w:t>4 de diciembre de 1990</w:t>
            </w:r>
            <w:r>
              <w:br/>
              <w:t>(CEDAW/C/KEN/1 y 2)</w:t>
            </w:r>
          </w:p>
        </w:tc>
        <w:tc>
          <w:tcPr>
            <w:tcW w:w="1829" w:type="dxa"/>
            <w:gridSpan w:val="2"/>
          </w:tcPr>
          <w:p w:rsidR="00000000" w:rsidRDefault="00000000">
            <w:pPr>
              <w:spacing w:before="40" w:after="40"/>
            </w:pPr>
            <w:r>
              <w:t>12º (1993)</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Kuwait</w:t>
            </w:r>
          </w:p>
        </w:tc>
        <w:tc>
          <w:tcPr>
            <w:tcW w:w="2430" w:type="dxa"/>
          </w:tcPr>
          <w:p w:rsidR="00000000" w:rsidRDefault="00000000">
            <w:pPr>
              <w:spacing w:before="40" w:after="40"/>
            </w:pPr>
            <w:r>
              <w:t>2 de octubre de 1999</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Lesotho</w:t>
            </w:r>
          </w:p>
        </w:tc>
        <w:tc>
          <w:tcPr>
            <w:tcW w:w="2430" w:type="dxa"/>
          </w:tcPr>
          <w:p w:rsidR="00000000" w:rsidRDefault="00000000">
            <w:pPr>
              <w:spacing w:before="40" w:after="40"/>
            </w:pPr>
            <w:r>
              <w:t>21 de septiembre de 2000</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Letonia</w:t>
            </w:r>
          </w:p>
        </w:tc>
        <w:tc>
          <w:tcPr>
            <w:tcW w:w="2430" w:type="dxa"/>
          </w:tcPr>
          <w:p w:rsidR="00000000" w:rsidRDefault="00000000">
            <w:pPr>
              <w:spacing w:before="40" w:after="40"/>
            </w:pPr>
            <w:r>
              <w:t>14 de mayo de 1997</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Liberia</w:t>
            </w:r>
          </w:p>
        </w:tc>
        <w:tc>
          <w:tcPr>
            <w:tcW w:w="2430" w:type="dxa"/>
          </w:tcPr>
          <w:p w:rsidR="00000000" w:rsidRDefault="00000000">
            <w:pPr>
              <w:spacing w:before="40" w:after="40"/>
            </w:pPr>
            <w:r>
              <w:t>16 de agosto de 1989</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403"/>
        </w:trPr>
        <w:tc>
          <w:tcPr>
            <w:tcW w:w="2700" w:type="dxa"/>
          </w:tcPr>
          <w:p w:rsidR="00000000" w:rsidRDefault="00000000">
            <w:pPr>
              <w:spacing w:before="40" w:after="40"/>
            </w:pPr>
            <w:r>
              <w:t xml:space="preserve">Liechtenstein </w:t>
            </w:r>
          </w:p>
        </w:tc>
        <w:tc>
          <w:tcPr>
            <w:tcW w:w="2430" w:type="dxa"/>
          </w:tcPr>
          <w:p w:rsidR="00000000" w:rsidRDefault="00000000">
            <w:pPr>
              <w:spacing w:before="40" w:after="40"/>
            </w:pPr>
            <w:r>
              <w:t xml:space="preserve">21 de enero de 2001 </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403"/>
        </w:trPr>
        <w:tc>
          <w:tcPr>
            <w:tcW w:w="2700" w:type="dxa"/>
          </w:tcPr>
          <w:p w:rsidR="00000000" w:rsidRDefault="00000000">
            <w:pPr>
              <w:spacing w:before="40" w:after="40"/>
            </w:pPr>
            <w:r>
              <w:t>Lituania</w:t>
            </w:r>
          </w:p>
        </w:tc>
        <w:tc>
          <w:tcPr>
            <w:tcW w:w="2430" w:type="dxa"/>
          </w:tcPr>
          <w:p w:rsidR="00000000" w:rsidRDefault="00000000">
            <w:pPr>
              <w:spacing w:before="40" w:after="40"/>
            </w:pPr>
            <w:r>
              <w:t>17 de febrero de 1999</w:t>
            </w:r>
          </w:p>
        </w:tc>
        <w:tc>
          <w:tcPr>
            <w:tcW w:w="2880" w:type="dxa"/>
          </w:tcPr>
          <w:p w:rsidR="00000000" w:rsidRDefault="00000000">
            <w:pPr>
              <w:spacing w:before="40" w:after="40"/>
            </w:pPr>
            <w:r>
              <w:t>4 de abril de 2000</w:t>
            </w:r>
            <w:r>
              <w:br/>
              <w:t>(CEDAW/C/LTU/2)</w:t>
            </w:r>
          </w:p>
        </w:tc>
        <w:tc>
          <w:tcPr>
            <w:tcW w:w="1829" w:type="dxa"/>
            <w:gridSpan w:val="2"/>
          </w:tcPr>
          <w:p w:rsidR="00000000" w:rsidRDefault="00000000">
            <w:pPr>
              <w:spacing w:before="40" w:after="40"/>
            </w:pPr>
            <w:r>
              <w:t>23° (2000)</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Luxemburgo</w:t>
            </w:r>
          </w:p>
        </w:tc>
        <w:tc>
          <w:tcPr>
            <w:tcW w:w="2430" w:type="dxa"/>
          </w:tcPr>
          <w:p w:rsidR="00000000" w:rsidRDefault="00000000">
            <w:pPr>
              <w:spacing w:before="40" w:after="40"/>
            </w:pPr>
            <w:r>
              <w:t>4 de marzo de 1994</w:t>
            </w:r>
          </w:p>
        </w:tc>
        <w:tc>
          <w:tcPr>
            <w:tcW w:w="2880" w:type="dxa"/>
          </w:tcPr>
          <w:p w:rsidR="00000000" w:rsidRDefault="00000000">
            <w:pPr>
              <w:spacing w:before="40" w:after="40"/>
            </w:pPr>
            <w:r>
              <w:t>8 de abril de 1997</w:t>
            </w:r>
            <w:r>
              <w:br/>
              <w:t>(CEDAW/C/LUX/2)</w:t>
            </w:r>
          </w:p>
        </w:tc>
        <w:tc>
          <w:tcPr>
            <w:tcW w:w="1829" w:type="dxa"/>
            <w:gridSpan w:val="2"/>
          </w:tcPr>
          <w:p w:rsidR="00000000" w:rsidRDefault="00000000">
            <w:pPr>
              <w:spacing w:before="40" w:after="40"/>
            </w:pPr>
            <w:r>
              <w:t>17º (1997)</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Madagascar</w:t>
            </w:r>
          </w:p>
        </w:tc>
        <w:tc>
          <w:tcPr>
            <w:tcW w:w="2430" w:type="dxa"/>
          </w:tcPr>
          <w:p w:rsidR="00000000" w:rsidRDefault="00000000">
            <w:pPr>
              <w:spacing w:before="40" w:after="40"/>
            </w:pPr>
            <w:r>
              <w:t>16 de abril de 1994</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Malasia</w:t>
            </w:r>
          </w:p>
        </w:tc>
        <w:tc>
          <w:tcPr>
            <w:tcW w:w="2430" w:type="dxa"/>
          </w:tcPr>
          <w:p w:rsidR="00000000" w:rsidRDefault="00000000">
            <w:pPr>
              <w:spacing w:before="40" w:after="40"/>
            </w:pPr>
            <w:r>
              <w:t>4 de agosto de 2000</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Malawi</w:t>
            </w:r>
          </w:p>
        </w:tc>
        <w:tc>
          <w:tcPr>
            <w:tcW w:w="2430" w:type="dxa"/>
          </w:tcPr>
          <w:p w:rsidR="00000000" w:rsidRDefault="00000000">
            <w:pPr>
              <w:spacing w:before="40" w:after="40"/>
            </w:pPr>
            <w:r>
              <w:t>11 de abril de 1992</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403"/>
        </w:trPr>
        <w:tc>
          <w:tcPr>
            <w:tcW w:w="2700" w:type="dxa"/>
          </w:tcPr>
          <w:p w:rsidR="00000000" w:rsidRDefault="00000000">
            <w:pPr>
              <w:spacing w:before="40" w:after="40"/>
            </w:pPr>
            <w:r>
              <w:t>Maldivas</w:t>
            </w:r>
          </w:p>
        </w:tc>
        <w:tc>
          <w:tcPr>
            <w:tcW w:w="2430" w:type="dxa"/>
          </w:tcPr>
          <w:p w:rsidR="00000000" w:rsidRDefault="00000000">
            <w:pPr>
              <w:spacing w:before="40" w:after="40"/>
            </w:pPr>
            <w:r>
              <w:t>1º de julio de 1998</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Malí</w:t>
            </w:r>
          </w:p>
        </w:tc>
        <w:tc>
          <w:tcPr>
            <w:tcW w:w="2430" w:type="dxa"/>
          </w:tcPr>
          <w:p w:rsidR="00000000" w:rsidRDefault="00000000">
            <w:pPr>
              <w:spacing w:before="40" w:after="40"/>
            </w:pPr>
            <w:r>
              <w:t>10 de octubre de 1990</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Malta</w:t>
            </w:r>
          </w:p>
        </w:tc>
        <w:tc>
          <w:tcPr>
            <w:tcW w:w="2430" w:type="dxa"/>
          </w:tcPr>
          <w:p w:rsidR="00000000" w:rsidRDefault="00000000">
            <w:pPr>
              <w:spacing w:before="40" w:after="40"/>
            </w:pPr>
            <w:r>
              <w:t>7 de abril de 1996</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403"/>
        </w:trPr>
        <w:tc>
          <w:tcPr>
            <w:tcW w:w="2700" w:type="dxa"/>
          </w:tcPr>
          <w:p w:rsidR="00000000" w:rsidRDefault="00000000">
            <w:pPr>
              <w:spacing w:before="40" w:after="40"/>
            </w:pPr>
            <w:r>
              <w:t>Marruecos</w:t>
            </w:r>
          </w:p>
        </w:tc>
        <w:tc>
          <w:tcPr>
            <w:tcW w:w="2430" w:type="dxa"/>
          </w:tcPr>
          <w:p w:rsidR="00000000" w:rsidRDefault="00000000">
            <w:pPr>
              <w:spacing w:before="40" w:after="40"/>
            </w:pPr>
            <w:r>
              <w:t>21 de julio de 1998</w:t>
            </w:r>
          </w:p>
        </w:tc>
        <w:tc>
          <w:tcPr>
            <w:tcW w:w="2880" w:type="dxa"/>
          </w:tcPr>
          <w:p w:rsidR="00000000" w:rsidRDefault="00000000">
            <w:pPr>
              <w:spacing w:before="40" w:after="40"/>
            </w:pPr>
            <w:r>
              <w:t>29 de febrero de 2000</w:t>
            </w:r>
            <w:r>
              <w:br/>
              <w:t>(CEDAW/C/MOR/2)</w:t>
            </w: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Mauricio</w:t>
            </w:r>
          </w:p>
        </w:tc>
        <w:tc>
          <w:tcPr>
            <w:tcW w:w="2430" w:type="dxa"/>
          </w:tcPr>
          <w:p w:rsidR="00000000" w:rsidRDefault="00000000">
            <w:pPr>
              <w:spacing w:before="40" w:after="40"/>
            </w:pPr>
            <w:r>
              <w:t>8 de agosto de 1989</w:t>
            </w:r>
          </w:p>
        </w:tc>
        <w:tc>
          <w:tcPr>
            <w:tcW w:w="2880" w:type="dxa"/>
          </w:tcPr>
          <w:p w:rsidR="00000000" w:rsidRDefault="00000000">
            <w:pPr>
              <w:spacing w:before="40" w:after="40"/>
            </w:pPr>
            <w:r>
              <w:t>23 de enero de 1992</w:t>
            </w:r>
            <w:r>
              <w:br/>
              <w:t>(CEDAW/C/MAR/1 y 2)</w:t>
            </w:r>
          </w:p>
        </w:tc>
        <w:tc>
          <w:tcPr>
            <w:tcW w:w="1829" w:type="dxa"/>
            <w:gridSpan w:val="2"/>
          </w:tcPr>
          <w:p w:rsidR="00000000" w:rsidRDefault="00000000">
            <w:pPr>
              <w:spacing w:before="40" w:after="40"/>
            </w:pPr>
            <w:r>
              <w:t>14º (1995)</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México</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3 de diciembre de 1987</w:t>
            </w:r>
            <w:r>
              <w:br/>
              <w:t>(CEDAW/C/13/Add.10)</w:t>
            </w:r>
          </w:p>
        </w:tc>
        <w:tc>
          <w:tcPr>
            <w:tcW w:w="1829" w:type="dxa"/>
            <w:gridSpan w:val="2"/>
          </w:tcPr>
          <w:p w:rsidR="00000000" w:rsidRDefault="00000000">
            <w:pPr>
              <w:spacing w:before="40" w:after="40"/>
            </w:pPr>
            <w:r>
              <w:t>Noveno (1990)</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Mongolia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17 de marzo de 1987</w:t>
            </w:r>
            <w:r>
              <w:br/>
              <w:t>(CEDAW/C/13/Add.7)</w:t>
            </w:r>
          </w:p>
        </w:tc>
        <w:tc>
          <w:tcPr>
            <w:tcW w:w="1829" w:type="dxa"/>
            <w:gridSpan w:val="2"/>
          </w:tcPr>
          <w:p w:rsidR="00000000" w:rsidRDefault="00000000">
            <w:pPr>
              <w:spacing w:before="40" w:after="40"/>
            </w:pPr>
            <w:r>
              <w:t>Noveno (1990)</w:t>
            </w:r>
          </w:p>
        </w:tc>
      </w:tr>
      <w:tr w:rsidR="00000000">
        <w:tblPrEx>
          <w:tblCellMar>
            <w:top w:w="0" w:type="dxa"/>
            <w:left w:w="39" w:type="dxa"/>
            <w:bottom w:w="0" w:type="dxa"/>
            <w:right w:w="39" w:type="dxa"/>
          </w:tblCellMar>
        </w:tblPrEx>
        <w:trPr>
          <w:gridAfter w:val="2"/>
          <w:wAfter w:w="32" w:type="dxa"/>
          <w:trHeight w:val="403"/>
        </w:trPr>
        <w:tc>
          <w:tcPr>
            <w:tcW w:w="2700" w:type="dxa"/>
          </w:tcPr>
          <w:p w:rsidR="00000000" w:rsidRDefault="00000000">
            <w:pPr>
              <w:spacing w:before="40" w:after="40"/>
            </w:pPr>
            <w:r>
              <w:t>Namibia</w:t>
            </w:r>
          </w:p>
        </w:tc>
        <w:tc>
          <w:tcPr>
            <w:tcW w:w="2430" w:type="dxa"/>
          </w:tcPr>
          <w:p w:rsidR="00000000" w:rsidRDefault="00000000">
            <w:pPr>
              <w:spacing w:before="40" w:after="40"/>
            </w:pPr>
            <w:r>
              <w:t>23 de diciembre de 1997</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Nepal</w:t>
            </w:r>
          </w:p>
        </w:tc>
        <w:tc>
          <w:tcPr>
            <w:tcW w:w="2430" w:type="dxa"/>
          </w:tcPr>
          <w:p w:rsidR="00000000" w:rsidRDefault="00000000">
            <w:pPr>
              <w:spacing w:before="40" w:after="40"/>
            </w:pPr>
            <w:r>
              <w:t>22 de mayo de 1996</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Nicaragua</w:t>
            </w:r>
          </w:p>
        </w:tc>
        <w:tc>
          <w:tcPr>
            <w:tcW w:w="2430" w:type="dxa"/>
          </w:tcPr>
          <w:p w:rsidR="00000000" w:rsidRDefault="00000000">
            <w:pPr>
              <w:spacing w:before="40" w:after="40"/>
            </w:pPr>
            <w:r>
              <w:t>26 de noviembre de 1986</w:t>
            </w:r>
          </w:p>
        </w:tc>
        <w:tc>
          <w:tcPr>
            <w:tcW w:w="2880" w:type="dxa"/>
          </w:tcPr>
          <w:p w:rsidR="00000000" w:rsidRDefault="00000000">
            <w:pPr>
              <w:spacing w:before="40" w:after="40"/>
            </w:pPr>
            <w:r>
              <w:t>16 de marzo de 1989</w:t>
            </w:r>
            <w:r>
              <w:br/>
              <w:t>(CEDAW/C/13/Add.20)</w:t>
            </w:r>
          </w:p>
        </w:tc>
        <w:tc>
          <w:tcPr>
            <w:tcW w:w="1829" w:type="dxa"/>
            <w:gridSpan w:val="2"/>
          </w:tcPr>
          <w:p w:rsidR="00000000" w:rsidRDefault="00000000">
            <w:pPr>
              <w:spacing w:before="40" w:after="40"/>
            </w:pPr>
            <w:r>
              <w:t>12º (1993)</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Nigeria</w:t>
            </w:r>
          </w:p>
        </w:tc>
        <w:tc>
          <w:tcPr>
            <w:tcW w:w="2430" w:type="dxa"/>
          </w:tcPr>
          <w:p w:rsidR="00000000" w:rsidRDefault="00000000">
            <w:pPr>
              <w:spacing w:before="40" w:after="40"/>
            </w:pPr>
            <w:r>
              <w:t>13 de julio de 1990</w:t>
            </w:r>
          </w:p>
        </w:tc>
        <w:tc>
          <w:tcPr>
            <w:tcW w:w="2880" w:type="dxa"/>
          </w:tcPr>
          <w:p w:rsidR="00000000" w:rsidRDefault="00000000">
            <w:pPr>
              <w:spacing w:before="40" w:after="40"/>
            </w:pPr>
            <w:r>
              <w:t>13 de febrero de 1997</w:t>
            </w:r>
            <w:r>
              <w:br/>
              <w:t>(CEDAW/C/NGA/2 y 3)</w:t>
            </w:r>
          </w:p>
        </w:tc>
        <w:tc>
          <w:tcPr>
            <w:tcW w:w="1829" w:type="dxa"/>
            <w:gridSpan w:val="2"/>
          </w:tcPr>
          <w:p w:rsidR="00000000" w:rsidRDefault="00000000">
            <w:pPr>
              <w:spacing w:before="40" w:after="40"/>
            </w:pPr>
            <w:r>
              <w:t>19º (1998)</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Noruega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23 de junio de 1988</w:t>
            </w:r>
            <w:r>
              <w:br/>
              <w:t>(CEDAW/C/13/Add.15)</w:t>
            </w:r>
          </w:p>
        </w:tc>
        <w:tc>
          <w:tcPr>
            <w:tcW w:w="1829" w:type="dxa"/>
            <w:gridSpan w:val="2"/>
          </w:tcPr>
          <w:p w:rsidR="00000000" w:rsidRDefault="00000000">
            <w:pPr>
              <w:spacing w:before="40" w:after="40"/>
            </w:pPr>
            <w:r>
              <w:t>Décimo (1991)</w:t>
            </w:r>
          </w:p>
        </w:tc>
      </w:tr>
      <w:tr w:rsidR="00000000">
        <w:tblPrEx>
          <w:tblCellMar>
            <w:top w:w="0" w:type="dxa"/>
            <w:left w:w="39" w:type="dxa"/>
            <w:bottom w:w="0" w:type="dxa"/>
            <w:right w:w="39" w:type="dxa"/>
          </w:tblCellMar>
        </w:tblPrEx>
        <w:trPr>
          <w:gridAfter w:val="2"/>
          <w:wAfter w:w="32" w:type="dxa"/>
          <w:trHeight w:val="984"/>
        </w:trPr>
        <w:tc>
          <w:tcPr>
            <w:tcW w:w="2700" w:type="dxa"/>
          </w:tcPr>
          <w:p w:rsidR="00000000" w:rsidRDefault="00000000">
            <w:pPr>
              <w:spacing w:before="40" w:after="40"/>
            </w:pPr>
            <w:r>
              <w:t>Nueva Zelandia</w:t>
            </w:r>
          </w:p>
        </w:tc>
        <w:tc>
          <w:tcPr>
            <w:tcW w:w="2430" w:type="dxa"/>
          </w:tcPr>
          <w:p w:rsidR="00000000" w:rsidRDefault="00000000">
            <w:pPr>
              <w:spacing w:before="40" w:after="40"/>
            </w:pPr>
            <w:r>
              <w:t>9 de febrero de 1990</w:t>
            </w:r>
          </w:p>
        </w:tc>
        <w:tc>
          <w:tcPr>
            <w:tcW w:w="2880" w:type="dxa"/>
          </w:tcPr>
          <w:p w:rsidR="00000000" w:rsidRDefault="00000000">
            <w:pPr>
              <w:spacing w:before="40" w:after="40"/>
            </w:pPr>
            <w:r>
              <w:t>3 de noviembre de 1992</w:t>
            </w:r>
            <w:r>
              <w:br/>
              <w:t>(CEDAW/C/NZE/2)</w:t>
            </w:r>
            <w:r>
              <w:br/>
              <w:t>27 de octubre de 1993</w:t>
            </w:r>
            <w:r>
              <w:br/>
              <w:t>(CEDAW/C/NZE/2/Add.1)</w:t>
            </w:r>
          </w:p>
        </w:tc>
        <w:tc>
          <w:tcPr>
            <w:tcW w:w="1829" w:type="dxa"/>
            <w:gridSpan w:val="2"/>
          </w:tcPr>
          <w:p w:rsidR="00000000" w:rsidRDefault="00000000">
            <w:pPr>
              <w:spacing w:before="40" w:after="40"/>
            </w:pPr>
            <w:r>
              <w:t>13º (1994)</w:t>
            </w:r>
          </w:p>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Países Bajos</w:t>
            </w:r>
          </w:p>
        </w:tc>
        <w:tc>
          <w:tcPr>
            <w:tcW w:w="2430" w:type="dxa"/>
          </w:tcPr>
          <w:p w:rsidR="00000000" w:rsidRDefault="00000000">
            <w:pPr>
              <w:spacing w:before="40" w:after="40"/>
            </w:pPr>
            <w:r>
              <w:t>22 de agosto de 1996</w:t>
            </w:r>
          </w:p>
        </w:tc>
        <w:tc>
          <w:tcPr>
            <w:tcW w:w="2880" w:type="dxa"/>
          </w:tcPr>
          <w:p w:rsidR="00000000" w:rsidRDefault="00000000">
            <w:pPr>
              <w:spacing w:before="40" w:after="40"/>
            </w:pPr>
            <w:r>
              <w:t>10 de diciembre de 1998</w:t>
            </w:r>
            <w:r>
              <w:br/>
              <w:t>(CEDAW/C/NET/2)</w:t>
            </w:r>
            <w:r>
              <w:br/>
              <w:t>(CEDAW/C/NET/2/Add.1)</w:t>
            </w:r>
            <w:r>
              <w:br/>
              <w:t>(CEDAW/C/NET/2/Add.2)</w:t>
            </w:r>
          </w:p>
        </w:tc>
        <w:tc>
          <w:tcPr>
            <w:tcW w:w="1829" w:type="dxa"/>
            <w:gridSpan w:val="2"/>
          </w:tcPr>
          <w:p w:rsidR="00000000" w:rsidRDefault="00000000">
            <w:pPr>
              <w:spacing w:before="40" w:after="40"/>
            </w:pPr>
            <w:r>
              <w:t xml:space="preserve">25º (2001) </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Pakistán</w:t>
            </w:r>
          </w:p>
        </w:tc>
        <w:tc>
          <w:tcPr>
            <w:tcW w:w="2430" w:type="dxa"/>
          </w:tcPr>
          <w:p w:rsidR="00000000" w:rsidRDefault="00000000">
            <w:pPr>
              <w:spacing w:before="40" w:after="40"/>
            </w:pPr>
            <w:r>
              <w:t xml:space="preserve">11 de abril de 2001 </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Panamá</w:t>
            </w:r>
          </w:p>
        </w:tc>
        <w:tc>
          <w:tcPr>
            <w:tcW w:w="2430" w:type="dxa"/>
          </w:tcPr>
          <w:p w:rsidR="00000000" w:rsidRDefault="00000000">
            <w:pPr>
              <w:spacing w:before="40" w:after="40"/>
            </w:pPr>
            <w:r>
              <w:t>28 de noviembre de 1986</w:t>
            </w:r>
          </w:p>
        </w:tc>
        <w:tc>
          <w:tcPr>
            <w:tcW w:w="2880" w:type="dxa"/>
          </w:tcPr>
          <w:p w:rsidR="00000000" w:rsidRDefault="00000000">
            <w:pPr>
              <w:spacing w:before="40" w:after="40"/>
            </w:pPr>
            <w:r>
              <w:t>17 de enero de 1997</w:t>
            </w:r>
            <w:r>
              <w:br/>
              <w:t>(CEDAW/C/PAN/2 y 3)</w:t>
            </w:r>
          </w:p>
        </w:tc>
        <w:tc>
          <w:tcPr>
            <w:tcW w:w="1829" w:type="dxa"/>
            <w:gridSpan w:val="2"/>
          </w:tcPr>
          <w:p w:rsidR="00000000" w:rsidRDefault="00000000">
            <w:pPr>
              <w:spacing w:before="40" w:after="40"/>
            </w:pPr>
            <w:r>
              <w:t>19º (1998)</w:t>
            </w:r>
          </w:p>
        </w:tc>
      </w:tr>
      <w:tr w:rsidR="00000000">
        <w:tblPrEx>
          <w:tblCellMar>
            <w:top w:w="0" w:type="dxa"/>
            <w:left w:w="39" w:type="dxa"/>
            <w:bottom w:w="0" w:type="dxa"/>
            <w:right w:w="39" w:type="dxa"/>
          </w:tblCellMar>
        </w:tblPrEx>
        <w:trPr>
          <w:gridAfter w:val="2"/>
          <w:wAfter w:w="32" w:type="dxa"/>
        </w:trPr>
        <w:tc>
          <w:tcPr>
            <w:tcW w:w="2700" w:type="dxa"/>
          </w:tcPr>
          <w:p w:rsidR="00000000" w:rsidRDefault="00000000">
            <w:pPr>
              <w:spacing w:before="40" w:after="40"/>
            </w:pPr>
            <w:r>
              <w:t>Papua Nueva Guinea</w:t>
            </w:r>
          </w:p>
        </w:tc>
        <w:tc>
          <w:tcPr>
            <w:tcW w:w="2430" w:type="dxa"/>
          </w:tcPr>
          <w:p w:rsidR="00000000" w:rsidRDefault="00000000">
            <w:pPr>
              <w:spacing w:before="40" w:after="40"/>
            </w:pPr>
            <w:r>
              <w:t xml:space="preserve">11 de febrero de 2000 </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1404"/>
        </w:trPr>
        <w:tc>
          <w:tcPr>
            <w:tcW w:w="2700" w:type="dxa"/>
          </w:tcPr>
          <w:p w:rsidR="00000000" w:rsidRDefault="00000000">
            <w:pPr>
              <w:spacing w:before="40" w:after="40"/>
            </w:pPr>
            <w:r>
              <w:t>Paraguay</w:t>
            </w:r>
          </w:p>
        </w:tc>
        <w:tc>
          <w:tcPr>
            <w:tcW w:w="2430" w:type="dxa"/>
          </w:tcPr>
          <w:p w:rsidR="00000000" w:rsidRDefault="00000000">
            <w:pPr>
              <w:spacing w:before="40" w:after="40"/>
            </w:pPr>
            <w:r>
              <w:t>6 de mayo de 1992</w:t>
            </w:r>
          </w:p>
        </w:tc>
        <w:tc>
          <w:tcPr>
            <w:tcW w:w="2880" w:type="dxa"/>
          </w:tcPr>
          <w:p w:rsidR="00000000" w:rsidRDefault="00000000">
            <w:pPr>
              <w:spacing w:before="40" w:after="40"/>
            </w:pPr>
            <w:r>
              <w:t>4 de junio de 1992</w:t>
            </w:r>
            <w:r>
              <w:br/>
              <w:t>(CEDAW/C/PAR/1 y 2)</w:t>
            </w:r>
            <w:r>
              <w:br/>
              <w:t>23 de agosto de 1995</w:t>
            </w:r>
            <w:r>
              <w:br/>
              <w:t>(CEDAW/C/PAR/1 y 2/Add.1)</w:t>
            </w:r>
            <w:r>
              <w:br/>
              <w:t>20 de noviembre de 1995</w:t>
            </w:r>
            <w:r>
              <w:br/>
              <w:t>(CEDAW/C/PAR/1 y 2/Add.2)</w:t>
            </w:r>
          </w:p>
        </w:tc>
        <w:tc>
          <w:tcPr>
            <w:tcW w:w="1829" w:type="dxa"/>
            <w:gridSpan w:val="2"/>
          </w:tcPr>
          <w:p w:rsidR="00000000" w:rsidRDefault="00000000">
            <w:pPr>
              <w:spacing w:before="40" w:after="40"/>
            </w:pPr>
            <w:r>
              <w:t>15º (1996)</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Perú</w:t>
            </w:r>
          </w:p>
        </w:tc>
        <w:tc>
          <w:tcPr>
            <w:tcW w:w="2430" w:type="dxa"/>
          </w:tcPr>
          <w:p w:rsidR="00000000" w:rsidRDefault="00000000">
            <w:pPr>
              <w:spacing w:before="40" w:after="40"/>
            </w:pPr>
            <w:r>
              <w:t>13 de octubre de 1987</w:t>
            </w:r>
          </w:p>
        </w:tc>
        <w:tc>
          <w:tcPr>
            <w:tcW w:w="2880" w:type="dxa"/>
          </w:tcPr>
          <w:p w:rsidR="00000000" w:rsidRDefault="00000000">
            <w:pPr>
              <w:spacing w:before="40" w:after="40"/>
            </w:pPr>
            <w:r>
              <w:t>13 de febrero de 1990</w:t>
            </w:r>
            <w:r>
              <w:br/>
              <w:t>(CEDAW/C/13/Add.29)</w:t>
            </w:r>
          </w:p>
        </w:tc>
        <w:tc>
          <w:tcPr>
            <w:tcW w:w="1829" w:type="dxa"/>
            <w:gridSpan w:val="2"/>
          </w:tcPr>
          <w:p w:rsidR="00000000" w:rsidRDefault="00000000">
            <w:pPr>
              <w:spacing w:before="40" w:after="40"/>
            </w:pPr>
            <w:r>
              <w:t>14º (1995)</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Polonia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17 de noviembre de 1988</w:t>
            </w:r>
            <w:r>
              <w:br/>
              <w:t>(CEDAW/C/13/Add.16)</w:t>
            </w:r>
          </w:p>
        </w:tc>
        <w:tc>
          <w:tcPr>
            <w:tcW w:w="1829" w:type="dxa"/>
            <w:gridSpan w:val="2"/>
          </w:tcPr>
          <w:p w:rsidR="00000000" w:rsidRDefault="00000000">
            <w:pPr>
              <w:spacing w:before="40" w:after="40"/>
            </w:pPr>
            <w:r>
              <w:t>Décimo (1991)</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Portugal</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18 de mayo de 1989</w:t>
            </w:r>
            <w:r>
              <w:br/>
              <w:t>(CEDAW/C/13/Add.22)</w:t>
            </w:r>
          </w:p>
        </w:tc>
        <w:tc>
          <w:tcPr>
            <w:tcW w:w="1829" w:type="dxa"/>
            <w:gridSpan w:val="2"/>
          </w:tcPr>
          <w:p w:rsidR="00000000" w:rsidRDefault="00000000">
            <w:pPr>
              <w:spacing w:before="40" w:after="40"/>
            </w:pPr>
            <w:r>
              <w:t>Décimo (1991)</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Reino Unido de Gran Bretaña e Irlanda del Norte</w:t>
            </w:r>
          </w:p>
        </w:tc>
        <w:tc>
          <w:tcPr>
            <w:tcW w:w="2430" w:type="dxa"/>
          </w:tcPr>
          <w:p w:rsidR="00000000" w:rsidRDefault="00000000">
            <w:pPr>
              <w:spacing w:before="40" w:after="40"/>
            </w:pPr>
            <w:r>
              <w:t>7 de mayo de 1991</w:t>
            </w:r>
          </w:p>
        </w:tc>
        <w:tc>
          <w:tcPr>
            <w:tcW w:w="2880" w:type="dxa"/>
          </w:tcPr>
          <w:p w:rsidR="00000000" w:rsidRDefault="00000000">
            <w:pPr>
              <w:spacing w:before="40" w:after="40"/>
            </w:pPr>
            <w:r>
              <w:t>11 de mayo de 1991</w:t>
            </w:r>
            <w:r>
              <w:br/>
              <w:t>(CEDAW/C/UK/2 y Amend.1)</w:t>
            </w:r>
          </w:p>
        </w:tc>
        <w:tc>
          <w:tcPr>
            <w:tcW w:w="1829" w:type="dxa"/>
            <w:gridSpan w:val="2"/>
          </w:tcPr>
          <w:p w:rsidR="00000000" w:rsidRDefault="00000000">
            <w:pPr>
              <w:spacing w:before="40" w:after="40"/>
            </w:pPr>
            <w:r>
              <w:t>12º (1993)</w:t>
            </w:r>
          </w:p>
        </w:tc>
      </w:tr>
      <w:tr w:rsidR="00000000">
        <w:tblPrEx>
          <w:tblCellMar>
            <w:top w:w="0" w:type="dxa"/>
            <w:left w:w="39" w:type="dxa"/>
            <w:bottom w:w="0" w:type="dxa"/>
            <w:right w:w="39" w:type="dxa"/>
          </w:tblCellMar>
        </w:tblPrEx>
        <w:trPr>
          <w:gridAfter w:val="2"/>
          <w:wAfter w:w="32" w:type="dxa"/>
          <w:trHeight w:val="403"/>
        </w:trPr>
        <w:tc>
          <w:tcPr>
            <w:tcW w:w="2700" w:type="dxa"/>
          </w:tcPr>
          <w:p w:rsidR="00000000" w:rsidRDefault="00000000">
            <w:pPr>
              <w:spacing w:before="40" w:after="40"/>
            </w:pPr>
            <w:r>
              <w:t>República Centroafricana</w:t>
            </w:r>
          </w:p>
        </w:tc>
        <w:tc>
          <w:tcPr>
            <w:tcW w:w="2430" w:type="dxa"/>
          </w:tcPr>
          <w:p w:rsidR="00000000" w:rsidRDefault="00000000">
            <w:pPr>
              <w:spacing w:before="40" w:after="40"/>
            </w:pPr>
            <w:r>
              <w:t>21 de julio de 1996</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República Checa</w:t>
            </w:r>
          </w:p>
        </w:tc>
        <w:tc>
          <w:tcPr>
            <w:tcW w:w="2430" w:type="dxa"/>
          </w:tcPr>
          <w:p w:rsidR="00000000" w:rsidRDefault="00000000">
            <w:pPr>
              <w:spacing w:before="40" w:after="40"/>
            </w:pPr>
            <w:r>
              <w:t>24 de marzo de 1997</w:t>
            </w:r>
          </w:p>
        </w:tc>
        <w:tc>
          <w:tcPr>
            <w:tcW w:w="2880" w:type="dxa"/>
          </w:tcPr>
          <w:p w:rsidR="00000000" w:rsidRDefault="00000000">
            <w:pPr>
              <w:spacing w:before="40" w:after="40"/>
            </w:pPr>
            <w:r>
              <w:t>10 de marzo de 2000</w:t>
            </w:r>
            <w:r>
              <w:br/>
              <w:t>(CEDAW/C/CZE/2)</w:t>
            </w: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República de Corea</w:t>
            </w:r>
          </w:p>
        </w:tc>
        <w:tc>
          <w:tcPr>
            <w:tcW w:w="2430" w:type="dxa"/>
          </w:tcPr>
          <w:p w:rsidR="00000000" w:rsidRDefault="00000000">
            <w:pPr>
              <w:spacing w:before="40" w:after="40"/>
            </w:pPr>
            <w:r>
              <w:t>26 de enero de 1990</w:t>
            </w:r>
          </w:p>
        </w:tc>
        <w:tc>
          <w:tcPr>
            <w:tcW w:w="2880" w:type="dxa"/>
          </w:tcPr>
          <w:p w:rsidR="00000000" w:rsidRDefault="00000000">
            <w:pPr>
              <w:spacing w:before="40" w:after="40"/>
            </w:pPr>
            <w:r>
              <w:t>19 de diciembre de 1989</w:t>
            </w:r>
            <w:r>
              <w:br/>
            </w:r>
            <w:r>
              <w:rPr>
                <w:spacing w:val="2"/>
              </w:rPr>
              <w:t>(CEDAW/C/13/Add.28 y Corr.1)</w:t>
            </w:r>
          </w:p>
        </w:tc>
        <w:tc>
          <w:tcPr>
            <w:tcW w:w="1829" w:type="dxa"/>
            <w:gridSpan w:val="2"/>
          </w:tcPr>
          <w:p w:rsidR="00000000" w:rsidRDefault="00000000">
            <w:pPr>
              <w:spacing w:before="40" w:after="40"/>
            </w:pPr>
            <w:r>
              <w:t>12º (1993)</w:t>
            </w:r>
          </w:p>
        </w:tc>
      </w:tr>
      <w:tr w:rsidR="00000000">
        <w:tblPrEx>
          <w:tblCellMar>
            <w:top w:w="0" w:type="dxa"/>
            <w:left w:w="39" w:type="dxa"/>
            <w:bottom w:w="0" w:type="dxa"/>
            <w:right w:w="39" w:type="dxa"/>
          </w:tblCellMar>
        </w:tblPrEx>
        <w:trPr>
          <w:gridAfter w:val="2"/>
          <w:wAfter w:w="32" w:type="dxa"/>
          <w:trHeight w:val="403"/>
        </w:trPr>
        <w:tc>
          <w:tcPr>
            <w:tcW w:w="2700" w:type="dxa"/>
          </w:tcPr>
          <w:p w:rsidR="00000000" w:rsidRDefault="00000000">
            <w:pPr>
              <w:spacing w:before="40" w:after="40"/>
            </w:pPr>
            <w:r>
              <w:t>República Democrática del Congo</w:t>
            </w:r>
            <w:r>
              <w:rPr>
                <w:vertAlign w:val="superscript"/>
              </w:rPr>
              <w:t>b</w:t>
            </w:r>
          </w:p>
        </w:tc>
        <w:tc>
          <w:tcPr>
            <w:tcW w:w="2430" w:type="dxa"/>
          </w:tcPr>
          <w:p w:rsidR="00000000" w:rsidRDefault="00000000">
            <w:pPr>
              <w:spacing w:before="40" w:after="40"/>
            </w:pPr>
            <w:r>
              <w:t>16 de noviembre de 1991</w:t>
            </w:r>
          </w:p>
        </w:tc>
        <w:tc>
          <w:tcPr>
            <w:tcW w:w="2880" w:type="dxa"/>
          </w:tcPr>
          <w:p w:rsidR="00000000" w:rsidRDefault="00000000">
            <w:pPr>
              <w:spacing w:before="40" w:after="40"/>
            </w:pPr>
            <w:r>
              <w:t>24 de octubre de 1996</w:t>
            </w:r>
            <w:r>
              <w:br/>
            </w:r>
            <w:r>
              <w:rPr>
                <w:rFonts w:ascii="Times New" w:hAnsi="Times New"/>
              </w:rPr>
              <w:t>(CEDAW/C/</w:t>
            </w:r>
            <w:r>
              <w:t>ZAR/2)</w:t>
            </w:r>
            <w:r>
              <w:br/>
              <w:t>27 de agosto de 1998</w:t>
            </w:r>
            <w:r>
              <w:br/>
              <w:t>(CEDAW/C/ZAR/2/Add.1 y Corr.1)</w:t>
            </w:r>
          </w:p>
        </w:tc>
        <w:tc>
          <w:tcPr>
            <w:tcW w:w="1829" w:type="dxa"/>
            <w:gridSpan w:val="2"/>
          </w:tcPr>
          <w:p w:rsidR="00000000" w:rsidRDefault="00000000">
            <w:pPr>
              <w:spacing w:before="40" w:after="40"/>
            </w:pPr>
            <w:r>
              <w:t>22° (2000)</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República Democrática Popular Lao</w:t>
            </w:r>
          </w:p>
        </w:tc>
        <w:tc>
          <w:tcPr>
            <w:tcW w:w="2430" w:type="dxa"/>
          </w:tcPr>
          <w:p w:rsidR="00000000" w:rsidRDefault="00000000">
            <w:pPr>
              <w:spacing w:before="40" w:after="40"/>
            </w:pPr>
            <w:r>
              <w:t>13 de septiembre de 1986</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403"/>
        </w:trPr>
        <w:tc>
          <w:tcPr>
            <w:tcW w:w="2700" w:type="dxa"/>
          </w:tcPr>
          <w:p w:rsidR="00000000" w:rsidRDefault="00000000">
            <w:pPr>
              <w:spacing w:before="40" w:after="40"/>
            </w:pPr>
            <w:r>
              <w:t>República de Moldova</w:t>
            </w:r>
          </w:p>
        </w:tc>
        <w:tc>
          <w:tcPr>
            <w:tcW w:w="2430" w:type="dxa"/>
          </w:tcPr>
          <w:p w:rsidR="00000000" w:rsidRDefault="00000000">
            <w:pPr>
              <w:spacing w:before="40" w:after="40"/>
            </w:pPr>
            <w:r>
              <w:t>31 de julio de 1999</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República Dominicana</w:t>
            </w:r>
          </w:p>
        </w:tc>
        <w:tc>
          <w:tcPr>
            <w:tcW w:w="2430" w:type="dxa"/>
          </w:tcPr>
          <w:p w:rsidR="00000000" w:rsidRDefault="00000000">
            <w:pPr>
              <w:spacing w:before="40" w:after="40"/>
            </w:pPr>
            <w:r>
              <w:t>2 de octubre de 1987</w:t>
            </w:r>
          </w:p>
        </w:tc>
        <w:tc>
          <w:tcPr>
            <w:tcW w:w="2880" w:type="dxa"/>
          </w:tcPr>
          <w:p w:rsidR="00000000" w:rsidRDefault="00000000">
            <w:pPr>
              <w:spacing w:before="40" w:after="40"/>
            </w:pPr>
            <w:r>
              <w:t>26 de abril de 1993</w:t>
            </w:r>
            <w:r>
              <w:br/>
              <w:t>(CEDAW/C/DOM/2 y 3)</w:t>
            </w:r>
          </w:p>
        </w:tc>
        <w:tc>
          <w:tcPr>
            <w:tcW w:w="1829" w:type="dxa"/>
            <w:gridSpan w:val="2"/>
          </w:tcPr>
          <w:p w:rsidR="00000000" w:rsidRDefault="00000000">
            <w:pPr>
              <w:spacing w:before="40" w:after="40"/>
            </w:pPr>
            <w:r>
              <w:t>18º (1998)</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República Unida de Tanzanía</w:t>
            </w:r>
          </w:p>
        </w:tc>
        <w:tc>
          <w:tcPr>
            <w:tcW w:w="2430" w:type="dxa"/>
          </w:tcPr>
          <w:p w:rsidR="00000000" w:rsidRDefault="00000000">
            <w:pPr>
              <w:spacing w:before="40" w:after="40"/>
            </w:pPr>
            <w:r>
              <w:t>19 de septiembre de 1990</w:t>
            </w:r>
          </w:p>
        </w:tc>
        <w:tc>
          <w:tcPr>
            <w:tcW w:w="2880" w:type="dxa"/>
          </w:tcPr>
          <w:p w:rsidR="00000000" w:rsidRDefault="00000000">
            <w:pPr>
              <w:spacing w:before="40" w:after="40"/>
            </w:pPr>
            <w:r>
              <w:t>25 de septiembre de 1996</w:t>
            </w:r>
            <w:r>
              <w:br/>
              <w:t>(CEDAW/C/TZA/2 y 3)</w:t>
            </w:r>
          </w:p>
        </w:tc>
        <w:tc>
          <w:tcPr>
            <w:tcW w:w="1829" w:type="dxa"/>
            <w:gridSpan w:val="2"/>
          </w:tcPr>
          <w:p w:rsidR="00000000" w:rsidRDefault="00000000">
            <w:pPr>
              <w:spacing w:before="40" w:after="40"/>
            </w:pPr>
            <w:r>
              <w:t>19º (1998)</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Rumania</w:t>
            </w:r>
          </w:p>
        </w:tc>
        <w:tc>
          <w:tcPr>
            <w:tcW w:w="2430" w:type="dxa"/>
          </w:tcPr>
          <w:p w:rsidR="00000000" w:rsidRDefault="00000000">
            <w:pPr>
              <w:spacing w:before="40" w:after="40"/>
            </w:pPr>
            <w:r>
              <w:t>6 de febrero de 1987</w:t>
            </w:r>
          </w:p>
        </w:tc>
        <w:tc>
          <w:tcPr>
            <w:tcW w:w="2880" w:type="dxa"/>
          </w:tcPr>
          <w:p w:rsidR="00000000" w:rsidRDefault="00000000">
            <w:pPr>
              <w:spacing w:before="40" w:after="40"/>
            </w:pPr>
            <w:r>
              <w:t>19 de octubre de 1992</w:t>
            </w:r>
            <w:r>
              <w:br/>
              <w:t>(CEDAW/C/ROM/2 y 3)</w:t>
            </w:r>
          </w:p>
        </w:tc>
        <w:tc>
          <w:tcPr>
            <w:tcW w:w="1829" w:type="dxa"/>
            <w:gridSpan w:val="2"/>
          </w:tcPr>
          <w:p w:rsidR="00000000" w:rsidRDefault="00000000">
            <w:pPr>
              <w:spacing w:before="40" w:after="40"/>
            </w:pPr>
            <w:r>
              <w:t>12º (1993)</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Rwanda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7 de marzo de 1988</w:t>
            </w:r>
            <w:r>
              <w:br/>
              <w:t>(CEDAW/C/13/Add.13)</w:t>
            </w:r>
          </w:p>
        </w:tc>
        <w:tc>
          <w:tcPr>
            <w:tcW w:w="1829" w:type="dxa"/>
            <w:gridSpan w:val="2"/>
          </w:tcPr>
          <w:p w:rsidR="00000000" w:rsidRDefault="00000000">
            <w:pPr>
              <w:spacing w:before="40" w:after="40"/>
              <w:rPr>
                <w:lang w:val="en-US"/>
              </w:rPr>
            </w:pPr>
            <w:r>
              <w:rPr>
                <w:lang w:val="en-US"/>
              </w:rPr>
              <w:t>Décimo (1991)</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rPr>
                <w:lang w:val="en-US"/>
              </w:rPr>
            </w:pPr>
            <w:r>
              <w:rPr>
                <w:lang w:val="en-US"/>
              </w:rPr>
              <w:t>Saint Kitts y Nevis</w:t>
            </w:r>
          </w:p>
        </w:tc>
        <w:tc>
          <w:tcPr>
            <w:tcW w:w="2430" w:type="dxa"/>
          </w:tcPr>
          <w:p w:rsidR="00000000" w:rsidRDefault="00000000">
            <w:pPr>
              <w:spacing w:before="40" w:after="40"/>
            </w:pPr>
            <w:r>
              <w:t>25 de mayo de 1990</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403"/>
        </w:trPr>
        <w:tc>
          <w:tcPr>
            <w:tcW w:w="2700" w:type="dxa"/>
          </w:tcPr>
          <w:p w:rsidR="00000000" w:rsidRDefault="00000000">
            <w:pPr>
              <w:spacing w:before="40" w:after="40"/>
            </w:pPr>
            <w:r>
              <w:t>Samoa</w:t>
            </w:r>
          </w:p>
        </w:tc>
        <w:tc>
          <w:tcPr>
            <w:tcW w:w="2430" w:type="dxa"/>
          </w:tcPr>
          <w:p w:rsidR="00000000" w:rsidRDefault="00000000">
            <w:pPr>
              <w:spacing w:before="40" w:after="40"/>
            </w:pPr>
            <w:r>
              <w:t>25 de octubre de 1997</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Santa Lucía</w:t>
            </w:r>
          </w:p>
        </w:tc>
        <w:tc>
          <w:tcPr>
            <w:tcW w:w="2430" w:type="dxa"/>
          </w:tcPr>
          <w:p w:rsidR="00000000" w:rsidRDefault="00000000">
            <w:pPr>
              <w:spacing w:before="40" w:after="40"/>
            </w:pPr>
            <w:r>
              <w:t>7 de noviembre de 1987</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984"/>
        </w:trPr>
        <w:tc>
          <w:tcPr>
            <w:tcW w:w="2700" w:type="dxa"/>
          </w:tcPr>
          <w:p w:rsidR="00000000" w:rsidRDefault="00000000">
            <w:pPr>
              <w:spacing w:before="40" w:after="40"/>
            </w:pPr>
            <w:r>
              <w:t>San Vicente y las Granadinas</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27 de septiembre de 1991</w:t>
            </w:r>
            <w:r>
              <w:br/>
              <w:t>(CEDAW/C/STV/1 a 3)</w:t>
            </w:r>
            <w:r>
              <w:br/>
              <w:t>28 de julio de 1994</w:t>
            </w:r>
            <w:r>
              <w:br/>
              <w:t>(CEDAW/C/STV/1 a 3/Add.1)</w:t>
            </w:r>
          </w:p>
        </w:tc>
        <w:tc>
          <w:tcPr>
            <w:tcW w:w="1829" w:type="dxa"/>
            <w:gridSpan w:val="2"/>
          </w:tcPr>
          <w:p w:rsidR="00000000" w:rsidRDefault="00000000">
            <w:pPr>
              <w:spacing w:before="40" w:after="40"/>
            </w:pPr>
            <w:r>
              <w:t>16º (1997)</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Senegal</w:t>
            </w:r>
          </w:p>
        </w:tc>
        <w:tc>
          <w:tcPr>
            <w:tcW w:w="2430" w:type="dxa"/>
          </w:tcPr>
          <w:p w:rsidR="00000000" w:rsidRDefault="00000000">
            <w:pPr>
              <w:spacing w:before="40" w:after="40"/>
            </w:pPr>
            <w:r>
              <w:t>7 de marzo de 1990</w:t>
            </w:r>
          </w:p>
        </w:tc>
        <w:tc>
          <w:tcPr>
            <w:tcW w:w="2880" w:type="dxa"/>
          </w:tcPr>
          <w:p w:rsidR="00000000" w:rsidRDefault="00000000">
            <w:pPr>
              <w:spacing w:before="40" w:after="40"/>
            </w:pPr>
            <w:r>
              <w:t>23 de septiembre de 1991</w:t>
            </w:r>
            <w:r>
              <w:br/>
              <w:t>(CEDAW/C/SEN/2 y Amend.1)</w:t>
            </w:r>
          </w:p>
        </w:tc>
        <w:tc>
          <w:tcPr>
            <w:tcW w:w="1829" w:type="dxa"/>
            <w:gridSpan w:val="2"/>
          </w:tcPr>
          <w:p w:rsidR="00000000" w:rsidRDefault="00000000">
            <w:pPr>
              <w:spacing w:before="40" w:after="40"/>
            </w:pPr>
            <w:r>
              <w:t>13º (1994)</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Seychelles</w:t>
            </w:r>
          </w:p>
        </w:tc>
        <w:tc>
          <w:tcPr>
            <w:tcW w:w="2430" w:type="dxa"/>
          </w:tcPr>
          <w:p w:rsidR="00000000" w:rsidRDefault="00000000">
            <w:pPr>
              <w:spacing w:before="40" w:after="40"/>
            </w:pPr>
            <w:r>
              <w:t>4 de junio de 1997</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Sierra Leona</w:t>
            </w:r>
          </w:p>
        </w:tc>
        <w:tc>
          <w:tcPr>
            <w:tcW w:w="2430" w:type="dxa"/>
          </w:tcPr>
          <w:p w:rsidR="00000000" w:rsidRDefault="00000000">
            <w:pPr>
              <w:spacing w:before="40" w:after="40"/>
            </w:pPr>
            <w:r>
              <w:t>11 de diciembre de 1993</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Singapur</w:t>
            </w:r>
          </w:p>
        </w:tc>
        <w:tc>
          <w:tcPr>
            <w:tcW w:w="2430" w:type="dxa"/>
          </w:tcPr>
          <w:p w:rsidR="00000000" w:rsidRDefault="00000000">
            <w:pPr>
              <w:spacing w:before="40" w:after="40"/>
            </w:pPr>
            <w:r>
              <w:t>4 de noviembre de 2000</w:t>
            </w:r>
          </w:p>
        </w:tc>
        <w:tc>
          <w:tcPr>
            <w:tcW w:w="2880" w:type="dxa"/>
          </w:tcPr>
          <w:p w:rsidR="00000000" w:rsidRDefault="00000000">
            <w:pPr>
              <w:spacing w:before="40" w:after="40"/>
              <w:rPr>
                <w:lang w:val="en-US"/>
              </w:rPr>
            </w:pPr>
            <w:r>
              <w:t xml:space="preserve">16 de abril de 2001 </w:t>
            </w:r>
            <w:r>
              <w:br/>
            </w:r>
            <w:r>
              <w:rPr>
                <w:lang w:val="en-US"/>
              </w:rPr>
              <w:t>(CEDAW/C/SGP/2)</w:t>
            </w:r>
          </w:p>
        </w:tc>
        <w:tc>
          <w:tcPr>
            <w:tcW w:w="1829" w:type="dxa"/>
            <w:gridSpan w:val="2"/>
          </w:tcPr>
          <w:p w:rsidR="00000000" w:rsidRDefault="00000000">
            <w:pPr>
              <w:spacing w:before="40" w:after="40"/>
              <w:rPr>
                <w:lang w:val="en-US"/>
              </w:rPr>
            </w:pPr>
            <w:r>
              <w:rPr>
                <w:lang w:val="en-US"/>
              </w:rPr>
              <w:t>25º (2001)</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Sri Lanka</w:t>
            </w:r>
          </w:p>
        </w:tc>
        <w:tc>
          <w:tcPr>
            <w:tcW w:w="2430" w:type="dxa"/>
          </w:tcPr>
          <w:p w:rsidR="00000000" w:rsidRDefault="00000000">
            <w:pPr>
              <w:spacing w:before="40" w:after="40"/>
            </w:pPr>
            <w:r>
              <w:t>4 de noviembre de 1986</w:t>
            </w:r>
          </w:p>
        </w:tc>
        <w:tc>
          <w:tcPr>
            <w:tcW w:w="2880" w:type="dxa"/>
          </w:tcPr>
          <w:p w:rsidR="00000000" w:rsidRDefault="00000000">
            <w:pPr>
              <w:spacing w:before="40" w:after="40"/>
            </w:pPr>
            <w:r>
              <w:t>29 de diciembre de 1988</w:t>
            </w:r>
            <w:r>
              <w:br/>
              <w:t>(CEDAW/C/13/Add.18)</w:t>
            </w:r>
          </w:p>
        </w:tc>
        <w:tc>
          <w:tcPr>
            <w:tcW w:w="1829" w:type="dxa"/>
            <w:gridSpan w:val="2"/>
          </w:tcPr>
          <w:p w:rsidR="00000000" w:rsidRDefault="00000000">
            <w:pPr>
              <w:spacing w:before="40" w:after="40"/>
            </w:pPr>
            <w:r>
              <w:t>11º (1992)</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 xml:space="preserve">Sudáfrica </w:t>
            </w:r>
          </w:p>
        </w:tc>
        <w:tc>
          <w:tcPr>
            <w:tcW w:w="2430" w:type="dxa"/>
          </w:tcPr>
          <w:p w:rsidR="00000000" w:rsidRDefault="00000000">
            <w:pPr>
              <w:spacing w:before="40" w:after="40"/>
            </w:pPr>
            <w:r>
              <w:t xml:space="preserve">14 de enero de 2001 </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Suecia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10 de marzo de 1987</w:t>
            </w:r>
            <w:r>
              <w:br/>
              <w:t>(CEDAW/C/13/Add.6)</w:t>
            </w:r>
          </w:p>
        </w:tc>
        <w:tc>
          <w:tcPr>
            <w:tcW w:w="1829" w:type="dxa"/>
            <w:gridSpan w:val="2"/>
          </w:tcPr>
          <w:p w:rsidR="00000000" w:rsidRDefault="00000000">
            <w:pPr>
              <w:spacing w:before="40" w:after="40"/>
            </w:pPr>
            <w:r>
              <w:t>Séptimo (1988)</w:t>
            </w:r>
          </w:p>
        </w:tc>
      </w:tr>
      <w:tr w:rsidR="00000000">
        <w:tblPrEx>
          <w:tblCellMar>
            <w:top w:w="0" w:type="dxa"/>
            <w:left w:w="39" w:type="dxa"/>
            <w:bottom w:w="0" w:type="dxa"/>
            <w:right w:w="39" w:type="dxa"/>
          </w:tblCellMar>
        </w:tblPrEx>
        <w:trPr>
          <w:gridAfter w:val="2"/>
          <w:wAfter w:w="32" w:type="dxa"/>
          <w:trHeight w:val="403"/>
        </w:trPr>
        <w:tc>
          <w:tcPr>
            <w:tcW w:w="2700" w:type="dxa"/>
          </w:tcPr>
          <w:p w:rsidR="00000000" w:rsidRDefault="00000000">
            <w:pPr>
              <w:spacing w:before="40" w:after="40"/>
            </w:pPr>
            <w:r>
              <w:t>Suriname</w:t>
            </w:r>
          </w:p>
        </w:tc>
        <w:tc>
          <w:tcPr>
            <w:tcW w:w="2430" w:type="dxa"/>
          </w:tcPr>
          <w:p w:rsidR="00000000" w:rsidRDefault="00000000">
            <w:pPr>
              <w:spacing w:before="40" w:after="40"/>
            </w:pPr>
            <w:r>
              <w:t>31 de marzo de 1998</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Tailandia</w:t>
            </w:r>
          </w:p>
        </w:tc>
        <w:tc>
          <w:tcPr>
            <w:tcW w:w="2430" w:type="dxa"/>
          </w:tcPr>
          <w:p w:rsidR="00000000" w:rsidRDefault="00000000">
            <w:pPr>
              <w:spacing w:before="40" w:after="40"/>
            </w:pPr>
            <w:r>
              <w:t>8 de septiembre de 1990</w:t>
            </w:r>
          </w:p>
        </w:tc>
        <w:tc>
          <w:tcPr>
            <w:tcW w:w="2880" w:type="dxa"/>
          </w:tcPr>
          <w:p w:rsidR="00000000" w:rsidRDefault="00000000">
            <w:pPr>
              <w:spacing w:before="40" w:after="40"/>
            </w:pPr>
            <w:r>
              <w:t>3 de marzo de 1997</w:t>
            </w:r>
            <w:r>
              <w:br/>
              <w:t>(CEDAW/C/THA/2 y 3)</w:t>
            </w:r>
          </w:p>
        </w:tc>
        <w:tc>
          <w:tcPr>
            <w:tcW w:w="1829" w:type="dxa"/>
            <w:gridSpan w:val="2"/>
          </w:tcPr>
          <w:p w:rsidR="00000000" w:rsidRDefault="00000000">
            <w:pPr>
              <w:spacing w:before="40" w:after="40"/>
            </w:pPr>
            <w:r>
              <w:t>20° (1999)</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Tayikistán</w:t>
            </w:r>
          </w:p>
        </w:tc>
        <w:tc>
          <w:tcPr>
            <w:tcW w:w="2430" w:type="dxa"/>
          </w:tcPr>
          <w:p w:rsidR="00000000" w:rsidRDefault="00000000">
            <w:pPr>
              <w:spacing w:before="40" w:after="40"/>
            </w:pPr>
            <w:r>
              <w:t>25 de octubre de 1998</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Togo</w:t>
            </w:r>
          </w:p>
        </w:tc>
        <w:tc>
          <w:tcPr>
            <w:tcW w:w="2430" w:type="dxa"/>
          </w:tcPr>
          <w:p w:rsidR="00000000" w:rsidRDefault="00000000">
            <w:pPr>
              <w:spacing w:before="40" w:after="40"/>
            </w:pPr>
            <w:r>
              <w:t>26 de octubre de 1988</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Trinidad y Tabago</w:t>
            </w:r>
          </w:p>
        </w:tc>
        <w:tc>
          <w:tcPr>
            <w:tcW w:w="2430" w:type="dxa"/>
          </w:tcPr>
          <w:p w:rsidR="00000000" w:rsidRDefault="00000000">
            <w:pPr>
              <w:spacing w:before="40" w:after="40"/>
            </w:pPr>
            <w:r>
              <w:t>11 de febrero de 1995</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Túnez</w:t>
            </w:r>
          </w:p>
        </w:tc>
        <w:tc>
          <w:tcPr>
            <w:tcW w:w="2430" w:type="dxa"/>
          </w:tcPr>
          <w:p w:rsidR="00000000" w:rsidRDefault="00000000">
            <w:pPr>
              <w:spacing w:before="40" w:after="40"/>
            </w:pPr>
            <w:r>
              <w:t>20 de octubre de 1990</w:t>
            </w:r>
          </w:p>
        </w:tc>
        <w:tc>
          <w:tcPr>
            <w:tcW w:w="2880" w:type="dxa"/>
          </w:tcPr>
          <w:p w:rsidR="00000000" w:rsidRDefault="00000000">
            <w:pPr>
              <w:spacing w:before="40" w:after="40"/>
            </w:pPr>
            <w:r>
              <w:t>17 de septiembre de 1993</w:t>
            </w:r>
            <w:r>
              <w:br/>
              <w:t>(CEDAW/C/TUN/1 y 2)</w:t>
            </w:r>
          </w:p>
        </w:tc>
        <w:tc>
          <w:tcPr>
            <w:tcW w:w="1829" w:type="dxa"/>
            <w:gridSpan w:val="2"/>
          </w:tcPr>
          <w:p w:rsidR="00000000" w:rsidRDefault="00000000">
            <w:pPr>
              <w:spacing w:before="40" w:after="40"/>
            </w:pPr>
            <w:r>
              <w:t>14º (1995)</w:t>
            </w:r>
          </w:p>
        </w:tc>
      </w:tr>
      <w:tr w:rsidR="00000000">
        <w:tblPrEx>
          <w:tblCellMar>
            <w:top w:w="0" w:type="dxa"/>
            <w:left w:w="39" w:type="dxa"/>
            <w:bottom w:w="0" w:type="dxa"/>
            <w:right w:w="39" w:type="dxa"/>
          </w:tblCellMar>
        </w:tblPrEx>
        <w:trPr>
          <w:gridAfter w:val="2"/>
          <w:wAfter w:w="32" w:type="dxa"/>
          <w:trHeight w:val="774"/>
        </w:trPr>
        <w:tc>
          <w:tcPr>
            <w:tcW w:w="2700" w:type="dxa"/>
          </w:tcPr>
          <w:p w:rsidR="00000000" w:rsidRDefault="00000000">
            <w:pPr>
              <w:spacing w:before="40" w:after="40"/>
            </w:pPr>
            <w:r>
              <w:t>Turquía</w:t>
            </w:r>
          </w:p>
        </w:tc>
        <w:tc>
          <w:tcPr>
            <w:tcW w:w="2430" w:type="dxa"/>
          </w:tcPr>
          <w:p w:rsidR="00000000" w:rsidRDefault="00000000">
            <w:pPr>
              <w:spacing w:before="40" w:after="40"/>
            </w:pPr>
            <w:r>
              <w:t>19 de enero de 1991</w:t>
            </w:r>
          </w:p>
        </w:tc>
        <w:tc>
          <w:tcPr>
            <w:tcW w:w="2880" w:type="dxa"/>
          </w:tcPr>
          <w:p w:rsidR="00000000" w:rsidRDefault="00000000">
            <w:pPr>
              <w:spacing w:before="40" w:after="40"/>
            </w:pPr>
            <w:r>
              <w:t>7 de febrero de 1994</w:t>
            </w:r>
            <w:r>
              <w:rPr>
                <w:vertAlign w:val="superscript"/>
              </w:rPr>
              <w:t>c</w:t>
            </w:r>
            <w:r>
              <w:br/>
              <w:t>3 de septiembre de 1996</w:t>
            </w:r>
            <w:r>
              <w:br/>
              <w:t>(CEDAW/C/TUR/2 y 3)</w:t>
            </w:r>
          </w:p>
        </w:tc>
        <w:tc>
          <w:tcPr>
            <w:tcW w:w="1829" w:type="dxa"/>
            <w:gridSpan w:val="2"/>
          </w:tcPr>
          <w:p w:rsidR="00000000" w:rsidRDefault="00000000">
            <w:pPr>
              <w:spacing w:before="40" w:after="40"/>
            </w:pPr>
            <w:r>
              <w:t>16º (1997)</w:t>
            </w:r>
          </w:p>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Ucrania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13 de agosto de 1987</w:t>
            </w:r>
            <w:r>
              <w:br/>
              <w:t>(CEDAW/C/13/Add.8)</w:t>
            </w:r>
          </w:p>
        </w:tc>
        <w:tc>
          <w:tcPr>
            <w:tcW w:w="1829" w:type="dxa"/>
            <w:gridSpan w:val="2"/>
          </w:tcPr>
          <w:p w:rsidR="00000000" w:rsidRDefault="00000000">
            <w:pPr>
              <w:spacing w:before="40" w:after="40"/>
            </w:pPr>
            <w:r>
              <w:t>Noveno (1990)</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Uganda</w:t>
            </w:r>
          </w:p>
        </w:tc>
        <w:tc>
          <w:tcPr>
            <w:tcW w:w="2430" w:type="dxa"/>
          </w:tcPr>
          <w:p w:rsidR="00000000" w:rsidRDefault="00000000">
            <w:pPr>
              <w:spacing w:before="40" w:after="40"/>
            </w:pPr>
            <w:r>
              <w:t>21 de agosto de 1990</w:t>
            </w:r>
          </w:p>
        </w:tc>
        <w:tc>
          <w:tcPr>
            <w:tcW w:w="2880" w:type="dxa"/>
          </w:tcPr>
          <w:p w:rsidR="00000000" w:rsidRDefault="00000000">
            <w:pPr>
              <w:spacing w:before="40" w:after="40"/>
            </w:pPr>
            <w:r>
              <w:t>1º de junio de 1992</w:t>
            </w:r>
            <w:r>
              <w:br/>
              <w:t>(CEDAW/C/UGA/1 y 2)</w:t>
            </w:r>
          </w:p>
        </w:tc>
        <w:tc>
          <w:tcPr>
            <w:tcW w:w="1829" w:type="dxa"/>
            <w:gridSpan w:val="2"/>
          </w:tcPr>
          <w:p w:rsidR="00000000" w:rsidRDefault="00000000">
            <w:pPr>
              <w:spacing w:before="40" w:after="40"/>
            </w:pPr>
            <w:r>
              <w:t>14º (1995)</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Uruguay</w:t>
            </w:r>
          </w:p>
        </w:tc>
        <w:tc>
          <w:tcPr>
            <w:tcW w:w="2430" w:type="dxa"/>
          </w:tcPr>
          <w:p w:rsidR="00000000" w:rsidRDefault="00000000">
            <w:pPr>
              <w:spacing w:before="40" w:after="40"/>
            </w:pPr>
            <w:r>
              <w:t>8 de noviembre de 1986</w:t>
            </w:r>
          </w:p>
        </w:tc>
        <w:tc>
          <w:tcPr>
            <w:tcW w:w="2880" w:type="dxa"/>
          </w:tcPr>
          <w:p w:rsidR="00000000" w:rsidRDefault="00000000">
            <w:pPr>
              <w:spacing w:before="40" w:after="40"/>
            </w:pPr>
            <w:r>
              <w:t>8 de febrero de 1999</w:t>
            </w:r>
            <w:r>
              <w:br/>
            </w:r>
            <w:r>
              <w:rPr>
                <w:rFonts w:ascii="Times New" w:hAnsi="Times New"/>
              </w:rPr>
              <w:t>(CEDAW/C/</w:t>
            </w:r>
            <w:r>
              <w:t>URY/2 y 3)</w:t>
            </w: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Uzbekistán</w:t>
            </w:r>
          </w:p>
        </w:tc>
        <w:tc>
          <w:tcPr>
            <w:tcW w:w="2430" w:type="dxa"/>
          </w:tcPr>
          <w:p w:rsidR="00000000" w:rsidRDefault="00000000">
            <w:pPr>
              <w:spacing w:before="40" w:after="40"/>
            </w:pPr>
            <w:r>
              <w:t>18 de agosto de 2000</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Vanuatu</w:t>
            </w:r>
          </w:p>
        </w:tc>
        <w:tc>
          <w:tcPr>
            <w:tcW w:w="2430" w:type="dxa"/>
          </w:tcPr>
          <w:p w:rsidR="00000000" w:rsidRDefault="00000000">
            <w:pPr>
              <w:spacing w:before="40" w:after="40"/>
            </w:pPr>
            <w:r>
              <w:t>8 de octubre de 2000</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Venezuela</w:t>
            </w:r>
          </w:p>
        </w:tc>
        <w:tc>
          <w:tcPr>
            <w:tcW w:w="2430" w:type="dxa"/>
          </w:tcPr>
          <w:p w:rsidR="00000000" w:rsidRDefault="00000000">
            <w:pPr>
              <w:spacing w:before="40" w:after="40"/>
            </w:pPr>
            <w:r>
              <w:t>1º de junio de 1988</w:t>
            </w:r>
          </w:p>
        </w:tc>
        <w:tc>
          <w:tcPr>
            <w:tcW w:w="2880" w:type="dxa"/>
          </w:tcPr>
          <w:p w:rsidR="00000000" w:rsidRDefault="00000000">
            <w:pPr>
              <w:spacing w:before="40" w:after="40"/>
            </w:pPr>
            <w:r>
              <w:t>18 de abril de 1989</w:t>
            </w:r>
            <w:r>
              <w:br/>
              <w:t>(CEDAW/C/13/Add.21)</w:t>
            </w:r>
          </w:p>
        </w:tc>
        <w:tc>
          <w:tcPr>
            <w:tcW w:w="1829" w:type="dxa"/>
            <w:gridSpan w:val="2"/>
          </w:tcPr>
          <w:p w:rsidR="00000000" w:rsidRDefault="00000000">
            <w:pPr>
              <w:spacing w:before="40" w:after="40"/>
            </w:pPr>
            <w:r>
              <w:t>11º (1992)</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Viet Nam</w:t>
            </w:r>
          </w:p>
        </w:tc>
        <w:tc>
          <w:tcPr>
            <w:tcW w:w="2430" w:type="dxa"/>
          </w:tcPr>
          <w:p w:rsidR="00000000" w:rsidRDefault="00000000">
            <w:pPr>
              <w:spacing w:before="40" w:after="40"/>
            </w:pPr>
            <w:r>
              <w:t>19 de marzo de 1987</w:t>
            </w:r>
          </w:p>
        </w:tc>
        <w:tc>
          <w:tcPr>
            <w:tcW w:w="2880" w:type="dxa"/>
          </w:tcPr>
          <w:p w:rsidR="00000000" w:rsidRDefault="00000000">
            <w:pPr>
              <w:spacing w:before="40" w:after="40"/>
            </w:pPr>
            <w:r>
              <w:t>2 de noviembre de 1999</w:t>
            </w:r>
            <w:r>
              <w:br/>
              <w:t>(CEDAW/C/VNM/2)</w:t>
            </w:r>
          </w:p>
        </w:tc>
        <w:tc>
          <w:tcPr>
            <w:tcW w:w="1829" w:type="dxa"/>
            <w:gridSpan w:val="2"/>
          </w:tcPr>
          <w:p w:rsidR="00000000" w:rsidRDefault="00000000">
            <w:pPr>
              <w:spacing w:before="40" w:after="40"/>
            </w:pPr>
            <w:r>
              <w:t>25º (2001)</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Yemen</w:t>
            </w:r>
          </w:p>
        </w:tc>
        <w:tc>
          <w:tcPr>
            <w:tcW w:w="2430" w:type="dxa"/>
          </w:tcPr>
          <w:p w:rsidR="00000000" w:rsidRDefault="00000000">
            <w:pPr>
              <w:spacing w:before="40" w:after="40"/>
            </w:pPr>
            <w:r>
              <w:t>29 de junio de 1989</w:t>
            </w:r>
          </w:p>
        </w:tc>
        <w:tc>
          <w:tcPr>
            <w:tcW w:w="2880" w:type="dxa"/>
          </w:tcPr>
          <w:p w:rsidR="00000000" w:rsidRDefault="00000000">
            <w:pPr>
              <w:spacing w:before="40" w:after="40"/>
            </w:pPr>
            <w:r>
              <w:t>8 de junio de 1989</w:t>
            </w:r>
            <w:r>
              <w:br/>
              <w:t>(CEDAW/C/13/Add.24 y Amend.1)</w:t>
            </w:r>
          </w:p>
        </w:tc>
        <w:tc>
          <w:tcPr>
            <w:tcW w:w="1829" w:type="dxa"/>
            <w:gridSpan w:val="2"/>
          </w:tcPr>
          <w:p w:rsidR="00000000" w:rsidRDefault="00000000">
            <w:pPr>
              <w:spacing w:before="40" w:after="40"/>
            </w:pPr>
            <w:r>
              <w:t>12º (1993)</w:t>
            </w:r>
          </w:p>
        </w:tc>
      </w:tr>
      <w:tr w:rsidR="00000000">
        <w:tblPrEx>
          <w:tblCellMar>
            <w:top w:w="0" w:type="dxa"/>
            <w:left w:w="39" w:type="dxa"/>
            <w:bottom w:w="0" w:type="dxa"/>
            <w:right w:w="39" w:type="dxa"/>
          </w:tblCellMar>
        </w:tblPrEx>
        <w:trPr>
          <w:gridAfter w:val="2"/>
          <w:wAfter w:w="32" w:type="dxa"/>
          <w:trHeight w:val="564"/>
        </w:trPr>
        <w:tc>
          <w:tcPr>
            <w:tcW w:w="2700" w:type="dxa"/>
          </w:tcPr>
          <w:p w:rsidR="00000000" w:rsidRDefault="00000000">
            <w:pPr>
              <w:spacing w:before="40" w:after="40"/>
            </w:pPr>
            <w:r>
              <w:t>Zambia</w:t>
            </w:r>
          </w:p>
        </w:tc>
        <w:tc>
          <w:tcPr>
            <w:tcW w:w="2430" w:type="dxa"/>
          </w:tcPr>
          <w:p w:rsidR="00000000" w:rsidRDefault="00000000">
            <w:pPr>
              <w:spacing w:before="40" w:after="40"/>
            </w:pPr>
            <w:r>
              <w:t>21 de julio de 1990</w:t>
            </w:r>
          </w:p>
        </w:tc>
        <w:tc>
          <w:tcPr>
            <w:tcW w:w="2880" w:type="dxa"/>
          </w:tcPr>
          <w:p w:rsidR="00000000" w:rsidRDefault="00000000">
            <w:pPr>
              <w:spacing w:before="40" w:after="40"/>
            </w:pPr>
            <w:r>
              <w:t>6 de marzo de 1991</w:t>
            </w:r>
            <w:r>
              <w:br/>
              <w:t>(CEDAW/C/ZAM/1 y 2)</w:t>
            </w:r>
          </w:p>
        </w:tc>
        <w:tc>
          <w:tcPr>
            <w:tcW w:w="1829" w:type="dxa"/>
            <w:gridSpan w:val="2"/>
          </w:tcPr>
          <w:p w:rsidR="00000000" w:rsidRDefault="00000000">
            <w:pPr>
              <w:spacing w:before="40" w:after="40"/>
            </w:pPr>
            <w:r>
              <w:t>13º (1994)</w:t>
            </w:r>
          </w:p>
        </w:tc>
      </w:tr>
      <w:tr w:rsidR="00000000">
        <w:tblPrEx>
          <w:tblCellMar>
            <w:top w:w="0" w:type="dxa"/>
            <w:left w:w="39" w:type="dxa"/>
            <w:bottom w:w="0" w:type="dxa"/>
            <w:right w:w="39" w:type="dxa"/>
          </w:tblCellMar>
        </w:tblPrEx>
        <w:trPr>
          <w:gridAfter w:val="2"/>
          <w:wAfter w:w="32" w:type="dxa"/>
          <w:trHeight w:val="354"/>
        </w:trPr>
        <w:tc>
          <w:tcPr>
            <w:tcW w:w="2700" w:type="dxa"/>
          </w:tcPr>
          <w:p w:rsidR="00000000" w:rsidRDefault="00000000">
            <w:pPr>
              <w:spacing w:before="40" w:after="40"/>
            </w:pPr>
            <w:r>
              <w:t>Zimbabwe</w:t>
            </w:r>
          </w:p>
        </w:tc>
        <w:tc>
          <w:tcPr>
            <w:tcW w:w="2430" w:type="dxa"/>
          </w:tcPr>
          <w:p w:rsidR="00000000" w:rsidRDefault="00000000">
            <w:pPr>
              <w:spacing w:before="40" w:after="40"/>
            </w:pPr>
            <w:r>
              <w:t>12 de junio de 1996</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0" w:type="dxa"/>
            <w:bottom w:w="0" w:type="dxa"/>
            <w:right w:w="0" w:type="dxa"/>
          </w:tblCellMar>
        </w:tblPrEx>
        <w:trPr>
          <w:gridAfter w:val="1"/>
          <w:wAfter w:w="21" w:type="dxa"/>
          <w:cantSplit/>
        </w:trPr>
        <w:tc>
          <w:tcPr>
            <w:tcW w:w="5130" w:type="dxa"/>
            <w:gridSpan w:val="2"/>
            <w:vAlign w:val="bottom"/>
          </w:tcPr>
          <w:p w:rsidR="00000000" w:rsidRDefault="00000000">
            <w:pPr>
              <w:tabs>
                <w:tab w:val="left" w:pos="360"/>
              </w:tabs>
              <w:spacing w:before="40" w:after="80"/>
              <w:rPr>
                <w:b/>
              </w:rPr>
            </w:pPr>
            <w:r>
              <w:rPr>
                <w:b/>
                <w:kern w:val="2"/>
                <w:lang w:val="es-ES_tradnl"/>
              </w:rPr>
              <w:t>C.</w:t>
            </w:r>
            <w:r>
              <w:rPr>
                <w:b/>
                <w:kern w:val="2"/>
                <w:lang w:val="es-ES_tradnl"/>
              </w:rPr>
              <w:tab/>
              <w:t>Terceros informes periódicos</w:t>
            </w:r>
          </w:p>
        </w:tc>
        <w:tc>
          <w:tcPr>
            <w:tcW w:w="2880" w:type="dxa"/>
            <w:vAlign w:val="bottom"/>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b/>
                <w:kern w:val="2"/>
                <w:lang w:val="es-ES_tradnl"/>
              </w:rPr>
            </w:pPr>
          </w:p>
        </w:tc>
        <w:tc>
          <w:tcPr>
            <w:tcW w:w="1840" w:type="dxa"/>
            <w:gridSpan w:val="3"/>
            <w:vAlign w:val="bottom"/>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b/>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Alemania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9 de agosto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octubre de 1996</w:t>
            </w:r>
            <w:r>
              <w:rPr>
                <w:kern w:val="2"/>
                <w:lang w:val="es-ES_tradnl"/>
              </w:rPr>
              <w:br/>
              <w:t>(CEDAW/C/DEU/2 y 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22° (2000) </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Angola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de octubre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Antigua y Barbuda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31 de agosto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de septiembre de 1994</w:t>
            </w:r>
            <w:r>
              <w:rPr>
                <w:kern w:val="2"/>
                <w:lang w:val="es-ES_tradnl"/>
              </w:rPr>
              <w:br/>
              <w:t>(CEDAW/C/ANT/1 a 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Argentina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14 de agosto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1º de octubre de 1996</w:t>
            </w:r>
            <w:r>
              <w:rPr>
                <w:kern w:val="2"/>
                <w:lang w:val="es-ES_tradnl"/>
              </w:rPr>
              <w:br/>
              <w:t>(CEDAW/C/ARG/3)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Australia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de agosto de 1992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1º de marzo de 1995</w:t>
            </w:r>
            <w:r>
              <w:rPr>
                <w:kern w:val="2"/>
                <w:lang w:val="es-ES_tradnl"/>
              </w:rPr>
              <w:br/>
              <w:t>(CEDAW/C/AUL/3)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Austria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30 de abril de 1991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abril de 1997</w:t>
            </w:r>
            <w:r>
              <w:rPr>
                <w:kern w:val="2"/>
                <w:lang w:val="es-ES_tradnl"/>
              </w:rPr>
              <w:br/>
              <w:t>(CEDAW/C/AUT/3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23° (2000)</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Bangladesh</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diciembre de 1993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de enero de 1993</w:t>
            </w:r>
            <w:r>
              <w:rPr>
                <w:kern w:val="2"/>
                <w:vertAlign w:val="superscript"/>
                <w:lang w:val="es-ES_tradnl"/>
              </w:rPr>
              <w:t>c</w:t>
            </w:r>
            <w:r>
              <w:rPr>
                <w:kern w:val="2"/>
                <w:vertAlign w:val="superscript"/>
                <w:lang w:val="es-ES_tradnl"/>
              </w:rPr>
              <w:br/>
            </w:r>
            <w:r>
              <w:rPr>
                <w:kern w:val="2"/>
                <w:lang w:val="es-ES_tradnl"/>
              </w:rPr>
              <w:t>27 de marzo de 1997</w:t>
            </w:r>
            <w:r>
              <w:rPr>
                <w:kern w:val="2"/>
                <w:lang w:val="es-ES_tradnl"/>
              </w:rPr>
              <w:br/>
              <w:t>(CEDAW/C/BGD/3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Barbados</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diciembre de 1991</w:t>
            </w:r>
            <w:r>
              <w:rPr>
                <w:kern w:val="2"/>
                <w:lang w:val="es-ES_tradnl"/>
              </w:rPr>
              <w:br/>
              <w:t>(CEDAW/C/BAR/2 y 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(1994)</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Belarús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1º de julio de 1993</w:t>
            </w:r>
            <w:r>
              <w:rPr>
                <w:kern w:val="2"/>
                <w:lang w:val="es-ES_tradnl"/>
              </w:rPr>
              <w:br/>
              <w:t>(CEDAW/C/BLR/3)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Bélgica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9 de agosto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 de septiembre de 1998</w:t>
            </w:r>
            <w:r>
              <w:rPr>
                <w:kern w:val="2"/>
                <w:lang w:val="es-ES_tradnl"/>
              </w:rPr>
              <w:br/>
              <w:t>(CEDAW/C/BEL/3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Belice</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15 de junio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Bhután</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30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Bolivia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julio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Brasil</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marzo de 1993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Bulgaria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marzo de 1991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septiembre de 1994</w:t>
            </w:r>
            <w:r>
              <w:rPr>
                <w:kern w:val="2"/>
                <w:lang w:val="es-ES_tradnl"/>
              </w:rPr>
              <w:br/>
              <w:t>(CEDAW/C/BGR/2 y 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Burkina Faso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noviembre de 1996</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11 de diciembre de 1997</w:t>
            </w:r>
            <w:r>
              <w:rPr>
                <w:kern w:val="2"/>
                <w:lang w:val="es-ES_tradnl"/>
              </w:rPr>
              <w:br/>
              <w:t>(CEDAW/C/BFA/2 y 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Burundi</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7 de febrero de 2001 </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Cabo Verde</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Canadá</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9 de enero de 1991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9 de septiembre de 1992</w:t>
            </w:r>
            <w:r>
              <w:rPr>
                <w:kern w:val="2"/>
                <w:lang w:val="es-ES_tradnl"/>
              </w:rPr>
              <w:br/>
              <w:t>(CEDAW/C/CAN/3)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Chile</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enero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 de noviembre de 1999</w:t>
            </w:r>
            <w:r>
              <w:rPr>
                <w:kern w:val="2"/>
                <w:lang w:val="es-ES_tradnl"/>
              </w:rPr>
              <w:br/>
              <w:t>(CEDAW/C/CHI/3)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(1999)</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China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 de mayo de 1997</w:t>
            </w:r>
            <w:r>
              <w:rPr>
                <w:kern w:val="2"/>
                <w:lang w:val="es-ES_tradnl"/>
              </w:rPr>
              <w:br/>
              <w:t>(CEDAW/C/CHN/3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(1999)</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Chipre</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agosto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Colombia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febrero de 1991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14 de enero de 1993</w:t>
            </w:r>
            <w:r>
              <w:rPr>
                <w:kern w:val="2"/>
                <w:lang w:val="es-ES_tradnl"/>
              </w:rPr>
              <w:br/>
              <w:t>(CEDAW/C/COL/2 y 3)</w:t>
            </w:r>
            <w:r>
              <w:rPr>
                <w:kern w:val="2"/>
                <w:lang w:val="es-ES_tradnl"/>
              </w:rPr>
              <w:br/>
              <w:t>2 de septiembre de 1993</w:t>
            </w:r>
            <w:r>
              <w:rPr>
                <w:kern w:val="2"/>
                <w:lang w:val="es-ES_tradnl"/>
              </w:rPr>
              <w:br/>
              <w:t>(CEDAW/C/COL/2 y 3/Rev.1)</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br/>
            </w:r>
            <w:r>
              <w:rPr>
                <w:kern w:val="2"/>
                <w:lang w:val="es-ES_tradnl"/>
              </w:rPr>
              <w:br/>
              <w:t>13° (1994)</w:t>
            </w:r>
            <w:r>
              <w:rPr>
                <w:kern w:val="2"/>
                <w:lang w:val="es-ES_tradnl"/>
              </w:rPr>
              <w:br/>
            </w:r>
            <w:r>
              <w:rPr>
                <w:kern w:val="2"/>
                <w:lang w:val="es-ES_tradnl"/>
              </w:rPr>
              <w:br/>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Congo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agosto de 1991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Costa Rica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mayo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Cuba</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marzo de 1992</w:t>
            </w:r>
            <w:r>
              <w:rPr>
                <w:kern w:val="2"/>
                <w:lang w:val="es-ES_tradnl"/>
              </w:rPr>
              <w:br/>
              <w:t>(CEDAW/C/CUB/2 y 3)</w:t>
            </w:r>
            <w:r>
              <w:rPr>
                <w:kern w:val="2"/>
                <w:lang w:val="es-ES_tradnl"/>
              </w:rPr>
              <w:br/>
              <w:t>30 de noviembre de 1995</w:t>
            </w:r>
            <w:r>
              <w:rPr>
                <w:kern w:val="2"/>
                <w:lang w:val="es-ES_tradnl"/>
              </w:rPr>
              <w:br/>
              <w:t>(CEDAW/C/CUB/2 y 3/Add.1)</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Dinamarca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de mayo de 1992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mayo de 1993</w:t>
            </w:r>
            <w:r>
              <w:rPr>
                <w:kern w:val="2"/>
                <w:lang w:val="es-ES_tradnl"/>
              </w:rPr>
              <w:br/>
              <w:t>(CEDAW/C/DEN/3)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Dominica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Ecuador</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9 de diciembre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23 de diciembre de 1991</w:t>
            </w:r>
            <w:r>
              <w:rPr>
                <w:kern w:val="2"/>
                <w:lang w:val="es-ES_tradnl"/>
              </w:rPr>
              <w:br/>
              <w:t>(CEDAW/C/ECU/3)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(1994)</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Egipto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octubre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30 de enero de 1996</w:t>
            </w:r>
            <w:r>
              <w:rPr>
                <w:kern w:val="2"/>
                <w:lang w:val="es-ES_tradnl"/>
              </w:rPr>
              <w:br/>
              <w:t>(CEDAW/C/EGY/3)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24º (2001)</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El Salvador</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de julio de 2001</w:t>
            </w:r>
            <w:r>
              <w:rPr>
                <w:kern w:val="2"/>
                <w:lang w:val="es-ES_tradnl"/>
              </w:rPr>
              <w:br/>
              <w:t>(CEDAW/C/SLV/3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Estonia </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20 de noviembre de 2000 </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n-US"/>
              </w:rPr>
            </w:pPr>
            <w:r>
              <w:rPr>
                <w:kern w:val="2"/>
                <w:lang w:val="es-ES_tradnl"/>
              </w:rPr>
              <w:t>14 de junio de 2001</w:t>
            </w:r>
            <w:r>
              <w:rPr>
                <w:kern w:val="2"/>
                <w:lang w:val="es-ES_tradnl"/>
              </w:rPr>
              <w:br/>
              <w:t>(</w:t>
            </w:r>
            <w:r>
              <w:rPr>
                <w:kern w:val="2"/>
                <w:lang w:val="en-US"/>
              </w:rPr>
              <w:t>CEDAW/C/EST/1 a 3)</w:t>
            </w:r>
          </w:p>
        </w:tc>
        <w:tc>
          <w:tcPr>
            <w:tcW w:w="1840" w:type="dxa"/>
            <w:gridSpan w:val="3"/>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n-US"/>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España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febrero de 1993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de mayo de 1996</w:t>
            </w:r>
            <w:r>
              <w:rPr>
                <w:kern w:val="2"/>
                <w:lang w:val="es-ES_tradnl"/>
              </w:rPr>
              <w:br/>
              <w:t>(CEDAW/C/ESP/3)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(1999)</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Etiopía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octubre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abril de 1993</w:t>
            </w:r>
            <w:r>
              <w:rPr>
                <w:kern w:val="2"/>
                <w:lang w:val="es-ES_tradnl"/>
              </w:rPr>
              <w:br/>
              <w:t>(CEDAW/C/ETH/1 a 3)</w:t>
            </w:r>
            <w:r>
              <w:rPr>
                <w:kern w:val="2"/>
                <w:lang w:val="es-ES_tradnl"/>
              </w:rPr>
              <w:br/>
              <w:t>16 de octubre de 1995</w:t>
            </w:r>
            <w:r>
              <w:rPr>
                <w:kern w:val="2"/>
                <w:lang w:val="es-ES_tradnl"/>
              </w:rPr>
              <w:br/>
              <w:t>(CEDAW/C/ETH/1 a 3/Add.1)</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Federación de Rusia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24 de julio de 1991</w:t>
            </w:r>
            <w:r>
              <w:rPr>
                <w:kern w:val="2"/>
                <w:lang w:val="es-ES_tradnl"/>
              </w:rPr>
              <w:br/>
              <w:t>(CEDAW/C/USR/3)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Filipinas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de enero de 1993</w:t>
            </w:r>
            <w:r>
              <w:rPr>
                <w:kern w:val="2"/>
                <w:lang w:val="es-ES_tradnl"/>
              </w:rPr>
              <w:br/>
              <w:t>(CEDAW/C/PHI/3)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Finlandia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octubre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28 de enero de 1997</w:t>
            </w:r>
            <w:r>
              <w:rPr>
                <w:kern w:val="2"/>
                <w:lang w:val="es-ES_tradnl"/>
              </w:rPr>
              <w:br/>
              <w:t>(CEDAW/C/FIN/3)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24° (2001)</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Francia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enero de 1993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5 de octubre de 1999</w:t>
            </w:r>
            <w:r>
              <w:rPr>
                <w:kern w:val="2"/>
                <w:lang w:val="es-ES_tradnl"/>
              </w:rPr>
              <w:br/>
              <w:t>(CEDAW/C/FRA/3)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Gabón</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de febrero de 1992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Ghana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1º de febrero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Granada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septiembre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Grecia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julio de 1992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1º de marzo de 1996</w:t>
            </w:r>
            <w:r>
              <w:rPr>
                <w:kern w:val="2"/>
                <w:lang w:val="es-ES_tradnl"/>
              </w:rPr>
              <w:br/>
              <w:t>(CEDAW/C/GRC/2 y 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(1999)</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Guatemala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11 de septiembre de 1991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de marzo de 2001</w:t>
            </w:r>
            <w:r>
              <w:rPr>
                <w:kern w:val="2"/>
                <w:lang w:val="es-ES_tradnl"/>
              </w:rPr>
              <w:br/>
              <w:t>(CEDAW/C/GUA/3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Guinea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septiembre de 1991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agosto de 2000</w:t>
            </w:r>
            <w:r>
              <w:rPr>
                <w:kern w:val="2"/>
                <w:lang w:val="es-ES_tradnl"/>
              </w:rPr>
              <w:br/>
              <w:t>(CEDAW/C/GIN/1 a 3 y Corr.1)</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(2001)</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Guinea-Bissau</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Guinea Ecuatorial</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noviembre de 1993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enero de 1994</w:t>
            </w:r>
            <w:r>
              <w:rPr>
                <w:kern w:val="2"/>
                <w:lang w:val="es-ES_tradnl"/>
              </w:rPr>
              <w:br/>
              <w:t>(CEDAW/C/GNQ/2 y 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Guyana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Haití</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Honduras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abril de 1992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31 de mayo de 1991</w:t>
            </w:r>
            <w:r>
              <w:rPr>
                <w:kern w:val="2"/>
                <w:lang w:val="es-ES_tradnl"/>
              </w:rPr>
              <w:br/>
              <w:t>(CEDAW/C/HON/3)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11° (1992)</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Hungría</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abril de 1991</w:t>
            </w:r>
            <w:r>
              <w:rPr>
                <w:kern w:val="2"/>
                <w:lang w:val="es-ES_tradnl"/>
              </w:rPr>
              <w:br/>
              <w:t>(CEDAW/C/HUN/3)</w:t>
            </w:r>
            <w:r>
              <w:rPr>
                <w:kern w:val="2"/>
                <w:lang w:val="es-ES_tradnl"/>
              </w:rPr>
              <w:br/>
              <w:t>3 de noviembre de 1995</w:t>
            </w:r>
            <w:r>
              <w:rPr>
                <w:kern w:val="2"/>
                <w:lang w:val="es-ES_tradnl"/>
              </w:rPr>
              <w:br/>
              <w:t>(CEDAW/C/HUN/3/Add.1)</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Indonesia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octubre de 1993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febrero de 1997</w:t>
            </w:r>
            <w:r>
              <w:rPr>
                <w:kern w:val="2"/>
                <w:lang w:val="es-ES_tradnl"/>
              </w:rPr>
              <w:br/>
              <w:t>(CEDAW/C/IDN/2 y 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Iraq</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12 de septiembre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octubre de 1998</w:t>
            </w:r>
            <w:r>
              <w:rPr>
                <w:kern w:val="2"/>
                <w:lang w:val="es-ES_tradnl"/>
              </w:rPr>
              <w:br/>
              <w:t>(CEDAW/C/IRQ/2 y 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23° (2000)</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Irlanda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enero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agosto de 1997</w:t>
            </w:r>
            <w:r>
              <w:rPr>
                <w:kern w:val="2"/>
                <w:lang w:val="es-ES_tradnl"/>
              </w:rPr>
              <w:br/>
              <w:t>(CEDAW/C/IRL/2 y 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(1999)</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Islandia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julio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15 de julio de 1998</w:t>
            </w:r>
            <w:r>
              <w:rPr>
                <w:kern w:val="2"/>
                <w:lang w:val="es-ES_tradnl"/>
              </w:rPr>
              <w:br/>
              <w:t>(CEDAW/C/ICE/3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Israel</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noviembre de 2000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Italia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julio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de junio de 1997</w:t>
            </w:r>
            <w:r>
              <w:rPr>
                <w:kern w:val="2"/>
                <w:lang w:val="es-ES_tradnl"/>
              </w:rPr>
              <w:br/>
              <w:t>(CEDAW/C/ITA/3)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Jamahiriya Árabe Libia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15 de junio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Jamaica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noviembre de 1993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de febrero de 1998</w:t>
            </w:r>
            <w:r>
              <w:rPr>
                <w:kern w:val="2"/>
                <w:lang w:val="es-ES_tradnl"/>
              </w:rPr>
              <w:br/>
              <w:t xml:space="preserve">(CEDAW/C/JAM/2 a 4) </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24º (2001)</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Japón</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julio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28 de octubre de 1993</w:t>
            </w:r>
            <w:r>
              <w:rPr>
                <w:kern w:val="2"/>
                <w:lang w:val="es-ES_tradnl"/>
              </w:rPr>
              <w:br/>
              <w:t>(CEDAW/C/JPN/3)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(1994)</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Jordania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31 de julio de 2001 </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Kenya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abril de 1993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5 de enero de 2000</w:t>
            </w:r>
            <w:r>
              <w:rPr>
                <w:kern w:val="2"/>
                <w:lang w:val="es-ES_tradnl"/>
              </w:rPr>
              <w:br/>
              <w:t>(CEDAW/KEN/3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Letonia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14 de mayo de 2001 </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Liberia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de agosto de 1993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Luxemburgo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marzo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12 de marzo de 1998</w:t>
            </w:r>
            <w:r>
              <w:rPr>
                <w:kern w:val="2"/>
                <w:lang w:val="es-ES_tradnl"/>
              </w:rPr>
              <w:br/>
              <w:t>(CEDAW/C/LUX/3)</w:t>
            </w:r>
            <w:r>
              <w:rPr>
                <w:kern w:val="2"/>
                <w:lang w:val="es-ES_tradnl"/>
              </w:rPr>
              <w:br/>
              <w:t>17 de junio de 1998</w:t>
            </w:r>
            <w:r>
              <w:rPr>
                <w:kern w:val="2"/>
                <w:lang w:val="es-ES_tradnl"/>
              </w:rPr>
              <w:br/>
              <w:t>(CEDAW/C/LUX/3/Add.1)</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Madagascar</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de abril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Malawi</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11 de abril de 1996</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Malí</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octubre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Malta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abril de 2000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Mauricio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agosto de 1993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México </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 de diciembre de 1992</w:t>
            </w:r>
            <w:r>
              <w:rPr>
                <w:kern w:val="2"/>
                <w:vertAlign w:val="superscript"/>
                <w:lang w:val="es-ES_tradnl"/>
              </w:rPr>
              <w:t>c</w:t>
            </w:r>
            <w:r>
              <w:rPr>
                <w:kern w:val="2"/>
                <w:lang w:val="es-ES_tradnl"/>
              </w:rPr>
              <w:br/>
              <w:t>7 de abril de 1997</w:t>
            </w:r>
            <w:r>
              <w:rPr>
                <w:kern w:val="2"/>
                <w:lang w:val="es-ES_tradnl"/>
              </w:rPr>
              <w:br/>
              <w:t>(CEDAW/C/MEX/3 y 4)</w:t>
            </w:r>
          </w:p>
        </w:tc>
        <w:tc>
          <w:tcPr>
            <w:tcW w:w="1840" w:type="dxa"/>
            <w:gridSpan w:val="3"/>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Mongolia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diciembre de 1998</w:t>
            </w:r>
            <w:r>
              <w:rPr>
                <w:kern w:val="2"/>
                <w:lang w:val="es-ES_tradnl"/>
              </w:rPr>
              <w:br/>
              <w:t>(CEDAW/C/MNG/3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24º (2001) </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Nepal</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mayo de 2000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Nicaragua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de noviembre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15 de octubre de 1992</w:t>
            </w:r>
            <w:r>
              <w:rPr>
                <w:kern w:val="2"/>
                <w:lang w:val="es-ES_tradnl"/>
              </w:rPr>
              <w:br/>
              <w:t>(CEDAW/C/NIC/3)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Nigeria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julio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febrero de 1997</w:t>
            </w:r>
            <w:r>
              <w:rPr>
                <w:kern w:val="2"/>
                <w:lang w:val="es-ES_tradnl"/>
              </w:rPr>
              <w:br/>
              <w:t>(CEDAW/C/NGA/2 y 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Noruega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enero de 1991</w:t>
            </w:r>
            <w:r>
              <w:rPr>
                <w:kern w:val="2"/>
                <w:lang w:val="es-ES_tradnl"/>
              </w:rPr>
              <w:br/>
              <w:t>(CEDAW/C/NOR/3)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spacing w:val="2"/>
                <w:kern w:val="2"/>
                <w:lang w:val="es-ES_tradnl"/>
              </w:rPr>
            </w:pPr>
            <w:r>
              <w:rPr>
                <w:spacing w:val="2"/>
                <w:kern w:val="2"/>
                <w:lang w:val="es-ES_tradnl"/>
              </w:rPr>
              <w:t>Nueva Zelandia</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spacing w:val="2"/>
                <w:kern w:val="2"/>
                <w:lang w:val="es-ES_tradnl"/>
              </w:rPr>
            </w:pPr>
            <w:r>
              <w:rPr>
                <w:spacing w:val="2"/>
                <w:kern w:val="2"/>
                <w:lang w:val="es-ES_tradnl"/>
              </w:rPr>
              <w:t>9 de febrero de 1994</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spacing w:val="2"/>
                <w:kern w:val="2"/>
                <w:lang w:val="es-ES_tradnl"/>
              </w:rPr>
            </w:pPr>
            <w:r>
              <w:rPr>
                <w:spacing w:val="2"/>
                <w:kern w:val="2"/>
                <w:lang w:val="es-ES_tradnl"/>
              </w:rPr>
              <w:t>2 de marzo de 1998</w:t>
            </w:r>
            <w:r>
              <w:rPr>
                <w:spacing w:val="2"/>
                <w:kern w:val="2"/>
                <w:lang w:val="es-ES_tradnl"/>
              </w:rPr>
              <w:br/>
              <w:t>(CEDAW/C/NZL/3 y 4)</w:t>
            </w:r>
            <w:r>
              <w:rPr>
                <w:spacing w:val="2"/>
                <w:kern w:val="2"/>
                <w:lang w:val="es-ES_tradnl"/>
              </w:rPr>
              <w:br/>
              <w:t>15 de abril de 1998</w:t>
            </w:r>
            <w:r>
              <w:rPr>
                <w:spacing w:val="2"/>
                <w:kern w:val="2"/>
                <w:lang w:val="es-ES_tradnl"/>
              </w:rPr>
              <w:br/>
              <w:t>(CEDAW/C/NZL/3 y 4/Add.1)</w:t>
            </w:r>
          </w:p>
        </w:tc>
        <w:tc>
          <w:tcPr>
            <w:tcW w:w="1840" w:type="dxa"/>
            <w:gridSpan w:val="3"/>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spacing w:val="2"/>
                <w:kern w:val="2"/>
                <w:lang w:val="es-ES_tradnl"/>
              </w:rPr>
            </w:pPr>
            <w:r>
              <w:rPr>
                <w:spacing w:val="2"/>
                <w:kern w:val="2"/>
                <w:lang w:val="es-ES_tradnl"/>
              </w:rPr>
              <w:t>19° (1998)</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Países Bajos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22 de agosto de 2000 </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spacing w:val="2"/>
                <w:kern w:val="2"/>
                <w:lang w:val="en-US"/>
              </w:rPr>
            </w:pPr>
            <w:r>
              <w:rPr>
                <w:spacing w:val="2"/>
                <w:kern w:val="2"/>
                <w:lang w:val="es-ES_tradnl"/>
              </w:rPr>
              <w:t>13 de noviembre de 2000</w:t>
            </w:r>
            <w:r>
              <w:rPr>
                <w:spacing w:val="2"/>
                <w:kern w:val="2"/>
                <w:lang w:val="es-ES_tradnl"/>
              </w:rPr>
              <w:br/>
            </w:r>
            <w:r>
              <w:rPr>
                <w:spacing w:val="2"/>
                <w:kern w:val="2"/>
                <w:lang w:val="en-US"/>
              </w:rPr>
              <w:t>(CEDAW/C/NET/3 y Add.1 y 2)</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25º (2001)</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Panamá</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28 de noviembre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de enero de 1997</w:t>
            </w:r>
            <w:r>
              <w:rPr>
                <w:kern w:val="2"/>
                <w:lang w:val="es-ES_tradnl"/>
              </w:rPr>
              <w:br/>
              <w:t>(CEDAW/C/PAN/2 y 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Paraguay</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mayo de 1996</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Perú</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octubre de 1991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noviembre de 1994</w:t>
            </w:r>
            <w:r>
              <w:rPr>
                <w:kern w:val="2"/>
                <w:lang w:val="es-ES_tradnl"/>
              </w:rPr>
              <w:br/>
              <w:t>(CEDAW/C/PER/3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Polonia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noviembre de 1990</w:t>
            </w:r>
            <w:r>
              <w:rPr>
                <w:kern w:val="2"/>
                <w:lang w:val="es-ES_tradnl"/>
              </w:rPr>
              <w:br/>
              <w:t>(CEDAW/C/18/Add.2)</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Décimo (1991)</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Portugal</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diciembre de 1990</w:t>
            </w:r>
            <w:r>
              <w:rPr>
                <w:kern w:val="2"/>
                <w:lang w:val="es-ES_tradnl"/>
              </w:rPr>
              <w:br/>
              <w:t>(CEDAW/C/18/Add.3)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Décimo (1991)</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Reino Unido de Gran Bretaña e Irlanda del Norte</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mayo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de agosto de 1995</w:t>
            </w:r>
            <w:r>
              <w:rPr>
                <w:kern w:val="2"/>
                <w:lang w:val="es-ES_tradnl"/>
              </w:rPr>
              <w:br/>
              <w:t>(CEDAW/C/UK/3)</w:t>
            </w:r>
            <w:r>
              <w:rPr>
                <w:kern w:val="2"/>
                <w:lang w:val="es-ES_tradnl"/>
              </w:rPr>
              <w:br/>
              <w:t>8 de agosto de 1997</w:t>
            </w:r>
            <w:r>
              <w:rPr>
                <w:kern w:val="2"/>
                <w:lang w:val="es-ES_tradnl"/>
              </w:rPr>
              <w:br/>
              <w:t>(CEDAW/C/UK/3/Add.1)</w:t>
            </w:r>
            <w:r>
              <w:rPr>
                <w:kern w:val="2"/>
                <w:lang w:val="es-ES_tradnl"/>
              </w:rPr>
              <w:br/>
              <w:t>14 de julio de 1998</w:t>
            </w:r>
            <w:r>
              <w:rPr>
                <w:kern w:val="2"/>
                <w:lang w:val="es-ES_tradnl"/>
              </w:rPr>
              <w:br/>
              <w:t>(CEDAW/C/UK/3/Add.2)</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(1999)</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República Centroafricana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de julio de 2000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República Checa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24 de marzo de 2001 </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República de Corea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de enero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septiembre de 1994</w:t>
            </w:r>
            <w:r>
              <w:rPr>
                <w:kern w:val="2"/>
                <w:lang w:val="es-ES_tradnl"/>
              </w:rPr>
              <w:br/>
              <w:t>(CEDAW/C/KOR/3)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República Democrática del Congo</w:t>
            </w:r>
            <w:r>
              <w:rPr>
                <w:kern w:val="2"/>
                <w:vertAlign w:val="superscript"/>
                <w:lang w:val="es-ES_tradnl"/>
              </w:rPr>
              <w:t>b</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de noviembre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julio de 1998</w:t>
            </w:r>
            <w:r>
              <w:rPr>
                <w:kern w:val="2"/>
                <w:lang w:val="es-ES_tradnl"/>
              </w:rPr>
              <w:br/>
              <w:t>(CEDAW/C/COD/1)</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República Democrática Popular Lao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República Dominicana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octubre de 1991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de abril de 1993</w:t>
            </w:r>
            <w:r>
              <w:rPr>
                <w:kern w:val="2"/>
                <w:lang w:val="es-ES_tradnl"/>
              </w:rPr>
              <w:br/>
              <w:t>(CEDAW/C/DOM/2 y 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República Unida de Tanzanía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septiembre de 1996</w:t>
            </w:r>
            <w:r>
              <w:rPr>
                <w:kern w:val="2"/>
                <w:lang w:val="es-ES_tradnl"/>
              </w:rPr>
              <w:br/>
              <w:t>(CEDAW/C/TZA/2 y 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Rumania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febrero de 1991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de octubre de 1992</w:t>
            </w:r>
            <w:r>
              <w:rPr>
                <w:kern w:val="2"/>
                <w:lang w:val="es-ES_tradnl"/>
              </w:rPr>
              <w:br/>
              <w:t>(CEDAW/C/ROM/2 y 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Rwanda</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enero de 1991</w:t>
            </w:r>
            <w:r>
              <w:rPr>
                <w:kern w:val="2"/>
                <w:lang w:val="es-ES_tradnl"/>
              </w:rPr>
              <w:br/>
              <w:t>(CEDAW/C/RWA/3)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n-US"/>
              </w:rPr>
            </w:pPr>
            <w:r>
              <w:rPr>
                <w:kern w:val="2"/>
                <w:lang w:val="en-US"/>
              </w:rPr>
              <w:t>12° (1993)</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n-US"/>
              </w:rPr>
            </w:pPr>
            <w:r>
              <w:rPr>
                <w:kern w:val="2"/>
                <w:lang w:val="en-US"/>
              </w:rPr>
              <w:t>Saint Kitts y Nevis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mayo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Santa Lucía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noviembre de 1991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San Vicente y las Granadinas</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de septiembre de 1991</w:t>
            </w:r>
            <w:r>
              <w:rPr>
                <w:kern w:val="2"/>
                <w:lang w:val="es-ES_tradnl"/>
              </w:rPr>
              <w:br/>
              <w:t>(CEDAW/C/STV/1 a 3)</w:t>
            </w:r>
            <w:r>
              <w:rPr>
                <w:kern w:val="2"/>
                <w:lang w:val="es-ES_tradnl"/>
              </w:rPr>
              <w:br/>
              <w:t>28 de julio de 1994</w:t>
            </w:r>
            <w:r>
              <w:rPr>
                <w:kern w:val="2"/>
                <w:lang w:val="es-ES_tradnl"/>
              </w:rPr>
              <w:br/>
              <w:t>(CEDAW/C/STV/1 a 3/Add.1)</w:t>
            </w:r>
          </w:p>
        </w:tc>
        <w:tc>
          <w:tcPr>
            <w:tcW w:w="1840" w:type="dxa"/>
            <w:gridSpan w:val="3"/>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Senegal</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marzo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Seychelles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junio de 2001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Sierra Leona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11 de diciembre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Sri Lanka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noviembre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octubre de 1999</w:t>
            </w:r>
            <w:r>
              <w:rPr>
                <w:kern w:val="2"/>
                <w:lang w:val="es-ES_tradnl"/>
              </w:rPr>
              <w:br/>
              <w:t>(CEDAW/LKA/3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Suecia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octubre de 1990</w:t>
            </w:r>
            <w:r>
              <w:rPr>
                <w:kern w:val="2"/>
                <w:lang w:val="es-ES_tradnl"/>
              </w:rPr>
              <w:br/>
              <w:t>(CEDAW/C/18/Add.1)</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Tailandia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marzo de 1997</w:t>
            </w:r>
            <w:r>
              <w:rPr>
                <w:kern w:val="2"/>
                <w:lang w:val="es-ES_tradnl"/>
              </w:rPr>
              <w:br/>
              <w:t>(CEDAW/C/THA/2 y 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(1999)</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Togo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de octubre de 1992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Trinidad y Tabago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11 de febrero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Túnez</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de octubre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de julio de 2000</w:t>
            </w:r>
            <w:r>
              <w:rPr>
                <w:kern w:val="2"/>
                <w:lang w:val="es-ES_tradnl"/>
              </w:rPr>
              <w:br/>
              <w:t>(CEDAW/C/TUN/3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Turquía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de enero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1996</w:t>
            </w:r>
            <w:r>
              <w:rPr>
                <w:kern w:val="2"/>
                <w:lang w:val="es-ES_tradnl"/>
              </w:rPr>
              <w:br/>
              <w:t>(CEDAW/C/TUR/2 y 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Ucrania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31 de mayo de 1991</w:t>
            </w:r>
            <w:r>
              <w:rPr>
                <w:kern w:val="2"/>
                <w:lang w:val="es-ES_tradnl"/>
              </w:rPr>
              <w:br/>
              <w:t>(CEDAW/C/UKR/3)</w:t>
            </w:r>
            <w:r>
              <w:rPr>
                <w:kern w:val="2"/>
                <w:lang w:val="es-ES_tradnl"/>
              </w:rPr>
              <w:br/>
              <w:t>21 de noviembre de 1995</w:t>
            </w:r>
            <w:r>
              <w:rPr>
                <w:kern w:val="2"/>
                <w:lang w:val="es-ES_tradnl"/>
              </w:rPr>
              <w:br/>
              <w:t>(CEDAW/C/UKR/3/Add.1)</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Uganda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de agosto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mayo de 2000</w:t>
            </w:r>
            <w:r>
              <w:rPr>
                <w:kern w:val="2"/>
                <w:lang w:val="es-ES_tradnl"/>
              </w:rPr>
              <w:br/>
              <w:t>(CEDAW/C/UGA/3)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Uruguay</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noviembre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febrero de 1999</w:t>
            </w:r>
            <w:r>
              <w:rPr>
                <w:kern w:val="2"/>
                <w:lang w:val="es-ES_tradnl"/>
              </w:rPr>
              <w:br/>
              <w:t>(CEDAW/C/URY/2 y 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Venezuela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1º de junio de 1992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febrero de 1995</w:t>
            </w:r>
            <w:r>
              <w:rPr>
                <w:kern w:val="2"/>
                <w:lang w:val="es-ES_tradnl"/>
              </w:rPr>
              <w:br/>
              <w:t>(CEDAW/C/VEN/3)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Viet Nam</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de marzo de 1991</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octubre de 2000</w:t>
            </w:r>
            <w:r>
              <w:rPr>
                <w:kern w:val="2"/>
                <w:lang w:val="es-ES_tradnl"/>
              </w:rPr>
              <w:br/>
              <w:t>(CEDAW/C/VNM/3 y 4)</w:t>
            </w:r>
          </w:p>
        </w:tc>
        <w:tc>
          <w:tcPr>
            <w:tcW w:w="1840" w:type="dxa"/>
            <w:gridSpan w:val="3"/>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25º (2001)</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Yemen</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 de junio de 1993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noviembre de 1992</w:t>
            </w:r>
            <w:r>
              <w:rPr>
                <w:kern w:val="2"/>
                <w:lang w:val="es-ES_tradnl"/>
              </w:rPr>
              <w:br/>
              <w:t>(CEDAW/C/YEM/3)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Zambia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de julio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12 de agosto de 1999</w:t>
            </w:r>
            <w:r>
              <w:rPr>
                <w:kern w:val="2"/>
                <w:lang w:val="es-ES_tradnl"/>
              </w:rPr>
              <w:br/>
              <w:t>(CEDAW/C/ZAM/3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5130" w:type="dxa"/>
            <w:gridSpan w:val="2"/>
          </w:tcPr>
          <w:p w:rsidR="00000000" w:rsidRDefault="00000000">
            <w:pPr>
              <w:keepNext/>
              <w:keepLines/>
              <w:tabs>
                <w:tab w:val="left" w:pos="0"/>
                <w:tab w:val="left" w:pos="36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0" w:after="80"/>
              <w:ind w:right="43"/>
              <w:rPr>
                <w:b/>
                <w:kern w:val="2"/>
                <w:lang w:val="es-ES_tradnl"/>
              </w:rPr>
            </w:pPr>
            <w:r>
              <w:rPr>
                <w:b/>
                <w:kern w:val="2"/>
                <w:lang w:val="es-ES_tradnl"/>
              </w:rPr>
              <w:t>D.</w:t>
            </w:r>
            <w:r>
              <w:rPr>
                <w:b/>
                <w:kern w:val="2"/>
                <w:lang w:val="es-ES_tradnl"/>
              </w:rPr>
              <w:tab/>
              <w:t>Cuartos informes periódicos</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0" w:after="80"/>
              <w:ind w:right="43"/>
              <w:rPr>
                <w:b/>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0" w:after="80"/>
              <w:ind w:right="43"/>
              <w:rPr>
                <w:b/>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Alemania</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9 de agosto de 1998</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de octubre de 1998</w:t>
            </w:r>
            <w:r>
              <w:rPr>
                <w:kern w:val="2"/>
                <w:lang w:val="es-ES_tradnl"/>
              </w:rPr>
              <w:br/>
              <w:t>(CEDAW/C/DEU/4)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Angola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de octubre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Argentina</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14 de agosto de 1998</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enero de 2000</w:t>
            </w:r>
            <w:r>
              <w:rPr>
                <w:kern w:val="2"/>
                <w:lang w:val="es-ES_tradnl"/>
              </w:rPr>
              <w:br/>
              <w:t>(CEDAW/C/ARG/4)</w:t>
            </w:r>
          </w:p>
        </w:tc>
        <w:tc>
          <w:tcPr>
            <w:tcW w:w="1840" w:type="dxa"/>
            <w:gridSpan w:val="3"/>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Australia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de agosto de 1996</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Austria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30 de abril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abril de 1997</w:t>
            </w:r>
            <w:r>
              <w:rPr>
                <w:kern w:val="2"/>
                <w:lang w:val="es-ES_tradnl"/>
              </w:rPr>
              <w:br/>
              <w:t>(CEDAW/C/AUT/3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23° (2000)</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Bangladesh</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diciembre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de marzo de 1997</w:t>
            </w:r>
            <w:r>
              <w:rPr>
                <w:kern w:val="2"/>
                <w:lang w:val="es-ES_tradnl"/>
              </w:rPr>
              <w:br/>
              <w:t>(CEDAW/C/BGD/3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Barbados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n-US"/>
              </w:rPr>
            </w:pPr>
            <w:r>
              <w:rPr>
                <w:kern w:val="2"/>
                <w:lang w:val="es-ES_tradnl"/>
              </w:rPr>
              <w:t>24 de noviembre de 2000</w:t>
            </w:r>
            <w:r>
              <w:rPr>
                <w:kern w:val="2"/>
                <w:lang w:val="es-ES_tradnl"/>
              </w:rPr>
              <w:br/>
              <w:t>(</w:t>
            </w:r>
            <w:r>
              <w:rPr>
                <w:kern w:val="2"/>
                <w:lang w:val="en-US"/>
              </w:rPr>
              <w:t>CEDAW/C/BAR/4)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n-US"/>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Belarús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Bélgica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9 de agosto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 de octubre de 1998</w:t>
            </w:r>
            <w:r>
              <w:rPr>
                <w:kern w:val="2"/>
                <w:lang w:val="es-ES_tradnl"/>
              </w:rPr>
              <w:br/>
              <w:t>(CEDAW/C/BEL/3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Bhután</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30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Brasil</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marzo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Bulgaria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marzo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Burkina Faso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noviembre de 2000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Cabo Verde</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Canadá</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9 de enero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octubre de 1995</w:t>
            </w:r>
            <w:r>
              <w:rPr>
                <w:kern w:val="2"/>
                <w:lang w:val="es-ES_tradnl"/>
              </w:rPr>
              <w:br/>
              <w:t>(CEDAW/C/CAN/4)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China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 de mayo de 1997</w:t>
            </w:r>
            <w:r>
              <w:rPr>
                <w:kern w:val="2"/>
                <w:lang w:val="es-ES_tradnl"/>
              </w:rPr>
              <w:br/>
              <w:t>(CEDAW/C/CHN/3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(1999)</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spacing w:before="40" w:after="40"/>
              <w:rPr>
                <w:kern w:val="2"/>
                <w:lang w:val="es-ES_tradnl"/>
              </w:rPr>
            </w:pPr>
            <w:r>
              <w:rPr>
                <w:kern w:val="2"/>
                <w:lang w:val="es-ES_tradnl"/>
              </w:rPr>
              <w:t>Chipre</w:t>
            </w:r>
          </w:p>
        </w:tc>
        <w:tc>
          <w:tcPr>
            <w:tcW w:w="2430" w:type="dxa"/>
          </w:tcPr>
          <w:p w:rsidR="00000000" w:rsidRDefault="00000000">
            <w:pPr>
              <w:tabs>
                <w:tab w:val="left" w:pos="288"/>
                <w:tab w:val="left" w:pos="576"/>
                <w:tab w:val="left" w:pos="864"/>
                <w:tab w:val="left" w:pos="1152"/>
              </w:tabs>
              <w:spacing w:before="40" w:after="40"/>
            </w:pPr>
            <w:r>
              <w:t>22 de agosto de 1998</w:t>
            </w:r>
          </w:p>
        </w:tc>
        <w:tc>
          <w:tcPr>
            <w:tcW w:w="2880" w:type="dxa"/>
          </w:tcPr>
          <w:p w:rsidR="00000000" w:rsidRDefault="00000000">
            <w:pPr>
              <w:tabs>
                <w:tab w:val="left" w:pos="288"/>
                <w:tab w:val="left" w:pos="576"/>
                <w:tab w:val="left" w:pos="864"/>
                <w:tab w:val="left" w:pos="1152"/>
              </w:tabs>
              <w:spacing w:before="40" w:after="40"/>
              <w:rPr>
                <w:sz w:val="17"/>
              </w:rPr>
            </w:pPr>
          </w:p>
        </w:tc>
        <w:tc>
          <w:tcPr>
            <w:tcW w:w="1840" w:type="dxa"/>
            <w:gridSpan w:val="3"/>
          </w:tcPr>
          <w:p w:rsidR="00000000" w:rsidRDefault="00000000">
            <w:pPr>
              <w:tabs>
                <w:tab w:val="left" w:pos="288"/>
                <w:tab w:val="left" w:pos="576"/>
                <w:tab w:val="left" w:pos="864"/>
                <w:tab w:val="left" w:pos="1152"/>
              </w:tabs>
              <w:spacing w:before="40" w:after="40"/>
              <w:rPr>
                <w:sz w:val="17"/>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Colombia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febrero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julio de 1997</w:t>
            </w:r>
            <w:r>
              <w:rPr>
                <w:kern w:val="2"/>
                <w:lang w:val="es-ES_tradnl"/>
              </w:rPr>
              <w:br/>
              <w:t>(CEDAW/C/COL/4)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(1999)</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Congo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agosto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Costa Rica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mayo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Cuba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de septiembre de 1999</w:t>
            </w:r>
            <w:r>
              <w:rPr>
                <w:kern w:val="2"/>
                <w:lang w:val="es-ES_tradnl"/>
              </w:rPr>
              <w:br/>
              <w:t>(CEDAW/C/CUB/4)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23° (2000)</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Dinamarca</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de mayo de 1996</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9 de enero de 1997</w:t>
            </w:r>
            <w:r>
              <w:rPr>
                <w:kern w:val="2"/>
                <w:lang w:val="es-ES_tradnl"/>
              </w:rPr>
              <w:br/>
              <w:t>(CEDAW/C/DEN/4)</w:t>
            </w:r>
          </w:p>
        </w:tc>
        <w:tc>
          <w:tcPr>
            <w:tcW w:w="1840" w:type="dxa"/>
            <w:gridSpan w:val="3"/>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Dominica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Ecuador</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9 de diciembre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Egipto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octubre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30 de marzo de 2000</w:t>
            </w:r>
            <w:r>
              <w:rPr>
                <w:kern w:val="2"/>
                <w:lang w:val="es-ES_tradnl"/>
              </w:rPr>
              <w:br/>
              <w:t>(CEDAW/C/EGY/4 y 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24° (2001)</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El Salvador</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octubre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26 de julio de 2001 </w:t>
            </w:r>
          </w:p>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CEDAW/C/SLV/3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España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febrero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de octubre de 1998</w:t>
            </w:r>
            <w:r>
              <w:rPr>
                <w:kern w:val="2"/>
                <w:lang w:val="es-ES_tradnl"/>
              </w:rPr>
              <w:br/>
              <w:t>(CEDAW/C/ESP/4)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w:t>
            </w:r>
            <w:r>
              <w:rPr>
                <w:rFonts w:ascii="Symbol" w:hAnsi="Symbol"/>
                <w:kern w:val="2"/>
                <w:lang w:val="es-ES_tradnl"/>
              </w:rPr>
              <w:t></w:t>
            </w:r>
            <w:r>
              <w:rPr>
                <w:kern w:val="2"/>
                <w:lang w:val="es-ES_tradnl"/>
              </w:rPr>
              <w:t xml:space="preserve"> (1999)</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Etiopía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octubre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Federación de Rusia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31 de agosto de 1994</w:t>
            </w:r>
            <w:r>
              <w:rPr>
                <w:kern w:val="2"/>
                <w:lang w:val="es-ES_tradnl"/>
              </w:rPr>
              <w:br/>
              <w:t>(CEDAW/C/USR/4)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Filipinas</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septiembre de 1994</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abril de 1996</w:t>
            </w:r>
            <w:r>
              <w:rPr>
                <w:kern w:val="2"/>
                <w:lang w:val="es-ES_tradnl"/>
              </w:rPr>
              <w:br/>
              <w:t>(CEDAW/C/PHI/4)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Finlandia</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octubre de 1999</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23 de noviembre de 1999</w:t>
            </w:r>
            <w:r>
              <w:rPr>
                <w:kern w:val="2"/>
                <w:lang w:val="es-ES_tradnl"/>
              </w:rPr>
              <w:br/>
              <w:t>(CEDAW/C/FIN/4)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24° (2001)</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Francia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enero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Gabón</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de febrero de 1996</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Ghana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 de febrero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Grecia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julio de 1996</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de abril de 2001</w:t>
            </w:r>
            <w:r>
              <w:rPr>
                <w:kern w:val="2"/>
                <w:lang w:val="es-ES_tradnl"/>
              </w:rPr>
              <w:br/>
              <w:t>(CEDAW/C/GRC/4 y 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Guatemala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11 de septiembre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de marzo de 2001</w:t>
            </w:r>
            <w:r>
              <w:rPr>
                <w:kern w:val="2"/>
                <w:lang w:val="es-ES_tradnl"/>
              </w:rPr>
              <w:br/>
              <w:t>(CEDAW/C/GUA/3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Guinea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septiembre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Guinea-Bissau</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septiembre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Guinea Ecuatorial</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noviembre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Guyana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Haití</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Honduras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abril de 1996</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Hungría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de septiembre de 2000</w:t>
            </w:r>
            <w:r>
              <w:rPr>
                <w:kern w:val="2"/>
                <w:lang w:val="es-ES_tradnl"/>
              </w:rPr>
              <w:br/>
              <w:t>(CEDAW/C/HUN/4 y 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Indonesia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octubre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Iraq</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12 de septiembre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Irlanda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enero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Islandia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julio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15 de julio de 1998</w:t>
            </w:r>
            <w:r>
              <w:rPr>
                <w:kern w:val="2"/>
                <w:lang w:val="es-ES_tradnl"/>
              </w:rPr>
              <w:br/>
              <w:t>(CEDAW/C/ICE/3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Italia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julio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Jamaica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noviembre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de febrero de 1998</w:t>
            </w:r>
            <w:r>
              <w:rPr>
                <w:kern w:val="2"/>
                <w:lang w:val="es-ES_tradnl"/>
              </w:rPr>
              <w:br/>
              <w:t>(CEDAW/C/JAM/2 a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24° (2001)</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Japón</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julio de 1998</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24 de julio de 1998</w:t>
            </w:r>
            <w:r>
              <w:rPr>
                <w:kern w:val="2"/>
                <w:lang w:val="es-ES_tradnl"/>
              </w:rPr>
              <w:br/>
              <w:t>(CEDAW/C/JPN/4)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Kenya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abril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5 de enero de 2000</w:t>
            </w:r>
            <w:r>
              <w:rPr>
                <w:kern w:val="2"/>
                <w:lang w:val="es-ES_tradnl"/>
              </w:rPr>
              <w:br/>
              <w:t>(CEDAW/C/KEN/3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Liberia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de agosto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Malawi</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11 de abril de 2000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Malí</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octubre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Mauricio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agosto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México</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 de diciembre de 1992</w:t>
            </w:r>
            <w:r>
              <w:rPr>
                <w:kern w:val="2"/>
                <w:vertAlign w:val="superscript"/>
                <w:lang w:val="es-ES_tradnl"/>
              </w:rPr>
              <w:t>c</w:t>
            </w:r>
            <w:r>
              <w:rPr>
                <w:kern w:val="2"/>
                <w:lang w:val="es-ES_tradnl"/>
              </w:rPr>
              <w:br/>
              <w:t>7 de marzo de 1997</w:t>
            </w:r>
            <w:r>
              <w:rPr>
                <w:kern w:val="2"/>
                <w:lang w:val="es-ES_tradnl"/>
              </w:rPr>
              <w:br/>
              <w:t>(CEDAW/C/MEX/3 y 4)</w:t>
            </w:r>
            <w:r>
              <w:rPr>
                <w:kern w:val="2"/>
                <w:lang w:val="es-ES_tradnl"/>
              </w:rPr>
              <w:br/>
              <w:t>9 de julio de 1997</w:t>
            </w:r>
            <w:r>
              <w:rPr>
                <w:kern w:val="2"/>
                <w:lang w:val="es-ES_tradnl"/>
              </w:rPr>
              <w:br/>
              <w:t>(CEDAW/C/MEX/3 y 4/Add.1)</w:t>
            </w:r>
          </w:p>
        </w:tc>
        <w:tc>
          <w:tcPr>
            <w:tcW w:w="1840" w:type="dxa"/>
            <w:gridSpan w:val="3"/>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Mongolia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diciembre de 1998</w:t>
            </w:r>
            <w:r>
              <w:rPr>
                <w:kern w:val="2"/>
                <w:lang w:val="es-ES_tradnl"/>
              </w:rPr>
              <w:br/>
              <w:t>(CEDAW/C/MNG/3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24º (2001)</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Nicaragua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de noviembre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de junio de 1998</w:t>
            </w:r>
            <w:r>
              <w:rPr>
                <w:kern w:val="2"/>
                <w:lang w:val="es-ES_tradnl"/>
              </w:rPr>
              <w:br/>
              <w:t>(CEDAW/C/NIC/4)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25º (2001)</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Nigeria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julio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Noruega</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1º de septiembre de 1994</w:t>
            </w:r>
            <w:r>
              <w:rPr>
                <w:kern w:val="2"/>
                <w:lang w:val="es-ES_tradnl"/>
              </w:rPr>
              <w:br/>
              <w:t>(CEDAW/C/NOR/4)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Nueva Zelandia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9 de febrero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marzo de 1998</w:t>
            </w:r>
            <w:r>
              <w:rPr>
                <w:kern w:val="2"/>
                <w:lang w:val="es-ES_tradnl"/>
              </w:rPr>
              <w:br/>
              <w:t>(CEDAW/C/NZL/3 y 4)</w:t>
            </w:r>
          </w:p>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15 de abril de 1998</w:t>
            </w:r>
            <w:r>
              <w:rPr>
                <w:kern w:val="2"/>
                <w:lang w:val="es-ES_tradnl"/>
              </w:rPr>
              <w:br/>
              <w:t>(CEDAW/C/NZL/3 y 4/Add.1)</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Panamá</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28 de noviembre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Paraguay</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mayo de 2000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Perú</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octubre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noviembre de 1994</w:t>
            </w:r>
            <w:r>
              <w:rPr>
                <w:kern w:val="2"/>
                <w:lang w:val="es-ES_tradnl"/>
              </w:rPr>
              <w:br/>
              <w:t>(CEDAW/C/PER/3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Polonia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Portugal</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23 de noviembre de 1999</w:t>
            </w:r>
            <w:r>
              <w:rPr>
                <w:kern w:val="2"/>
                <w:lang w:val="es-ES_tradnl"/>
              </w:rPr>
              <w:br/>
              <w:t>(CEDAW/C/PRT/4)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Reino Unido de Gran Bretaña e Irlanda del Norte</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mayo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de enero de 1999</w:t>
            </w:r>
            <w:r>
              <w:rPr>
                <w:kern w:val="2"/>
                <w:lang w:val="es-ES_tradnl"/>
              </w:rPr>
              <w:br/>
              <w:t>(CEDAW/C/UK/4 y</w:t>
            </w:r>
            <w:r>
              <w:rPr>
                <w:kern w:val="2"/>
                <w:lang w:val="es-ES_tradnl"/>
              </w:rPr>
              <w:br/>
              <w:t>Add.1 a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w:t>
            </w:r>
            <w:r>
              <w:rPr>
                <w:rFonts w:ascii="Symbol" w:hAnsi="Symbol"/>
                <w:kern w:val="2"/>
                <w:lang w:val="es-ES_tradnl"/>
              </w:rPr>
              <w:t></w:t>
            </w:r>
            <w:r>
              <w:rPr>
                <w:kern w:val="2"/>
                <w:lang w:val="es-ES_tradnl"/>
              </w:rPr>
              <w:t xml:space="preserve"> (1999)</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República de Corea </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de enero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de marzo de 1998</w:t>
            </w:r>
            <w:r>
              <w:rPr>
                <w:kern w:val="2"/>
                <w:lang w:val="es-ES_tradnl"/>
              </w:rPr>
              <w:br/>
              <w:t>(CEDAW/C/KOR/4)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vertAlign w:val="superscript"/>
                <w:lang w:val="es-ES_tradnl"/>
              </w:rPr>
            </w:pPr>
            <w:r>
              <w:rPr>
                <w:kern w:val="2"/>
                <w:lang w:val="es-ES_tradnl"/>
              </w:rPr>
              <w:t>República Democrática del Congo</w:t>
            </w:r>
            <w:r>
              <w:rPr>
                <w:kern w:val="2"/>
                <w:vertAlign w:val="superscript"/>
                <w:lang w:val="es-ES_tradnl"/>
              </w:rPr>
              <w:t>b</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de noviembre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República Democrática Popular Lao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República Dominicana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octubre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 de octubre de 1997</w:t>
            </w:r>
            <w:r>
              <w:rPr>
                <w:kern w:val="2"/>
                <w:lang w:val="es-ES_tradnl"/>
              </w:rPr>
              <w:br/>
              <w:t>(CEDAW/C/DOM/4)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República Unida de Tanzanía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de septiembre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Rumania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febrero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diciembre de 1998</w:t>
            </w:r>
            <w:r>
              <w:rPr>
                <w:kern w:val="2"/>
                <w:lang w:val="es-ES_tradnl"/>
              </w:rPr>
              <w:br/>
              <w:t>(CEDAW/C/ROM/4 y 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23° (2000)</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Rwanda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n-US"/>
              </w:rPr>
            </w:pPr>
            <w:r>
              <w:rPr>
                <w:kern w:val="2"/>
                <w:lang w:val="en-US"/>
              </w:rPr>
              <w:t>Saint Kitts y Nevis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mayo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Santa Lucía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noviembre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San Vicente y las Granadinas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Senegal</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marzo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Sri Lanka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noviembre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octubre de 1999</w:t>
            </w:r>
            <w:r>
              <w:rPr>
                <w:kern w:val="2"/>
                <w:lang w:val="es-ES_tradnl"/>
              </w:rPr>
              <w:br/>
              <w:t>(CEDAW/C/LKA/3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Suecia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de mayo de 1996</w:t>
            </w:r>
            <w:r>
              <w:rPr>
                <w:kern w:val="2"/>
                <w:lang w:val="es-ES_tradnl"/>
              </w:rPr>
              <w:br/>
              <w:t>(CEDAW/C/SWE/4)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25º (2001)</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Tailandia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septiembre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Togo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de octubre de 1996</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Túnez</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de octubre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de julio de 2000</w:t>
            </w:r>
            <w:r>
              <w:rPr>
                <w:kern w:val="2"/>
                <w:lang w:val="es-ES_tradnl"/>
              </w:rPr>
              <w:br/>
              <w:t>(CEDAW/C/TUN/3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Turkmenistán</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31 de mayo de 2000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Turquía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de enero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Ucrania</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noviembre de 1994</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agosto de 1999</w:t>
            </w:r>
            <w:r>
              <w:rPr>
                <w:kern w:val="2"/>
                <w:lang w:val="es-ES_tradnl"/>
              </w:rPr>
              <w:br/>
              <w:t>(CEDAW/C/UKR/4 y 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Uganda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de agosto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Uruguay</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noviembre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Venezuela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1º de junio de 1996</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Viet Nam</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de marzo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septiembre de 2000</w:t>
            </w:r>
            <w:r>
              <w:rPr>
                <w:kern w:val="2"/>
                <w:lang w:val="es-ES_tradnl"/>
              </w:rPr>
              <w:br/>
              <w:t>CEDAW/C/VNM/3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25º (2001)</w:t>
            </w: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Yemen</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 de junio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marzo de 2000</w:t>
            </w:r>
            <w:r>
              <w:rPr>
                <w:kern w:val="2"/>
                <w:lang w:val="es-ES_tradnl"/>
              </w:rPr>
              <w:br/>
              <w:t>(CEDAW/C/YEM/4)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Zambia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de julio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12 de agosto de 1999</w:t>
            </w:r>
            <w:r>
              <w:rPr>
                <w:kern w:val="2"/>
                <w:lang w:val="es-ES_tradnl"/>
              </w:rPr>
              <w:br/>
              <w:t>(CEDAW/C/ZAM/3 y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5130" w:type="dxa"/>
            <w:gridSpan w:val="2"/>
          </w:tcPr>
          <w:p w:rsidR="00000000" w:rsidRDefault="00000000">
            <w:pPr>
              <w:keepNext/>
              <w:keepLines/>
              <w:tabs>
                <w:tab w:val="left" w:pos="360"/>
                <w:tab w:val="left" w:pos="576"/>
                <w:tab w:val="left" w:pos="864"/>
                <w:tab w:val="left" w:pos="1152"/>
              </w:tabs>
              <w:spacing w:before="80" w:after="80"/>
              <w:ind w:right="43"/>
              <w:rPr>
                <w:b/>
                <w:sz w:val="17"/>
              </w:rPr>
            </w:pPr>
            <w:r>
              <w:rPr>
                <w:rStyle w:val="TTable1a"/>
                <w:b/>
                <w:kern w:val="2"/>
                <w:lang w:val="es-ES_tradnl"/>
              </w:rPr>
              <w:t>E.</w:t>
            </w:r>
            <w:r>
              <w:rPr>
                <w:rStyle w:val="TTable1a"/>
                <w:b/>
                <w:kern w:val="2"/>
                <w:lang w:val="es-ES_tradnl"/>
              </w:rPr>
              <w:tab/>
              <w:t>Quintos informes periódicos</w:t>
            </w:r>
          </w:p>
        </w:tc>
        <w:tc>
          <w:tcPr>
            <w:tcW w:w="2880" w:type="dxa"/>
          </w:tcPr>
          <w:p w:rsidR="00000000" w:rsidRDefault="00000000">
            <w:pPr>
              <w:keepNext/>
              <w:keepLines/>
              <w:tabs>
                <w:tab w:val="left" w:pos="288"/>
                <w:tab w:val="left" w:pos="576"/>
                <w:tab w:val="left" w:pos="864"/>
                <w:tab w:val="left" w:pos="1152"/>
              </w:tabs>
              <w:spacing w:before="80" w:after="80"/>
              <w:ind w:right="43"/>
              <w:rPr>
                <w:b/>
                <w:sz w:val="17"/>
              </w:rPr>
            </w:pPr>
          </w:p>
        </w:tc>
        <w:tc>
          <w:tcPr>
            <w:tcW w:w="1840" w:type="dxa"/>
            <w:gridSpan w:val="3"/>
          </w:tcPr>
          <w:p w:rsidR="00000000" w:rsidRDefault="00000000">
            <w:pPr>
              <w:keepNext/>
              <w:keepLines/>
              <w:tabs>
                <w:tab w:val="left" w:pos="288"/>
                <w:tab w:val="left" w:pos="576"/>
                <w:tab w:val="left" w:pos="864"/>
                <w:tab w:val="left" w:pos="1152"/>
              </w:tabs>
              <w:spacing w:before="80" w:after="80"/>
              <w:ind w:right="43"/>
              <w:rPr>
                <w:b/>
                <w:sz w:val="17"/>
              </w:rPr>
            </w:pPr>
          </w:p>
        </w:tc>
      </w:tr>
      <w:tr w:rsidR="00000000">
        <w:tblPrEx>
          <w:tblCellMar>
            <w:top w:w="0" w:type="dxa"/>
            <w:left w:w="0" w:type="dxa"/>
            <w:bottom w:w="0" w:type="dxa"/>
            <w:right w:w="0" w:type="dxa"/>
          </w:tblCellMar>
        </w:tblPrEx>
        <w:tc>
          <w:tcPr>
            <w:tcW w:w="2700" w:type="dxa"/>
          </w:tcPr>
          <w:p w:rsidR="00000000" w:rsidRDefault="00000000">
            <w:pPr>
              <w:keepNext/>
              <w:keepLines/>
              <w:tabs>
                <w:tab w:val="left" w:pos="288"/>
                <w:tab w:val="left" w:pos="576"/>
                <w:tab w:val="left" w:pos="864"/>
                <w:tab w:val="left" w:pos="1152"/>
              </w:tabs>
              <w:spacing w:before="40" w:after="40"/>
            </w:pPr>
            <w:r>
              <w:t>Australia</w:t>
            </w:r>
          </w:p>
        </w:tc>
        <w:tc>
          <w:tcPr>
            <w:tcW w:w="2430" w:type="dxa"/>
          </w:tcPr>
          <w:p w:rsidR="00000000" w:rsidRDefault="00000000">
            <w:pPr>
              <w:keepNext/>
              <w:keepLines/>
              <w:tabs>
                <w:tab w:val="left" w:pos="288"/>
                <w:tab w:val="left" w:pos="576"/>
                <w:tab w:val="left" w:pos="864"/>
                <w:tab w:val="left" w:pos="1152"/>
              </w:tabs>
              <w:spacing w:before="40" w:after="40"/>
            </w:pPr>
            <w:r>
              <w:t>27 de agosto de 2000</w:t>
            </w:r>
          </w:p>
        </w:tc>
        <w:tc>
          <w:tcPr>
            <w:tcW w:w="2880" w:type="dxa"/>
          </w:tcPr>
          <w:p w:rsidR="00000000" w:rsidRDefault="00000000">
            <w:pPr>
              <w:keepNext/>
              <w:keepLines/>
              <w:tabs>
                <w:tab w:val="left" w:pos="288"/>
                <w:tab w:val="left" w:pos="576"/>
                <w:tab w:val="left" w:pos="864"/>
                <w:tab w:val="left" w:pos="1152"/>
              </w:tabs>
              <w:spacing w:before="40" w:after="40"/>
            </w:pPr>
          </w:p>
        </w:tc>
        <w:tc>
          <w:tcPr>
            <w:tcW w:w="1861" w:type="dxa"/>
            <w:gridSpan w:val="4"/>
          </w:tcPr>
          <w:p w:rsidR="00000000" w:rsidRDefault="00000000">
            <w:pPr>
              <w:keepNext/>
              <w:keepLines/>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keepNext/>
              <w:keepLines/>
              <w:tabs>
                <w:tab w:val="left" w:pos="288"/>
                <w:tab w:val="left" w:pos="576"/>
                <w:tab w:val="left" w:pos="864"/>
                <w:tab w:val="left" w:pos="1152"/>
              </w:tabs>
              <w:spacing w:before="40" w:after="40"/>
            </w:pPr>
            <w:r>
              <w:t>Austria</w:t>
            </w:r>
          </w:p>
        </w:tc>
        <w:tc>
          <w:tcPr>
            <w:tcW w:w="2430" w:type="dxa"/>
          </w:tcPr>
          <w:p w:rsidR="00000000" w:rsidRDefault="00000000">
            <w:pPr>
              <w:keepNext/>
              <w:keepLines/>
              <w:tabs>
                <w:tab w:val="left" w:pos="288"/>
                <w:tab w:val="left" w:pos="576"/>
                <w:tab w:val="left" w:pos="864"/>
                <w:tab w:val="left" w:pos="1152"/>
              </w:tabs>
              <w:spacing w:before="40" w:after="40"/>
            </w:pPr>
            <w:r>
              <w:t>30 de abril de 1999</w:t>
            </w:r>
          </w:p>
        </w:tc>
        <w:tc>
          <w:tcPr>
            <w:tcW w:w="2880" w:type="dxa"/>
          </w:tcPr>
          <w:p w:rsidR="00000000" w:rsidRDefault="00000000">
            <w:pPr>
              <w:keepNext/>
              <w:keepLines/>
              <w:tabs>
                <w:tab w:val="left" w:pos="288"/>
                <w:tab w:val="left" w:pos="576"/>
                <w:tab w:val="left" w:pos="864"/>
                <w:tab w:val="left" w:pos="1152"/>
              </w:tabs>
              <w:spacing w:before="40" w:after="40"/>
            </w:pPr>
            <w:r>
              <w:t>20 de septiembre de 1999</w:t>
            </w:r>
            <w:r>
              <w:br/>
              <w:t>(CEDAW/C/AUT/5)</w:t>
            </w:r>
          </w:p>
        </w:tc>
        <w:tc>
          <w:tcPr>
            <w:tcW w:w="1861" w:type="dxa"/>
            <w:gridSpan w:val="4"/>
          </w:tcPr>
          <w:p w:rsidR="00000000" w:rsidRDefault="00000000">
            <w:pPr>
              <w:keepNext/>
              <w:keepLines/>
              <w:tabs>
                <w:tab w:val="left" w:pos="288"/>
                <w:tab w:val="left" w:pos="576"/>
                <w:tab w:val="left" w:pos="864"/>
                <w:tab w:val="left" w:pos="1152"/>
              </w:tabs>
              <w:spacing w:before="40" w:after="40"/>
            </w:pPr>
            <w:r>
              <w:t>23° (2000)</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Barbados</w:t>
            </w:r>
          </w:p>
        </w:tc>
        <w:tc>
          <w:tcPr>
            <w:tcW w:w="2430" w:type="dxa"/>
          </w:tcPr>
          <w:p w:rsidR="00000000" w:rsidRDefault="00000000">
            <w:pPr>
              <w:tabs>
                <w:tab w:val="left" w:pos="288"/>
                <w:tab w:val="left" w:pos="576"/>
                <w:tab w:val="left" w:pos="864"/>
                <w:tab w:val="left" w:pos="1152"/>
              </w:tabs>
              <w:spacing w:before="40" w:after="40"/>
            </w:pPr>
            <w:r>
              <w:t>3 de septiembre de 1999</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Belarús</w:t>
            </w:r>
          </w:p>
        </w:tc>
        <w:tc>
          <w:tcPr>
            <w:tcW w:w="2430" w:type="dxa"/>
          </w:tcPr>
          <w:p w:rsidR="00000000" w:rsidRDefault="00000000">
            <w:pPr>
              <w:tabs>
                <w:tab w:val="left" w:pos="288"/>
                <w:tab w:val="left" w:pos="576"/>
                <w:tab w:val="left" w:pos="864"/>
                <w:tab w:val="left" w:pos="1152"/>
              </w:tabs>
              <w:spacing w:before="40" w:after="40"/>
            </w:pPr>
            <w:r>
              <w:t>3 de septiembre de 1999</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Bhután</w:t>
            </w:r>
          </w:p>
        </w:tc>
        <w:tc>
          <w:tcPr>
            <w:tcW w:w="2430" w:type="dxa"/>
          </w:tcPr>
          <w:p w:rsidR="00000000" w:rsidRDefault="00000000">
            <w:pPr>
              <w:tabs>
                <w:tab w:val="left" w:pos="288"/>
                <w:tab w:val="left" w:pos="576"/>
                <w:tab w:val="left" w:pos="864"/>
                <w:tab w:val="left" w:pos="1152"/>
              </w:tabs>
              <w:spacing w:before="40" w:after="40"/>
            </w:pPr>
            <w:r>
              <w:t>30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Brasil</w:t>
            </w:r>
          </w:p>
        </w:tc>
        <w:tc>
          <w:tcPr>
            <w:tcW w:w="2430" w:type="dxa"/>
          </w:tcPr>
          <w:p w:rsidR="00000000" w:rsidRDefault="00000000">
            <w:pPr>
              <w:tabs>
                <w:tab w:val="left" w:pos="288"/>
                <w:tab w:val="left" w:pos="576"/>
                <w:tab w:val="left" w:pos="864"/>
                <w:tab w:val="left" w:pos="1152"/>
              </w:tabs>
              <w:spacing w:before="40" w:after="40"/>
            </w:pPr>
            <w:r>
              <w:t xml:space="preserve">2 de marzo de 2001 </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Bulgaria</w:t>
            </w:r>
          </w:p>
        </w:tc>
        <w:tc>
          <w:tcPr>
            <w:tcW w:w="2430" w:type="dxa"/>
          </w:tcPr>
          <w:p w:rsidR="00000000" w:rsidRDefault="00000000">
            <w:pPr>
              <w:tabs>
                <w:tab w:val="left" w:pos="288"/>
                <w:tab w:val="left" w:pos="576"/>
                <w:tab w:val="left" w:pos="864"/>
                <w:tab w:val="left" w:pos="1152"/>
              </w:tabs>
              <w:spacing w:before="40" w:after="40"/>
            </w:pPr>
            <w:r>
              <w:t>10 de marzo de 1999</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Cabo Verde</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Canadá</w:t>
            </w:r>
          </w:p>
        </w:tc>
        <w:tc>
          <w:tcPr>
            <w:tcW w:w="2430" w:type="dxa"/>
          </w:tcPr>
          <w:p w:rsidR="00000000" w:rsidRDefault="00000000">
            <w:pPr>
              <w:tabs>
                <w:tab w:val="left" w:pos="288"/>
                <w:tab w:val="left" w:pos="576"/>
                <w:tab w:val="left" w:pos="864"/>
                <w:tab w:val="left" w:pos="1152"/>
              </w:tabs>
              <w:spacing w:before="40" w:after="40"/>
            </w:pPr>
            <w:r>
              <w:t>9 de enero de 1999</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China</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Colombia</w:t>
            </w:r>
          </w:p>
        </w:tc>
        <w:tc>
          <w:tcPr>
            <w:tcW w:w="2430" w:type="dxa"/>
          </w:tcPr>
          <w:p w:rsidR="00000000" w:rsidRDefault="00000000">
            <w:pPr>
              <w:tabs>
                <w:tab w:val="left" w:pos="288"/>
                <w:tab w:val="left" w:pos="576"/>
                <w:tab w:val="left" w:pos="864"/>
                <w:tab w:val="left" w:pos="1152"/>
              </w:tabs>
              <w:spacing w:before="40" w:after="40"/>
            </w:pPr>
            <w:r>
              <w:t>18 de febrero de 1999</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Congo</w:t>
            </w:r>
          </w:p>
        </w:tc>
        <w:tc>
          <w:tcPr>
            <w:tcW w:w="2430" w:type="dxa"/>
          </w:tcPr>
          <w:p w:rsidR="00000000" w:rsidRDefault="00000000">
            <w:pPr>
              <w:tabs>
                <w:tab w:val="left" w:pos="288"/>
                <w:tab w:val="left" w:pos="576"/>
                <w:tab w:val="left" w:pos="864"/>
                <w:tab w:val="left" w:pos="1152"/>
              </w:tabs>
              <w:spacing w:before="40" w:after="40"/>
            </w:pPr>
            <w:r>
              <w:t>25 de agosto de 1999</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Cuba</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Dinamarca</w:t>
            </w:r>
          </w:p>
        </w:tc>
        <w:tc>
          <w:tcPr>
            <w:tcW w:w="2430" w:type="dxa"/>
          </w:tcPr>
          <w:p w:rsidR="00000000" w:rsidRDefault="00000000">
            <w:pPr>
              <w:tabs>
                <w:tab w:val="left" w:pos="288"/>
                <w:tab w:val="left" w:pos="576"/>
                <w:tab w:val="left" w:pos="864"/>
                <w:tab w:val="left" w:pos="1152"/>
              </w:tabs>
              <w:spacing w:before="40" w:after="40"/>
            </w:pPr>
            <w:r>
              <w:t>21 de mayo de 2000</w:t>
            </w:r>
          </w:p>
        </w:tc>
        <w:tc>
          <w:tcPr>
            <w:tcW w:w="2880" w:type="dxa"/>
          </w:tcPr>
          <w:p w:rsidR="00000000" w:rsidRDefault="00000000">
            <w:pPr>
              <w:tabs>
                <w:tab w:val="left" w:pos="288"/>
                <w:tab w:val="left" w:pos="576"/>
                <w:tab w:val="left" w:pos="864"/>
                <w:tab w:val="left" w:pos="1152"/>
              </w:tabs>
              <w:spacing w:before="40" w:after="40"/>
            </w:pPr>
            <w:r>
              <w:t>13 de junio de 2000</w:t>
            </w:r>
            <w:r>
              <w:br/>
              <w:t>(CEDAW/C/DEN/5)</w:t>
            </w: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Dominica</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Ecuador</w:t>
            </w:r>
          </w:p>
        </w:tc>
        <w:tc>
          <w:tcPr>
            <w:tcW w:w="2430" w:type="dxa"/>
          </w:tcPr>
          <w:p w:rsidR="00000000" w:rsidRDefault="00000000">
            <w:pPr>
              <w:tabs>
                <w:tab w:val="left" w:pos="288"/>
                <w:tab w:val="left" w:pos="576"/>
                <w:tab w:val="left" w:pos="864"/>
                <w:tab w:val="left" w:pos="1152"/>
              </w:tabs>
              <w:spacing w:before="40" w:after="40"/>
            </w:pPr>
            <w:r>
              <w:t>9 de diciembre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Egipto</w:t>
            </w:r>
          </w:p>
        </w:tc>
        <w:tc>
          <w:tcPr>
            <w:tcW w:w="2430" w:type="dxa"/>
          </w:tcPr>
          <w:p w:rsidR="00000000" w:rsidRDefault="00000000">
            <w:pPr>
              <w:tabs>
                <w:tab w:val="left" w:pos="288"/>
                <w:tab w:val="left" w:pos="576"/>
                <w:tab w:val="left" w:pos="864"/>
                <w:tab w:val="left" w:pos="1152"/>
              </w:tabs>
              <w:spacing w:before="40" w:after="40"/>
            </w:pPr>
            <w:r>
              <w:t>9 de octubre de 1998</w:t>
            </w:r>
          </w:p>
        </w:tc>
        <w:tc>
          <w:tcPr>
            <w:tcW w:w="2880" w:type="dxa"/>
          </w:tcPr>
          <w:p w:rsidR="00000000" w:rsidRDefault="00000000">
            <w:pPr>
              <w:tabs>
                <w:tab w:val="left" w:pos="288"/>
                <w:tab w:val="left" w:pos="576"/>
                <w:tab w:val="left" w:pos="864"/>
                <w:tab w:val="left" w:pos="1152"/>
              </w:tabs>
              <w:spacing w:before="40" w:after="40"/>
            </w:pPr>
            <w:r>
              <w:t>30 de marzo de 2000</w:t>
            </w:r>
            <w:r>
              <w:br/>
              <w:t>(CEDAW/C/EGY/4 y 5)</w:t>
            </w:r>
          </w:p>
        </w:tc>
        <w:tc>
          <w:tcPr>
            <w:tcW w:w="1861" w:type="dxa"/>
            <w:gridSpan w:val="4"/>
          </w:tcPr>
          <w:p w:rsidR="00000000" w:rsidRDefault="00000000">
            <w:pPr>
              <w:tabs>
                <w:tab w:val="left" w:pos="288"/>
                <w:tab w:val="left" w:pos="576"/>
                <w:tab w:val="left" w:pos="864"/>
                <w:tab w:val="left" w:pos="1152"/>
              </w:tabs>
              <w:spacing w:before="40" w:after="40"/>
            </w:pPr>
            <w:r>
              <w:rPr>
                <w:kern w:val="2"/>
                <w:lang w:val="es-ES_tradnl"/>
              </w:rPr>
              <w:t>24º (2001)</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El Salvador</w:t>
            </w:r>
          </w:p>
        </w:tc>
        <w:tc>
          <w:tcPr>
            <w:tcW w:w="2430" w:type="dxa"/>
          </w:tcPr>
          <w:p w:rsidR="00000000" w:rsidRDefault="00000000">
            <w:pPr>
              <w:tabs>
                <w:tab w:val="left" w:pos="288"/>
                <w:tab w:val="left" w:pos="576"/>
                <w:tab w:val="left" w:pos="864"/>
                <w:tab w:val="left" w:pos="1152"/>
              </w:tabs>
              <w:spacing w:before="40" w:after="40"/>
            </w:pPr>
            <w:r>
              <w:t>18 de septiembre de 1998</w:t>
            </w:r>
          </w:p>
        </w:tc>
        <w:tc>
          <w:tcPr>
            <w:tcW w:w="2880" w:type="dxa"/>
          </w:tcPr>
          <w:p w:rsidR="00000000" w:rsidRDefault="00000000">
            <w:pPr>
              <w:tabs>
                <w:tab w:val="left" w:pos="288"/>
                <w:tab w:val="left" w:pos="576"/>
                <w:tab w:val="left" w:pos="864"/>
                <w:tab w:val="left" w:pos="1152"/>
              </w:tabs>
              <w:spacing w:before="40" w:after="40"/>
              <w:rPr>
                <w:lang w:val="en-US"/>
              </w:rPr>
            </w:pPr>
            <w:r>
              <w:t>26 de julio de 2001</w:t>
            </w:r>
            <w:r>
              <w:br/>
              <w:t>(</w:t>
            </w:r>
            <w:r>
              <w:rPr>
                <w:lang w:val="en-US"/>
              </w:rPr>
              <w:t>CEDAW/C/SLV/5)</w:t>
            </w:r>
          </w:p>
        </w:tc>
        <w:tc>
          <w:tcPr>
            <w:tcW w:w="1861" w:type="dxa"/>
            <w:gridSpan w:val="4"/>
          </w:tcPr>
          <w:p w:rsidR="00000000" w:rsidRDefault="00000000">
            <w:pPr>
              <w:tabs>
                <w:tab w:val="left" w:pos="288"/>
                <w:tab w:val="left" w:pos="576"/>
                <w:tab w:val="left" w:pos="864"/>
                <w:tab w:val="left" w:pos="1152"/>
              </w:tabs>
              <w:spacing w:before="40" w:after="40"/>
              <w:rPr>
                <w:lang w:val="en-US"/>
              </w:rPr>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 xml:space="preserve">España </w:t>
            </w:r>
          </w:p>
        </w:tc>
        <w:tc>
          <w:tcPr>
            <w:tcW w:w="2430" w:type="dxa"/>
          </w:tcPr>
          <w:p w:rsidR="00000000" w:rsidRDefault="00000000">
            <w:pPr>
              <w:tabs>
                <w:tab w:val="left" w:pos="288"/>
                <w:tab w:val="left" w:pos="576"/>
                <w:tab w:val="left" w:pos="864"/>
                <w:tab w:val="left" w:pos="1152"/>
              </w:tabs>
              <w:spacing w:before="40" w:after="40"/>
            </w:pPr>
            <w:r>
              <w:t xml:space="preserve">4 de febrero de 2001 </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Etiopía</w:t>
            </w:r>
          </w:p>
        </w:tc>
        <w:tc>
          <w:tcPr>
            <w:tcW w:w="2430" w:type="dxa"/>
          </w:tcPr>
          <w:p w:rsidR="00000000" w:rsidRDefault="00000000">
            <w:pPr>
              <w:tabs>
                <w:tab w:val="left" w:pos="288"/>
                <w:tab w:val="left" w:pos="576"/>
                <w:tab w:val="left" w:pos="864"/>
                <w:tab w:val="left" w:pos="1152"/>
              </w:tabs>
              <w:spacing w:before="40" w:after="40"/>
            </w:pPr>
            <w:r>
              <w:t>10 de octubre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Federación de Rusia</w:t>
            </w:r>
          </w:p>
        </w:tc>
        <w:tc>
          <w:tcPr>
            <w:tcW w:w="2430" w:type="dxa"/>
          </w:tcPr>
          <w:p w:rsidR="00000000" w:rsidRDefault="00000000">
            <w:pPr>
              <w:tabs>
                <w:tab w:val="left" w:pos="288"/>
                <w:tab w:val="left" w:pos="576"/>
                <w:tab w:val="left" w:pos="864"/>
                <w:tab w:val="left" w:pos="1152"/>
              </w:tabs>
              <w:spacing w:before="40" w:after="40"/>
            </w:pPr>
            <w:r>
              <w:t>30 de septiembre de 1998</w:t>
            </w:r>
          </w:p>
        </w:tc>
        <w:tc>
          <w:tcPr>
            <w:tcW w:w="2880" w:type="dxa"/>
          </w:tcPr>
          <w:p w:rsidR="00000000" w:rsidRDefault="00000000">
            <w:pPr>
              <w:tabs>
                <w:tab w:val="left" w:pos="288"/>
                <w:tab w:val="left" w:pos="576"/>
                <w:tab w:val="left" w:pos="864"/>
                <w:tab w:val="left" w:pos="1152"/>
              </w:tabs>
              <w:spacing w:before="40" w:after="40"/>
            </w:pPr>
            <w:r>
              <w:t>3 de marzo de 1999</w:t>
            </w:r>
            <w:r>
              <w:br/>
              <w:t>(CEDAW/C/USR/5)</w:t>
            </w: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Filipinas</w:t>
            </w:r>
          </w:p>
        </w:tc>
        <w:tc>
          <w:tcPr>
            <w:tcW w:w="2430" w:type="dxa"/>
          </w:tcPr>
          <w:p w:rsidR="00000000" w:rsidRDefault="00000000">
            <w:pPr>
              <w:tabs>
                <w:tab w:val="left" w:pos="288"/>
                <w:tab w:val="left" w:pos="576"/>
                <w:tab w:val="left" w:pos="864"/>
                <w:tab w:val="left" w:pos="1152"/>
              </w:tabs>
              <w:spacing w:before="40" w:after="40"/>
            </w:pPr>
            <w:r>
              <w:t>4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Francia</w:t>
            </w:r>
          </w:p>
        </w:tc>
        <w:tc>
          <w:tcPr>
            <w:tcW w:w="2430" w:type="dxa"/>
          </w:tcPr>
          <w:p w:rsidR="00000000" w:rsidRDefault="00000000">
            <w:pPr>
              <w:tabs>
                <w:tab w:val="left" w:pos="288"/>
                <w:tab w:val="left" w:pos="576"/>
                <w:tab w:val="left" w:pos="864"/>
                <w:tab w:val="left" w:pos="1152"/>
              </w:tabs>
              <w:spacing w:before="40" w:after="40"/>
            </w:pPr>
            <w:r>
              <w:t xml:space="preserve">13 de enero de 2001 </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Gabón</w:t>
            </w:r>
          </w:p>
        </w:tc>
        <w:tc>
          <w:tcPr>
            <w:tcW w:w="2430" w:type="dxa"/>
          </w:tcPr>
          <w:p w:rsidR="00000000" w:rsidRDefault="00000000">
            <w:pPr>
              <w:tabs>
                <w:tab w:val="left" w:pos="288"/>
                <w:tab w:val="left" w:pos="576"/>
                <w:tab w:val="left" w:pos="864"/>
                <w:tab w:val="left" w:pos="1152"/>
              </w:tabs>
              <w:spacing w:before="40" w:after="40"/>
            </w:pPr>
            <w:r>
              <w:t>20 de febrero de 2000</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Grecia</w:t>
            </w:r>
          </w:p>
        </w:tc>
        <w:tc>
          <w:tcPr>
            <w:tcW w:w="2430" w:type="dxa"/>
          </w:tcPr>
          <w:p w:rsidR="00000000" w:rsidRDefault="00000000">
            <w:pPr>
              <w:tabs>
                <w:tab w:val="left" w:pos="288"/>
                <w:tab w:val="left" w:pos="576"/>
                <w:tab w:val="left" w:pos="864"/>
                <w:tab w:val="left" w:pos="1152"/>
              </w:tabs>
              <w:spacing w:before="40" w:after="40"/>
            </w:pPr>
            <w:r>
              <w:t>7 de julio de 2000</w:t>
            </w:r>
          </w:p>
        </w:tc>
        <w:tc>
          <w:tcPr>
            <w:tcW w:w="2880" w:type="dxa"/>
          </w:tcPr>
          <w:p w:rsidR="00000000" w:rsidRDefault="00000000">
            <w:pPr>
              <w:tabs>
                <w:tab w:val="left" w:pos="288"/>
                <w:tab w:val="left" w:pos="576"/>
                <w:tab w:val="left" w:pos="864"/>
                <w:tab w:val="left" w:pos="1152"/>
              </w:tabs>
              <w:spacing w:before="40" w:after="40"/>
              <w:rPr>
                <w:lang w:val="es-ES_tradnl"/>
              </w:rPr>
            </w:pPr>
            <w:r>
              <w:t xml:space="preserve">19 de abril de 2001 </w:t>
            </w:r>
            <w:r>
              <w:br/>
            </w:r>
            <w:r>
              <w:rPr>
                <w:lang w:val="es-ES_tradnl"/>
              </w:rPr>
              <w:t>(CEDAW/C/GRC/4 y 5)</w:t>
            </w:r>
          </w:p>
        </w:tc>
        <w:tc>
          <w:tcPr>
            <w:tcW w:w="1861" w:type="dxa"/>
            <w:gridSpan w:val="4"/>
          </w:tcPr>
          <w:p w:rsidR="00000000" w:rsidRDefault="00000000">
            <w:pPr>
              <w:tabs>
                <w:tab w:val="left" w:pos="288"/>
                <w:tab w:val="left" w:pos="576"/>
                <w:tab w:val="left" w:pos="864"/>
                <w:tab w:val="left" w:pos="1152"/>
              </w:tabs>
              <w:spacing w:before="40" w:after="40"/>
              <w:rPr>
                <w:lang w:val="es-ES_tradnl"/>
              </w:rPr>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 xml:space="preserve">Guatemala </w:t>
            </w:r>
          </w:p>
        </w:tc>
        <w:tc>
          <w:tcPr>
            <w:tcW w:w="2430" w:type="dxa"/>
          </w:tcPr>
          <w:p w:rsidR="00000000" w:rsidRDefault="00000000">
            <w:pPr>
              <w:tabs>
                <w:tab w:val="left" w:pos="288"/>
                <w:tab w:val="left" w:pos="576"/>
                <w:tab w:val="left" w:pos="864"/>
                <w:tab w:val="left" w:pos="1152"/>
              </w:tabs>
              <w:spacing w:before="40" w:after="40"/>
            </w:pPr>
            <w:r>
              <w:t>11 de septiembre de 1999</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Guinea</w:t>
            </w:r>
          </w:p>
        </w:tc>
        <w:tc>
          <w:tcPr>
            <w:tcW w:w="2430" w:type="dxa"/>
          </w:tcPr>
          <w:p w:rsidR="00000000" w:rsidRDefault="00000000">
            <w:pPr>
              <w:tabs>
                <w:tab w:val="left" w:pos="288"/>
                <w:tab w:val="left" w:pos="576"/>
                <w:tab w:val="left" w:pos="864"/>
                <w:tab w:val="left" w:pos="1152"/>
              </w:tabs>
              <w:spacing w:before="40" w:after="40"/>
            </w:pPr>
            <w:r>
              <w:t>8 de septiembre de 1999</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Guyana</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Haití</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Honduras</w:t>
            </w:r>
          </w:p>
        </w:tc>
        <w:tc>
          <w:tcPr>
            <w:tcW w:w="2430" w:type="dxa"/>
          </w:tcPr>
          <w:p w:rsidR="00000000" w:rsidRDefault="00000000">
            <w:pPr>
              <w:tabs>
                <w:tab w:val="left" w:pos="288"/>
                <w:tab w:val="left" w:pos="576"/>
                <w:tab w:val="left" w:pos="864"/>
                <w:tab w:val="left" w:pos="1152"/>
              </w:tabs>
              <w:spacing w:before="40" w:after="40"/>
            </w:pPr>
            <w:r>
              <w:t>2 de abril de 2000</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Hungría</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r>
              <w:t>19 de septiembre de 2000</w:t>
            </w:r>
            <w:r>
              <w:br/>
              <w:t>(CEDAW/C/HUN/4 y 5)</w:t>
            </w: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 xml:space="preserve">Kenya </w:t>
            </w:r>
          </w:p>
        </w:tc>
        <w:tc>
          <w:tcPr>
            <w:tcW w:w="2430" w:type="dxa"/>
          </w:tcPr>
          <w:p w:rsidR="00000000" w:rsidRDefault="00000000">
            <w:pPr>
              <w:tabs>
                <w:tab w:val="left" w:pos="288"/>
                <w:tab w:val="left" w:pos="576"/>
                <w:tab w:val="left" w:pos="864"/>
                <w:tab w:val="left" w:pos="1152"/>
              </w:tabs>
              <w:spacing w:before="40" w:after="40"/>
            </w:pPr>
            <w:r>
              <w:t xml:space="preserve">8 de abril de 2001 </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México</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r>
              <w:t>1° de diciembre de 2000</w:t>
            </w:r>
            <w:r>
              <w:br/>
              <w:t>(CEDAW/C/MEX/5)</w:t>
            </w: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Mongolia</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Nicaragua</w:t>
            </w:r>
          </w:p>
        </w:tc>
        <w:tc>
          <w:tcPr>
            <w:tcW w:w="2430" w:type="dxa"/>
          </w:tcPr>
          <w:p w:rsidR="00000000" w:rsidRDefault="00000000">
            <w:pPr>
              <w:tabs>
                <w:tab w:val="left" w:pos="288"/>
                <w:tab w:val="left" w:pos="576"/>
                <w:tab w:val="left" w:pos="864"/>
                <w:tab w:val="left" w:pos="1152"/>
              </w:tabs>
              <w:spacing w:before="40" w:after="40"/>
            </w:pPr>
            <w:r>
              <w:t>26 de noviembre de 1998</w:t>
            </w:r>
          </w:p>
        </w:tc>
        <w:tc>
          <w:tcPr>
            <w:tcW w:w="2880" w:type="dxa"/>
          </w:tcPr>
          <w:p w:rsidR="00000000" w:rsidRDefault="00000000">
            <w:pPr>
              <w:tabs>
                <w:tab w:val="left" w:pos="288"/>
                <w:tab w:val="left" w:pos="576"/>
                <w:tab w:val="left" w:pos="864"/>
                <w:tab w:val="left" w:pos="1152"/>
              </w:tabs>
              <w:spacing w:before="40" w:after="40"/>
            </w:pPr>
            <w:r>
              <w:t>2 de septiembre de 1999</w:t>
            </w:r>
            <w:r>
              <w:br/>
              <w:t>(CEDAW/C/NIC/5)</w:t>
            </w:r>
          </w:p>
        </w:tc>
        <w:tc>
          <w:tcPr>
            <w:tcW w:w="1861" w:type="dxa"/>
            <w:gridSpan w:val="4"/>
          </w:tcPr>
          <w:p w:rsidR="00000000" w:rsidRDefault="00000000">
            <w:pPr>
              <w:tabs>
                <w:tab w:val="left" w:pos="288"/>
                <w:tab w:val="left" w:pos="576"/>
                <w:tab w:val="left" w:pos="864"/>
                <w:tab w:val="left" w:pos="1152"/>
              </w:tabs>
              <w:spacing w:before="40" w:after="40"/>
            </w:pPr>
            <w:r>
              <w:t>25° (2001)</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Noruega</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r>
              <w:t>23 de marzo de 2000</w:t>
            </w:r>
            <w:r>
              <w:br/>
              <w:t>(CEDAW/C/NOR/5)</w:t>
            </w: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Panamá</w:t>
            </w:r>
          </w:p>
        </w:tc>
        <w:tc>
          <w:tcPr>
            <w:tcW w:w="2430" w:type="dxa"/>
          </w:tcPr>
          <w:p w:rsidR="00000000" w:rsidRDefault="00000000">
            <w:pPr>
              <w:tabs>
                <w:tab w:val="left" w:pos="288"/>
                <w:tab w:val="left" w:pos="576"/>
                <w:tab w:val="left" w:pos="864"/>
                <w:tab w:val="left" w:pos="1152"/>
              </w:tabs>
              <w:spacing w:before="40" w:after="40"/>
            </w:pPr>
            <w:r>
              <w:t>28 de noviembre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Perú</w:t>
            </w:r>
          </w:p>
        </w:tc>
        <w:tc>
          <w:tcPr>
            <w:tcW w:w="2430" w:type="dxa"/>
          </w:tcPr>
          <w:p w:rsidR="00000000" w:rsidRDefault="00000000">
            <w:pPr>
              <w:tabs>
                <w:tab w:val="left" w:pos="288"/>
                <w:tab w:val="left" w:pos="576"/>
                <w:tab w:val="left" w:pos="864"/>
                <w:tab w:val="left" w:pos="1152"/>
              </w:tabs>
              <w:spacing w:before="40" w:after="40"/>
            </w:pPr>
            <w:r>
              <w:t>13 de octubre de 1999</w:t>
            </w:r>
          </w:p>
        </w:tc>
        <w:tc>
          <w:tcPr>
            <w:tcW w:w="2880" w:type="dxa"/>
          </w:tcPr>
          <w:p w:rsidR="00000000" w:rsidRDefault="00000000">
            <w:pPr>
              <w:tabs>
                <w:tab w:val="left" w:pos="288"/>
                <w:tab w:val="left" w:pos="576"/>
                <w:tab w:val="left" w:pos="864"/>
                <w:tab w:val="left" w:pos="1152"/>
              </w:tabs>
              <w:spacing w:before="40" w:after="40"/>
            </w:pPr>
            <w:r>
              <w:t>21 de julio de 2000</w:t>
            </w:r>
            <w:r>
              <w:br/>
              <w:t>(CEDAW/C/PER/5)</w:t>
            </w: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Polonia</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keepNext/>
              <w:keepLines/>
              <w:tabs>
                <w:tab w:val="left" w:pos="288"/>
                <w:tab w:val="left" w:pos="576"/>
                <w:tab w:val="left" w:pos="864"/>
                <w:tab w:val="left" w:pos="1152"/>
              </w:tabs>
              <w:spacing w:before="40" w:after="40"/>
            </w:pPr>
            <w:r>
              <w:t>Portugal</w:t>
            </w:r>
          </w:p>
        </w:tc>
        <w:tc>
          <w:tcPr>
            <w:tcW w:w="2430" w:type="dxa"/>
          </w:tcPr>
          <w:p w:rsidR="00000000" w:rsidRDefault="00000000">
            <w:pPr>
              <w:keepNext/>
              <w:keepLines/>
              <w:tabs>
                <w:tab w:val="left" w:pos="288"/>
                <w:tab w:val="left" w:pos="576"/>
                <w:tab w:val="left" w:pos="864"/>
                <w:tab w:val="left" w:pos="1152"/>
              </w:tabs>
              <w:spacing w:before="40" w:after="40"/>
            </w:pPr>
            <w:r>
              <w:t>3 de septiembre de 1998</w:t>
            </w:r>
          </w:p>
        </w:tc>
        <w:tc>
          <w:tcPr>
            <w:tcW w:w="2880" w:type="dxa"/>
          </w:tcPr>
          <w:p w:rsidR="00000000" w:rsidRDefault="00000000">
            <w:pPr>
              <w:keepNext/>
              <w:keepLines/>
              <w:tabs>
                <w:tab w:val="left" w:pos="288"/>
                <w:tab w:val="left" w:pos="576"/>
                <w:tab w:val="left" w:pos="864"/>
                <w:tab w:val="left" w:pos="1152"/>
              </w:tabs>
              <w:spacing w:before="40" w:after="40"/>
              <w:rPr>
                <w:lang w:val="en-US"/>
              </w:rPr>
            </w:pPr>
            <w:r>
              <w:t>13 de junio de 2001</w:t>
            </w:r>
            <w:r>
              <w:br/>
            </w:r>
            <w:r>
              <w:rPr>
                <w:lang w:val="en-US"/>
              </w:rPr>
              <w:t>(CEDAW/C/PRT/5)</w:t>
            </w:r>
          </w:p>
        </w:tc>
        <w:tc>
          <w:tcPr>
            <w:tcW w:w="1861" w:type="dxa"/>
            <w:gridSpan w:val="4"/>
          </w:tcPr>
          <w:p w:rsidR="00000000" w:rsidRDefault="00000000">
            <w:pPr>
              <w:keepNext/>
              <w:keepLines/>
              <w:tabs>
                <w:tab w:val="left" w:pos="288"/>
                <w:tab w:val="left" w:pos="576"/>
                <w:tab w:val="left" w:pos="864"/>
                <w:tab w:val="left" w:pos="1152"/>
              </w:tabs>
              <w:spacing w:before="40" w:after="40"/>
              <w:rPr>
                <w:lang w:val="en-US"/>
              </w:rPr>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República Democrática Popular Lao</w:t>
            </w:r>
          </w:p>
        </w:tc>
        <w:tc>
          <w:tcPr>
            <w:tcW w:w="2430" w:type="dxa"/>
          </w:tcPr>
          <w:p w:rsidR="00000000" w:rsidRDefault="00000000">
            <w:pPr>
              <w:tabs>
                <w:tab w:val="left" w:pos="288"/>
                <w:tab w:val="left" w:pos="576"/>
                <w:tab w:val="left" w:pos="864"/>
                <w:tab w:val="left" w:pos="1152"/>
              </w:tabs>
              <w:spacing w:before="40" w:after="40"/>
            </w:pPr>
            <w:r>
              <w:t>13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República Dominicana</w:t>
            </w:r>
          </w:p>
        </w:tc>
        <w:tc>
          <w:tcPr>
            <w:tcW w:w="2430" w:type="dxa"/>
          </w:tcPr>
          <w:p w:rsidR="00000000" w:rsidRDefault="00000000">
            <w:pPr>
              <w:tabs>
                <w:tab w:val="left" w:pos="288"/>
                <w:tab w:val="left" w:pos="576"/>
                <w:tab w:val="left" w:pos="864"/>
                <w:tab w:val="left" w:pos="1152"/>
              </w:tabs>
              <w:spacing w:before="40" w:after="40"/>
            </w:pPr>
            <w:r>
              <w:t>2 de septiembre de 1999</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Rumania</w:t>
            </w:r>
          </w:p>
        </w:tc>
        <w:tc>
          <w:tcPr>
            <w:tcW w:w="2430" w:type="dxa"/>
          </w:tcPr>
          <w:p w:rsidR="00000000" w:rsidRDefault="00000000">
            <w:pPr>
              <w:tabs>
                <w:tab w:val="left" w:pos="288"/>
                <w:tab w:val="left" w:pos="576"/>
                <w:tab w:val="left" w:pos="864"/>
                <w:tab w:val="left" w:pos="1152"/>
              </w:tabs>
              <w:spacing w:before="40" w:after="40"/>
            </w:pPr>
            <w:r>
              <w:t>6 de febrero de 1999</w:t>
            </w:r>
          </w:p>
        </w:tc>
        <w:tc>
          <w:tcPr>
            <w:tcW w:w="2880" w:type="dxa"/>
          </w:tcPr>
          <w:p w:rsidR="00000000" w:rsidRDefault="00000000">
            <w:pPr>
              <w:tabs>
                <w:tab w:val="left" w:pos="288"/>
                <w:tab w:val="left" w:pos="576"/>
                <w:tab w:val="left" w:pos="864"/>
                <w:tab w:val="left" w:pos="1152"/>
              </w:tabs>
              <w:spacing w:before="40" w:after="40"/>
            </w:pPr>
            <w:r>
              <w:t>10 de diciembre de 1998</w:t>
            </w:r>
            <w:r>
              <w:br/>
              <w:t>(CEDAW/C/ROM/4 y 5)</w:t>
            </w:r>
          </w:p>
        </w:tc>
        <w:tc>
          <w:tcPr>
            <w:tcW w:w="1861" w:type="dxa"/>
            <w:gridSpan w:val="4"/>
          </w:tcPr>
          <w:p w:rsidR="00000000" w:rsidRDefault="00000000">
            <w:pPr>
              <w:tabs>
                <w:tab w:val="left" w:pos="288"/>
                <w:tab w:val="left" w:pos="576"/>
                <w:tab w:val="left" w:pos="864"/>
                <w:tab w:val="left" w:pos="1152"/>
              </w:tabs>
              <w:spacing w:before="40" w:after="40"/>
            </w:pPr>
            <w:r>
              <w:t>23° (2000)</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Rwanda</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Santa Lucía</w:t>
            </w:r>
          </w:p>
        </w:tc>
        <w:tc>
          <w:tcPr>
            <w:tcW w:w="2430" w:type="dxa"/>
          </w:tcPr>
          <w:p w:rsidR="00000000" w:rsidRDefault="00000000">
            <w:pPr>
              <w:tabs>
                <w:tab w:val="left" w:pos="288"/>
                <w:tab w:val="left" w:pos="576"/>
                <w:tab w:val="left" w:pos="864"/>
                <w:tab w:val="left" w:pos="1152"/>
              </w:tabs>
              <w:spacing w:before="40" w:after="40"/>
            </w:pPr>
            <w:r>
              <w:t>7 de noviembre de 1999</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San Vicente y las Granadinas</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trHeight w:val="108"/>
        </w:trPr>
        <w:tc>
          <w:tcPr>
            <w:tcW w:w="2700" w:type="dxa"/>
          </w:tcPr>
          <w:p w:rsidR="00000000" w:rsidRDefault="00000000">
            <w:pPr>
              <w:tabs>
                <w:tab w:val="left" w:pos="288"/>
                <w:tab w:val="left" w:pos="576"/>
                <w:tab w:val="left" w:pos="864"/>
                <w:tab w:val="left" w:pos="1152"/>
              </w:tabs>
              <w:spacing w:before="40" w:after="40"/>
            </w:pPr>
            <w:r>
              <w:t xml:space="preserve">Sri Lanka </w:t>
            </w:r>
          </w:p>
        </w:tc>
        <w:tc>
          <w:tcPr>
            <w:tcW w:w="2430" w:type="dxa"/>
          </w:tcPr>
          <w:p w:rsidR="00000000" w:rsidRDefault="00000000">
            <w:pPr>
              <w:tabs>
                <w:tab w:val="left" w:pos="288"/>
                <w:tab w:val="left" w:pos="576"/>
                <w:tab w:val="left" w:pos="864"/>
                <w:tab w:val="left" w:pos="1152"/>
              </w:tabs>
              <w:spacing w:before="40" w:after="40"/>
            </w:pPr>
            <w:r>
              <w:t>4 de noviembre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Suecia</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rPr>
                <w:lang w:val="en-US"/>
              </w:rPr>
            </w:pPr>
            <w:r>
              <w:t xml:space="preserve">8 de diciembre de 2000 </w:t>
            </w:r>
            <w:r>
              <w:br/>
              <w:t>(</w:t>
            </w:r>
            <w:r>
              <w:rPr>
                <w:lang w:val="en-US"/>
              </w:rPr>
              <w:t>CEDAW/C/SWE/5)</w:t>
            </w:r>
          </w:p>
        </w:tc>
        <w:tc>
          <w:tcPr>
            <w:tcW w:w="1861" w:type="dxa"/>
            <w:gridSpan w:val="4"/>
          </w:tcPr>
          <w:p w:rsidR="00000000" w:rsidRDefault="00000000">
            <w:pPr>
              <w:tabs>
                <w:tab w:val="left" w:pos="288"/>
                <w:tab w:val="left" w:pos="576"/>
                <w:tab w:val="left" w:pos="864"/>
                <w:tab w:val="left" w:pos="1152"/>
              </w:tabs>
              <w:spacing w:before="40" w:after="40"/>
              <w:rPr>
                <w:lang w:val="en-US"/>
              </w:rPr>
            </w:pPr>
            <w:r>
              <w:rPr>
                <w:kern w:val="2"/>
                <w:lang w:val="es-ES_tradnl"/>
              </w:rPr>
              <w:t>25º (2001)</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 xml:space="preserve">Togo </w:t>
            </w:r>
          </w:p>
        </w:tc>
        <w:tc>
          <w:tcPr>
            <w:tcW w:w="2430" w:type="dxa"/>
          </w:tcPr>
          <w:p w:rsidR="00000000" w:rsidRDefault="00000000">
            <w:pPr>
              <w:tabs>
                <w:tab w:val="left" w:pos="288"/>
                <w:tab w:val="left" w:pos="576"/>
                <w:tab w:val="left" w:pos="864"/>
                <w:tab w:val="left" w:pos="1152"/>
              </w:tabs>
              <w:spacing w:before="40" w:after="40"/>
            </w:pPr>
            <w:r>
              <w:t>26 de octubre de 2000</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Ucrania</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r>
              <w:t>2 de agosto de 1999</w:t>
            </w:r>
            <w:r>
              <w:br/>
              <w:t>(CEDAW/C/UKR/4 y 5)</w:t>
            </w: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Uruguay</w:t>
            </w:r>
          </w:p>
        </w:tc>
        <w:tc>
          <w:tcPr>
            <w:tcW w:w="2430" w:type="dxa"/>
          </w:tcPr>
          <w:p w:rsidR="00000000" w:rsidRDefault="00000000">
            <w:pPr>
              <w:tabs>
                <w:tab w:val="left" w:pos="288"/>
                <w:tab w:val="left" w:pos="576"/>
                <w:tab w:val="left" w:pos="864"/>
                <w:tab w:val="left" w:pos="1152"/>
              </w:tabs>
              <w:spacing w:before="40" w:after="40"/>
            </w:pPr>
            <w:r>
              <w:t>8 de noviembre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Venezuela</w:t>
            </w:r>
          </w:p>
        </w:tc>
        <w:tc>
          <w:tcPr>
            <w:tcW w:w="2430" w:type="dxa"/>
          </w:tcPr>
          <w:p w:rsidR="00000000" w:rsidRDefault="00000000">
            <w:pPr>
              <w:tabs>
                <w:tab w:val="left" w:pos="288"/>
                <w:tab w:val="left" w:pos="576"/>
                <w:tab w:val="left" w:pos="864"/>
                <w:tab w:val="left" w:pos="1152"/>
              </w:tabs>
              <w:spacing w:before="40" w:after="40"/>
            </w:pPr>
            <w:r>
              <w:t>1° de junio de 2000</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Viet Nam</w:t>
            </w:r>
          </w:p>
        </w:tc>
        <w:tc>
          <w:tcPr>
            <w:tcW w:w="2430" w:type="dxa"/>
          </w:tcPr>
          <w:p w:rsidR="00000000" w:rsidRDefault="00000000">
            <w:pPr>
              <w:tabs>
                <w:tab w:val="left" w:pos="288"/>
                <w:tab w:val="left" w:pos="576"/>
                <w:tab w:val="left" w:pos="864"/>
                <w:tab w:val="left" w:pos="1152"/>
              </w:tabs>
              <w:spacing w:before="40" w:after="40"/>
            </w:pPr>
            <w:r>
              <w:t>19 de marzo de 1999</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 xml:space="preserve">Yemen </w:t>
            </w:r>
          </w:p>
        </w:tc>
        <w:tc>
          <w:tcPr>
            <w:tcW w:w="2430" w:type="dxa"/>
          </w:tcPr>
          <w:p w:rsidR="00000000" w:rsidRDefault="00000000">
            <w:pPr>
              <w:tabs>
                <w:tab w:val="left" w:pos="288"/>
                <w:tab w:val="left" w:pos="576"/>
                <w:tab w:val="left" w:pos="864"/>
                <w:tab w:val="left" w:pos="1152"/>
              </w:tabs>
              <w:spacing w:before="40" w:after="40"/>
            </w:pPr>
            <w:r>
              <w:t>29 de junio de 2001</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5130" w:type="dxa"/>
            <w:gridSpan w:val="2"/>
          </w:tcPr>
          <w:p w:rsidR="00000000" w:rsidRDefault="00000000">
            <w:pPr>
              <w:tabs>
                <w:tab w:val="left" w:pos="360"/>
                <w:tab w:val="left" w:pos="576"/>
                <w:tab w:val="left" w:pos="864"/>
                <w:tab w:val="left" w:pos="1152"/>
              </w:tabs>
              <w:spacing w:before="80" w:after="80"/>
              <w:ind w:right="43"/>
              <w:rPr>
                <w:b/>
              </w:rPr>
            </w:pPr>
            <w:r>
              <w:rPr>
                <w:b/>
              </w:rPr>
              <w:t>F.</w:t>
            </w:r>
            <w:r>
              <w:rPr>
                <w:b/>
              </w:rPr>
              <w:tab/>
              <w:t>Informes presentados con carácter excepcional</w:t>
            </w:r>
          </w:p>
        </w:tc>
        <w:tc>
          <w:tcPr>
            <w:tcW w:w="2880" w:type="dxa"/>
          </w:tcPr>
          <w:p w:rsidR="00000000" w:rsidRDefault="00000000">
            <w:pPr>
              <w:tabs>
                <w:tab w:val="left" w:pos="288"/>
                <w:tab w:val="left" w:pos="576"/>
                <w:tab w:val="left" w:pos="864"/>
                <w:tab w:val="left" w:pos="1152"/>
              </w:tabs>
              <w:spacing w:before="80" w:after="80"/>
              <w:ind w:right="43"/>
              <w:rPr>
                <w:b/>
              </w:rPr>
            </w:pPr>
          </w:p>
        </w:tc>
        <w:tc>
          <w:tcPr>
            <w:tcW w:w="1861" w:type="dxa"/>
            <w:gridSpan w:val="4"/>
          </w:tcPr>
          <w:p w:rsidR="00000000" w:rsidRDefault="00000000">
            <w:pPr>
              <w:tabs>
                <w:tab w:val="left" w:pos="288"/>
                <w:tab w:val="left" w:pos="576"/>
                <w:tab w:val="left" w:pos="864"/>
                <w:tab w:val="left" w:pos="1152"/>
              </w:tabs>
              <w:spacing w:before="80" w:after="80"/>
              <w:ind w:right="43"/>
              <w:rPr>
                <w:b/>
              </w:rPr>
            </w:pP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pPr>
            <w:r>
              <w:t>Croacia</w:t>
            </w:r>
          </w:p>
        </w:tc>
        <w:tc>
          <w:tcPr>
            <w:tcW w:w="2430" w:type="dxa"/>
          </w:tcPr>
          <w:p w:rsidR="00000000" w:rsidRDefault="00000000">
            <w:pPr>
              <w:tabs>
                <w:tab w:val="left" w:pos="288"/>
                <w:tab w:val="left" w:pos="576"/>
                <w:tab w:val="left" w:pos="864"/>
                <w:tab w:val="left" w:pos="1152"/>
              </w:tabs>
              <w:spacing w:before="40" w:after="40"/>
            </w:pPr>
          </w:p>
        </w:tc>
        <w:tc>
          <w:tcPr>
            <w:tcW w:w="2880" w:type="dxa"/>
          </w:tcPr>
          <w:p w:rsidR="00000000" w:rsidRDefault="00000000">
            <w:pPr>
              <w:tabs>
                <w:tab w:val="left" w:pos="288"/>
                <w:tab w:val="left" w:pos="576"/>
                <w:tab w:val="left" w:pos="864"/>
                <w:tab w:val="left" w:pos="1152"/>
              </w:tabs>
              <w:spacing w:before="40" w:after="40"/>
            </w:pPr>
            <w:r>
              <w:t>15 de septiembre de 1994</w:t>
            </w:r>
            <w:r>
              <w:br/>
              <w:t>(CEDAW/C/CRO/SP.1)</w:t>
            </w:r>
          </w:p>
        </w:tc>
        <w:tc>
          <w:tcPr>
            <w:tcW w:w="1861" w:type="dxa"/>
            <w:gridSpan w:val="4"/>
          </w:tcPr>
          <w:p w:rsidR="00000000" w:rsidRDefault="00000000">
            <w:pPr>
              <w:tabs>
                <w:tab w:val="left" w:pos="288"/>
                <w:tab w:val="left" w:pos="576"/>
                <w:tab w:val="left" w:pos="864"/>
                <w:tab w:val="left" w:pos="1152"/>
              </w:tabs>
              <w:spacing w:before="40" w:after="40"/>
            </w:pPr>
            <w:r>
              <w:t>14° (1995)</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rPr>
                <w:vertAlign w:val="superscript"/>
              </w:rPr>
            </w:pPr>
            <w:r>
              <w:t>República Democrática del Congo</w:t>
            </w:r>
            <w:r>
              <w:rPr>
                <w:vertAlign w:val="superscript"/>
              </w:rPr>
              <w:t>b</w:t>
            </w:r>
          </w:p>
        </w:tc>
        <w:tc>
          <w:tcPr>
            <w:tcW w:w="2430" w:type="dxa"/>
          </w:tcPr>
          <w:p w:rsidR="00000000" w:rsidRDefault="00000000">
            <w:pPr>
              <w:tabs>
                <w:tab w:val="left" w:pos="288"/>
                <w:tab w:val="left" w:pos="576"/>
                <w:tab w:val="left" w:pos="864"/>
                <w:tab w:val="left" w:pos="1152"/>
              </w:tabs>
              <w:spacing w:before="40" w:after="40"/>
            </w:pPr>
          </w:p>
        </w:tc>
        <w:tc>
          <w:tcPr>
            <w:tcW w:w="2880" w:type="dxa"/>
          </w:tcPr>
          <w:p w:rsidR="00000000" w:rsidRDefault="00000000">
            <w:pPr>
              <w:tabs>
                <w:tab w:val="left" w:pos="288"/>
                <w:tab w:val="left" w:pos="576"/>
                <w:tab w:val="left" w:pos="864"/>
                <w:tab w:val="left" w:pos="1152"/>
              </w:tabs>
              <w:spacing w:before="40" w:after="40"/>
            </w:pPr>
            <w:r>
              <w:t>16 de enero de 1997 (informe oral; véase CEDAW/C/SR.317)</w:t>
            </w:r>
          </w:p>
        </w:tc>
        <w:tc>
          <w:tcPr>
            <w:tcW w:w="1861" w:type="dxa"/>
            <w:gridSpan w:val="4"/>
          </w:tcPr>
          <w:p w:rsidR="00000000" w:rsidRDefault="00000000">
            <w:pPr>
              <w:tabs>
                <w:tab w:val="left" w:pos="288"/>
                <w:tab w:val="left" w:pos="576"/>
                <w:tab w:val="left" w:pos="864"/>
                <w:tab w:val="left" w:pos="1152"/>
              </w:tabs>
              <w:spacing w:before="40" w:after="40"/>
            </w:pPr>
            <w:r>
              <w:t>16° (1997)</w:t>
            </w:r>
          </w:p>
        </w:tc>
      </w:tr>
      <w:tr w:rsidR="00000000">
        <w:tblPrEx>
          <w:tblCellMar>
            <w:top w:w="0" w:type="dxa"/>
            <w:left w:w="0" w:type="dxa"/>
            <w:bottom w:w="0" w:type="dxa"/>
            <w:right w:w="0" w:type="dxa"/>
          </w:tblCellMar>
        </w:tblPrEx>
        <w:tc>
          <w:tcPr>
            <w:tcW w:w="2700" w:type="dxa"/>
          </w:tcPr>
          <w:p w:rsidR="00000000" w:rsidRDefault="00000000">
            <w:pPr>
              <w:keepNext/>
              <w:keepLines/>
              <w:tabs>
                <w:tab w:val="left" w:pos="288"/>
                <w:tab w:val="left" w:pos="576"/>
                <w:tab w:val="left" w:pos="864"/>
                <w:tab w:val="left" w:pos="1152"/>
              </w:tabs>
              <w:spacing w:before="40" w:after="40"/>
            </w:pPr>
            <w:r>
              <w:t>República Federativa de Yugoslavia (Serbia y Montenegro)</w:t>
            </w:r>
          </w:p>
        </w:tc>
        <w:tc>
          <w:tcPr>
            <w:tcW w:w="2430" w:type="dxa"/>
          </w:tcPr>
          <w:p w:rsidR="00000000" w:rsidRDefault="00000000">
            <w:pPr>
              <w:keepNext/>
              <w:keepLines/>
              <w:tabs>
                <w:tab w:val="left" w:pos="288"/>
                <w:tab w:val="left" w:pos="576"/>
                <w:tab w:val="left" w:pos="864"/>
                <w:tab w:val="left" w:pos="1152"/>
              </w:tabs>
              <w:spacing w:before="40" w:after="40"/>
            </w:pPr>
          </w:p>
        </w:tc>
        <w:tc>
          <w:tcPr>
            <w:tcW w:w="2880" w:type="dxa"/>
          </w:tcPr>
          <w:p w:rsidR="00000000" w:rsidRDefault="00000000">
            <w:pPr>
              <w:keepNext/>
              <w:keepLines/>
              <w:tabs>
                <w:tab w:val="left" w:pos="288"/>
                <w:tab w:val="left" w:pos="576"/>
                <w:tab w:val="left" w:pos="864"/>
                <w:tab w:val="left" w:pos="1152"/>
              </w:tabs>
              <w:spacing w:before="40" w:after="40"/>
            </w:pPr>
            <w:r>
              <w:t>2 de diciembre de 1993</w:t>
            </w:r>
            <w:r>
              <w:br/>
              <w:t>(CEDAW/C/YUG/SP.1)</w:t>
            </w:r>
            <w:r>
              <w:br/>
              <w:t>2 de febrero de 1994 (informe oral; véase CEDAW/C/SR.254)</w:t>
            </w:r>
          </w:p>
        </w:tc>
        <w:tc>
          <w:tcPr>
            <w:tcW w:w="1861" w:type="dxa"/>
            <w:gridSpan w:val="4"/>
          </w:tcPr>
          <w:p w:rsidR="00000000" w:rsidRDefault="00000000">
            <w:pPr>
              <w:keepNext/>
              <w:keepLines/>
              <w:tabs>
                <w:tab w:val="left" w:pos="288"/>
                <w:tab w:val="left" w:pos="576"/>
                <w:tab w:val="left" w:pos="864"/>
                <w:tab w:val="left" w:pos="1152"/>
              </w:tabs>
              <w:spacing w:before="40" w:after="40"/>
            </w:pPr>
            <w:r>
              <w:t>13° (1994)</w:t>
            </w:r>
          </w:p>
        </w:tc>
      </w:tr>
      <w:tr w:rsidR="00000000">
        <w:tblPrEx>
          <w:tblCellMar>
            <w:top w:w="0" w:type="dxa"/>
            <w:left w:w="0" w:type="dxa"/>
            <w:bottom w:w="0" w:type="dxa"/>
            <w:right w:w="0" w:type="dxa"/>
          </w:tblCellMar>
        </w:tblPrEx>
        <w:tc>
          <w:tcPr>
            <w:tcW w:w="2700" w:type="dxa"/>
            <w:tcBorders>
              <w:bottom w:val="single" w:sz="12" w:space="0" w:color="auto"/>
            </w:tcBorders>
          </w:tcPr>
          <w:p w:rsidR="00000000" w:rsidRDefault="00000000">
            <w:pPr>
              <w:tabs>
                <w:tab w:val="left" w:pos="288"/>
                <w:tab w:val="left" w:pos="576"/>
                <w:tab w:val="left" w:pos="864"/>
                <w:tab w:val="left" w:pos="1152"/>
              </w:tabs>
              <w:spacing w:before="40" w:after="80"/>
            </w:pPr>
            <w:r>
              <w:t>Rwanda</w:t>
            </w:r>
          </w:p>
        </w:tc>
        <w:tc>
          <w:tcPr>
            <w:tcW w:w="2430" w:type="dxa"/>
            <w:tcBorders>
              <w:bottom w:val="single" w:sz="12" w:space="0" w:color="auto"/>
            </w:tcBorders>
          </w:tcPr>
          <w:p w:rsidR="00000000" w:rsidRDefault="00000000">
            <w:pPr>
              <w:tabs>
                <w:tab w:val="left" w:pos="288"/>
                <w:tab w:val="left" w:pos="576"/>
                <w:tab w:val="left" w:pos="864"/>
                <w:tab w:val="left" w:pos="1152"/>
              </w:tabs>
              <w:spacing w:before="40" w:after="80"/>
            </w:pPr>
          </w:p>
        </w:tc>
        <w:tc>
          <w:tcPr>
            <w:tcW w:w="2880" w:type="dxa"/>
            <w:tcBorders>
              <w:bottom w:val="single" w:sz="12" w:space="0" w:color="auto"/>
            </w:tcBorders>
          </w:tcPr>
          <w:p w:rsidR="00000000" w:rsidRDefault="00000000">
            <w:pPr>
              <w:tabs>
                <w:tab w:val="left" w:pos="288"/>
                <w:tab w:val="left" w:pos="576"/>
                <w:tab w:val="left" w:pos="864"/>
                <w:tab w:val="left" w:pos="1152"/>
              </w:tabs>
              <w:spacing w:before="40" w:after="80"/>
            </w:pPr>
            <w:r>
              <w:t>31 de enero de 1996 (informe oral; véase CEDAW/C/SR.306)</w:t>
            </w:r>
          </w:p>
        </w:tc>
        <w:tc>
          <w:tcPr>
            <w:tcW w:w="1861" w:type="dxa"/>
            <w:gridSpan w:val="4"/>
            <w:tcBorders>
              <w:bottom w:val="single" w:sz="12" w:space="0" w:color="auto"/>
            </w:tcBorders>
          </w:tcPr>
          <w:p w:rsidR="00000000" w:rsidRDefault="00000000">
            <w:pPr>
              <w:tabs>
                <w:tab w:val="left" w:pos="288"/>
                <w:tab w:val="left" w:pos="576"/>
                <w:tab w:val="left" w:pos="864"/>
                <w:tab w:val="left" w:pos="1152"/>
              </w:tabs>
              <w:spacing w:before="40" w:after="80"/>
            </w:pPr>
            <w:r>
              <w:t>15° (1996)</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right="40" w:hanging="288"/>
      </w:pPr>
      <w:r>
        <w:tab/>
      </w:r>
      <w:r>
        <w:rPr>
          <w:vertAlign w:val="superscript"/>
        </w:rPr>
        <w:t>a</w:t>
      </w:r>
      <w:r>
        <w:tab/>
        <w:t>Un año antes de la fecha de presentación prevista, el Secretario General invita al Estado parte a que presente su informe.</w:t>
      </w:r>
    </w:p>
    <w:p w:rsidR="00000000" w:rsidRDefault="00000000">
      <w:pPr>
        <w:pStyle w:val="FootnoteText"/>
        <w:tabs>
          <w:tab w:val="clear" w:pos="418"/>
          <w:tab w:val="right" w:pos="216"/>
          <w:tab w:val="left" w:pos="288"/>
          <w:tab w:val="right" w:pos="576"/>
          <w:tab w:val="left" w:pos="648"/>
        </w:tabs>
        <w:ind w:left="288" w:right="40" w:hanging="288"/>
      </w:pPr>
      <w:r>
        <w:tab/>
      </w:r>
      <w:r>
        <w:rPr>
          <w:vertAlign w:val="superscript"/>
        </w:rPr>
        <w:t>b</w:t>
      </w:r>
      <w:r>
        <w:tab/>
        <w:t>Con efecto a partir del 17 de mayo de 1997, el Zaire cambió su denominación por la de República Democrática del Congo.</w:t>
      </w:r>
    </w:p>
    <w:p w:rsidR="00000000" w:rsidRDefault="00000000">
      <w:pPr>
        <w:pStyle w:val="FootnoteText"/>
        <w:tabs>
          <w:tab w:val="clear" w:pos="418"/>
          <w:tab w:val="right" w:pos="216"/>
          <w:tab w:val="left" w:pos="288"/>
          <w:tab w:val="right" w:pos="576"/>
          <w:tab w:val="left" w:pos="648"/>
        </w:tabs>
        <w:ind w:left="288" w:right="40" w:hanging="288"/>
      </w:pPr>
      <w:r>
        <w:tab/>
      </w:r>
      <w:r>
        <w:rPr>
          <w:vertAlign w:val="superscript"/>
        </w:rPr>
        <w:t>c</w:t>
      </w:r>
      <w:r>
        <w:tab/>
        <w:t>El informe fue retirado.</w:t>
      </w:r>
    </w:p>
    <w:p w:rsidR="00000000" w:rsidRDefault="00000000">
      <w:pPr>
        <w:pStyle w:val="SingleTxt"/>
        <w:spacing w:after="0" w:line="240" w:lineRule="auto"/>
      </w:pPr>
      <w:r>
        <w:rPr>
          <w:noProof/>
          <w:w w:val="100"/>
        </w:rPr>
        <w:pict>
          <v:line id="_x0000_s2052" style="position:absolute;left:0;text-align:left;z-index:1;mso-position-horizontal:absolute;mso-position-horizontal-relative:page;mso-position-vertical:absolute;mso-position-vertical-relative:text" from="280.8pt,24pt" to="352.8pt,24pt" o:allowincell="f" strokeweight=".25pt">
            <w10:wrap type="topAndBottom" anchorx="page"/>
          </v:line>
        </w:pict>
      </w:r>
    </w:p>
    <w:p w:rsidR="00000000" w:rsidRDefault="00000000">
      <w:pPr>
        <w:framePr w:w="4320" w:h="520" w:hSpace="180" w:vSpace="288" w:wrap="around" w:vAnchor="page" w:hAnchor="margin" w:x="1" w:y="13321"/>
      </w:pPr>
      <w:r>
        <w:t>01-53459 (S)    081001    111001</w:t>
      </w:r>
    </w:p>
    <w:p w:rsidR="00000000" w:rsidRDefault="00000000">
      <w:pPr>
        <w:framePr w:w="4320" w:h="520" w:hSpace="180" w:vSpace="288" w:wrap="around" w:vAnchor="page" w:hAnchor="margin" w:x="1" w:y="13321"/>
        <w:spacing w:before="60" w:line="200" w:lineRule="exact"/>
        <w:rPr>
          <w:rFonts w:ascii="Code 3of9 4.6" w:hAnsi="Code 3of9 4.6"/>
          <w:b/>
          <w:w w:val="100"/>
        </w:rPr>
      </w:pPr>
      <w:r>
        <w:rPr>
          <w:rFonts w:ascii="Code 3of9 4.6" w:hAnsi="Code 3of9 4.6"/>
          <w:b/>
          <w:w w:val="100"/>
        </w:rPr>
        <w:t>*0153459*</w:t>
      </w:r>
    </w:p>
    <w:p w:rsidR="00000000" w:rsidRDefault="00000000">
      <w:pPr>
        <w:pStyle w:val="SingleTxt"/>
      </w:pP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NO&gt;&gt;N0153459S&lt;&lt;ODS JOB NO&gt;&gt;</w:t>
      </w:r>
    </w:p>
    <w:p w:rsidR="00000000" w:rsidRDefault="00000000">
      <w:pPr>
        <w:pStyle w:val="CommentText"/>
      </w:pPr>
      <w:r>
        <w:t>&lt;&lt;ODS DOC SYMBOL1&gt;&gt;A/56/38 (SUPP)&lt;&lt;ODS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P TypographicSymbols">
    <w:charset w:val="02"/>
    <w:family w:val="auto"/>
    <w:pitch w:val="variable"/>
    <w:sig w:usb0="00000000" w:usb1="10000000" w:usb2="00000000" w:usb3="00000000" w:csb0="80000000" w:csb1="00000000"/>
  </w:font>
  <w:font w:name="Times New">
    <w:panose1 w:val="00000000000000000000"/>
    <w:charset w:val="00"/>
    <w:family w:val="roman"/>
    <w:notTrueType/>
    <w:pitch w:val="default"/>
    <w:sig w:usb0="00000003" w:usb1="00000000" w:usb2="00000000" w:usb3="00000000" w:csb0="0000000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v</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0153459s.doc</w:t>
          </w:r>
          <w:r>
            <w:rPr>
              <w:b w:val="0"/>
              <w:sz w:val="14"/>
            </w:rPr>
            <w:fldChar w:fldCharType="end"/>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0153459s.doc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95</w:t>
          </w:r>
          <w: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pPr>
    <w:r>
      <w:t>A/56/38</w:t>
    </w:r>
  </w:p>
  <w:p w:rsidR="00000000" w:rsidRDefault="00000000">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fillcolor="window">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bottom w:val="single" w:sz="4" w:space="0" w:color="auto"/>
      </w:tblBorders>
      <w:tblLayout w:type="fixed"/>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A/56/38</w:t>
                      </w:r>
                    </w:p>
                  </w:tc>
                  <w:tc>
                    <w:tcPr>
                      <w:tcW w:w="5047"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A/56/38</w:t>
                      </w:r>
                    </w:p>
                  </w:tc>
                </w:tr>
              </w:tbl>
              <w:p w:rsidR="00000000" w:rsidRDefault="00000000"/>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0"/>
    <w:lvl w:ilvl="0">
      <w:start w:val="1"/>
      <w:numFmt w:val="decimal"/>
      <w:lvlText w:val="%1."/>
      <w:lvlJc w:val="left"/>
      <w:pPr>
        <w:tabs>
          <w:tab w:val="num" w:pos="480"/>
        </w:tabs>
      </w:pPr>
      <w:rPr>
        <w:rFonts w:ascii="Times New Roman" w:hAnsi="Times New Roman"/>
        <w:kern w:val="2"/>
        <w:sz w:val="20"/>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nsid w:val="005B5673"/>
    <w:multiLevelType w:val="singleLevel"/>
    <w:tmpl w:val="65E46040"/>
    <w:lvl w:ilvl="0">
      <w:start w:val="195"/>
      <w:numFmt w:val="decimal"/>
      <w:lvlRestart w:val="0"/>
      <w:lvlText w:val="%1."/>
      <w:lvlJc w:val="left"/>
      <w:pPr>
        <w:tabs>
          <w:tab w:val="num" w:pos="475"/>
        </w:tabs>
        <w:ind w:left="0" w:firstLine="0"/>
      </w:pPr>
      <w:rPr>
        <w:spacing w:val="0"/>
        <w:w w:val="100"/>
      </w:rPr>
    </w:lvl>
  </w:abstractNum>
  <w:abstractNum w:abstractNumId="2">
    <w:nsid w:val="00A97071"/>
    <w:multiLevelType w:val="singleLevel"/>
    <w:tmpl w:val="49C21766"/>
    <w:lvl w:ilvl="0">
      <w:start w:val="10"/>
      <w:numFmt w:val="decimal"/>
      <w:lvlRestart w:val="0"/>
      <w:lvlText w:val="%1."/>
      <w:lvlJc w:val="left"/>
      <w:pPr>
        <w:tabs>
          <w:tab w:val="num" w:pos="1742"/>
        </w:tabs>
        <w:ind w:left="1267" w:firstLine="0"/>
      </w:pPr>
      <w:rPr>
        <w:spacing w:val="0"/>
        <w:w w:val="100"/>
      </w:rPr>
    </w:lvl>
  </w:abstractNum>
  <w:abstractNum w:abstractNumId="3">
    <w:nsid w:val="00C06B2C"/>
    <w:multiLevelType w:val="singleLevel"/>
    <w:tmpl w:val="99EEB512"/>
    <w:lvl w:ilvl="0">
      <w:start w:val="29"/>
      <w:numFmt w:val="decimal"/>
      <w:lvlRestart w:val="0"/>
      <w:lvlText w:val="%1."/>
      <w:lvlJc w:val="left"/>
      <w:pPr>
        <w:tabs>
          <w:tab w:val="num" w:pos="1742"/>
        </w:tabs>
        <w:ind w:left="1267" w:firstLine="0"/>
      </w:pPr>
      <w:rPr>
        <w:spacing w:val="0"/>
        <w:w w:val="100"/>
      </w:rPr>
    </w:lvl>
  </w:abstractNum>
  <w:abstractNum w:abstractNumId="4">
    <w:nsid w:val="01525D2E"/>
    <w:multiLevelType w:val="singleLevel"/>
    <w:tmpl w:val="9904D7A8"/>
    <w:lvl w:ilvl="0">
      <w:start w:val="68"/>
      <w:numFmt w:val="decimal"/>
      <w:lvlRestart w:val="0"/>
      <w:lvlText w:val="%1."/>
      <w:lvlJc w:val="left"/>
      <w:pPr>
        <w:tabs>
          <w:tab w:val="num" w:pos="475"/>
        </w:tabs>
        <w:ind w:left="0" w:firstLine="0"/>
      </w:pPr>
      <w:rPr>
        <w:spacing w:val="0"/>
        <w:w w:val="100"/>
      </w:rPr>
    </w:lvl>
  </w:abstractNum>
  <w:abstractNum w:abstractNumId="5">
    <w:nsid w:val="015D0AAB"/>
    <w:multiLevelType w:val="singleLevel"/>
    <w:tmpl w:val="48E0057E"/>
    <w:lvl w:ilvl="0">
      <w:start w:val="60"/>
      <w:numFmt w:val="decimal"/>
      <w:lvlRestart w:val="0"/>
      <w:lvlText w:val="%1."/>
      <w:lvlJc w:val="left"/>
      <w:pPr>
        <w:tabs>
          <w:tab w:val="num" w:pos="475"/>
        </w:tabs>
        <w:ind w:left="0" w:firstLine="0"/>
      </w:pPr>
      <w:rPr>
        <w:spacing w:val="0"/>
        <w:w w:val="100"/>
      </w:rPr>
    </w:lvl>
  </w:abstractNum>
  <w:abstractNum w:abstractNumId="6">
    <w:nsid w:val="01D16B4B"/>
    <w:multiLevelType w:val="singleLevel"/>
    <w:tmpl w:val="E0D027E2"/>
    <w:lvl w:ilvl="0">
      <w:start w:val="18"/>
      <w:numFmt w:val="decimal"/>
      <w:lvlRestart w:val="0"/>
      <w:lvlText w:val="%1."/>
      <w:lvlJc w:val="left"/>
      <w:pPr>
        <w:tabs>
          <w:tab w:val="num" w:pos="475"/>
        </w:tabs>
        <w:ind w:left="0" w:firstLine="0"/>
      </w:pPr>
      <w:rPr>
        <w:spacing w:val="0"/>
        <w:w w:val="100"/>
      </w:rPr>
    </w:lvl>
  </w:abstractNum>
  <w:abstractNum w:abstractNumId="7">
    <w:nsid w:val="0254072F"/>
    <w:multiLevelType w:val="singleLevel"/>
    <w:tmpl w:val="65F830DE"/>
    <w:lvl w:ilvl="0">
      <w:start w:val="1"/>
      <w:numFmt w:val="decimal"/>
      <w:lvlRestart w:val="0"/>
      <w:lvlText w:val="%1."/>
      <w:lvlJc w:val="left"/>
      <w:pPr>
        <w:tabs>
          <w:tab w:val="num" w:pos="475"/>
        </w:tabs>
        <w:ind w:left="0" w:firstLine="0"/>
      </w:pPr>
      <w:rPr>
        <w:spacing w:val="0"/>
        <w:w w:val="100"/>
      </w:rPr>
    </w:lvl>
  </w:abstractNum>
  <w:abstractNum w:abstractNumId="8">
    <w:nsid w:val="02B17B5F"/>
    <w:multiLevelType w:val="singleLevel"/>
    <w:tmpl w:val="8752DED8"/>
    <w:lvl w:ilvl="0">
      <w:start w:val="49"/>
      <w:numFmt w:val="decimal"/>
      <w:lvlRestart w:val="0"/>
      <w:lvlText w:val="%1."/>
      <w:lvlJc w:val="left"/>
      <w:pPr>
        <w:tabs>
          <w:tab w:val="num" w:pos="475"/>
        </w:tabs>
        <w:ind w:left="0" w:firstLine="0"/>
      </w:pPr>
      <w:rPr>
        <w:spacing w:val="0"/>
        <w:w w:val="100"/>
      </w:rPr>
    </w:lvl>
  </w:abstractNum>
  <w:abstractNum w:abstractNumId="9">
    <w:nsid w:val="03755C02"/>
    <w:multiLevelType w:val="singleLevel"/>
    <w:tmpl w:val="0809000F"/>
    <w:lvl w:ilvl="0">
      <w:start w:val="1"/>
      <w:numFmt w:val="decimal"/>
      <w:lvlText w:val="%1."/>
      <w:lvlJc w:val="left"/>
      <w:pPr>
        <w:tabs>
          <w:tab w:val="num" w:pos="360"/>
        </w:tabs>
        <w:ind w:left="360" w:hanging="360"/>
      </w:pPr>
      <w:rPr>
        <w:rFonts w:hint="default"/>
      </w:rPr>
    </w:lvl>
  </w:abstractNum>
  <w:abstractNum w:abstractNumId="10">
    <w:nsid w:val="03A630C0"/>
    <w:multiLevelType w:val="singleLevel"/>
    <w:tmpl w:val="B23AEB64"/>
    <w:lvl w:ilvl="0">
      <w:start w:val="217"/>
      <w:numFmt w:val="decimal"/>
      <w:lvlRestart w:val="0"/>
      <w:lvlText w:val="%1."/>
      <w:lvlJc w:val="left"/>
      <w:pPr>
        <w:tabs>
          <w:tab w:val="num" w:pos="475"/>
        </w:tabs>
        <w:ind w:left="0" w:firstLine="0"/>
      </w:pPr>
      <w:rPr>
        <w:b w:val="0"/>
        <w:i w:val="0"/>
        <w:spacing w:val="0"/>
        <w:w w:val="100"/>
      </w:rPr>
    </w:lvl>
  </w:abstractNum>
  <w:abstractNum w:abstractNumId="11">
    <w:nsid w:val="03A87A77"/>
    <w:multiLevelType w:val="singleLevel"/>
    <w:tmpl w:val="388E0E46"/>
    <w:lvl w:ilvl="0">
      <w:start w:val="55"/>
      <w:numFmt w:val="decimal"/>
      <w:lvlRestart w:val="0"/>
      <w:lvlText w:val="%1."/>
      <w:lvlJc w:val="left"/>
      <w:pPr>
        <w:tabs>
          <w:tab w:val="num" w:pos="475"/>
        </w:tabs>
        <w:ind w:left="0" w:firstLine="0"/>
      </w:pPr>
      <w:rPr>
        <w:spacing w:val="0"/>
        <w:w w:val="100"/>
      </w:rPr>
    </w:lvl>
  </w:abstractNum>
  <w:abstractNum w:abstractNumId="12">
    <w:nsid w:val="03B74454"/>
    <w:multiLevelType w:val="singleLevel"/>
    <w:tmpl w:val="09AA22EC"/>
    <w:lvl w:ilvl="0">
      <w:start w:val="12"/>
      <w:numFmt w:val="decimal"/>
      <w:lvlText w:val="%1."/>
      <w:lvlJc w:val="left"/>
      <w:pPr>
        <w:tabs>
          <w:tab w:val="num" w:pos="480"/>
        </w:tabs>
        <w:ind w:left="480" w:hanging="480"/>
      </w:pPr>
      <w:rPr>
        <w:rFonts w:hint="default"/>
      </w:rPr>
    </w:lvl>
  </w:abstractNum>
  <w:abstractNum w:abstractNumId="13">
    <w:nsid w:val="04EB5361"/>
    <w:multiLevelType w:val="singleLevel"/>
    <w:tmpl w:val="79784E58"/>
    <w:lvl w:ilvl="0">
      <w:start w:val="12"/>
      <w:numFmt w:val="decimal"/>
      <w:lvlRestart w:val="0"/>
      <w:lvlText w:val="%1."/>
      <w:lvlJc w:val="left"/>
      <w:pPr>
        <w:tabs>
          <w:tab w:val="num" w:pos="475"/>
        </w:tabs>
        <w:ind w:left="0" w:firstLine="0"/>
      </w:pPr>
      <w:rPr>
        <w:spacing w:val="0"/>
        <w:w w:val="100"/>
      </w:rPr>
    </w:lvl>
  </w:abstractNum>
  <w:abstractNum w:abstractNumId="14">
    <w:nsid w:val="04F96799"/>
    <w:multiLevelType w:val="singleLevel"/>
    <w:tmpl w:val="2A684D6C"/>
    <w:lvl w:ilvl="0">
      <w:start w:val="21"/>
      <w:numFmt w:val="decimal"/>
      <w:lvlRestart w:val="0"/>
      <w:lvlText w:val="%1."/>
      <w:lvlJc w:val="left"/>
      <w:pPr>
        <w:tabs>
          <w:tab w:val="num" w:pos="1742"/>
        </w:tabs>
        <w:ind w:left="1267" w:firstLine="0"/>
      </w:pPr>
      <w:rPr>
        <w:b w:val="0"/>
        <w:i w:val="0"/>
        <w:spacing w:val="0"/>
        <w:w w:val="100"/>
      </w:rPr>
    </w:lvl>
  </w:abstractNum>
  <w:abstractNum w:abstractNumId="15">
    <w:nsid w:val="04F97358"/>
    <w:multiLevelType w:val="singleLevel"/>
    <w:tmpl w:val="73167AE4"/>
    <w:lvl w:ilvl="0">
      <w:start w:val="211"/>
      <w:numFmt w:val="decimal"/>
      <w:lvlRestart w:val="0"/>
      <w:lvlText w:val="%1."/>
      <w:lvlJc w:val="left"/>
      <w:pPr>
        <w:tabs>
          <w:tab w:val="num" w:pos="475"/>
        </w:tabs>
        <w:ind w:left="0" w:firstLine="0"/>
      </w:pPr>
      <w:rPr>
        <w:spacing w:val="0"/>
        <w:w w:val="100"/>
      </w:rPr>
    </w:lvl>
  </w:abstractNum>
  <w:abstractNum w:abstractNumId="16">
    <w:nsid w:val="05DD2730"/>
    <w:multiLevelType w:val="singleLevel"/>
    <w:tmpl w:val="39F859EA"/>
    <w:lvl w:ilvl="0">
      <w:start w:val="1"/>
      <w:numFmt w:val="decimal"/>
      <w:lvlRestart w:val="0"/>
      <w:lvlText w:val="%1."/>
      <w:lvlJc w:val="left"/>
      <w:pPr>
        <w:tabs>
          <w:tab w:val="num" w:pos="1742"/>
        </w:tabs>
        <w:ind w:left="1267" w:firstLine="0"/>
      </w:pPr>
      <w:rPr>
        <w:spacing w:val="0"/>
        <w:w w:val="100"/>
      </w:rPr>
    </w:lvl>
  </w:abstractNum>
  <w:abstractNum w:abstractNumId="17">
    <w:nsid w:val="05EF6004"/>
    <w:multiLevelType w:val="singleLevel"/>
    <w:tmpl w:val="993E8B6A"/>
    <w:lvl w:ilvl="0">
      <w:start w:val="12"/>
      <w:numFmt w:val="decimal"/>
      <w:lvlRestart w:val="0"/>
      <w:lvlText w:val="%1."/>
      <w:lvlJc w:val="left"/>
      <w:pPr>
        <w:tabs>
          <w:tab w:val="num" w:pos="1742"/>
        </w:tabs>
        <w:ind w:left="1267" w:firstLine="0"/>
      </w:pPr>
      <w:rPr>
        <w:b w:val="0"/>
        <w:i w:val="0"/>
        <w:spacing w:val="0"/>
        <w:w w:val="100"/>
      </w:rPr>
    </w:lvl>
  </w:abstractNum>
  <w:abstractNum w:abstractNumId="18">
    <w:nsid w:val="062900D0"/>
    <w:multiLevelType w:val="singleLevel"/>
    <w:tmpl w:val="5280901A"/>
    <w:lvl w:ilvl="0">
      <w:start w:val="1"/>
      <w:numFmt w:val="decimal"/>
      <w:lvlRestart w:val="0"/>
      <w:lvlText w:val="%1."/>
      <w:lvlJc w:val="left"/>
      <w:pPr>
        <w:tabs>
          <w:tab w:val="num" w:pos="475"/>
        </w:tabs>
        <w:ind w:left="0" w:firstLine="0"/>
      </w:pPr>
      <w:rPr>
        <w:spacing w:val="0"/>
        <w:w w:val="100"/>
      </w:rPr>
    </w:lvl>
  </w:abstractNum>
  <w:abstractNum w:abstractNumId="19">
    <w:nsid w:val="06663388"/>
    <w:multiLevelType w:val="singleLevel"/>
    <w:tmpl w:val="D6B22C0C"/>
    <w:lvl w:ilvl="0">
      <w:start w:val="69"/>
      <w:numFmt w:val="decimal"/>
      <w:lvlRestart w:val="0"/>
      <w:lvlText w:val="%1."/>
      <w:lvlJc w:val="left"/>
      <w:pPr>
        <w:tabs>
          <w:tab w:val="num" w:pos="475"/>
        </w:tabs>
        <w:ind w:left="0" w:firstLine="0"/>
      </w:pPr>
      <w:rPr>
        <w:spacing w:val="0"/>
        <w:w w:val="100"/>
      </w:rPr>
    </w:lvl>
  </w:abstractNum>
  <w:abstractNum w:abstractNumId="20">
    <w:nsid w:val="06B45994"/>
    <w:multiLevelType w:val="singleLevel"/>
    <w:tmpl w:val="3BD60D86"/>
    <w:lvl w:ilvl="0">
      <w:start w:val="306"/>
      <w:numFmt w:val="decimal"/>
      <w:lvlRestart w:val="0"/>
      <w:lvlText w:val="%1."/>
      <w:lvlJc w:val="left"/>
      <w:pPr>
        <w:tabs>
          <w:tab w:val="num" w:pos="475"/>
        </w:tabs>
        <w:ind w:left="0" w:firstLine="0"/>
      </w:pPr>
      <w:rPr>
        <w:spacing w:val="0"/>
        <w:w w:val="100"/>
      </w:rPr>
    </w:lvl>
  </w:abstractNum>
  <w:abstractNum w:abstractNumId="21">
    <w:nsid w:val="06F752B1"/>
    <w:multiLevelType w:val="singleLevel"/>
    <w:tmpl w:val="774053AA"/>
    <w:lvl w:ilvl="0">
      <w:start w:val="10"/>
      <w:numFmt w:val="decimal"/>
      <w:lvlRestart w:val="0"/>
      <w:lvlText w:val="%1."/>
      <w:lvlJc w:val="left"/>
      <w:pPr>
        <w:tabs>
          <w:tab w:val="num" w:pos="1742"/>
        </w:tabs>
        <w:ind w:left="1267" w:firstLine="0"/>
      </w:pPr>
      <w:rPr>
        <w:spacing w:val="0"/>
        <w:w w:val="100"/>
      </w:rPr>
    </w:lvl>
  </w:abstractNum>
  <w:abstractNum w:abstractNumId="22">
    <w:nsid w:val="072A7D4C"/>
    <w:multiLevelType w:val="singleLevel"/>
    <w:tmpl w:val="4F9EF7CC"/>
    <w:lvl w:ilvl="0">
      <w:start w:val="199"/>
      <w:numFmt w:val="decimal"/>
      <w:lvlRestart w:val="0"/>
      <w:lvlText w:val="%1."/>
      <w:lvlJc w:val="left"/>
      <w:pPr>
        <w:tabs>
          <w:tab w:val="num" w:pos="475"/>
        </w:tabs>
        <w:ind w:left="0" w:firstLine="0"/>
      </w:pPr>
      <w:rPr>
        <w:b w:val="0"/>
        <w:i w:val="0"/>
        <w:spacing w:val="0"/>
        <w:w w:val="100"/>
        <w:u w:val="none"/>
      </w:rPr>
    </w:lvl>
  </w:abstractNum>
  <w:abstractNum w:abstractNumId="23">
    <w:nsid w:val="077F3DF1"/>
    <w:multiLevelType w:val="singleLevel"/>
    <w:tmpl w:val="1C147E60"/>
    <w:lvl w:ilvl="0">
      <w:start w:val="11"/>
      <w:numFmt w:val="decimal"/>
      <w:lvlRestart w:val="0"/>
      <w:lvlText w:val="%1."/>
      <w:lvlJc w:val="left"/>
      <w:pPr>
        <w:tabs>
          <w:tab w:val="num" w:pos="1742"/>
        </w:tabs>
        <w:ind w:left="1267" w:firstLine="0"/>
      </w:pPr>
      <w:rPr>
        <w:spacing w:val="0"/>
        <w:w w:val="100"/>
      </w:rPr>
    </w:lvl>
  </w:abstractNum>
  <w:abstractNum w:abstractNumId="24">
    <w:nsid w:val="07E47405"/>
    <w:multiLevelType w:val="singleLevel"/>
    <w:tmpl w:val="5D366FCC"/>
    <w:lvl w:ilvl="0">
      <w:start w:val="30"/>
      <w:numFmt w:val="decimal"/>
      <w:lvlText w:val="%1."/>
      <w:lvlJc w:val="left"/>
      <w:pPr>
        <w:tabs>
          <w:tab w:val="num" w:pos="480"/>
        </w:tabs>
        <w:ind w:left="480" w:hanging="480"/>
      </w:pPr>
      <w:rPr>
        <w:rFonts w:hint="default"/>
      </w:rPr>
    </w:lvl>
  </w:abstractNum>
  <w:abstractNum w:abstractNumId="25">
    <w:nsid w:val="08030BF3"/>
    <w:multiLevelType w:val="singleLevel"/>
    <w:tmpl w:val="CCDA3C0C"/>
    <w:lvl w:ilvl="0">
      <w:start w:val="9"/>
      <w:numFmt w:val="decimal"/>
      <w:lvlRestart w:val="0"/>
      <w:lvlText w:val="%1."/>
      <w:lvlJc w:val="left"/>
      <w:pPr>
        <w:tabs>
          <w:tab w:val="num" w:pos="1742"/>
        </w:tabs>
        <w:ind w:left="1267" w:firstLine="0"/>
      </w:pPr>
      <w:rPr>
        <w:spacing w:val="0"/>
        <w:w w:val="100"/>
      </w:rPr>
    </w:lvl>
  </w:abstractNum>
  <w:abstractNum w:abstractNumId="26">
    <w:nsid w:val="08265AEA"/>
    <w:multiLevelType w:val="multilevel"/>
    <w:tmpl w:val="48C05D9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nsid w:val="08600D9D"/>
    <w:multiLevelType w:val="singleLevel"/>
    <w:tmpl w:val="39F4AFE2"/>
    <w:lvl w:ilvl="0">
      <w:start w:val="345"/>
      <w:numFmt w:val="decimal"/>
      <w:lvlRestart w:val="0"/>
      <w:lvlText w:val="%1."/>
      <w:lvlJc w:val="left"/>
      <w:pPr>
        <w:tabs>
          <w:tab w:val="num" w:pos="475"/>
        </w:tabs>
        <w:ind w:left="0" w:firstLine="0"/>
      </w:pPr>
      <w:rPr>
        <w:spacing w:val="0"/>
        <w:w w:val="100"/>
      </w:rPr>
    </w:lvl>
  </w:abstractNum>
  <w:abstractNum w:abstractNumId="28">
    <w:nsid w:val="092D2BFE"/>
    <w:multiLevelType w:val="multilevel"/>
    <w:tmpl w:val="C49C3EB4"/>
    <w:name w:val="TOC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0937318E"/>
    <w:multiLevelType w:val="singleLevel"/>
    <w:tmpl w:val="CCA20424"/>
    <w:lvl w:ilvl="0">
      <w:start w:val="14"/>
      <w:numFmt w:val="decimal"/>
      <w:lvlRestart w:val="0"/>
      <w:lvlText w:val="%1."/>
      <w:lvlJc w:val="left"/>
      <w:pPr>
        <w:tabs>
          <w:tab w:val="num" w:pos="475"/>
        </w:tabs>
        <w:ind w:left="0" w:firstLine="0"/>
      </w:pPr>
      <w:rPr>
        <w:spacing w:val="0"/>
        <w:w w:val="100"/>
      </w:rPr>
    </w:lvl>
  </w:abstractNum>
  <w:abstractNum w:abstractNumId="30">
    <w:nsid w:val="093B404E"/>
    <w:multiLevelType w:val="singleLevel"/>
    <w:tmpl w:val="B4024DFC"/>
    <w:lvl w:ilvl="0">
      <w:start w:val="359"/>
      <w:numFmt w:val="decimal"/>
      <w:lvlRestart w:val="0"/>
      <w:lvlText w:val="%1."/>
      <w:lvlJc w:val="left"/>
      <w:pPr>
        <w:tabs>
          <w:tab w:val="num" w:pos="475"/>
        </w:tabs>
        <w:ind w:left="0" w:firstLine="0"/>
      </w:pPr>
      <w:rPr>
        <w:b w:val="0"/>
        <w:i w:val="0"/>
        <w:spacing w:val="0"/>
        <w:w w:val="100"/>
      </w:rPr>
    </w:lvl>
  </w:abstractNum>
  <w:abstractNum w:abstractNumId="31">
    <w:nsid w:val="09912FE9"/>
    <w:multiLevelType w:val="singleLevel"/>
    <w:tmpl w:val="B74A0C10"/>
    <w:lvl w:ilvl="0">
      <w:start w:val="359"/>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32">
    <w:nsid w:val="09E673B1"/>
    <w:multiLevelType w:val="singleLevel"/>
    <w:tmpl w:val="EA86951E"/>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33">
    <w:nsid w:val="0A25716D"/>
    <w:multiLevelType w:val="singleLevel"/>
    <w:tmpl w:val="95403894"/>
    <w:lvl w:ilvl="0">
      <w:start w:val="262"/>
      <w:numFmt w:val="decimal"/>
      <w:lvlRestart w:val="0"/>
      <w:lvlText w:val="%1."/>
      <w:lvlJc w:val="left"/>
      <w:pPr>
        <w:tabs>
          <w:tab w:val="num" w:pos="475"/>
        </w:tabs>
        <w:ind w:left="0" w:firstLine="0"/>
      </w:pPr>
      <w:rPr>
        <w:b w:val="0"/>
        <w:i w:val="0"/>
        <w:spacing w:val="0"/>
        <w:w w:val="100"/>
      </w:rPr>
    </w:lvl>
  </w:abstractNum>
  <w:abstractNum w:abstractNumId="34">
    <w:nsid w:val="0A285DD1"/>
    <w:multiLevelType w:val="singleLevel"/>
    <w:tmpl w:val="F8EAF1D4"/>
    <w:lvl w:ilvl="0">
      <w:start w:val="22"/>
      <w:numFmt w:val="decimal"/>
      <w:lvlRestart w:val="0"/>
      <w:lvlText w:val="%1."/>
      <w:lvlJc w:val="left"/>
      <w:pPr>
        <w:tabs>
          <w:tab w:val="num" w:pos="1742"/>
        </w:tabs>
        <w:ind w:left="1267" w:firstLine="0"/>
      </w:pPr>
      <w:rPr>
        <w:spacing w:val="0"/>
        <w:w w:val="100"/>
      </w:rPr>
    </w:lvl>
  </w:abstractNum>
  <w:abstractNum w:abstractNumId="35">
    <w:nsid w:val="0A3373D7"/>
    <w:multiLevelType w:val="singleLevel"/>
    <w:tmpl w:val="83F6F0E2"/>
    <w:lvl w:ilvl="0">
      <w:start w:val="8"/>
      <w:numFmt w:val="decimal"/>
      <w:lvlText w:val="%1."/>
      <w:lvlJc w:val="left"/>
      <w:pPr>
        <w:tabs>
          <w:tab w:val="num" w:pos="1440"/>
        </w:tabs>
        <w:ind w:left="1440" w:hanging="480"/>
      </w:pPr>
      <w:rPr>
        <w:rFonts w:hint="default"/>
      </w:rPr>
    </w:lvl>
  </w:abstractNum>
  <w:abstractNum w:abstractNumId="36">
    <w:nsid w:val="0A3C47C7"/>
    <w:multiLevelType w:val="singleLevel"/>
    <w:tmpl w:val="32BA837E"/>
    <w:lvl w:ilvl="0">
      <w:start w:val="119"/>
      <w:numFmt w:val="decimal"/>
      <w:lvlRestart w:val="0"/>
      <w:lvlText w:val="%1."/>
      <w:lvlJc w:val="left"/>
      <w:pPr>
        <w:tabs>
          <w:tab w:val="num" w:pos="475"/>
        </w:tabs>
        <w:ind w:left="0" w:firstLine="0"/>
      </w:pPr>
      <w:rPr>
        <w:spacing w:val="0"/>
        <w:w w:val="100"/>
      </w:rPr>
    </w:lvl>
  </w:abstractNum>
  <w:abstractNum w:abstractNumId="37">
    <w:nsid w:val="0A451B5F"/>
    <w:multiLevelType w:val="singleLevel"/>
    <w:tmpl w:val="6A327B08"/>
    <w:lvl w:ilvl="0">
      <w:start w:val="122"/>
      <w:numFmt w:val="decimal"/>
      <w:lvlRestart w:val="0"/>
      <w:lvlText w:val="%1."/>
      <w:lvlJc w:val="left"/>
      <w:pPr>
        <w:tabs>
          <w:tab w:val="num" w:pos="1742"/>
        </w:tabs>
        <w:ind w:left="1267" w:firstLine="0"/>
      </w:pPr>
      <w:rPr>
        <w:b w:val="0"/>
        <w:i w:val="0"/>
        <w:spacing w:val="0"/>
        <w:w w:val="100"/>
      </w:rPr>
    </w:lvl>
  </w:abstractNum>
  <w:abstractNum w:abstractNumId="38">
    <w:nsid w:val="0AF20652"/>
    <w:multiLevelType w:val="singleLevel"/>
    <w:tmpl w:val="D3B444A0"/>
    <w:lvl w:ilvl="0">
      <w:start w:val="1"/>
      <w:numFmt w:val="decimal"/>
      <w:lvlRestart w:val="0"/>
      <w:lvlText w:val="%1."/>
      <w:lvlJc w:val="left"/>
      <w:pPr>
        <w:tabs>
          <w:tab w:val="num" w:pos="475"/>
        </w:tabs>
        <w:ind w:left="0" w:firstLine="0"/>
      </w:pPr>
      <w:rPr>
        <w:b w:val="0"/>
        <w:i w:val="0"/>
        <w:spacing w:val="0"/>
        <w:w w:val="100"/>
      </w:rPr>
    </w:lvl>
  </w:abstractNum>
  <w:abstractNum w:abstractNumId="39">
    <w:nsid w:val="0AF33DBD"/>
    <w:multiLevelType w:val="multilevel"/>
    <w:tmpl w:val="B814857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0">
    <w:nsid w:val="0B6D7BE4"/>
    <w:multiLevelType w:val="singleLevel"/>
    <w:tmpl w:val="110EBC0E"/>
    <w:lvl w:ilvl="0">
      <w:start w:val="10"/>
      <w:numFmt w:val="decimal"/>
      <w:lvlRestart w:val="0"/>
      <w:lvlText w:val="%1."/>
      <w:lvlJc w:val="left"/>
      <w:pPr>
        <w:tabs>
          <w:tab w:val="num" w:pos="1742"/>
        </w:tabs>
        <w:ind w:left="1267" w:firstLine="0"/>
      </w:pPr>
      <w:rPr>
        <w:spacing w:val="0"/>
        <w:w w:val="100"/>
      </w:rPr>
    </w:lvl>
  </w:abstractNum>
  <w:abstractNum w:abstractNumId="41">
    <w:nsid w:val="0BAF758F"/>
    <w:multiLevelType w:val="singleLevel"/>
    <w:tmpl w:val="4350CC9C"/>
    <w:lvl w:ilvl="0">
      <w:start w:val="29"/>
      <w:numFmt w:val="decimal"/>
      <w:lvlRestart w:val="0"/>
      <w:lvlText w:val="%1."/>
      <w:lvlJc w:val="left"/>
      <w:pPr>
        <w:tabs>
          <w:tab w:val="num" w:pos="1742"/>
        </w:tabs>
        <w:ind w:left="1267" w:firstLine="0"/>
      </w:pPr>
      <w:rPr>
        <w:spacing w:val="0"/>
        <w:w w:val="100"/>
      </w:rPr>
    </w:lvl>
  </w:abstractNum>
  <w:abstractNum w:abstractNumId="42">
    <w:nsid w:val="0BE5705D"/>
    <w:multiLevelType w:val="singleLevel"/>
    <w:tmpl w:val="01BE439C"/>
    <w:lvl w:ilvl="0">
      <w:start w:val="32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43">
    <w:nsid w:val="0BEB64C6"/>
    <w:multiLevelType w:val="singleLevel"/>
    <w:tmpl w:val="64CE9C20"/>
    <w:lvl w:ilvl="0">
      <w:start w:val="145"/>
      <w:numFmt w:val="decimal"/>
      <w:lvlRestart w:val="0"/>
      <w:lvlText w:val="%1."/>
      <w:lvlJc w:val="left"/>
      <w:pPr>
        <w:tabs>
          <w:tab w:val="num" w:pos="1742"/>
        </w:tabs>
        <w:ind w:left="1267" w:firstLine="0"/>
      </w:pPr>
      <w:rPr>
        <w:spacing w:val="0"/>
        <w:w w:val="100"/>
      </w:rPr>
    </w:lvl>
  </w:abstractNum>
  <w:abstractNum w:abstractNumId="44">
    <w:nsid w:val="0C12365C"/>
    <w:multiLevelType w:val="singleLevel"/>
    <w:tmpl w:val="7C927FB0"/>
    <w:lvl w:ilvl="0">
      <w:start w:val="23"/>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45">
    <w:nsid w:val="0CD60E46"/>
    <w:multiLevelType w:val="singleLevel"/>
    <w:tmpl w:val="9740DEE2"/>
    <w:lvl w:ilvl="0">
      <w:start w:val="180"/>
      <w:numFmt w:val="decimal"/>
      <w:lvlRestart w:val="0"/>
      <w:lvlText w:val="%1."/>
      <w:lvlJc w:val="left"/>
      <w:pPr>
        <w:tabs>
          <w:tab w:val="num" w:pos="475"/>
        </w:tabs>
        <w:ind w:left="0" w:firstLine="0"/>
      </w:pPr>
      <w:rPr>
        <w:b w:val="0"/>
        <w:i w:val="0"/>
        <w:spacing w:val="0"/>
        <w:w w:val="100"/>
      </w:rPr>
    </w:lvl>
  </w:abstractNum>
  <w:abstractNum w:abstractNumId="46">
    <w:nsid w:val="0D134C2A"/>
    <w:multiLevelType w:val="singleLevel"/>
    <w:tmpl w:val="C9A43456"/>
    <w:lvl w:ilvl="0">
      <w:start w:val="13"/>
      <w:numFmt w:val="decimal"/>
      <w:lvlRestart w:val="0"/>
      <w:lvlText w:val="%1."/>
      <w:lvlJc w:val="left"/>
      <w:pPr>
        <w:tabs>
          <w:tab w:val="num" w:pos="1742"/>
        </w:tabs>
        <w:ind w:left="1267" w:firstLine="0"/>
      </w:pPr>
      <w:rPr>
        <w:spacing w:val="0"/>
        <w:w w:val="100"/>
      </w:rPr>
    </w:lvl>
  </w:abstractNum>
  <w:abstractNum w:abstractNumId="47">
    <w:nsid w:val="0D27308C"/>
    <w:multiLevelType w:val="singleLevel"/>
    <w:tmpl w:val="41ACCCD2"/>
    <w:lvl w:ilvl="0">
      <w:start w:val="59"/>
      <w:numFmt w:val="decimal"/>
      <w:lvlRestart w:val="0"/>
      <w:lvlText w:val="%1."/>
      <w:lvlJc w:val="left"/>
      <w:pPr>
        <w:tabs>
          <w:tab w:val="num" w:pos="475"/>
        </w:tabs>
        <w:ind w:left="0" w:firstLine="0"/>
      </w:pPr>
      <w:rPr>
        <w:spacing w:val="0"/>
        <w:w w:val="100"/>
      </w:rPr>
    </w:lvl>
  </w:abstractNum>
  <w:abstractNum w:abstractNumId="48">
    <w:nsid w:val="0D745809"/>
    <w:multiLevelType w:val="singleLevel"/>
    <w:tmpl w:val="50788FDA"/>
    <w:lvl w:ilvl="0">
      <w:start w:val="33"/>
      <w:numFmt w:val="decimal"/>
      <w:lvlText w:val="%1."/>
      <w:lvlJc w:val="left"/>
      <w:pPr>
        <w:tabs>
          <w:tab w:val="num" w:pos="480"/>
        </w:tabs>
        <w:ind w:left="480" w:hanging="480"/>
      </w:pPr>
      <w:rPr>
        <w:rFonts w:hint="default"/>
      </w:rPr>
    </w:lvl>
  </w:abstractNum>
  <w:abstractNum w:abstractNumId="49">
    <w:nsid w:val="0D7A4318"/>
    <w:multiLevelType w:val="singleLevel"/>
    <w:tmpl w:val="F6269F84"/>
    <w:lvl w:ilvl="0">
      <w:start w:val="378"/>
      <w:numFmt w:val="decimal"/>
      <w:lvlRestart w:val="0"/>
      <w:lvlText w:val="%1."/>
      <w:lvlJc w:val="left"/>
      <w:pPr>
        <w:tabs>
          <w:tab w:val="num" w:pos="1742"/>
        </w:tabs>
        <w:ind w:left="1267" w:firstLine="0"/>
      </w:pPr>
      <w:rPr>
        <w:spacing w:val="0"/>
        <w:w w:val="100"/>
      </w:rPr>
    </w:lvl>
  </w:abstractNum>
  <w:abstractNum w:abstractNumId="50">
    <w:nsid w:val="0DB63FDA"/>
    <w:multiLevelType w:val="singleLevel"/>
    <w:tmpl w:val="7CFC5B90"/>
    <w:lvl w:ilvl="0">
      <w:start w:val="6"/>
      <w:numFmt w:val="decimal"/>
      <w:lvlRestart w:val="0"/>
      <w:lvlText w:val="%1."/>
      <w:lvlJc w:val="left"/>
      <w:pPr>
        <w:tabs>
          <w:tab w:val="num" w:pos="1742"/>
        </w:tabs>
        <w:ind w:left="1267" w:firstLine="0"/>
      </w:pPr>
      <w:rPr>
        <w:b w:val="0"/>
        <w:i w:val="0"/>
        <w:spacing w:val="0"/>
        <w:w w:val="100"/>
      </w:rPr>
    </w:lvl>
  </w:abstractNum>
  <w:abstractNum w:abstractNumId="51">
    <w:nsid w:val="0DD00A41"/>
    <w:multiLevelType w:val="singleLevel"/>
    <w:tmpl w:val="1194DCE4"/>
    <w:lvl w:ilvl="0">
      <w:start w:val="35"/>
      <w:numFmt w:val="decimal"/>
      <w:lvlText w:val="%1."/>
      <w:lvlJc w:val="left"/>
      <w:pPr>
        <w:tabs>
          <w:tab w:val="num" w:pos="480"/>
        </w:tabs>
        <w:ind w:left="480" w:hanging="480"/>
      </w:pPr>
      <w:rPr>
        <w:rFonts w:hint="default"/>
      </w:rPr>
    </w:lvl>
  </w:abstractNum>
  <w:abstractNum w:abstractNumId="52">
    <w:nsid w:val="0E307274"/>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53">
    <w:nsid w:val="0E632C93"/>
    <w:multiLevelType w:val="singleLevel"/>
    <w:tmpl w:val="E47AD488"/>
    <w:lvl w:ilvl="0">
      <w:start w:val="1"/>
      <w:numFmt w:val="decimal"/>
      <w:lvlRestart w:val="0"/>
      <w:lvlText w:val="%1."/>
      <w:lvlJc w:val="left"/>
      <w:pPr>
        <w:tabs>
          <w:tab w:val="num" w:pos="475"/>
        </w:tabs>
        <w:ind w:left="0" w:firstLine="0"/>
      </w:pPr>
      <w:rPr>
        <w:spacing w:val="0"/>
        <w:w w:val="100"/>
      </w:rPr>
    </w:lvl>
  </w:abstractNum>
  <w:abstractNum w:abstractNumId="54">
    <w:nsid w:val="0E6E55F3"/>
    <w:multiLevelType w:val="singleLevel"/>
    <w:tmpl w:val="4698C16E"/>
    <w:lvl w:ilvl="0">
      <w:start w:val="1"/>
      <w:numFmt w:val="decimal"/>
      <w:lvlRestart w:val="0"/>
      <w:lvlText w:val="%1."/>
      <w:lvlJc w:val="left"/>
      <w:pPr>
        <w:tabs>
          <w:tab w:val="num" w:pos="475"/>
        </w:tabs>
        <w:ind w:left="0" w:firstLine="0"/>
      </w:pPr>
      <w:rPr>
        <w:spacing w:val="0"/>
        <w:w w:val="100"/>
      </w:rPr>
    </w:lvl>
  </w:abstractNum>
  <w:abstractNum w:abstractNumId="55">
    <w:nsid w:val="0E7547BE"/>
    <w:multiLevelType w:val="singleLevel"/>
    <w:tmpl w:val="ACF85328"/>
    <w:lvl w:ilvl="0">
      <w:start w:val="1"/>
      <w:numFmt w:val="decimal"/>
      <w:lvlRestart w:val="0"/>
      <w:lvlText w:val="%1."/>
      <w:lvlJc w:val="left"/>
      <w:pPr>
        <w:tabs>
          <w:tab w:val="num" w:pos="475"/>
        </w:tabs>
        <w:ind w:left="0" w:firstLine="0"/>
      </w:pPr>
      <w:rPr>
        <w:b w:val="0"/>
        <w:i w:val="0"/>
        <w:spacing w:val="0"/>
        <w:w w:val="100"/>
        <w:sz w:val="20"/>
      </w:rPr>
    </w:lvl>
  </w:abstractNum>
  <w:abstractNum w:abstractNumId="56">
    <w:nsid w:val="0E806D06"/>
    <w:multiLevelType w:val="multilevel"/>
    <w:tmpl w:val="06A6843A"/>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7">
    <w:nsid w:val="0E895328"/>
    <w:multiLevelType w:val="singleLevel"/>
    <w:tmpl w:val="E5EE66B8"/>
    <w:lvl w:ilvl="0">
      <w:start w:val="1"/>
      <w:numFmt w:val="decimal"/>
      <w:lvlRestart w:val="0"/>
      <w:lvlText w:val="%1."/>
      <w:lvlJc w:val="left"/>
      <w:pPr>
        <w:tabs>
          <w:tab w:val="num" w:pos="475"/>
        </w:tabs>
        <w:ind w:left="0" w:firstLine="0"/>
      </w:pPr>
      <w:rPr>
        <w:b w:val="0"/>
        <w:i w:val="0"/>
        <w:spacing w:val="0"/>
        <w:w w:val="100"/>
        <w:u w:val="none"/>
      </w:rPr>
    </w:lvl>
  </w:abstractNum>
  <w:abstractNum w:abstractNumId="58">
    <w:nsid w:val="0EC0148D"/>
    <w:multiLevelType w:val="singleLevel"/>
    <w:tmpl w:val="67CC8976"/>
    <w:lvl w:ilvl="0">
      <w:start w:val="2"/>
      <w:numFmt w:val="decimal"/>
      <w:lvlRestart w:val="0"/>
      <w:lvlText w:val="%1."/>
      <w:lvlJc w:val="left"/>
      <w:pPr>
        <w:tabs>
          <w:tab w:val="num" w:pos="1742"/>
        </w:tabs>
        <w:ind w:left="1267" w:firstLine="0"/>
      </w:pPr>
      <w:rPr>
        <w:b w:val="0"/>
        <w:i w:val="0"/>
        <w:spacing w:val="0"/>
        <w:w w:val="100"/>
      </w:rPr>
    </w:lvl>
  </w:abstractNum>
  <w:abstractNum w:abstractNumId="59">
    <w:nsid w:val="0EEA4B3F"/>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60">
    <w:nsid w:val="0F462545"/>
    <w:multiLevelType w:val="singleLevel"/>
    <w:tmpl w:val="5C50C842"/>
    <w:lvl w:ilvl="0">
      <w:start w:val="14"/>
      <w:numFmt w:val="decimal"/>
      <w:lvlRestart w:val="0"/>
      <w:lvlText w:val="%1."/>
      <w:lvlJc w:val="left"/>
      <w:pPr>
        <w:tabs>
          <w:tab w:val="num" w:pos="475"/>
        </w:tabs>
        <w:ind w:left="0" w:firstLine="0"/>
      </w:pPr>
      <w:rPr>
        <w:b w:val="0"/>
        <w:i w:val="0"/>
        <w:spacing w:val="0"/>
        <w:w w:val="100"/>
      </w:rPr>
    </w:lvl>
  </w:abstractNum>
  <w:abstractNum w:abstractNumId="61">
    <w:nsid w:val="0F747B28"/>
    <w:multiLevelType w:val="singleLevel"/>
    <w:tmpl w:val="67582972"/>
    <w:lvl w:ilvl="0">
      <w:start w:val="266"/>
      <w:numFmt w:val="decimal"/>
      <w:lvlRestart w:val="0"/>
      <w:lvlText w:val="%1."/>
      <w:lvlJc w:val="left"/>
      <w:pPr>
        <w:tabs>
          <w:tab w:val="num" w:pos="475"/>
        </w:tabs>
        <w:ind w:left="0" w:firstLine="0"/>
      </w:pPr>
      <w:rPr>
        <w:b w:val="0"/>
        <w:i w:val="0"/>
        <w:spacing w:val="0"/>
        <w:w w:val="100"/>
      </w:rPr>
    </w:lvl>
  </w:abstractNum>
  <w:abstractNum w:abstractNumId="62">
    <w:nsid w:val="0FE509C4"/>
    <w:multiLevelType w:val="singleLevel"/>
    <w:tmpl w:val="52E0CB14"/>
    <w:lvl w:ilvl="0">
      <w:start w:val="51"/>
      <w:numFmt w:val="decimal"/>
      <w:lvlRestart w:val="0"/>
      <w:lvlText w:val="%1."/>
      <w:lvlJc w:val="left"/>
      <w:pPr>
        <w:tabs>
          <w:tab w:val="num" w:pos="1742"/>
        </w:tabs>
        <w:ind w:left="1267" w:firstLine="0"/>
      </w:pPr>
      <w:rPr>
        <w:spacing w:val="0"/>
        <w:w w:val="100"/>
      </w:rPr>
    </w:lvl>
  </w:abstractNum>
  <w:abstractNum w:abstractNumId="63">
    <w:nsid w:val="0FFB3733"/>
    <w:multiLevelType w:val="singleLevel"/>
    <w:tmpl w:val="714048AA"/>
    <w:lvl w:ilvl="0">
      <w:start w:val="344"/>
      <w:numFmt w:val="decimal"/>
      <w:lvlRestart w:val="0"/>
      <w:lvlText w:val="%1."/>
      <w:lvlJc w:val="left"/>
      <w:pPr>
        <w:tabs>
          <w:tab w:val="num" w:pos="1742"/>
        </w:tabs>
        <w:ind w:left="1267" w:firstLine="0"/>
      </w:pPr>
      <w:rPr>
        <w:spacing w:val="0"/>
        <w:w w:val="100"/>
      </w:rPr>
    </w:lvl>
  </w:abstractNum>
  <w:abstractNum w:abstractNumId="64">
    <w:nsid w:val="106F3418"/>
    <w:multiLevelType w:val="singleLevel"/>
    <w:tmpl w:val="E7E00CA2"/>
    <w:lvl w:ilvl="0">
      <w:start w:val="29"/>
      <w:numFmt w:val="decimal"/>
      <w:lvlRestart w:val="0"/>
      <w:lvlText w:val="%1."/>
      <w:lvlJc w:val="left"/>
      <w:pPr>
        <w:tabs>
          <w:tab w:val="num" w:pos="1742"/>
        </w:tabs>
        <w:ind w:left="1267" w:firstLine="0"/>
      </w:pPr>
      <w:rPr>
        <w:spacing w:val="0"/>
        <w:w w:val="100"/>
      </w:rPr>
    </w:lvl>
  </w:abstractNum>
  <w:abstractNum w:abstractNumId="65">
    <w:nsid w:val="1070455D"/>
    <w:multiLevelType w:val="singleLevel"/>
    <w:tmpl w:val="21FC022C"/>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66">
    <w:nsid w:val="10844AB3"/>
    <w:multiLevelType w:val="singleLevel"/>
    <w:tmpl w:val="6F94DEE8"/>
    <w:lvl w:ilvl="0">
      <w:start w:val="1"/>
      <w:numFmt w:val="decimal"/>
      <w:lvlRestart w:val="0"/>
      <w:lvlText w:val="%1."/>
      <w:lvlJc w:val="left"/>
      <w:pPr>
        <w:tabs>
          <w:tab w:val="num" w:pos="475"/>
        </w:tabs>
        <w:ind w:left="0" w:firstLine="0"/>
      </w:pPr>
      <w:rPr>
        <w:spacing w:val="0"/>
        <w:w w:val="100"/>
      </w:rPr>
    </w:lvl>
  </w:abstractNum>
  <w:abstractNum w:abstractNumId="67">
    <w:nsid w:val="10890C08"/>
    <w:multiLevelType w:val="singleLevel"/>
    <w:tmpl w:val="E17A99E2"/>
    <w:lvl w:ilvl="0">
      <w:start w:val="264"/>
      <w:numFmt w:val="decimal"/>
      <w:lvlRestart w:val="0"/>
      <w:lvlText w:val="%1."/>
      <w:lvlJc w:val="left"/>
      <w:pPr>
        <w:tabs>
          <w:tab w:val="num" w:pos="475"/>
        </w:tabs>
        <w:ind w:left="0" w:firstLine="0"/>
      </w:pPr>
      <w:rPr>
        <w:spacing w:val="0"/>
        <w:w w:val="100"/>
      </w:rPr>
    </w:lvl>
  </w:abstractNum>
  <w:abstractNum w:abstractNumId="68">
    <w:nsid w:val="10A82DE3"/>
    <w:multiLevelType w:val="singleLevel"/>
    <w:tmpl w:val="E4AE6FB6"/>
    <w:lvl w:ilvl="0">
      <w:start w:val="312"/>
      <w:numFmt w:val="decimal"/>
      <w:lvlRestart w:val="0"/>
      <w:lvlText w:val="%1."/>
      <w:lvlJc w:val="left"/>
      <w:pPr>
        <w:tabs>
          <w:tab w:val="num" w:pos="475"/>
        </w:tabs>
        <w:ind w:left="0" w:firstLine="0"/>
      </w:pPr>
      <w:rPr>
        <w:spacing w:val="0"/>
        <w:w w:val="100"/>
      </w:rPr>
    </w:lvl>
  </w:abstractNum>
  <w:abstractNum w:abstractNumId="69">
    <w:nsid w:val="10CF0485"/>
    <w:multiLevelType w:val="singleLevel"/>
    <w:tmpl w:val="E466D7BE"/>
    <w:lvl w:ilvl="0">
      <w:start w:val="18"/>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70">
    <w:nsid w:val="11040B24"/>
    <w:multiLevelType w:val="singleLevel"/>
    <w:tmpl w:val="33689574"/>
    <w:lvl w:ilvl="0">
      <w:start w:val="7"/>
      <w:numFmt w:val="decimal"/>
      <w:lvlRestart w:val="0"/>
      <w:lvlText w:val="%1."/>
      <w:lvlJc w:val="left"/>
      <w:pPr>
        <w:tabs>
          <w:tab w:val="num" w:pos="1742"/>
        </w:tabs>
        <w:ind w:left="1267" w:firstLine="0"/>
      </w:pPr>
      <w:rPr>
        <w:spacing w:val="0"/>
        <w:w w:val="100"/>
      </w:rPr>
    </w:lvl>
  </w:abstractNum>
  <w:abstractNum w:abstractNumId="71">
    <w:nsid w:val="113E25F3"/>
    <w:multiLevelType w:val="singleLevel"/>
    <w:tmpl w:val="F6269F84"/>
    <w:lvl w:ilvl="0">
      <w:start w:val="378"/>
      <w:numFmt w:val="decimal"/>
      <w:lvlRestart w:val="0"/>
      <w:lvlText w:val="%1."/>
      <w:lvlJc w:val="left"/>
      <w:pPr>
        <w:tabs>
          <w:tab w:val="num" w:pos="1742"/>
        </w:tabs>
        <w:ind w:left="1267" w:firstLine="0"/>
      </w:pPr>
      <w:rPr>
        <w:spacing w:val="0"/>
        <w:w w:val="100"/>
      </w:rPr>
    </w:lvl>
  </w:abstractNum>
  <w:abstractNum w:abstractNumId="72">
    <w:nsid w:val="11454669"/>
    <w:multiLevelType w:val="singleLevel"/>
    <w:tmpl w:val="444A1C12"/>
    <w:lvl w:ilvl="0">
      <w:start w:val="119"/>
      <w:numFmt w:val="decimal"/>
      <w:lvlRestart w:val="0"/>
      <w:lvlText w:val="%1."/>
      <w:lvlJc w:val="left"/>
      <w:pPr>
        <w:tabs>
          <w:tab w:val="num" w:pos="1742"/>
        </w:tabs>
        <w:ind w:left="1267" w:firstLine="0"/>
      </w:pPr>
      <w:rPr>
        <w:spacing w:val="0"/>
        <w:w w:val="100"/>
      </w:rPr>
    </w:lvl>
  </w:abstractNum>
  <w:abstractNum w:abstractNumId="73">
    <w:nsid w:val="11582330"/>
    <w:multiLevelType w:val="singleLevel"/>
    <w:tmpl w:val="4B661C16"/>
    <w:lvl w:ilvl="0">
      <w:numFmt w:val="bullet"/>
      <w:lvlText w:val=""/>
      <w:lvlJc w:val="left"/>
      <w:pPr>
        <w:tabs>
          <w:tab w:val="num" w:pos="1080"/>
        </w:tabs>
        <w:ind w:left="1080" w:hanging="360"/>
      </w:pPr>
      <w:rPr>
        <w:rFonts w:ascii="Symbol" w:hAnsi="Symbol" w:hint="default"/>
      </w:rPr>
    </w:lvl>
  </w:abstractNum>
  <w:abstractNum w:abstractNumId="74">
    <w:nsid w:val="119B1C76"/>
    <w:multiLevelType w:val="singleLevel"/>
    <w:tmpl w:val="82768452"/>
    <w:lvl w:ilvl="0">
      <w:start w:val="1"/>
      <w:numFmt w:val="decimal"/>
      <w:lvlRestart w:val="0"/>
      <w:lvlText w:val="%1."/>
      <w:lvlJc w:val="left"/>
      <w:pPr>
        <w:tabs>
          <w:tab w:val="num" w:pos="475"/>
        </w:tabs>
        <w:ind w:left="0" w:firstLine="0"/>
      </w:pPr>
      <w:rPr>
        <w:spacing w:val="0"/>
        <w:w w:val="100"/>
      </w:rPr>
    </w:lvl>
  </w:abstractNum>
  <w:abstractNum w:abstractNumId="75">
    <w:nsid w:val="11FD5CEB"/>
    <w:multiLevelType w:val="singleLevel"/>
    <w:tmpl w:val="F93C1814"/>
    <w:lvl w:ilvl="0">
      <w:start w:val="217"/>
      <w:numFmt w:val="decimal"/>
      <w:lvlRestart w:val="0"/>
      <w:lvlText w:val="%1."/>
      <w:lvlJc w:val="left"/>
      <w:pPr>
        <w:tabs>
          <w:tab w:val="num" w:pos="475"/>
        </w:tabs>
        <w:ind w:left="0" w:firstLine="0"/>
      </w:pPr>
      <w:rPr>
        <w:b w:val="0"/>
        <w:i w:val="0"/>
        <w:caps w:val="0"/>
        <w:strike w:val="0"/>
        <w:dstrike w:val="0"/>
        <w:shadow w:val="0"/>
        <w:emboss w:val="0"/>
        <w:imprint w:val="0"/>
        <w:vanish w:val="0"/>
        <w:spacing w:val="0"/>
        <w:w w:val="100"/>
        <w:sz w:val="20"/>
        <w:vertAlign w:val="baseline"/>
      </w:rPr>
    </w:lvl>
  </w:abstractNum>
  <w:abstractNum w:abstractNumId="76">
    <w:nsid w:val="12933502"/>
    <w:multiLevelType w:val="singleLevel"/>
    <w:tmpl w:val="11344E24"/>
    <w:lvl w:ilvl="0">
      <w:start w:val="1"/>
      <w:numFmt w:val="decimal"/>
      <w:lvlRestart w:val="0"/>
      <w:lvlText w:val="%1."/>
      <w:lvlJc w:val="left"/>
      <w:pPr>
        <w:tabs>
          <w:tab w:val="num" w:pos="1742"/>
        </w:tabs>
        <w:ind w:left="1267" w:firstLine="0"/>
      </w:pPr>
      <w:rPr>
        <w:spacing w:val="0"/>
        <w:w w:val="100"/>
      </w:rPr>
    </w:lvl>
  </w:abstractNum>
  <w:abstractNum w:abstractNumId="77">
    <w:nsid w:val="1316755D"/>
    <w:multiLevelType w:val="singleLevel"/>
    <w:tmpl w:val="FC58639A"/>
    <w:lvl w:ilvl="0">
      <w:start w:val="1"/>
      <w:numFmt w:val="decimal"/>
      <w:lvlRestart w:val="0"/>
      <w:lvlText w:val="%1."/>
      <w:lvlJc w:val="left"/>
      <w:pPr>
        <w:tabs>
          <w:tab w:val="num" w:pos="475"/>
        </w:tabs>
        <w:ind w:left="0" w:firstLine="0"/>
      </w:pPr>
      <w:rPr>
        <w:spacing w:val="0"/>
        <w:w w:val="100"/>
      </w:rPr>
    </w:lvl>
  </w:abstractNum>
  <w:abstractNum w:abstractNumId="78">
    <w:nsid w:val="13170EF9"/>
    <w:multiLevelType w:val="singleLevel"/>
    <w:tmpl w:val="14FEB794"/>
    <w:lvl w:ilvl="0">
      <w:start w:val="40"/>
      <w:numFmt w:val="decimal"/>
      <w:lvlText w:val="%1."/>
      <w:lvlJc w:val="left"/>
      <w:pPr>
        <w:tabs>
          <w:tab w:val="num" w:pos="480"/>
        </w:tabs>
        <w:ind w:left="480" w:hanging="480"/>
      </w:pPr>
      <w:rPr>
        <w:rFonts w:hint="default"/>
      </w:rPr>
    </w:lvl>
  </w:abstractNum>
  <w:abstractNum w:abstractNumId="79">
    <w:nsid w:val="131F3F62"/>
    <w:multiLevelType w:val="singleLevel"/>
    <w:tmpl w:val="48E0057E"/>
    <w:lvl w:ilvl="0">
      <w:start w:val="60"/>
      <w:numFmt w:val="decimal"/>
      <w:lvlRestart w:val="0"/>
      <w:lvlText w:val="%1."/>
      <w:lvlJc w:val="left"/>
      <w:pPr>
        <w:tabs>
          <w:tab w:val="num" w:pos="475"/>
        </w:tabs>
        <w:ind w:left="0" w:firstLine="0"/>
      </w:pPr>
      <w:rPr>
        <w:spacing w:val="0"/>
        <w:w w:val="100"/>
      </w:rPr>
    </w:lvl>
  </w:abstractNum>
  <w:abstractNum w:abstractNumId="80">
    <w:nsid w:val="133A47AD"/>
    <w:multiLevelType w:val="singleLevel"/>
    <w:tmpl w:val="C87CE42C"/>
    <w:lvl w:ilvl="0">
      <w:start w:val="127"/>
      <w:numFmt w:val="decimal"/>
      <w:lvlRestart w:val="0"/>
      <w:lvlText w:val="%1."/>
      <w:lvlJc w:val="left"/>
      <w:pPr>
        <w:tabs>
          <w:tab w:val="num" w:pos="475"/>
        </w:tabs>
        <w:ind w:left="0" w:firstLine="0"/>
      </w:pPr>
      <w:rPr>
        <w:spacing w:val="0"/>
        <w:w w:val="100"/>
      </w:rPr>
    </w:lvl>
  </w:abstractNum>
  <w:abstractNum w:abstractNumId="81">
    <w:nsid w:val="13944335"/>
    <w:multiLevelType w:val="singleLevel"/>
    <w:tmpl w:val="1890ACE0"/>
    <w:lvl w:ilvl="0">
      <w:start w:val="1"/>
      <w:numFmt w:val="decimal"/>
      <w:lvlText w:val="%1."/>
      <w:lvlJc w:val="left"/>
      <w:pPr>
        <w:tabs>
          <w:tab w:val="num" w:pos="1627"/>
        </w:tabs>
        <w:ind w:left="1627" w:hanging="360"/>
      </w:pPr>
      <w:rPr>
        <w:rFonts w:hint="default"/>
      </w:rPr>
    </w:lvl>
  </w:abstractNum>
  <w:abstractNum w:abstractNumId="82">
    <w:nsid w:val="139C78EE"/>
    <w:multiLevelType w:val="singleLevel"/>
    <w:tmpl w:val="77B83F7E"/>
    <w:lvl w:ilvl="0">
      <w:start w:val="299"/>
      <w:numFmt w:val="decimal"/>
      <w:lvlRestart w:val="0"/>
      <w:lvlText w:val="%1."/>
      <w:lvlJc w:val="left"/>
      <w:pPr>
        <w:tabs>
          <w:tab w:val="num" w:pos="475"/>
        </w:tabs>
        <w:ind w:left="0" w:firstLine="0"/>
      </w:pPr>
      <w:rPr>
        <w:b w:val="0"/>
        <w:i w:val="0"/>
        <w:spacing w:val="0"/>
        <w:w w:val="100"/>
      </w:rPr>
    </w:lvl>
  </w:abstractNum>
  <w:abstractNum w:abstractNumId="83">
    <w:nsid w:val="139D153E"/>
    <w:multiLevelType w:val="singleLevel"/>
    <w:tmpl w:val="31A01002"/>
    <w:lvl w:ilvl="0">
      <w:start w:val="1"/>
      <w:numFmt w:val="lowerLetter"/>
      <w:lvlText w:val="%1)"/>
      <w:lvlJc w:val="left"/>
      <w:pPr>
        <w:tabs>
          <w:tab w:val="num" w:pos="1320"/>
        </w:tabs>
        <w:ind w:left="1320" w:hanging="360"/>
      </w:pPr>
      <w:rPr>
        <w:rFonts w:hint="default"/>
      </w:rPr>
    </w:lvl>
  </w:abstractNum>
  <w:abstractNum w:abstractNumId="84">
    <w:nsid w:val="13AC53C1"/>
    <w:multiLevelType w:val="singleLevel"/>
    <w:tmpl w:val="CAEE9DF2"/>
    <w:lvl w:ilvl="0">
      <w:start w:val="23"/>
      <w:numFmt w:val="decimal"/>
      <w:lvlText w:val="%1."/>
      <w:lvlJc w:val="left"/>
      <w:pPr>
        <w:tabs>
          <w:tab w:val="num" w:pos="480"/>
        </w:tabs>
        <w:ind w:left="480" w:hanging="480"/>
      </w:pPr>
      <w:rPr>
        <w:rFonts w:hint="default"/>
      </w:rPr>
    </w:lvl>
  </w:abstractNum>
  <w:abstractNum w:abstractNumId="85">
    <w:nsid w:val="13BD7FA2"/>
    <w:multiLevelType w:val="singleLevel"/>
    <w:tmpl w:val="2CC847D4"/>
    <w:lvl w:ilvl="0">
      <w:start w:val="1"/>
      <w:numFmt w:val="decimal"/>
      <w:lvlRestart w:val="0"/>
      <w:lvlText w:val="%1."/>
      <w:lvlJc w:val="left"/>
      <w:pPr>
        <w:tabs>
          <w:tab w:val="num" w:pos="475"/>
        </w:tabs>
        <w:ind w:left="0" w:firstLine="0"/>
      </w:pPr>
      <w:rPr>
        <w:spacing w:val="0"/>
        <w:w w:val="100"/>
      </w:rPr>
    </w:lvl>
  </w:abstractNum>
  <w:abstractNum w:abstractNumId="86">
    <w:nsid w:val="14C80102"/>
    <w:multiLevelType w:val="singleLevel"/>
    <w:tmpl w:val="72A45EAC"/>
    <w:lvl w:ilvl="0">
      <w:start w:val="21"/>
      <w:numFmt w:val="decimal"/>
      <w:lvlRestart w:val="0"/>
      <w:lvlText w:val="%1."/>
      <w:lvlJc w:val="left"/>
      <w:pPr>
        <w:tabs>
          <w:tab w:val="num" w:pos="475"/>
        </w:tabs>
        <w:ind w:left="0" w:firstLine="0"/>
      </w:pPr>
      <w:rPr>
        <w:spacing w:val="0"/>
        <w:w w:val="100"/>
      </w:rPr>
    </w:lvl>
  </w:abstractNum>
  <w:abstractNum w:abstractNumId="87">
    <w:nsid w:val="14C86FE1"/>
    <w:multiLevelType w:val="singleLevel"/>
    <w:tmpl w:val="E46C98C4"/>
    <w:lvl w:ilvl="0">
      <w:start w:val="59"/>
      <w:numFmt w:val="decimal"/>
      <w:lvlRestart w:val="0"/>
      <w:lvlText w:val="%1."/>
      <w:lvlJc w:val="left"/>
      <w:pPr>
        <w:tabs>
          <w:tab w:val="num" w:pos="475"/>
        </w:tabs>
        <w:ind w:left="0" w:firstLine="0"/>
      </w:pPr>
      <w:rPr>
        <w:b w:val="0"/>
        <w:i w:val="0"/>
        <w:spacing w:val="0"/>
        <w:w w:val="100"/>
      </w:rPr>
    </w:lvl>
  </w:abstractNum>
  <w:abstractNum w:abstractNumId="88">
    <w:nsid w:val="14FC2954"/>
    <w:multiLevelType w:val="singleLevel"/>
    <w:tmpl w:val="AA9463FE"/>
    <w:lvl w:ilvl="0">
      <w:start w:val="1"/>
      <w:numFmt w:val="decimal"/>
      <w:lvlRestart w:val="0"/>
      <w:lvlText w:val="%1."/>
      <w:lvlJc w:val="left"/>
      <w:pPr>
        <w:tabs>
          <w:tab w:val="num" w:pos="475"/>
        </w:tabs>
        <w:ind w:left="0" w:firstLine="0"/>
      </w:pPr>
      <w:rPr>
        <w:b w:val="0"/>
        <w:i w:val="0"/>
        <w:spacing w:val="0"/>
        <w:w w:val="100"/>
        <w:u w:val="none"/>
      </w:rPr>
    </w:lvl>
  </w:abstractNum>
  <w:abstractNum w:abstractNumId="89">
    <w:nsid w:val="15396EEA"/>
    <w:multiLevelType w:val="singleLevel"/>
    <w:tmpl w:val="7F5C7F04"/>
    <w:lvl w:ilvl="0">
      <w:start w:val="165"/>
      <w:numFmt w:val="decimal"/>
      <w:lvlRestart w:val="0"/>
      <w:lvlText w:val="%1."/>
      <w:lvlJc w:val="left"/>
      <w:pPr>
        <w:tabs>
          <w:tab w:val="num" w:pos="1742"/>
        </w:tabs>
        <w:ind w:left="1267" w:firstLine="0"/>
      </w:pPr>
      <w:rPr>
        <w:spacing w:val="0"/>
        <w:w w:val="100"/>
      </w:rPr>
    </w:lvl>
  </w:abstractNum>
  <w:abstractNum w:abstractNumId="90">
    <w:nsid w:val="155357A8"/>
    <w:multiLevelType w:val="multilevel"/>
    <w:tmpl w:val="B94ADF92"/>
    <w:lvl w:ilvl="0">
      <w:start w:val="1"/>
      <w:numFmt w:val="lowerLetter"/>
      <w:lvlText w:val="%1)"/>
      <w:lvlJc w:val="left"/>
      <w:pPr>
        <w:tabs>
          <w:tab w:val="num" w:pos="1080"/>
        </w:tabs>
        <w:ind w:left="1080" w:hanging="720"/>
      </w:pPr>
      <w:rPr>
        <w:rFonts w:hint="default"/>
      </w:rPr>
    </w:lvl>
    <w:lvl w:ilvl="1">
      <w:start w:val="1"/>
      <w:numFmt w:val="decimal"/>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1">
    <w:nsid w:val="156164AC"/>
    <w:multiLevelType w:val="singleLevel"/>
    <w:tmpl w:val="89A89D40"/>
    <w:lvl w:ilvl="0">
      <w:start w:val="118"/>
      <w:numFmt w:val="decimal"/>
      <w:lvlRestart w:val="0"/>
      <w:lvlText w:val="%1."/>
      <w:lvlJc w:val="left"/>
      <w:pPr>
        <w:tabs>
          <w:tab w:val="num" w:pos="1742"/>
        </w:tabs>
        <w:ind w:left="1267" w:firstLine="0"/>
      </w:pPr>
      <w:rPr>
        <w:spacing w:val="0"/>
        <w:w w:val="100"/>
      </w:rPr>
    </w:lvl>
  </w:abstractNum>
  <w:abstractNum w:abstractNumId="92">
    <w:nsid w:val="15B57E5E"/>
    <w:multiLevelType w:val="singleLevel"/>
    <w:tmpl w:val="4C2C8262"/>
    <w:lvl w:ilvl="0">
      <w:start w:val="16"/>
      <w:numFmt w:val="decimal"/>
      <w:lvlText w:val="%1."/>
      <w:lvlJc w:val="left"/>
      <w:pPr>
        <w:tabs>
          <w:tab w:val="num" w:pos="540"/>
        </w:tabs>
        <w:ind w:left="540" w:hanging="540"/>
      </w:pPr>
      <w:rPr>
        <w:rFonts w:hint="default"/>
      </w:rPr>
    </w:lvl>
  </w:abstractNum>
  <w:abstractNum w:abstractNumId="93">
    <w:nsid w:val="15B6100A"/>
    <w:multiLevelType w:val="singleLevel"/>
    <w:tmpl w:val="77461EB6"/>
    <w:lvl w:ilvl="0">
      <w:start w:val="1"/>
      <w:numFmt w:val="decimal"/>
      <w:lvlRestart w:val="0"/>
      <w:lvlText w:val="%1."/>
      <w:lvlJc w:val="left"/>
      <w:pPr>
        <w:tabs>
          <w:tab w:val="num" w:pos="475"/>
        </w:tabs>
        <w:ind w:left="0" w:firstLine="0"/>
      </w:pPr>
      <w:rPr>
        <w:spacing w:val="0"/>
        <w:w w:val="100"/>
      </w:rPr>
    </w:lvl>
  </w:abstractNum>
  <w:abstractNum w:abstractNumId="94">
    <w:nsid w:val="15D551CD"/>
    <w:multiLevelType w:val="singleLevel"/>
    <w:tmpl w:val="02FCB8D4"/>
    <w:lvl w:ilvl="0">
      <w:start w:val="1"/>
      <w:numFmt w:val="decimal"/>
      <w:lvlRestart w:val="0"/>
      <w:lvlText w:val="%1."/>
      <w:lvlJc w:val="left"/>
      <w:pPr>
        <w:tabs>
          <w:tab w:val="num" w:pos="475"/>
        </w:tabs>
        <w:ind w:left="0" w:firstLine="0"/>
      </w:pPr>
      <w:rPr>
        <w:b w:val="0"/>
        <w:i w:val="0"/>
        <w:spacing w:val="0"/>
        <w:w w:val="100"/>
      </w:rPr>
    </w:lvl>
  </w:abstractNum>
  <w:abstractNum w:abstractNumId="95">
    <w:nsid w:val="15E05DE9"/>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6">
    <w:nsid w:val="15F20B8D"/>
    <w:multiLevelType w:val="singleLevel"/>
    <w:tmpl w:val="4EE2C8D8"/>
    <w:lvl w:ilvl="0">
      <w:start w:val="1"/>
      <w:numFmt w:val="decimal"/>
      <w:lvlRestart w:val="0"/>
      <w:lvlText w:val="%1."/>
      <w:lvlJc w:val="left"/>
      <w:pPr>
        <w:tabs>
          <w:tab w:val="num" w:pos="475"/>
        </w:tabs>
        <w:ind w:left="0" w:firstLine="0"/>
      </w:pPr>
      <w:rPr>
        <w:spacing w:val="0"/>
        <w:w w:val="100"/>
      </w:rPr>
    </w:lvl>
  </w:abstractNum>
  <w:abstractNum w:abstractNumId="97">
    <w:nsid w:val="15FF0884"/>
    <w:multiLevelType w:val="singleLevel"/>
    <w:tmpl w:val="79784E58"/>
    <w:lvl w:ilvl="0">
      <w:start w:val="12"/>
      <w:numFmt w:val="decimal"/>
      <w:lvlRestart w:val="0"/>
      <w:lvlText w:val="%1."/>
      <w:lvlJc w:val="left"/>
      <w:pPr>
        <w:tabs>
          <w:tab w:val="num" w:pos="475"/>
        </w:tabs>
        <w:ind w:left="0" w:firstLine="0"/>
      </w:pPr>
      <w:rPr>
        <w:spacing w:val="0"/>
        <w:w w:val="100"/>
      </w:rPr>
    </w:lvl>
  </w:abstractNum>
  <w:abstractNum w:abstractNumId="98">
    <w:nsid w:val="162E1C7D"/>
    <w:multiLevelType w:val="singleLevel"/>
    <w:tmpl w:val="6C7EBAA6"/>
    <w:lvl w:ilvl="0">
      <w:start w:val="1"/>
      <w:numFmt w:val="decimal"/>
      <w:lvlRestart w:val="0"/>
      <w:lvlText w:val="%1."/>
      <w:lvlJc w:val="left"/>
      <w:pPr>
        <w:tabs>
          <w:tab w:val="num" w:pos="475"/>
        </w:tabs>
        <w:ind w:left="0" w:firstLine="0"/>
      </w:pPr>
      <w:rPr>
        <w:b w:val="0"/>
        <w:i w:val="0"/>
        <w:spacing w:val="0"/>
        <w:w w:val="100"/>
      </w:rPr>
    </w:lvl>
  </w:abstractNum>
  <w:abstractNum w:abstractNumId="99">
    <w:nsid w:val="16AE3B7E"/>
    <w:multiLevelType w:val="singleLevel"/>
    <w:tmpl w:val="0809000F"/>
    <w:lvl w:ilvl="0">
      <w:start w:val="1"/>
      <w:numFmt w:val="decimal"/>
      <w:lvlText w:val="%1."/>
      <w:lvlJc w:val="left"/>
      <w:pPr>
        <w:tabs>
          <w:tab w:val="num" w:pos="360"/>
        </w:tabs>
        <w:ind w:left="360" w:hanging="360"/>
      </w:pPr>
    </w:lvl>
  </w:abstractNum>
  <w:abstractNum w:abstractNumId="100">
    <w:nsid w:val="17B81F68"/>
    <w:multiLevelType w:val="singleLevel"/>
    <w:tmpl w:val="9758A32A"/>
    <w:lvl w:ilvl="0">
      <w:start w:val="1"/>
      <w:numFmt w:val="decimal"/>
      <w:lvlRestart w:val="0"/>
      <w:lvlText w:val="%1."/>
      <w:lvlJc w:val="left"/>
      <w:pPr>
        <w:tabs>
          <w:tab w:val="num" w:pos="475"/>
        </w:tabs>
        <w:ind w:left="0" w:firstLine="0"/>
      </w:pPr>
      <w:rPr>
        <w:b w:val="0"/>
        <w:i w:val="0"/>
        <w:spacing w:val="0"/>
        <w:w w:val="100"/>
      </w:rPr>
    </w:lvl>
  </w:abstractNum>
  <w:abstractNum w:abstractNumId="101">
    <w:nsid w:val="17CF159E"/>
    <w:multiLevelType w:val="singleLevel"/>
    <w:tmpl w:val="0A6C2BA8"/>
    <w:lvl w:ilvl="0">
      <w:start w:val="2"/>
      <w:numFmt w:val="decimal"/>
      <w:lvlRestart w:val="0"/>
      <w:lvlText w:val="%1."/>
      <w:lvlJc w:val="left"/>
      <w:pPr>
        <w:tabs>
          <w:tab w:val="num" w:pos="1742"/>
        </w:tabs>
        <w:ind w:left="1267" w:firstLine="0"/>
      </w:pPr>
      <w:rPr>
        <w:b w:val="0"/>
        <w:i w:val="0"/>
        <w:spacing w:val="0"/>
        <w:w w:val="100"/>
      </w:rPr>
    </w:lvl>
  </w:abstractNum>
  <w:abstractNum w:abstractNumId="102">
    <w:nsid w:val="187C06EC"/>
    <w:multiLevelType w:val="singleLevel"/>
    <w:tmpl w:val="2CB21998"/>
    <w:lvl w:ilvl="0">
      <w:start w:val="21"/>
      <w:numFmt w:val="decimal"/>
      <w:lvlRestart w:val="0"/>
      <w:lvlText w:val="%1."/>
      <w:lvlJc w:val="left"/>
      <w:pPr>
        <w:tabs>
          <w:tab w:val="num" w:pos="475"/>
        </w:tabs>
        <w:ind w:left="0" w:firstLine="0"/>
      </w:pPr>
      <w:rPr>
        <w:spacing w:val="0"/>
        <w:w w:val="100"/>
      </w:rPr>
    </w:lvl>
  </w:abstractNum>
  <w:abstractNum w:abstractNumId="103">
    <w:nsid w:val="189D6BCD"/>
    <w:multiLevelType w:val="singleLevel"/>
    <w:tmpl w:val="1BE8E322"/>
    <w:lvl w:ilvl="0">
      <w:start w:val="1"/>
      <w:numFmt w:val="decimal"/>
      <w:lvlRestart w:val="0"/>
      <w:lvlText w:val="%1."/>
      <w:lvlJc w:val="left"/>
      <w:pPr>
        <w:tabs>
          <w:tab w:val="num" w:pos="475"/>
        </w:tabs>
        <w:ind w:left="0" w:firstLine="0"/>
      </w:pPr>
      <w:rPr>
        <w:spacing w:val="0"/>
        <w:w w:val="100"/>
      </w:rPr>
    </w:lvl>
  </w:abstractNum>
  <w:abstractNum w:abstractNumId="104">
    <w:nsid w:val="18E25476"/>
    <w:multiLevelType w:val="singleLevel"/>
    <w:tmpl w:val="0876E552"/>
    <w:lvl w:ilvl="0">
      <w:start w:val="1"/>
      <w:numFmt w:val="decimal"/>
      <w:lvlRestart w:val="0"/>
      <w:lvlText w:val="%1."/>
      <w:lvlJc w:val="left"/>
      <w:pPr>
        <w:tabs>
          <w:tab w:val="num" w:pos="360"/>
        </w:tabs>
        <w:ind w:left="0" w:firstLine="0"/>
      </w:pPr>
      <w:rPr>
        <w:rFonts w:ascii="Times New Roman" w:hAnsi="Times New Roman" w:hint="default"/>
        <w:b w:val="0"/>
        <w:i w:val="0"/>
        <w:spacing w:val="0"/>
        <w:w w:val="100"/>
        <w:sz w:val="20"/>
      </w:rPr>
    </w:lvl>
  </w:abstractNum>
  <w:abstractNum w:abstractNumId="105">
    <w:nsid w:val="18F17D33"/>
    <w:multiLevelType w:val="singleLevel"/>
    <w:tmpl w:val="EE16660C"/>
    <w:lvl w:ilvl="0">
      <w:start w:val="166"/>
      <w:numFmt w:val="decimal"/>
      <w:lvlRestart w:val="0"/>
      <w:lvlText w:val="%1."/>
      <w:lvlJc w:val="left"/>
      <w:pPr>
        <w:tabs>
          <w:tab w:val="num" w:pos="475"/>
        </w:tabs>
        <w:ind w:left="0" w:firstLine="0"/>
      </w:pPr>
      <w:rPr>
        <w:b w:val="0"/>
        <w:i w:val="0"/>
        <w:spacing w:val="0"/>
        <w:w w:val="100"/>
      </w:rPr>
    </w:lvl>
  </w:abstractNum>
  <w:abstractNum w:abstractNumId="106">
    <w:nsid w:val="19022A7A"/>
    <w:multiLevelType w:val="singleLevel"/>
    <w:tmpl w:val="F07C54AE"/>
    <w:lvl w:ilvl="0">
      <w:start w:val="23"/>
      <w:numFmt w:val="decimal"/>
      <w:lvlRestart w:val="0"/>
      <w:lvlText w:val="%1."/>
      <w:lvlJc w:val="left"/>
      <w:pPr>
        <w:tabs>
          <w:tab w:val="num" w:pos="1742"/>
        </w:tabs>
        <w:ind w:left="1267" w:firstLine="0"/>
      </w:pPr>
      <w:rPr>
        <w:spacing w:val="0"/>
        <w:w w:val="100"/>
      </w:rPr>
    </w:lvl>
  </w:abstractNum>
  <w:abstractNum w:abstractNumId="107">
    <w:nsid w:val="190F1630"/>
    <w:multiLevelType w:val="singleLevel"/>
    <w:tmpl w:val="A5E244EA"/>
    <w:lvl w:ilvl="0">
      <w:start w:val="20"/>
      <w:numFmt w:val="decimal"/>
      <w:lvlRestart w:val="0"/>
      <w:lvlText w:val="%1."/>
      <w:lvlJc w:val="left"/>
      <w:pPr>
        <w:tabs>
          <w:tab w:val="num" w:pos="1742"/>
        </w:tabs>
        <w:ind w:left="1267" w:firstLine="0"/>
      </w:pPr>
      <w:rPr>
        <w:spacing w:val="0"/>
        <w:w w:val="100"/>
      </w:rPr>
    </w:lvl>
  </w:abstractNum>
  <w:abstractNum w:abstractNumId="108">
    <w:nsid w:val="195A4ACF"/>
    <w:multiLevelType w:val="singleLevel"/>
    <w:tmpl w:val="0809000F"/>
    <w:lvl w:ilvl="0">
      <w:start w:val="1"/>
      <w:numFmt w:val="decimal"/>
      <w:lvlText w:val="%1."/>
      <w:lvlJc w:val="left"/>
      <w:pPr>
        <w:tabs>
          <w:tab w:val="num" w:pos="360"/>
        </w:tabs>
        <w:ind w:left="360" w:hanging="360"/>
      </w:pPr>
    </w:lvl>
  </w:abstractNum>
  <w:abstractNum w:abstractNumId="109">
    <w:nsid w:val="1966270A"/>
    <w:multiLevelType w:val="singleLevel"/>
    <w:tmpl w:val="15B88D4C"/>
    <w:lvl w:ilvl="0">
      <w:start w:val="1"/>
      <w:numFmt w:val="decimal"/>
      <w:lvlRestart w:val="0"/>
      <w:lvlText w:val="%1."/>
      <w:lvlJc w:val="left"/>
      <w:pPr>
        <w:tabs>
          <w:tab w:val="num" w:pos="475"/>
        </w:tabs>
        <w:ind w:left="0" w:firstLine="0"/>
      </w:pPr>
      <w:rPr>
        <w:b w:val="0"/>
        <w:i w:val="0"/>
        <w:spacing w:val="0"/>
        <w:w w:val="100"/>
      </w:rPr>
    </w:lvl>
  </w:abstractNum>
  <w:abstractNum w:abstractNumId="110">
    <w:nsid w:val="197858B7"/>
    <w:multiLevelType w:val="singleLevel"/>
    <w:tmpl w:val="71FEB05C"/>
    <w:lvl w:ilvl="0">
      <w:start w:val="1"/>
      <w:numFmt w:val="decimal"/>
      <w:lvlRestart w:val="0"/>
      <w:lvlText w:val="%1."/>
      <w:lvlJc w:val="left"/>
      <w:pPr>
        <w:tabs>
          <w:tab w:val="num" w:pos="1742"/>
        </w:tabs>
        <w:ind w:left="1267" w:firstLine="0"/>
      </w:pPr>
      <w:rPr>
        <w:spacing w:val="0"/>
        <w:w w:val="100"/>
      </w:rPr>
    </w:lvl>
  </w:abstractNum>
  <w:abstractNum w:abstractNumId="111">
    <w:nsid w:val="1A625348"/>
    <w:multiLevelType w:val="multilevel"/>
    <w:tmpl w:val="B36A7118"/>
    <w:lvl w:ilvl="0">
      <w:start w:val="2"/>
      <w:numFmt w:val="lowerLetter"/>
      <w:lvlText w:val="%1)"/>
      <w:lvlJc w:val="left"/>
      <w:pPr>
        <w:tabs>
          <w:tab w:val="num" w:pos="1260"/>
        </w:tabs>
        <w:ind w:left="1260" w:hanging="420"/>
      </w:pPr>
      <w:rPr>
        <w:rFonts w:hint="default"/>
      </w:rPr>
    </w:lvl>
    <w:lvl w:ilvl="1">
      <w:start w:val="29"/>
      <w:numFmt w:val="decimal"/>
      <w:lvlText w:val="%2."/>
      <w:lvlJc w:val="left"/>
      <w:pPr>
        <w:tabs>
          <w:tab w:val="num" w:pos="2040"/>
        </w:tabs>
        <w:ind w:left="2040" w:hanging="480"/>
      </w:pPr>
      <w:rPr>
        <w:rFonts w:hint="default"/>
      </w:rPr>
    </w:lvl>
    <w:lvl w:ilvl="2" w:tentative="1">
      <w:start w:val="1"/>
      <w:numFmt w:val="lowerRoman"/>
      <w:lvlText w:val="%3."/>
      <w:lvlJc w:val="right"/>
      <w:pPr>
        <w:tabs>
          <w:tab w:val="num" w:pos="2640"/>
        </w:tabs>
        <w:ind w:left="2640" w:hanging="180"/>
      </w:pPr>
    </w:lvl>
    <w:lvl w:ilvl="3" w:tentative="1">
      <w:start w:val="1"/>
      <w:numFmt w:val="decimal"/>
      <w:lvlText w:val="%4."/>
      <w:lvlJc w:val="left"/>
      <w:pPr>
        <w:tabs>
          <w:tab w:val="num" w:pos="3360"/>
        </w:tabs>
        <w:ind w:left="3360" w:hanging="360"/>
      </w:pPr>
    </w:lvl>
    <w:lvl w:ilvl="4" w:tentative="1">
      <w:start w:val="1"/>
      <w:numFmt w:val="lowerLetter"/>
      <w:lvlText w:val="%5."/>
      <w:lvlJc w:val="left"/>
      <w:pPr>
        <w:tabs>
          <w:tab w:val="num" w:pos="4080"/>
        </w:tabs>
        <w:ind w:left="4080" w:hanging="360"/>
      </w:pPr>
    </w:lvl>
    <w:lvl w:ilvl="5" w:tentative="1">
      <w:start w:val="1"/>
      <w:numFmt w:val="lowerRoman"/>
      <w:lvlText w:val="%6."/>
      <w:lvlJc w:val="right"/>
      <w:pPr>
        <w:tabs>
          <w:tab w:val="num" w:pos="4800"/>
        </w:tabs>
        <w:ind w:left="4800" w:hanging="180"/>
      </w:pPr>
    </w:lvl>
    <w:lvl w:ilvl="6" w:tentative="1">
      <w:start w:val="1"/>
      <w:numFmt w:val="decimal"/>
      <w:lvlText w:val="%7."/>
      <w:lvlJc w:val="left"/>
      <w:pPr>
        <w:tabs>
          <w:tab w:val="num" w:pos="5520"/>
        </w:tabs>
        <w:ind w:left="5520" w:hanging="360"/>
      </w:pPr>
    </w:lvl>
    <w:lvl w:ilvl="7" w:tentative="1">
      <w:start w:val="1"/>
      <w:numFmt w:val="lowerLetter"/>
      <w:lvlText w:val="%8."/>
      <w:lvlJc w:val="left"/>
      <w:pPr>
        <w:tabs>
          <w:tab w:val="num" w:pos="6240"/>
        </w:tabs>
        <w:ind w:left="6240" w:hanging="360"/>
      </w:pPr>
    </w:lvl>
    <w:lvl w:ilvl="8" w:tentative="1">
      <w:start w:val="1"/>
      <w:numFmt w:val="lowerRoman"/>
      <w:lvlText w:val="%9."/>
      <w:lvlJc w:val="right"/>
      <w:pPr>
        <w:tabs>
          <w:tab w:val="num" w:pos="6960"/>
        </w:tabs>
        <w:ind w:left="6960" w:hanging="180"/>
      </w:pPr>
    </w:lvl>
  </w:abstractNum>
  <w:abstractNum w:abstractNumId="112">
    <w:nsid w:val="1A6E347E"/>
    <w:multiLevelType w:val="singleLevel"/>
    <w:tmpl w:val="7A0827DA"/>
    <w:lvl w:ilvl="0">
      <w:start w:val="244"/>
      <w:numFmt w:val="decimal"/>
      <w:lvlRestart w:val="0"/>
      <w:lvlText w:val="%1."/>
      <w:lvlJc w:val="left"/>
      <w:pPr>
        <w:tabs>
          <w:tab w:val="num" w:pos="475"/>
        </w:tabs>
        <w:ind w:left="0" w:firstLine="0"/>
      </w:pPr>
      <w:rPr>
        <w:b w:val="0"/>
        <w:i w:val="0"/>
        <w:spacing w:val="0"/>
        <w:w w:val="100"/>
      </w:rPr>
    </w:lvl>
  </w:abstractNum>
  <w:abstractNum w:abstractNumId="113">
    <w:nsid w:val="1AA906AA"/>
    <w:multiLevelType w:val="singleLevel"/>
    <w:tmpl w:val="0E24F236"/>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114">
    <w:nsid w:val="1B3D364C"/>
    <w:multiLevelType w:val="singleLevel"/>
    <w:tmpl w:val="795C5932"/>
    <w:lvl w:ilvl="0">
      <w:start w:val="178"/>
      <w:numFmt w:val="decimal"/>
      <w:lvlRestart w:val="0"/>
      <w:lvlText w:val="%1."/>
      <w:lvlJc w:val="left"/>
      <w:pPr>
        <w:tabs>
          <w:tab w:val="num" w:pos="475"/>
        </w:tabs>
        <w:ind w:left="0" w:firstLine="0"/>
      </w:pPr>
      <w:rPr>
        <w:b w:val="0"/>
        <w:i w:val="0"/>
        <w:spacing w:val="0"/>
        <w:w w:val="100"/>
      </w:rPr>
    </w:lvl>
  </w:abstractNum>
  <w:abstractNum w:abstractNumId="115">
    <w:nsid w:val="1B4A2D8A"/>
    <w:multiLevelType w:val="singleLevel"/>
    <w:tmpl w:val="4EC07306"/>
    <w:lvl w:ilvl="0">
      <w:start w:val="332"/>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16">
    <w:nsid w:val="1B52549C"/>
    <w:multiLevelType w:val="singleLevel"/>
    <w:tmpl w:val="BE0E981E"/>
    <w:lvl w:ilvl="0">
      <w:start w:val="412"/>
      <w:numFmt w:val="decimal"/>
      <w:lvlRestart w:val="0"/>
      <w:lvlText w:val="%1."/>
      <w:lvlJc w:val="left"/>
      <w:pPr>
        <w:tabs>
          <w:tab w:val="num" w:pos="1742"/>
        </w:tabs>
        <w:ind w:left="1267" w:firstLine="0"/>
      </w:pPr>
      <w:rPr>
        <w:spacing w:val="0"/>
        <w:w w:val="100"/>
      </w:rPr>
    </w:lvl>
  </w:abstractNum>
  <w:abstractNum w:abstractNumId="117">
    <w:nsid w:val="1B820F3E"/>
    <w:multiLevelType w:val="singleLevel"/>
    <w:tmpl w:val="E2C41072"/>
    <w:lvl w:ilvl="0">
      <w:start w:val="1"/>
      <w:numFmt w:val="decimal"/>
      <w:lvlRestart w:val="0"/>
      <w:lvlText w:val="%1."/>
      <w:lvlJc w:val="left"/>
      <w:pPr>
        <w:tabs>
          <w:tab w:val="num" w:pos="475"/>
        </w:tabs>
        <w:ind w:left="0" w:firstLine="0"/>
      </w:pPr>
      <w:rPr>
        <w:spacing w:val="0"/>
        <w:w w:val="100"/>
      </w:rPr>
    </w:lvl>
  </w:abstractNum>
  <w:abstractNum w:abstractNumId="118">
    <w:nsid w:val="1BBE7E5E"/>
    <w:multiLevelType w:val="singleLevel"/>
    <w:tmpl w:val="E1A2A0C6"/>
    <w:lvl w:ilvl="0">
      <w:start w:val="251"/>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119">
    <w:nsid w:val="1BBF1758"/>
    <w:multiLevelType w:val="singleLevel"/>
    <w:tmpl w:val="634E3748"/>
    <w:lvl w:ilvl="0">
      <w:start w:val="13"/>
      <w:numFmt w:val="decimal"/>
      <w:lvlText w:val="%1."/>
      <w:lvlJc w:val="left"/>
      <w:pPr>
        <w:tabs>
          <w:tab w:val="num" w:pos="480"/>
        </w:tabs>
        <w:ind w:left="480" w:hanging="480"/>
      </w:pPr>
      <w:rPr>
        <w:rFonts w:hint="default"/>
      </w:rPr>
    </w:lvl>
  </w:abstractNum>
  <w:abstractNum w:abstractNumId="120">
    <w:nsid w:val="1BFF3E73"/>
    <w:multiLevelType w:val="singleLevel"/>
    <w:tmpl w:val="17E28072"/>
    <w:lvl w:ilvl="0">
      <w:start w:val="1"/>
      <w:numFmt w:val="decimal"/>
      <w:lvlRestart w:val="0"/>
      <w:lvlText w:val="%1."/>
      <w:lvlJc w:val="left"/>
      <w:pPr>
        <w:tabs>
          <w:tab w:val="num" w:pos="475"/>
        </w:tabs>
        <w:ind w:left="0" w:firstLine="0"/>
      </w:pPr>
      <w:rPr>
        <w:b w:val="0"/>
        <w:i w:val="0"/>
        <w:caps w:val="0"/>
        <w:strike w:val="0"/>
        <w:dstrike w:val="0"/>
        <w:shadow w:val="0"/>
        <w:emboss w:val="0"/>
        <w:imprint w:val="0"/>
        <w:vanish w:val="0"/>
        <w:spacing w:val="0"/>
        <w:w w:val="100"/>
        <w:sz w:val="20"/>
        <w:vertAlign w:val="baseline"/>
      </w:rPr>
    </w:lvl>
  </w:abstractNum>
  <w:abstractNum w:abstractNumId="121">
    <w:nsid w:val="1C7E4C7B"/>
    <w:multiLevelType w:val="singleLevel"/>
    <w:tmpl w:val="0E24F236"/>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122">
    <w:nsid w:val="1CB7448A"/>
    <w:multiLevelType w:val="singleLevel"/>
    <w:tmpl w:val="2F16C0B0"/>
    <w:lvl w:ilvl="0">
      <w:start w:val="21"/>
      <w:numFmt w:val="decimal"/>
      <w:lvlText w:val="%1."/>
      <w:lvlJc w:val="left"/>
      <w:pPr>
        <w:tabs>
          <w:tab w:val="num" w:pos="480"/>
        </w:tabs>
        <w:ind w:left="480" w:hanging="480"/>
      </w:pPr>
      <w:rPr>
        <w:rFonts w:hint="default"/>
      </w:rPr>
    </w:lvl>
  </w:abstractNum>
  <w:abstractNum w:abstractNumId="123">
    <w:nsid w:val="1D130ABC"/>
    <w:multiLevelType w:val="singleLevel"/>
    <w:tmpl w:val="C1D6A82C"/>
    <w:lvl w:ilvl="0">
      <w:start w:val="239"/>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124">
    <w:nsid w:val="1D6034CD"/>
    <w:multiLevelType w:val="singleLevel"/>
    <w:tmpl w:val="2012D086"/>
    <w:lvl w:ilvl="0">
      <w:start w:val="11"/>
      <w:numFmt w:val="decimal"/>
      <w:lvlRestart w:val="0"/>
      <w:lvlText w:val="%1."/>
      <w:lvlJc w:val="left"/>
      <w:pPr>
        <w:tabs>
          <w:tab w:val="num" w:pos="1742"/>
        </w:tabs>
        <w:ind w:left="1267" w:firstLine="0"/>
      </w:pPr>
      <w:rPr>
        <w:spacing w:val="0"/>
        <w:w w:val="100"/>
      </w:rPr>
    </w:lvl>
  </w:abstractNum>
  <w:abstractNum w:abstractNumId="125">
    <w:nsid w:val="1D7376C8"/>
    <w:multiLevelType w:val="singleLevel"/>
    <w:tmpl w:val="42D43008"/>
    <w:lvl w:ilvl="0">
      <w:start w:val="38"/>
      <w:numFmt w:val="decimal"/>
      <w:lvlText w:val="%1."/>
      <w:lvlJc w:val="left"/>
      <w:pPr>
        <w:tabs>
          <w:tab w:val="num" w:pos="480"/>
        </w:tabs>
        <w:ind w:left="480" w:hanging="480"/>
      </w:pPr>
      <w:rPr>
        <w:rFonts w:hint="default"/>
      </w:rPr>
    </w:lvl>
  </w:abstractNum>
  <w:abstractNum w:abstractNumId="126">
    <w:nsid w:val="1D8A6CF9"/>
    <w:multiLevelType w:val="singleLevel"/>
    <w:tmpl w:val="997CBB2E"/>
    <w:lvl w:ilvl="0">
      <w:start w:val="1"/>
      <w:numFmt w:val="decimal"/>
      <w:lvlText w:val="%1."/>
      <w:lvlJc w:val="left"/>
      <w:pPr>
        <w:tabs>
          <w:tab w:val="num" w:pos="360"/>
        </w:tabs>
        <w:ind w:left="360" w:hanging="360"/>
      </w:pPr>
      <w:rPr>
        <w:rFonts w:hint="default"/>
      </w:rPr>
    </w:lvl>
  </w:abstractNum>
  <w:abstractNum w:abstractNumId="127">
    <w:nsid w:val="1DBA26CB"/>
    <w:multiLevelType w:val="singleLevel"/>
    <w:tmpl w:val="7E2E1404"/>
    <w:lvl w:ilvl="0">
      <w:start w:val="39"/>
      <w:numFmt w:val="decimal"/>
      <w:lvlRestart w:val="0"/>
      <w:lvlText w:val="%1."/>
      <w:lvlJc w:val="left"/>
      <w:pPr>
        <w:tabs>
          <w:tab w:val="num" w:pos="1742"/>
        </w:tabs>
        <w:ind w:left="1267" w:firstLine="0"/>
      </w:pPr>
      <w:rPr>
        <w:b w:val="0"/>
        <w:i w:val="0"/>
        <w:spacing w:val="0"/>
        <w:w w:val="100"/>
      </w:rPr>
    </w:lvl>
  </w:abstractNum>
  <w:abstractNum w:abstractNumId="128">
    <w:nsid w:val="1DC11E43"/>
    <w:multiLevelType w:val="singleLevel"/>
    <w:tmpl w:val="F98C2C62"/>
    <w:lvl w:ilvl="0">
      <w:start w:val="331"/>
      <w:numFmt w:val="decimal"/>
      <w:lvlRestart w:val="0"/>
      <w:lvlText w:val="%1."/>
      <w:lvlJc w:val="left"/>
      <w:pPr>
        <w:tabs>
          <w:tab w:val="num" w:pos="475"/>
        </w:tabs>
        <w:ind w:left="0" w:firstLine="0"/>
      </w:pPr>
      <w:rPr>
        <w:spacing w:val="0"/>
        <w:w w:val="100"/>
      </w:rPr>
    </w:lvl>
  </w:abstractNum>
  <w:abstractNum w:abstractNumId="129">
    <w:nsid w:val="1DE21719"/>
    <w:multiLevelType w:val="singleLevel"/>
    <w:tmpl w:val="0F6C18EA"/>
    <w:lvl w:ilvl="0">
      <w:start w:val="8"/>
      <w:numFmt w:val="decimal"/>
      <w:lvlRestart w:val="0"/>
      <w:lvlText w:val="%1."/>
      <w:lvlJc w:val="left"/>
      <w:pPr>
        <w:tabs>
          <w:tab w:val="num" w:pos="1742"/>
        </w:tabs>
        <w:ind w:left="1267" w:firstLine="0"/>
      </w:pPr>
      <w:rPr>
        <w:spacing w:val="0"/>
        <w:w w:val="100"/>
      </w:rPr>
    </w:lvl>
  </w:abstractNum>
  <w:abstractNum w:abstractNumId="130">
    <w:nsid w:val="1DF61395"/>
    <w:multiLevelType w:val="singleLevel"/>
    <w:tmpl w:val="6DC45DBA"/>
    <w:lvl w:ilvl="0">
      <w:start w:val="2"/>
      <w:numFmt w:val="decimal"/>
      <w:lvlRestart w:val="0"/>
      <w:lvlText w:val="%1."/>
      <w:lvlJc w:val="left"/>
      <w:pPr>
        <w:tabs>
          <w:tab w:val="num" w:pos="1742"/>
        </w:tabs>
        <w:ind w:left="1267" w:firstLine="0"/>
      </w:pPr>
      <w:rPr>
        <w:b w:val="0"/>
        <w:i w:val="0"/>
        <w:spacing w:val="0"/>
        <w:w w:val="100"/>
      </w:rPr>
    </w:lvl>
  </w:abstractNum>
  <w:abstractNum w:abstractNumId="131">
    <w:nsid w:val="1E3E5F95"/>
    <w:multiLevelType w:val="multilevel"/>
    <w:tmpl w:val="830842CA"/>
    <w:lvl w:ilvl="0">
      <w:start w:val="1"/>
      <w:numFmt w:val="lowerLetter"/>
      <w:lvlText w:val="%1)"/>
      <w:lvlJc w:val="left"/>
      <w:pPr>
        <w:tabs>
          <w:tab w:val="num" w:pos="795"/>
        </w:tabs>
        <w:ind w:left="795" w:hanging="435"/>
      </w:pPr>
      <w:rPr>
        <w:rFonts w:hint="default"/>
      </w:rPr>
    </w:lvl>
    <w:lvl w:ilvl="1">
      <w:start w:val="2"/>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2">
    <w:nsid w:val="1E7D5887"/>
    <w:multiLevelType w:val="singleLevel"/>
    <w:tmpl w:val="6764C29A"/>
    <w:lvl w:ilvl="0">
      <w:start w:val="1"/>
      <w:numFmt w:val="decimal"/>
      <w:lvlRestart w:val="0"/>
      <w:lvlText w:val="%1."/>
      <w:lvlJc w:val="left"/>
      <w:pPr>
        <w:tabs>
          <w:tab w:val="num" w:pos="475"/>
        </w:tabs>
        <w:ind w:left="0" w:firstLine="0"/>
      </w:pPr>
      <w:rPr>
        <w:b w:val="0"/>
        <w:i w:val="0"/>
        <w:spacing w:val="0"/>
        <w:w w:val="100"/>
      </w:rPr>
    </w:lvl>
  </w:abstractNum>
  <w:abstractNum w:abstractNumId="133">
    <w:nsid w:val="1ECF1080"/>
    <w:multiLevelType w:val="singleLevel"/>
    <w:tmpl w:val="4AF06EFC"/>
    <w:lvl w:ilvl="0">
      <w:start w:val="282"/>
      <w:numFmt w:val="decimal"/>
      <w:lvlRestart w:val="0"/>
      <w:lvlText w:val="%1."/>
      <w:lvlJc w:val="left"/>
      <w:pPr>
        <w:tabs>
          <w:tab w:val="num" w:pos="1742"/>
        </w:tabs>
        <w:ind w:left="1267" w:firstLine="0"/>
      </w:pPr>
      <w:rPr>
        <w:b w:val="0"/>
        <w:i w:val="0"/>
        <w:spacing w:val="0"/>
        <w:w w:val="100"/>
      </w:rPr>
    </w:lvl>
  </w:abstractNum>
  <w:abstractNum w:abstractNumId="134">
    <w:nsid w:val="1F6F12BE"/>
    <w:multiLevelType w:val="singleLevel"/>
    <w:tmpl w:val="50D207E0"/>
    <w:lvl w:ilvl="0">
      <w:start w:val="1"/>
      <w:numFmt w:val="decimal"/>
      <w:lvlRestart w:val="0"/>
      <w:lvlText w:val="%1."/>
      <w:lvlJc w:val="left"/>
      <w:pPr>
        <w:tabs>
          <w:tab w:val="num" w:pos="475"/>
        </w:tabs>
        <w:ind w:left="0" w:firstLine="0"/>
      </w:pPr>
      <w:rPr>
        <w:spacing w:val="0"/>
        <w:w w:val="100"/>
      </w:rPr>
    </w:lvl>
  </w:abstractNum>
  <w:abstractNum w:abstractNumId="135">
    <w:nsid w:val="1FC339D2"/>
    <w:multiLevelType w:val="multilevel"/>
    <w:tmpl w:val="4C245800"/>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6">
    <w:nsid w:val="1FDC7779"/>
    <w:multiLevelType w:val="singleLevel"/>
    <w:tmpl w:val="C4BE5D06"/>
    <w:lvl w:ilvl="0">
      <w:start w:val="1"/>
      <w:numFmt w:val="decimal"/>
      <w:lvlRestart w:val="0"/>
      <w:lvlText w:val="%1."/>
      <w:lvlJc w:val="left"/>
      <w:pPr>
        <w:tabs>
          <w:tab w:val="num" w:pos="475"/>
        </w:tabs>
        <w:ind w:left="0" w:firstLine="0"/>
      </w:pPr>
      <w:rPr>
        <w:b w:val="0"/>
        <w:i w:val="0"/>
        <w:spacing w:val="0"/>
        <w:w w:val="100"/>
      </w:rPr>
    </w:lvl>
  </w:abstractNum>
  <w:abstractNum w:abstractNumId="137">
    <w:nsid w:val="1FE25D06"/>
    <w:multiLevelType w:val="singleLevel"/>
    <w:tmpl w:val="F15277C4"/>
    <w:lvl w:ilvl="0">
      <w:start w:val="234"/>
      <w:numFmt w:val="decimal"/>
      <w:lvlRestart w:val="0"/>
      <w:lvlText w:val="%1."/>
      <w:lvlJc w:val="left"/>
      <w:pPr>
        <w:tabs>
          <w:tab w:val="num" w:pos="475"/>
        </w:tabs>
        <w:ind w:left="0" w:firstLine="0"/>
      </w:pPr>
      <w:rPr>
        <w:spacing w:val="0"/>
        <w:w w:val="100"/>
      </w:rPr>
    </w:lvl>
  </w:abstractNum>
  <w:abstractNum w:abstractNumId="138">
    <w:nsid w:val="1FE95D3F"/>
    <w:multiLevelType w:val="singleLevel"/>
    <w:tmpl w:val="667863F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139">
    <w:nsid w:val="1FFD6DA6"/>
    <w:multiLevelType w:val="singleLevel"/>
    <w:tmpl w:val="A9F22900"/>
    <w:lvl w:ilvl="0">
      <w:start w:val="30"/>
      <w:numFmt w:val="decimal"/>
      <w:lvlRestart w:val="0"/>
      <w:lvlText w:val="%1."/>
      <w:lvlJc w:val="left"/>
      <w:pPr>
        <w:tabs>
          <w:tab w:val="num" w:pos="1742"/>
        </w:tabs>
        <w:ind w:left="1267" w:firstLine="0"/>
      </w:pPr>
      <w:rPr>
        <w:b w:val="0"/>
        <w:i w:val="0"/>
        <w:spacing w:val="0"/>
        <w:w w:val="100"/>
        <w:u w:val="none"/>
      </w:rPr>
    </w:lvl>
  </w:abstractNum>
  <w:abstractNum w:abstractNumId="140">
    <w:nsid w:val="205B7605"/>
    <w:multiLevelType w:val="singleLevel"/>
    <w:tmpl w:val="0809000F"/>
    <w:lvl w:ilvl="0">
      <w:start w:val="1"/>
      <w:numFmt w:val="decimal"/>
      <w:lvlText w:val="%1."/>
      <w:lvlJc w:val="left"/>
      <w:pPr>
        <w:tabs>
          <w:tab w:val="num" w:pos="360"/>
        </w:tabs>
        <w:ind w:left="360" w:hanging="360"/>
      </w:pPr>
    </w:lvl>
  </w:abstractNum>
  <w:abstractNum w:abstractNumId="141">
    <w:nsid w:val="20FB66AA"/>
    <w:multiLevelType w:val="multilevel"/>
    <w:tmpl w:val="7324AE6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2">
    <w:nsid w:val="212F520E"/>
    <w:multiLevelType w:val="singleLevel"/>
    <w:tmpl w:val="02FCB8D4"/>
    <w:lvl w:ilvl="0">
      <w:start w:val="1"/>
      <w:numFmt w:val="decimal"/>
      <w:lvlRestart w:val="0"/>
      <w:lvlText w:val="%1."/>
      <w:lvlJc w:val="left"/>
      <w:pPr>
        <w:tabs>
          <w:tab w:val="num" w:pos="475"/>
        </w:tabs>
        <w:ind w:left="0" w:firstLine="0"/>
      </w:pPr>
      <w:rPr>
        <w:b w:val="0"/>
        <w:i w:val="0"/>
        <w:spacing w:val="0"/>
        <w:w w:val="100"/>
      </w:rPr>
    </w:lvl>
  </w:abstractNum>
  <w:abstractNum w:abstractNumId="143">
    <w:nsid w:val="215D2058"/>
    <w:multiLevelType w:val="singleLevel"/>
    <w:tmpl w:val="1BFE2A0E"/>
    <w:lvl w:ilvl="0">
      <w:start w:val="34"/>
      <w:numFmt w:val="decimal"/>
      <w:lvlText w:val="%1."/>
      <w:lvlJc w:val="left"/>
      <w:pPr>
        <w:tabs>
          <w:tab w:val="num" w:pos="480"/>
        </w:tabs>
        <w:ind w:left="480" w:hanging="480"/>
      </w:pPr>
      <w:rPr>
        <w:rFonts w:hint="default"/>
      </w:rPr>
    </w:lvl>
  </w:abstractNum>
  <w:abstractNum w:abstractNumId="144">
    <w:nsid w:val="216F55D9"/>
    <w:multiLevelType w:val="singleLevel"/>
    <w:tmpl w:val="A5AA0676"/>
    <w:lvl w:ilvl="0">
      <w:start w:val="194"/>
      <w:numFmt w:val="decimal"/>
      <w:lvlRestart w:val="0"/>
      <w:lvlText w:val="%1."/>
      <w:lvlJc w:val="left"/>
      <w:pPr>
        <w:tabs>
          <w:tab w:val="num" w:pos="475"/>
        </w:tabs>
        <w:ind w:left="0" w:firstLine="0"/>
      </w:pPr>
      <w:rPr>
        <w:spacing w:val="0"/>
        <w:w w:val="100"/>
      </w:rPr>
    </w:lvl>
  </w:abstractNum>
  <w:abstractNum w:abstractNumId="145">
    <w:nsid w:val="2183497C"/>
    <w:multiLevelType w:val="singleLevel"/>
    <w:tmpl w:val="5DD2B9EC"/>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46">
    <w:nsid w:val="2185193D"/>
    <w:multiLevelType w:val="singleLevel"/>
    <w:tmpl w:val="689CA21A"/>
    <w:lvl w:ilvl="0">
      <w:start w:val="282"/>
      <w:numFmt w:val="decimal"/>
      <w:lvlRestart w:val="0"/>
      <w:lvlText w:val="%1."/>
      <w:lvlJc w:val="left"/>
      <w:pPr>
        <w:tabs>
          <w:tab w:val="num" w:pos="475"/>
        </w:tabs>
        <w:ind w:left="0" w:firstLine="0"/>
      </w:pPr>
      <w:rPr>
        <w:spacing w:val="0"/>
        <w:w w:val="100"/>
      </w:rPr>
    </w:lvl>
  </w:abstractNum>
  <w:abstractNum w:abstractNumId="147">
    <w:nsid w:val="219171D4"/>
    <w:multiLevelType w:val="singleLevel"/>
    <w:tmpl w:val="43D84A52"/>
    <w:lvl w:ilvl="0">
      <w:start w:val="7"/>
      <w:numFmt w:val="decimal"/>
      <w:lvlText w:val="%1."/>
      <w:lvlJc w:val="left"/>
      <w:pPr>
        <w:tabs>
          <w:tab w:val="num" w:pos="480"/>
        </w:tabs>
        <w:ind w:left="480" w:hanging="480"/>
      </w:pPr>
      <w:rPr>
        <w:rFonts w:hint="default"/>
      </w:rPr>
    </w:lvl>
  </w:abstractNum>
  <w:abstractNum w:abstractNumId="148">
    <w:nsid w:val="21D64C0F"/>
    <w:multiLevelType w:val="singleLevel"/>
    <w:tmpl w:val="5280901A"/>
    <w:lvl w:ilvl="0">
      <w:start w:val="1"/>
      <w:numFmt w:val="decimal"/>
      <w:lvlRestart w:val="0"/>
      <w:lvlText w:val="%1."/>
      <w:lvlJc w:val="left"/>
      <w:pPr>
        <w:tabs>
          <w:tab w:val="num" w:pos="475"/>
        </w:tabs>
        <w:ind w:left="0" w:firstLine="0"/>
      </w:pPr>
      <w:rPr>
        <w:spacing w:val="0"/>
        <w:w w:val="100"/>
      </w:rPr>
    </w:lvl>
  </w:abstractNum>
  <w:abstractNum w:abstractNumId="149">
    <w:nsid w:val="220C673A"/>
    <w:multiLevelType w:val="singleLevel"/>
    <w:tmpl w:val="F7A4FAC0"/>
    <w:lvl w:ilvl="0">
      <w:start w:val="10"/>
      <w:numFmt w:val="decimal"/>
      <w:lvlRestart w:val="0"/>
      <w:lvlText w:val="%1."/>
      <w:lvlJc w:val="left"/>
      <w:pPr>
        <w:tabs>
          <w:tab w:val="num" w:pos="1742"/>
        </w:tabs>
        <w:ind w:left="1267" w:firstLine="0"/>
      </w:pPr>
      <w:rPr>
        <w:spacing w:val="0"/>
        <w:w w:val="100"/>
      </w:rPr>
    </w:lvl>
  </w:abstractNum>
  <w:abstractNum w:abstractNumId="150">
    <w:nsid w:val="223B6A4F"/>
    <w:multiLevelType w:val="singleLevel"/>
    <w:tmpl w:val="30EC449A"/>
    <w:lvl w:ilvl="0">
      <w:start w:val="1"/>
      <w:numFmt w:val="decimal"/>
      <w:lvlRestart w:val="0"/>
      <w:lvlText w:val="%1."/>
      <w:lvlJc w:val="left"/>
      <w:pPr>
        <w:tabs>
          <w:tab w:val="num" w:pos="1742"/>
        </w:tabs>
        <w:ind w:left="1267" w:firstLine="0"/>
      </w:pPr>
      <w:rPr>
        <w:b w:val="0"/>
        <w:i w:val="0"/>
        <w:spacing w:val="0"/>
        <w:w w:val="100"/>
      </w:rPr>
    </w:lvl>
  </w:abstractNum>
  <w:abstractNum w:abstractNumId="151">
    <w:nsid w:val="224E4C51"/>
    <w:multiLevelType w:val="singleLevel"/>
    <w:tmpl w:val="8B62A49A"/>
    <w:lvl w:ilvl="0">
      <w:start w:val="1"/>
      <w:numFmt w:val="decimal"/>
      <w:lvlRestart w:val="0"/>
      <w:lvlText w:val="%1."/>
      <w:lvlJc w:val="left"/>
      <w:pPr>
        <w:tabs>
          <w:tab w:val="num" w:pos="475"/>
        </w:tabs>
        <w:ind w:left="0" w:firstLine="0"/>
      </w:pPr>
      <w:rPr>
        <w:b w:val="0"/>
        <w:i w:val="0"/>
        <w:spacing w:val="0"/>
        <w:w w:val="100"/>
      </w:rPr>
    </w:lvl>
  </w:abstractNum>
  <w:abstractNum w:abstractNumId="152">
    <w:nsid w:val="225968CF"/>
    <w:multiLevelType w:val="singleLevel"/>
    <w:tmpl w:val="528662A8"/>
    <w:lvl w:ilvl="0">
      <w:start w:val="13"/>
      <w:numFmt w:val="decimal"/>
      <w:lvlText w:val="%1."/>
      <w:lvlJc w:val="left"/>
      <w:pPr>
        <w:tabs>
          <w:tab w:val="num" w:pos="480"/>
        </w:tabs>
        <w:ind w:left="480" w:hanging="480"/>
      </w:pPr>
      <w:rPr>
        <w:rFonts w:hint="default"/>
      </w:rPr>
    </w:lvl>
  </w:abstractNum>
  <w:abstractNum w:abstractNumId="153">
    <w:nsid w:val="22793E7E"/>
    <w:multiLevelType w:val="singleLevel"/>
    <w:tmpl w:val="DA744A5E"/>
    <w:lvl w:ilvl="0">
      <w:start w:val="39"/>
      <w:numFmt w:val="decimal"/>
      <w:lvlRestart w:val="0"/>
      <w:lvlText w:val="%1."/>
      <w:lvlJc w:val="left"/>
      <w:pPr>
        <w:tabs>
          <w:tab w:val="num" w:pos="1742"/>
        </w:tabs>
        <w:ind w:left="1267" w:firstLine="0"/>
      </w:pPr>
      <w:rPr>
        <w:b w:val="0"/>
        <w:i w:val="0"/>
        <w:spacing w:val="0"/>
        <w:w w:val="100"/>
      </w:rPr>
    </w:lvl>
  </w:abstractNum>
  <w:abstractNum w:abstractNumId="154">
    <w:nsid w:val="22ED14EE"/>
    <w:multiLevelType w:val="singleLevel"/>
    <w:tmpl w:val="98347412"/>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55">
    <w:nsid w:val="22F001FA"/>
    <w:multiLevelType w:val="singleLevel"/>
    <w:tmpl w:val="5D76167E"/>
    <w:lvl w:ilvl="0">
      <w:start w:val="373"/>
      <w:numFmt w:val="decimal"/>
      <w:lvlRestart w:val="0"/>
      <w:lvlText w:val="%1."/>
      <w:lvlJc w:val="left"/>
      <w:pPr>
        <w:tabs>
          <w:tab w:val="num" w:pos="475"/>
        </w:tabs>
        <w:ind w:left="0" w:firstLine="0"/>
      </w:pPr>
      <w:rPr>
        <w:spacing w:val="0"/>
        <w:w w:val="100"/>
      </w:rPr>
    </w:lvl>
  </w:abstractNum>
  <w:abstractNum w:abstractNumId="156">
    <w:nsid w:val="2382760F"/>
    <w:multiLevelType w:val="singleLevel"/>
    <w:tmpl w:val="78CED70A"/>
    <w:lvl w:ilvl="0">
      <w:start w:val="32"/>
      <w:numFmt w:val="decimal"/>
      <w:lvlRestart w:val="0"/>
      <w:lvlText w:val="%1."/>
      <w:lvlJc w:val="left"/>
      <w:pPr>
        <w:tabs>
          <w:tab w:val="num" w:pos="475"/>
        </w:tabs>
        <w:ind w:left="0" w:firstLine="0"/>
      </w:pPr>
      <w:rPr>
        <w:spacing w:val="0"/>
        <w:w w:val="100"/>
      </w:rPr>
    </w:lvl>
  </w:abstractNum>
  <w:abstractNum w:abstractNumId="157">
    <w:nsid w:val="238723EC"/>
    <w:multiLevelType w:val="singleLevel"/>
    <w:tmpl w:val="2B9A3C7C"/>
    <w:lvl w:ilvl="0">
      <w:start w:val="1"/>
      <w:numFmt w:val="decimal"/>
      <w:lvlRestart w:val="0"/>
      <w:lvlText w:val="%1."/>
      <w:lvlJc w:val="left"/>
      <w:pPr>
        <w:tabs>
          <w:tab w:val="num" w:pos="475"/>
        </w:tabs>
        <w:ind w:left="0" w:firstLine="0"/>
      </w:pPr>
      <w:rPr>
        <w:spacing w:val="0"/>
        <w:w w:val="100"/>
      </w:rPr>
    </w:lvl>
  </w:abstractNum>
  <w:abstractNum w:abstractNumId="158">
    <w:nsid w:val="23BA5410"/>
    <w:multiLevelType w:val="singleLevel"/>
    <w:tmpl w:val="D3F88358"/>
    <w:lvl w:ilvl="0">
      <w:start w:val="214"/>
      <w:numFmt w:val="decimal"/>
      <w:lvlRestart w:val="0"/>
      <w:lvlText w:val="%1."/>
      <w:lvlJc w:val="left"/>
      <w:pPr>
        <w:tabs>
          <w:tab w:val="num" w:pos="475"/>
        </w:tabs>
        <w:ind w:left="0" w:firstLine="0"/>
      </w:pPr>
      <w:rPr>
        <w:spacing w:val="0"/>
        <w:w w:val="100"/>
      </w:rPr>
    </w:lvl>
  </w:abstractNum>
  <w:abstractNum w:abstractNumId="159">
    <w:nsid w:val="23DC7045"/>
    <w:multiLevelType w:val="singleLevel"/>
    <w:tmpl w:val="AE7C75F8"/>
    <w:lvl w:ilvl="0">
      <w:start w:val="9"/>
      <w:numFmt w:val="decimal"/>
      <w:lvlRestart w:val="0"/>
      <w:lvlText w:val="%1."/>
      <w:lvlJc w:val="left"/>
      <w:pPr>
        <w:tabs>
          <w:tab w:val="num" w:pos="475"/>
        </w:tabs>
        <w:ind w:left="0" w:firstLine="0"/>
      </w:pPr>
      <w:rPr>
        <w:spacing w:val="0"/>
        <w:w w:val="100"/>
      </w:rPr>
    </w:lvl>
  </w:abstractNum>
  <w:abstractNum w:abstractNumId="160">
    <w:nsid w:val="23F76093"/>
    <w:multiLevelType w:val="multilevel"/>
    <w:tmpl w:val="A4CA781C"/>
    <w:lvl w:ilvl="0">
      <w:start w:val="1"/>
      <w:numFmt w:val="decimal"/>
      <w:lvlText w:val="%1."/>
      <w:lvlJc w:val="left"/>
      <w:pPr>
        <w:tabs>
          <w:tab w:val="num" w:pos="1080"/>
        </w:tabs>
        <w:ind w:left="1080" w:hanging="72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1">
    <w:nsid w:val="24017C44"/>
    <w:multiLevelType w:val="singleLevel"/>
    <w:tmpl w:val="B83C4D34"/>
    <w:lvl w:ilvl="0">
      <w:start w:val="1"/>
      <w:numFmt w:val="decimal"/>
      <w:lvlRestart w:val="0"/>
      <w:lvlText w:val="%1."/>
      <w:lvlJc w:val="left"/>
      <w:pPr>
        <w:tabs>
          <w:tab w:val="num" w:pos="475"/>
        </w:tabs>
        <w:ind w:left="0" w:firstLine="0"/>
      </w:pPr>
      <w:rPr>
        <w:b w:val="0"/>
        <w:i w:val="0"/>
        <w:spacing w:val="0"/>
        <w:w w:val="100"/>
      </w:rPr>
    </w:lvl>
  </w:abstractNum>
  <w:abstractNum w:abstractNumId="162">
    <w:nsid w:val="240B00B2"/>
    <w:multiLevelType w:val="singleLevel"/>
    <w:tmpl w:val="F91A19E8"/>
    <w:lvl w:ilvl="0">
      <w:start w:val="67"/>
      <w:numFmt w:val="decimal"/>
      <w:lvlRestart w:val="0"/>
      <w:lvlText w:val="%1."/>
      <w:lvlJc w:val="left"/>
      <w:pPr>
        <w:tabs>
          <w:tab w:val="num" w:pos="475"/>
        </w:tabs>
        <w:ind w:left="0" w:firstLine="0"/>
      </w:pPr>
      <w:rPr>
        <w:spacing w:val="0"/>
        <w:w w:val="100"/>
      </w:rPr>
    </w:lvl>
  </w:abstractNum>
  <w:abstractNum w:abstractNumId="163">
    <w:nsid w:val="243D6EF5"/>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164">
    <w:nsid w:val="24587CD0"/>
    <w:multiLevelType w:val="multilevel"/>
    <w:tmpl w:val="0FF4529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5">
    <w:nsid w:val="24812366"/>
    <w:multiLevelType w:val="singleLevel"/>
    <w:tmpl w:val="D0B2BB38"/>
    <w:lvl w:ilvl="0">
      <w:start w:val="1"/>
      <w:numFmt w:val="decimal"/>
      <w:lvlRestart w:val="0"/>
      <w:lvlText w:val="%1."/>
      <w:lvlJc w:val="left"/>
      <w:pPr>
        <w:tabs>
          <w:tab w:val="num" w:pos="475"/>
        </w:tabs>
        <w:ind w:left="0" w:firstLine="0"/>
      </w:pPr>
      <w:rPr>
        <w:b w:val="0"/>
        <w:i w:val="0"/>
        <w:spacing w:val="0"/>
        <w:w w:val="100"/>
      </w:rPr>
    </w:lvl>
  </w:abstractNum>
  <w:abstractNum w:abstractNumId="166">
    <w:nsid w:val="248E252D"/>
    <w:multiLevelType w:val="singleLevel"/>
    <w:tmpl w:val="C1E61A96"/>
    <w:lvl w:ilvl="0">
      <w:start w:val="378"/>
      <w:numFmt w:val="decimal"/>
      <w:lvlRestart w:val="0"/>
      <w:lvlText w:val="%1."/>
      <w:lvlJc w:val="left"/>
      <w:pPr>
        <w:tabs>
          <w:tab w:val="num" w:pos="475"/>
        </w:tabs>
        <w:ind w:left="0" w:firstLine="0"/>
      </w:pPr>
      <w:rPr>
        <w:spacing w:val="0"/>
        <w:w w:val="100"/>
      </w:rPr>
    </w:lvl>
  </w:abstractNum>
  <w:abstractNum w:abstractNumId="167">
    <w:nsid w:val="24947F45"/>
    <w:multiLevelType w:val="singleLevel"/>
    <w:tmpl w:val="BE963304"/>
    <w:lvl w:ilvl="0">
      <w:start w:val="9"/>
      <w:numFmt w:val="decimal"/>
      <w:lvlText w:val="%1."/>
      <w:lvlJc w:val="left"/>
      <w:pPr>
        <w:tabs>
          <w:tab w:val="num" w:pos="480"/>
        </w:tabs>
        <w:ind w:left="480" w:hanging="480"/>
      </w:pPr>
      <w:rPr>
        <w:rFonts w:hint="default"/>
      </w:rPr>
    </w:lvl>
  </w:abstractNum>
  <w:abstractNum w:abstractNumId="168">
    <w:nsid w:val="25350BF4"/>
    <w:multiLevelType w:val="singleLevel"/>
    <w:tmpl w:val="82DEDD3E"/>
    <w:lvl w:ilvl="0">
      <w:start w:val="167"/>
      <w:numFmt w:val="decimal"/>
      <w:lvlRestart w:val="0"/>
      <w:lvlText w:val="%1."/>
      <w:lvlJc w:val="left"/>
      <w:pPr>
        <w:tabs>
          <w:tab w:val="num" w:pos="475"/>
        </w:tabs>
        <w:ind w:left="0" w:firstLine="0"/>
      </w:pPr>
      <w:rPr>
        <w:spacing w:val="0"/>
        <w:w w:val="100"/>
      </w:rPr>
    </w:lvl>
  </w:abstractNum>
  <w:abstractNum w:abstractNumId="169">
    <w:nsid w:val="25BB2DAC"/>
    <w:multiLevelType w:val="singleLevel"/>
    <w:tmpl w:val="0809000F"/>
    <w:lvl w:ilvl="0">
      <w:start w:val="1"/>
      <w:numFmt w:val="decimal"/>
      <w:lvlText w:val="%1."/>
      <w:lvlJc w:val="left"/>
      <w:pPr>
        <w:tabs>
          <w:tab w:val="num" w:pos="360"/>
        </w:tabs>
        <w:ind w:left="360" w:hanging="360"/>
      </w:pPr>
      <w:rPr>
        <w:rFonts w:hint="default"/>
      </w:rPr>
    </w:lvl>
  </w:abstractNum>
  <w:abstractNum w:abstractNumId="170">
    <w:nsid w:val="25F27EFC"/>
    <w:multiLevelType w:val="singleLevel"/>
    <w:tmpl w:val="55F4F7BA"/>
    <w:lvl w:ilvl="0">
      <w:start w:val="56"/>
      <w:numFmt w:val="decimal"/>
      <w:lvlRestart w:val="0"/>
      <w:lvlText w:val="%1."/>
      <w:lvlJc w:val="left"/>
      <w:pPr>
        <w:tabs>
          <w:tab w:val="num" w:pos="475"/>
        </w:tabs>
        <w:ind w:left="0" w:firstLine="0"/>
      </w:pPr>
      <w:rPr>
        <w:spacing w:val="0"/>
        <w:w w:val="100"/>
      </w:rPr>
    </w:lvl>
  </w:abstractNum>
  <w:abstractNum w:abstractNumId="171">
    <w:nsid w:val="261F2529"/>
    <w:multiLevelType w:val="singleLevel"/>
    <w:tmpl w:val="AF9C8B0A"/>
    <w:lvl w:ilvl="0">
      <w:start w:val="26"/>
      <w:numFmt w:val="decimal"/>
      <w:lvlText w:val="%1."/>
      <w:lvlJc w:val="left"/>
      <w:pPr>
        <w:tabs>
          <w:tab w:val="num" w:pos="480"/>
        </w:tabs>
        <w:ind w:left="480" w:hanging="480"/>
      </w:pPr>
      <w:rPr>
        <w:rFonts w:hint="default"/>
      </w:rPr>
    </w:lvl>
  </w:abstractNum>
  <w:abstractNum w:abstractNumId="172">
    <w:nsid w:val="26596A57"/>
    <w:multiLevelType w:val="singleLevel"/>
    <w:tmpl w:val="CF6CF89E"/>
    <w:lvl w:ilvl="0">
      <w:start w:val="71"/>
      <w:numFmt w:val="decimal"/>
      <w:lvlRestart w:val="0"/>
      <w:lvlText w:val="%1."/>
      <w:lvlJc w:val="left"/>
      <w:pPr>
        <w:tabs>
          <w:tab w:val="num" w:pos="475"/>
        </w:tabs>
        <w:ind w:left="0" w:firstLine="0"/>
      </w:pPr>
      <w:rPr>
        <w:spacing w:val="0"/>
        <w:w w:val="100"/>
      </w:rPr>
    </w:lvl>
  </w:abstractNum>
  <w:abstractNum w:abstractNumId="173">
    <w:nsid w:val="27564088"/>
    <w:multiLevelType w:val="singleLevel"/>
    <w:tmpl w:val="CBEE0B20"/>
    <w:lvl w:ilvl="0">
      <w:start w:val="139"/>
      <w:numFmt w:val="decimal"/>
      <w:lvlRestart w:val="0"/>
      <w:lvlText w:val="%1."/>
      <w:lvlJc w:val="left"/>
      <w:pPr>
        <w:tabs>
          <w:tab w:val="num" w:pos="475"/>
        </w:tabs>
        <w:ind w:left="0" w:firstLine="0"/>
      </w:pPr>
      <w:rPr>
        <w:spacing w:val="0"/>
        <w:w w:val="100"/>
      </w:rPr>
    </w:lvl>
  </w:abstractNum>
  <w:abstractNum w:abstractNumId="174">
    <w:nsid w:val="27646F96"/>
    <w:multiLevelType w:val="singleLevel"/>
    <w:tmpl w:val="04090017"/>
    <w:lvl w:ilvl="0">
      <w:start w:val="1"/>
      <w:numFmt w:val="lowerLetter"/>
      <w:lvlText w:val="%1)"/>
      <w:lvlJc w:val="left"/>
      <w:pPr>
        <w:tabs>
          <w:tab w:val="num" w:pos="360"/>
        </w:tabs>
        <w:ind w:left="360" w:hanging="360"/>
      </w:pPr>
      <w:rPr>
        <w:rFonts w:hint="default"/>
      </w:rPr>
    </w:lvl>
  </w:abstractNum>
  <w:abstractNum w:abstractNumId="175">
    <w:nsid w:val="27924658"/>
    <w:multiLevelType w:val="singleLevel"/>
    <w:tmpl w:val="77C06D22"/>
    <w:lvl w:ilvl="0">
      <w:start w:val="122"/>
      <w:numFmt w:val="decimal"/>
      <w:lvlRestart w:val="0"/>
      <w:lvlText w:val="%1."/>
      <w:lvlJc w:val="left"/>
      <w:pPr>
        <w:tabs>
          <w:tab w:val="num" w:pos="475"/>
        </w:tabs>
        <w:ind w:left="0" w:firstLine="0"/>
      </w:pPr>
      <w:rPr>
        <w:spacing w:val="0"/>
        <w:w w:val="100"/>
      </w:rPr>
    </w:lvl>
  </w:abstractNum>
  <w:abstractNum w:abstractNumId="176">
    <w:nsid w:val="27E12D00"/>
    <w:multiLevelType w:val="singleLevel"/>
    <w:tmpl w:val="0E24F236"/>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177">
    <w:nsid w:val="27FC1628"/>
    <w:multiLevelType w:val="singleLevel"/>
    <w:tmpl w:val="0FC450AC"/>
    <w:lvl w:ilvl="0">
      <w:start w:val="1"/>
      <w:numFmt w:val="decimal"/>
      <w:lvlRestart w:val="0"/>
      <w:lvlText w:val="%1."/>
      <w:lvlJc w:val="left"/>
      <w:pPr>
        <w:tabs>
          <w:tab w:val="num" w:pos="475"/>
        </w:tabs>
        <w:ind w:left="0" w:firstLine="0"/>
      </w:pPr>
      <w:rPr>
        <w:spacing w:val="0"/>
        <w:w w:val="100"/>
      </w:rPr>
    </w:lvl>
  </w:abstractNum>
  <w:abstractNum w:abstractNumId="178">
    <w:nsid w:val="283E1CB3"/>
    <w:multiLevelType w:val="singleLevel"/>
    <w:tmpl w:val="7368E8B2"/>
    <w:lvl w:ilvl="0">
      <w:start w:val="1"/>
      <w:numFmt w:val="decimal"/>
      <w:lvlRestart w:val="0"/>
      <w:lvlText w:val="%1."/>
      <w:lvlJc w:val="left"/>
      <w:pPr>
        <w:tabs>
          <w:tab w:val="num" w:pos="475"/>
        </w:tabs>
        <w:ind w:left="0" w:firstLine="0"/>
      </w:pPr>
      <w:rPr>
        <w:spacing w:val="0"/>
        <w:w w:val="100"/>
      </w:rPr>
    </w:lvl>
  </w:abstractNum>
  <w:abstractNum w:abstractNumId="179">
    <w:nsid w:val="284236F9"/>
    <w:multiLevelType w:val="singleLevel"/>
    <w:tmpl w:val="94B6B1D2"/>
    <w:lvl w:ilvl="0">
      <w:start w:val="3"/>
      <w:numFmt w:val="decimal"/>
      <w:lvlRestart w:val="0"/>
      <w:lvlText w:val="%1."/>
      <w:lvlJc w:val="left"/>
      <w:pPr>
        <w:tabs>
          <w:tab w:val="num" w:pos="475"/>
        </w:tabs>
        <w:ind w:left="0" w:firstLine="0"/>
      </w:pPr>
      <w:rPr>
        <w:spacing w:val="0"/>
        <w:w w:val="100"/>
      </w:rPr>
    </w:lvl>
  </w:abstractNum>
  <w:abstractNum w:abstractNumId="180">
    <w:nsid w:val="2994438E"/>
    <w:multiLevelType w:val="singleLevel"/>
    <w:tmpl w:val="F73667B0"/>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81">
    <w:nsid w:val="2A13574B"/>
    <w:multiLevelType w:val="singleLevel"/>
    <w:tmpl w:val="2D3E14FC"/>
    <w:lvl w:ilvl="0">
      <w:start w:val="6"/>
      <w:numFmt w:val="decimal"/>
      <w:lvlRestart w:val="0"/>
      <w:lvlText w:val="%1."/>
      <w:lvlJc w:val="left"/>
      <w:pPr>
        <w:tabs>
          <w:tab w:val="num" w:pos="475"/>
        </w:tabs>
        <w:ind w:left="0" w:firstLine="0"/>
      </w:pPr>
      <w:rPr>
        <w:b w:val="0"/>
        <w:i w:val="0"/>
        <w:spacing w:val="0"/>
        <w:w w:val="100"/>
      </w:rPr>
    </w:lvl>
  </w:abstractNum>
  <w:abstractNum w:abstractNumId="182">
    <w:nsid w:val="2A291060"/>
    <w:multiLevelType w:val="singleLevel"/>
    <w:tmpl w:val="4B6E29FA"/>
    <w:lvl w:ilvl="0">
      <w:start w:val="1"/>
      <w:numFmt w:val="decimal"/>
      <w:lvlRestart w:val="0"/>
      <w:lvlText w:val="%1."/>
      <w:lvlJc w:val="left"/>
      <w:pPr>
        <w:tabs>
          <w:tab w:val="num" w:pos="475"/>
        </w:tabs>
        <w:ind w:left="0" w:firstLine="0"/>
      </w:pPr>
      <w:rPr>
        <w:spacing w:val="0"/>
        <w:w w:val="100"/>
      </w:rPr>
    </w:lvl>
  </w:abstractNum>
  <w:abstractNum w:abstractNumId="183">
    <w:nsid w:val="2ABB7155"/>
    <w:multiLevelType w:val="singleLevel"/>
    <w:tmpl w:val="F9F243C0"/>
    <w:lvl w:ilvl="0">
      <w:start w:val="1"/>
      <w:numFmt w:val="decimal"/>
      <w:lvlRestart w:val="0"/>
      <w:lvlText w:val="%1."/>
      <w:lvlJc w:val="left"/>
      <w:pPr>
        <w:tabs>
          <w:tab w:val="num" w:pos="475"/>
        </w:tabs>
        <w:ind w:left="0" w:firstLine="0"/>
      </w:pPr>
      <w:rPr>
        <w:spacing w:val="0"/>
        <w:w w:val="100"/>
      </w:rPr>
    </w:lvl>
  </w:abstractNum>
  <w:abstractNum w:abstractNumId="184">
    <w:nsid w:val="2AF54655"/>
    <w:multiLevelType w:val="singleLevel"/>
    <w:tmpl w:val="C90A232A"/>
    <w:lvl w:ilvl="0">
      <w:start w:val="16"/>
      <w:numFmt w:val="decimal"/>
      <w:lvlRestart w:val="0"/>
      <w:lvlText w:val="%1."/>
      <w:lvlJc w:val="left"/>
      <w:pPr>
        <w:tabs>
          <w:tab w:val="num" w:pos="1742"/>
        </w:tabs>
        <w:ind w:left="1267" w:firstLine="0"/>
      </w:pPr>
      <w:rPr>
        <w:spacing w:val="0"/>
        <w:w w:val="100"/>
      </w:rPr>
    </w:lvl>
  </w:abstractNum>
  <w:abstractNum w:abstractNumId="185">
    <w:nsid w:val="2C061EF8"/>
    <w:multiLevelType w:val="singleLevel"/>
    <w:tmpl w:val="79784E58"/>
    <w:lvl w:ilvl="0">
      <w:start w:val="12"/>
      <w:numFmt w:val="decimal"/>
      <w:lvlRestart w:val="0"/>
      <w:lvlText w:val="%1."/>
      <w:lvlJc w:val="left"/>
      <w:pPr>
        <w:tabs>
          <w:tab w:val="num" w:pos="475"/>
        </w:tabs>
        <w:ind w:left="0" w:firstLine="0"/>
      </w:pPr>
      <w:rPr>
        <w:spacing w:val="0"/>
        <w:w w:val="100"/>
      </w:rPr>
    </w:lvl>
  </w:abstractNum>
  <w:abstractNum w:abstractNumId="186">
    <w:nsid w:val="2C160B7F"/>
    <w:multiLevelType w:val="singleLevel"/>
    <w:tmpl w:val="C90A232A"/>
    <w:lvl w:ilvl="0">
      <w:start w:val="16"/>
      <w:numFmt w:val="decimal"/>
      <w:lvlRestart w:val="0"/>
      <w:lvlText w:val="%1."/>
      <w:lvlJc w:val="left"/>
      <w:pPr>
        <w:tabs>
          <w:tab w:val="num" w:pos="1742"/>
        </w:tabs>
        <w:ind w:left="1267" w:firstLine="0"/>
      </w:pPr>
      <w:rPr>
        <w:spacing w:val="0"/>
        <w:w w:val="100"/>
      </w:rPr>
    </w:lvl>
  </w:abstractNum>
  <w:abstractNum w:abstractNumId="187">
    <w:nsid w:val="2C207191"/>
    <w:multiLevelType w:val="singleLevel"/>
    <w:tmpl w:val="EB5E114E"/>
    <w:lvl w:ilvl="0">
      <w:start w:val="128"/>
      <w:numFmt w:val="decimal"/>
      <w:lvlRestart w:val="0"/>
      <w:lvlText w:val="%1."/>
      <w:lvlJc w:val="left"/>
      <w:pPr>
        <w:tabs>
          <w:tab w:val="num" w:pos="1742"/>
        </w:tabs>
        <w:ind w:left="1267" w:firstLine="0"/>
      </w:pPr>
      <w:rPr>
        <w:spacing w:val="0"/>
        <w:w w:val="100"/>
      </w:rPr>
    </w:lvl>
  </w:abstractNum>
  <w:abstractNum w:abstractNumId="188">
    <w:nsid w:val="2C4760F5"/>
    <w:multiLevelType w:val="singleLevel"/>
    <w:tmpl w:val="A128F524"/>
    <w:lvl w:ilvl="0">
      <w:start w:val="1"/>
      <w:numFmt w:val="decimal"/>
      <w:lvlRestart w:val="0"/>
      <w:lvlText w:val="%1."/>
      <w:lvlJc w:val="left"/>
      <w:pPr>
        <w:tabs>
          <w:tab w:val="num" w:pos="475"/>
        </w:tabs>
        <w:ind w:left="0" w:firstLine="0"/>
      </w:pPr>
      <w:rPr>
        <w:spacing w:val="0"/>
        <w:w w:val="100"/>
      </w:rPr>
    </w:lvl>
  </w:abstractNum>
  <w:abstractNum w:abstractNumId="189">
    <w:nsid w:val="2C5C0EBF"/>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190">
    <w:nsid w:val="2C9809F6"/>
    <w:multiLevelType w:val="singleLevel"/>
    <w:tmpl w:val="E746F332"/>
    <w:lvl w:ilvl="0">
      <w:start w:val="32"/>
      <w:numFmt w:val="decimal"/>
      <w:lvlRestart w:val="0"/>
      <w:lvlText w:val="%1."/>
      <w:lvlJc w:val="left"/>
      <w:pPr>
        <w:tabs>
          <w:tab w:val="num" w:pos="1742"/>
        </w:tabs>
        <w:ind w:left="1267" w:firstLine="0"/>
      </w:pPr>
      <w:rPr>
        <w:spacing w:val="0"/>
        <w:w w:val="100"/>
      </w:rPr>
    </w:lvl>
  </w:abstractNum>
  <w:abstractNum w:abstractNumId="191">
    <w:nsid w:val="2CE759CE"/>
    <w:multiLevelType w:val="singleLevel"/>
    <w:tmpl w:val="DF3C9720"/>
    <w:lvl w:ilvl="0">
      <w:start w:val="20"/>
      <w:numFmt w:val="decimal"/>
      <w:lvlText w:val="%1."/>
      <w:lvlJc w:val="left"/>
      <w:pPr>
        <w:tabs>
          <w:tab w:val="num" w:pos="480"/>
        </w:tabs>
        <w:ind w:left="480" w:hanging="480"/>
      </w:pPr>
      <w:rPr>
        <w:rFonts w:hint="default"/>
      </w:rPr>
    </w:lvl>
  </w:abstractNum>
  <w:abstractNum w:abstractNumId="192">
    <w:nsid w:val="2D2C1A75"/>
    <w:multiLevelType w:val="singleLevel"/>
    <w:tmpl w:val="118A1E8C"/>
    <w:lvl w:ilvl="0">
      <w:start w:val="1"/>
      <w:numFmt w:val="decimal"/>
      <w:lvlRestart w:val="0"/>
      <w:lvlText w:val="%1."/>
      <w:lvlJc w:val="left"/>
      <w:pPr>
        <w:tabs>
          <w:tab w:val="num" w:pos="475"/>
        </w:tabs>
        <w:ind w:left="0" w:firstLine="0"/>
      </w:pPr>
      <w:rPr>
        <w:spacing w:val="0"/>
        <w:w w:val="100"/>
      </w:rPr>
    </w:lvl>
  </w:abstractNum>
  <w:abstractNum w:abstractNumId="193">
    <w:nsid w:val="2D4F706E"/>
    <w:multiLevelType w:val="singleLevel"/>
    <w:tmpl w:val="4FE0C580"/>
    <w:lvl w:ilvl="0">
      <w:start w:val="1"/>
      <w:numFmt w:val="decimal"/>
      <w:lvlRestart w:val="0"/>
      <w:lvlText w:val="%1."/>
      <w:lvlJc w:val="left"/>
      <w:pPr>
        <w:tabs>
          <w:tab w:val="num" w:pos="475"/>
        </w:tabs>
        <w:ind w:left="0" w:firstLine="0"/>
      </w:pPr>
      <w:rPr>
        <w:spacing w:val="0"/>
        <w:w w:val="100"/>
      </w:rPr>
    </w:lvl>
  </w:abstractNum>
  <w:abstractNum w:abstractNumId="194">
    <w:nsid w:val="2DEB55FD"/>
    <w:multiLevelType w:val="multilevel"/>
    <w:tmpl w:val="6C4C0A9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95">
    <w:nsid w:val="2E0E14C3"/>
    <w:multiLevelType w:val="singleLevel"/>
    <w:tmpl w:val="77A6B5EA"/>
    <w:lvl w:ilvl="0">
      <w:start w:val="5"/>
      <w:numFmt w:val="decimal"/>
      <w:lvlText w:val="%1."/>
      <w:lvlJc w:val="left"/>
      <w:pPr>
        <w:tabs>
          <w:tab w:val="num" w:pos="480"/>
        </w:tabs>
        <w:ind w:left="480" w:hanging="480"/>
      </w:pPr>
      <w:rPr>
        <w:rFonts w:hint="default"/>
      </w:rPr>
    </w:lvl>
  </w:abstractNum>
  <w:abstractNum w:abstractNumId="196">
    <w:nsid w:val="2E256BBF"/>
    <w:multiLevelType w:val="singleLevel"/>
    <w:tmpl w:val="ABE4F34A"/>
    <w:lvl w:ilvl="0">
      <w:start w:val="1"/>
      <w:numFmt w:val="decimal"/>
      <w:lvlText w:val="%1."/>
      <w:lvlJc w:val="left"/>
      <w:pPr>
        <w:tabs>
          <w:tab w:val="num" w:pos="360"/>
        </w:tabs>
        <w:ind w:left="360" w:hanging="360"/>
      </w:pPr>
      <w:rPr>
        <w:rFonts w:hint="default"/>
      </w:rPr>
    </w:lvl>
  </w:abstractNum>
  <w:abstractNum w:abstractNumId="197">
    <w:nsid w:val="2EFB128F"/>
    <w:multiLevelType w:val="singleLevel"/>
    <w:tmpl w:val="31C6E9A0"/>
    <w:lvl w:ilvl="0">
      <w:start w:val="70"/>
      <w:numFmt w:val="decimal"/>
      <w:lvlRestart w:val="0"/>
      <w:lvlText w:val="%1."/>
      <w:lvlJc w:val="left"/>
      <w:pPr>
        <w:tabs>
          <w:tab w:val="num" w:pos="475"/>
        </w:tabs>
        <w:ind w:left="0" w:firstLine="0"/>
      </w:pPr>
      <w:rPr>
        <w:spacing w:val="0"/>
        <w:w w:val="100"/>
      </w:rPr>
    </w:lvl>
  </w:abstractNum>
  <w:abstractNum w:abstractNumId="198">
    <w:nsid w:val="2F0935A6"/>
    <w:multiLevelType w:val="singleLevel"/>
    <w:tmpl w:val="82B02DC6"/>
    <w:lvl w:ilvl="0">
      <w:start w:val="67"/>
      <w:numFmt w:val="decimal"/>
      <w:lvlRestart w:val="0"/>
      <w:lvlText w:val="%1."/>
      <w:lvlJc w:val="left"/>
      <w:pPr>
        <w:tabs>
          <w:tab w:val="num" w:pos="475"/>
        </w:tabs>
        <w:ind w:left="0" w:firstLine="0"/>
      </w:pPr>
      <w:rPr>
        <w:spacing w:val="0"/>
        <w:w w:val="100"/>
      </w:rPr>
    </w:lvl>
  </w:abstractNum>
  <w:abstractNum w:abstractNumId="199">
    <w:nsid w:val="30625B3A"/>
    <w:multiLevelType w:val="singleLevel"/>
    <w:tmpl w:val="7E969E24"/>
    <w:lvl w:ilvl="0">
      <w:start w:val="166"/>
      <w:numFmt w:val="decimal"/>
      <w:lvlRestart w:val="0"/>
      <w:lvlText w:val="%1."/>
      <w:lvlJc w:val="left"/>
      <w:pPr>
        <w:tabs>
          <w:tab w:val="num" w:pos="475"/>
        </w:tabs>
        <w:ind w:left="0" w:firstLine="0"/>
      </w:pPr>
      <w:rPr>
        <w:b w:val="0"/>
        <w:i w:val="0"/>
        <w:spacing w:val="0"/>
        <w:w w:val="100"/>
        <w:u w:val="none"/>
      </w:rPr>
    </w:lvl>
  </w:abstractNum>
  <w:abstractNum w:abstractNumId="200">
    <w:nsid w:val="30C35F88"/>
    <w:multiLevelType w:val="singleLevel"/>
    <w:tmpl w:val="E996A52E"/>
    <w:lvl w:ilvl="0">
      <w:start w:val="23"/>
      <w:numFmt w:val="decimal"/>
      <w:lvlRestart w:val="0"/>
      <w:lvlText w:val="%1."/>
      <w:lvlJc w:val="left"/>
      <w:pPr>
        <w:tabs>
          <w:tab w:val="num" w:pos="1742"/>
        </w:tabs>
        <w:ind w:left="1267" w:firstLine="0"/>
      </w:pPr>
      <w:rPr>
        <w:b w:val="0"/>
        <w:i w:val="0"/>
        <w:spacing w:val="0"/>
        <w:w w:val="100"/>
      </w:rPr>
    </w:lvl>
  </w:abstractNum>
  <w:abstractNum w:abstractNumId="201">
    <w:nsid w:val="30F43BF6"/>
    <w:multiLevelType w:val="singleLevel"/>
    <w:tmpl w:val="B952EF34"/>
    <w:lvl w:ilvl="0">
      <w:start w:val="1"/>
      <w:numFmt w:val="decimal"/>
      <w:lvlRestart w:val="0"/>
      <w:lvlText w:val="%1."/>
      <w:lvlJc w:val="left"/>
      <w:pPr>
        <w:tabs>
          <w:tab w:val="num" w:pos="475"/>
        </w:tabs>
        <w:ind w:left="0" w:firstLine="0"/>
      </w:pPr>
      <w:rPr>
        <w:spacing w:val="0"/>
        <w:w w:val="100"/>
      </w:rPr>
    </w:lvl>
  </w:abstractNum>
  <w:abstractNum w:abstractNumId="202">
    <w:nsid w:val="31153A1F"/>
    <w:multiLevelType w:val="singleLevel"/>
    <w:tmpl w:val="21DC590A"/>
    <w:lvl w:ilvl="0">
      <w:start w:val="36"/>
      <w:numFmt w:val="decimal"/>
      <w:lvlRestart w:val="0"/>
      <w:lvlText w:val="%1."/>
      <w:lvlJc w:val="left"/>
      <w:pPr>
        <w:tabs>
          <w:tab w:val="num" w:pos="1742"/>
        </w:tabs>
        <w:ind w:left="1267" w:firstLine="0"/>
      </w:pPr>
      <w:rPr>
        <w:spacing w:val="0"/>
        <w:w w:val="100"/>
      </w:rPr>
    </w:lvl>
  </w:abstractNum>
  <w:abstractNum w:abstractNumId="203">
    <w:nsid w:val="31314EAB"/>
    <w:multiLevelType w:val="singleLevel"/>
    <w:tmpl w:val="D93C740C"/>
    <w:lvl w:ilvl="0">
      <w:start w:val="1"/>
      <w:numFmt w:val="decimal"/>
      <w:lvlRestart w:val="0"/>
      <w:lvlText w:val="%1."/>
      <w:lvlJc w:val="left"/>
      <w:pPr>
        <w:tabs>
          <w:tab w:val="num" w:pos="475"/>
        </w:tabs>
        <w:ind w:left="0" w:firstLine="0"/>
      </w:pPr>
      <w:rPr>
        <w:b w:val="0"/>
        <w:i w:val="0"/>
        <w:spacing w:val="0"/>
        <w:w w:val="100"/>
        <w:u w:val="none"/>
      </w:rPr>
    </w:lvl>
  </w:abstractNum>
  <w:abstractNum w:abstractNumId="204">
    <w:nsid w:val="315242A8"/>
    <w:multiLevelType w:val="singleLevel"/>
    <w:tmpl w:val="D3620CE2"/>
    <w:lvl w:ilvl="0">
      <w:start w:val="27"/>
      <w:numFmt w:val="decimal"/>
      <w:lvlText w:val="%1."/>
      <w:lvlJc w:val="left"/>
      <w:pPr>
        <w:tabs>
          <w:tab w:val="num" w:pos="480"/>
        </w:tabs>
        <w:ind w:left="480" w:hanging="480"/>
      </w:pPr>
      <w:rPr>
        <w:rFonts w:hint="default"/>
      </w:rPr>
    </w:lvl>
  </w:abstractNum>
  <w:abstractNum w:abstractNumId="205">
    <w:nsid w:val="31610284"/>
    <w:multiLevelType w:val="multilevel"/>
    <w:tmpl w:val="80D6EE98"/>
    <w:lvl w:ilvl="0">
      <w:start w:val="1"/>
      <w:numFmt w:val="decimal"/>
      <w:lvlText w:val="%1."/>
      <w:lvlJc w:val="left"/>
      <w:pPr>
        <w:tabs>
          <w:tab w:val="num" w:pos="1987"/>
        </w:tabs>
        <w:ind w:left="1987" w:hanging="360"/>
      </w:pPr>
    </w:lvl>
    <w:lvl w:ilvl="1" w:tentative="1">
      <w:start w:val="1"/>
      <w:numFmt w:val="lowerLetter"/>
      <w:lvlText w:val="%2."/>
      <w:lvlJc w:val="left"/>
      <w:pPr>
        <w:tabs>
          <w:tab w:val="num" w:pos="2707"/>
        </w:tabs>
        <w:ind w:left="2707" w:hanging="360"/>
      </w:pPr>
    </w:lvl>
    <w:lvl w:ilvl="2" w:tentative="1">
      <w:start w:val="1"/>
      <w:numFmt w:val="lowerRoman"/>
      <w:lvlText w:val="%3."/>
      <w:lvlJc w:val="right"/>
      <w:pPr>
        <w:tabs>
          <w:tab w:val="num" w:pos="3427"/>
        </w:tabs>
        <w:ind w:left="3427" w:hanging="180"/>
      </w:pPr>
    </w:lvl>
    <w:lvl w:ilvl="3" w:tentative="1">
      <w:start w:val="1"/>
      <w:numFmt w:val="decimal"/>
      <w:lvlText w:val="%4."/>
      <w:lvlJc w:val="left"/>
      <w:pPr>
        <w:tabs>
          <w:tab w:val="num" w:pos="4147"/>
        </w:tabs>
        <w:ind w:left="4147" w:hanging="360"/>
      </w:pPr>
    </w:lvl>
    <w:lvl w:ilvl="4" w:tentative="1">
      <w:start w:val="1"/>
      <w:numFmt w:val="lowerLetter"/>
      <w:lvlText w:val="%5."/>
      <w:lvlJc w:val="left"/>
      <w:pPr>
        <w:tabs>
          <w:tab w:val="num" w:pos="4867"/>
        </w:tabs>
        <w:ind w:left="4867" w:hanging="360"/>
      </w:pPr>
    </w:lvl>
    <w:lvl w:ilvl="5" w:tentative="1">
      <w:start w:val="1"/>
      <w:numFmt w:val="lowerRoman"/>
      <w:lvlText w:val="%6."/>
      <w:lvlJc w:val="right"/>
      <w:pPr>
        <w:tabs>
          <w:tab w:val="num" w:pos="5587"/>
        </w:tabs>
        <w:ind w:left="5587" w:hanging="180"/>
      </w:pPr>
    </w:lvl>
    <w:lvl w:ilvl="6" w:tentative="1">
      <w:start w:val="1"/>
      <w:numFmt w:val="decimal"/>
      <w:lvlText w:val="%7."/>
      <w:lvlJc w:val="left"/>
      <w:pPr>
        <w:tabs>
          <w:tab w:val="num" w:pos="6307"/>
        </w:tabs>
        <w:ind w:left="6307" w:hanging="360"/>
      </w:pPr>
    </w:lvl>
    <w:lvl w:ilvl="7" w:tentative="1">
      <w:start w:val="1"/>
      <w:numFmt w:val="lowerLetter"/>
      <w:lvlText w:val="%8."/>
      <w:lvlJc w:val="left"/>
      <w:pPr>
        <w:tabs>
          <w:tab w:val="num" w:pos="7027"/>
        </w:tabs>
        <w:ind w:left="7027" w:hanging="360"/>
      </w:pPr>
    </w:lvl>
    <w:lvl w:ilvl="8" w:tentative="1">
      <w:start w:val="1"/>
      <w:numFmt w:val="lowerRoman"/>
      <w:lvlText w:val="%9."/>
      <w:lvlJc w:val="right"/>
      <w:pPr>
        <w:tabs>
          <w:tab w:val="num" w:pos="7747"/>
        </w:tabs>
        <w:ind w:left="7747" w:hanging="180"/>
      </w:pPr>
    </w:lvl>
  </w:abstractNum>
  <w:abstractNum w:abstractNumId="206">
    <w:nsid w:val="32745448"/>
    <w:multiLevelType w:val="singleLevel"/>
    <w:tmpl w:val="D41E1350"/>
    <w:lvl w:ilvl="0">
      <w:start w:val="69"/>
      <w:numFmt w:val="decimal"/>
      <w:lvlRestart w:val="0"/>
      <w:lvlText w:val="%1."/>
      <w:lvlJc w:val="left"/>
      <w:pPr>
        <w:tabs>
          <w:tab w:val="num" w:pos="475"/>
        </w:tabs>
        <w:ind w:left="0" w:firstLine="0"/>
      </w:pPr>
      <w:rPr>
        <w:spacing w:val="0"/>
        <w:w w:val="100"/>
      </w:rPr>
    </w:lvl>
  </w:abstractNum>
  <w:abstractNum w:abstractNumId="207">
    <w:nsid w:val="32774E29"/>
    <w:multiLevelType w:val="singleLevel"/>
    <w:tmpl w:val="65E46040"/>
    <w:lvl w:ilvl="0">
      <w:start w:val="195"/>
      <w:numFmt w:val="decimal"/>
      <w:lvlRestart w:val="0"/>
      <w:lvlText w:val="%1."/>
      <w:lvlJc w:val="left"/>
      <w:pPr>
        <w:tabs>
          <w:tab w:val="num" w:pos="475"/>
        </w:tabs>
        <w:ind w:left="0" w:firstLine="0"/>
      </w:pPr>
      <w:rPr>
        <w:spacing w:val="0"/>
        <w:w w:val="100"/>
      </w:rPr>
    </w:lvl>
  </w:abstractNum>
  <w:abstractNum w:abstractNumId="208">
    <w:nsid w:val="327B55A0"/>
    <w:multiLevelType w:val="singleLevel"/>
    <w:tmpl w:val="8974D1E2"/>
    <w:lvl w:ilvl="0">
      <w:start w:val="159"/>
      <w:numFmt w:val="decimal"/>
      <w:lvlRestart w:val="0"/>
      <w:lvlText w:val="%1."/>
      <w:lvlJc w:val="left"/>
      <w:pPr>
        <w:tabs>
          <w:tab w:val="num" w:pos="475"/>
        </w:tabs>
        <w:ind w:left="0" w:firstLine="0"/>
      </w:pPr>
      <w:rPr>
        <w:b w:val="0"/>
        <w:i w:val="0"/>
        <w:spacing w:val="0"/>
        <w:w w:val="100"/>
      </w:rPr>
    </w:lvl>
  </w:abstractNum>
  <w:abstractNum w:abstractNumId="209">
    <w:nsid w:val="327D292C"/>
    <w:multiLevelType w:val="singleLevel"/>
    <w:tmpl w:val="118A1E8C"/>
    <w:lvl w:ilvl="0">
      <w:start w:val="1"/>
      <w:numFmt w:val="decimal"/>
      <w:lvlRestart w:val="0"/>
      <w:lvlText w:val="%1."/>
      <w:lvlJc w:val="left"/>
      <w:pPr>
        <w:tabs>
          <w:tab w:val="num" w:pos="475"/>
        </w:tabs>
        <w:ind w:left="0" w:firstLine="0"/>
      </w:pPr>
      <w:rPr>
        <w:spacing w:val="0"/>
        <w:w w:val="100"/>
      </w:rPr>
    </w:lvl>
  </w:abstractNum>
  <w:abstractNum w:abstractNumId="210">
    <w:nsid w:val="33004740"/>
    <w:multiLevelType w:val="singleLevel"/>
    <w:tmpl w:val="6D5CF8A2"/>
    <w:lvl w:ilvl="0">
      <w:start w:val="39"/>
      <w:numFmt w:val="decimal"/>
      <w:lvlText w:val="%1."/>
      <w:lvlJc w:val="left"/>
      <w:pPr>
        <w:tabs>
          <w:tab w:val="num" w:pos="480"/>
        </w:tabs>
        <w:ind w:left="480" w:hanging="480"/>
      </w:pPr>
      <w:rPr>
        <w:rFonts w:hint="default"/>
      </w:rPr>
    </w:lvl>
  </w:abstractNum>
  <w:abstractNum w:abstractNumId="211">
    <w:nsid w:val="331D0CAD"/>
    <w:multiLevelType w:val="singleLevel"/>
    <w:tmpl w:val="960270A8"/>
    <w:lvl w:ilvl="0">
      <w:start w:val="306"/>
      <w:numFmt w:val="decimal"/>
      <w:lvlRestart w:val="0"/>
      <w:lvlText w:val="%1."/>
      <w:lvlJc w:val="left"/>
      <w:pPr>
        <w:tabs>
          <w:tab w:val="num" w:pos="1742"/>
        </w:tabs>
        <w:ind w:left="1267" w:firstLine="0"/>
      </w:pPr>
      <w:rPr>
        <w:b w:val="0"/>
        <w:i w:val="0"/>
        <w:spacing w:val="0"/>
        <w:w w:val="100"/>
      </w:rPr>
    </w:lvl>
  </w:abstractNum>
  <w:abstractNum w:abstractNumId="212">
    <w:nsid w:val="333D5BE7"/>
    <w:multiLevelType w:val="singleLevel"/>
    <w:tmpl w:val="D3B444A0"/>
    <w:lvl w:ilvl="0">
      <w:start w:val="1"/>
      <w:numFmt w:val="decimal"/>
      <w:lvlRestart w:val="0"/>
      <w:lvlText w:val="%1."/>
      <w:lvlJc w:val="left"/>
      <w:pPr>
        <w:tabs>
          <w:tab w:val="num" w:pos="475"/>
        </w:tabs>
        <w:ind w:left="0" w:firstLine="0"/>
      </w:pPr>
      <w:rPr>
        <w:b w:val="0"/>
        <w:i w:val="0"/>
        <w:spacing w:val="0"/>
        <w:w w:val="100"/>
      </w:rPr>
    </w:lvl>
  </w:abstractNum>
  <w:abstractNum w:abstractNumId="213">
    <w:nsid w:val="341F3AC5"/>
    <w:multiLevelType w:val="singleLevel"/>
    <w:tmpl w:val="D14853C6"/>
    <w:lvl w:ilvl="0">
      <w:start w:val="63"/>
      <w:numFmt w:val="decimal"/>
      <w:lvlRestart w:val="0"/>
      <w:lvlText w:val="%1."/>
      <w:lvlJc w:val="left"/>
      <w:pPr>
        <w:tabs>
          <w:tab w:val="num" w:pos="475"/>
        </w:tabs>
        <w:ind w:left="0" w:firstLine="0"/>
      </w:pPr>
      <w:rPr>
        <w:spacing w:val="0"/>
        <w:w w:val="100"/>
      </w:rPr>
    </w:lvl>
  </w:abstractNum>
  <w:abstractNum w:abstractNumId="214">
    <w:nsid w:val="341F3D9C"/>
    <w:multiLevelType w:val="singleLevel"/>
    <w:tmpl w:val="8B8AB56C"/>
    <w:lvl w:ilvl="0">
      <w:start w:val="229"/>
      <w:numFmt w:val="decimal"/>
      <w:lvlRestart w:val="0"/>
      <w:lvlText w:val="%1."/>
      <w:lvlJc w:val="left"/>
      <w:pPr>
        <w:tabs>
          <w:tab w:val="num" w:pos="475"/>
        </w:tabs>
        <w:ind w:left="0" w:firstLine="0"/>
      </w:pPr>
      <w:rPr>
        <w:b w:val="0"/>
        <w:i w:val="0"/>
        <w:spacing w:val="0"/>
        <w:w w:val="100"/>
      </w:rPr>
    </w:lvl>
  </w:abstractNum>
  <w:abstractNum w:abstractNumId="215">
    <w:nsid w:val="34251EB0"/>
    <w:multiLevelType w:val="singleLevel"/>
    <w:tmpl w:val="4B6E29FA"/>
    <w:lvl w:ilvl="0">
      <w:start w:val="1"/>
      <w:numFmt w:val="decimal"/>
      <w:lvlRestart w:val="0"/>
      <w:lvlText w:val="%1."/>
      <w:lvlJc w:val="left"/>
      <w:pPr>
        <w:tabs>
          <w:tab w:val="num" w:pos="475"/>
        </w:tabs>
        <w:ind w:left="0" w:firstLine="0"/>
      </w:pPr>
      <w:rPr>
        <w:spacing w:val="0"/>
        <w:w w:val="100"/>
      </w:rPr>
    </w:lvl>
  </w:abstractNum>
  <w:abstractNum w:abstractNumId="216">
    <w:nsid w:val="345B4DB0"/>
    <w:multiLevelType w:val="singleLevel"/>
    <w:tmpl w:val="2CBC7E64"/>
    <w:lvl w:ilvl="0">
      <w:start w:val="372"/>
      <w:numFmt w:val="decimal"/>
      <w:lvlRestart w:val="0"/>
      <w:lvlText w:val="%1."/>
      <w:lvlJc w:val="left"/>
      <w:pPr>
        <w:tabs>
          <w:tab w:val="num" w:pos="475"/>
        </w:tabs>
        <w:ind w:left="0" w:firstLine="0"/>
      </w:pPr>
      <w:rPr>
        <w:spacing w:val="0"/>
        <w:w w:val="100"/>
      </w:rPr>
    </w:lvl>
  </w:abstractNum>
  <w:abstractNum w:abstractNumId="217">
    <w:nsid w:val="3463013E"/>
    <w:multiLevelType w:val="singleLevel"/>
    <w:tmpl w:val="C2C6B2EA"/>
    <w:lvl w:ilvl="0">
      <w:start w:val="29"/>
      <w:numFmt w:val="decimal"/>
      <w:lvlText w:val="%1."/>
      <w:lvlJc w:val="left"/>
      <w:pPr>
        <w:tabs>
          <w:tab w:val="num" w:pos="480"/>
        </w:tabs>
        <w:ind w:left="480" w:hanging="480"/>
      </w:pPr>
      <w:rPr>
        <w:rFonts w:hint="default"/>
      </w:rPr>
    </w:lvl>
  </w:abstractNum>
  <w:abstractNum w:abstractNumId="218">
    <w:nsid w:val="352D4872"/>
    <w:multiLevelType w:val="singleLevel"/>
    <w:tmpl w:val="87369D70"/>
    <w:lvl w:ilvl="0">
      <w:start w:val="1"/>
      <w:numFmt w:val="decimal"/>
      <w:lvlRestart w:val="0"/>
      <w:lvlText w:val="%1."/>
      <w:lvlJc w:val="left"/>
      <w:pPr>
        <w:tabs>
          <w:tab w:val="num" w:pos="475"/>
        </w:tabs>
        <w:ind w:left="0" w:firstLine="0"/>
      </w:pPr>
      <w:rPr>
        <w:b w:val="0"/>
        <w:i w:val="0"/>
        <w:spacing w:val="0"/>
        <w:w w:val="100"/>
        <w:sz w:val="20"/>
      </w:rPr>
    </w:lvl>
  </w:abstractNum>
  <w:abstractNum w:abstractNumId="219">
    <w:nsid w:val="3567636D"/>
    <w:multiLevelType w:val="singleLevel"/>
    <w:tmpl w:val="4998CC34"/>
    <w:lvl w:ilvl="0">
      <w:start w:val="377"/>
      <w:numFmt w:val="decimal"/>
      <w:lvlRestart w:val="0"/>
      <w:lvlText w:val="%1."/>
      <w:lvlJc w:val="left"/>
      <w:pPr>
        <w:tabs>
          <w:tab w:val="num" w:pos="475"/>
        </w:tabs>
        <w:ind w:left="0" w:firstLine="0"/>
      </w:pPr>
      <w:rPr>
        <w:spacing w:val="0"/>
        <w:w w:val="100"/>
      </w:rPr>
    </w:lvl>
  </w:abstractNum>
  <w:abstractNum w:abstractNumId="220">
    <w:nsid w:val="35CF7D93"/>
    <w:multiLevelType w:val="singleLevel"/>
    <w:tmpl w:val="444EB676"/>
    <w:lvl w:ilvl="0">
      <w:start w:val="28"/>
      <w:numFmt w:val="decimal"/>
      <w:lvlRestart w:val="0"/>
      <w:lvlText w:val="%1."/>
      <w:lvlJc w:val="left"/>
      <w:pPr>
        <w:tabs>
          <w:tab w:val="num" w:pos="475"/>
        </w:tabs>
        <w:ind w:left="0" w:firstLine="0"/>
      </w:pPr>
      <w:rPr>
        <w:spacing w:val="0"/>
        <w:w w:val="100"/>
      </w:rPr>
    </w:lvl>
  </w:abstractNum>
  <w:abstractNum w:abstractNumId="221">
    <w:nsid w:val="35F065D3"/>
    <w:multiLevelType w:val="multilevel"/>
    <w:tmpl w:val="C1F420BA"/>
    <w:lvl w:ilvl="0">
      <w:start w:val="2"/>
      <w:numFmt w:val="lowerLetter"/>
      <w:lvlText w:val="%1)"/>
      <w:lvlJc w:val="left"/>
      <w:pPr>
        <w:tabs>
          <w:tab w:val="num" w:pos="1260"/>
        </w:tabs>
        <w:ind w:left="1260" w:hanging="420"/>
      </w:pPr>
      <w:rPr>
        <w:rFonts w:hint="default"/>
      </w:rPr>
    </w:lvl>
    <w:lvl w:ilvl="1" w:tentative="1">
      <w:start w:val="1"/>
      <w:numFmt w:val="lowerLetter"/>
      <w:lvlText w:val="%2."/>
      <w:lvlJc w:val="left"/>
      <w:pPr>
        <w:tabs>
          <w:tab w:val="num" w:pos="1920"/>
        </w:tabs>
        <w:ind w:left="1920" w:hanging="360"/>
      </w:pPr>
    </w:lvl>
    <w:lvl w:ilvl="2" w:tentative="1">
      <w:start w:val="1"/>
      <w:numFmt w:val="lowerRoman"/>
      <w:lvlText w:val="%3."/>
      <w:lvlJc w:val="right"/>
      <w:pPr>
        <w:tabs>
          <w:tab w:val="num" w:pos="2640"/>
        </w:tabs>
        <w:ind w:left="2640" w:hanging="180"/>
      </w:pPr>
    </w:lvl>
    <w:lvl w:ilvl="3" w:tentative="1">
      <w:start w:val="1"/>
      <w:numFmt w:val="decimal"/>
      <w:lvlText w:val="%4."/>
      <w:lvlJc w:val="left"/>
      <w:pPr>
        <w:tabs>
          <w:tab w:val="num" w:pos="3360"/>
        </w:tabs>
        <w:ind w:left="3360" w:hanging="360"/>
      </w:pPr>
    </w:lvl>
    <w:lvl w:ilvl="4" w:tentative="1">
      <w:start w:val="1"/>
      <w:numFmt w:val="lowerLetter"/>
      <w:lvlText w:val="%5."/>
      <w:lvlJc w:val="left"/>
      <w:pPr>
        <w:tabs>
          <w:tab w:val="num" w:pos="4080"/>
        </w:tabs>
        <w:ind w:left="4080" w:hanging="360"/>
      </w:pPr>
    </w:lvl>
    <w:lvl w:ilvl="5" w:tentative="1">
      <w:start w:val="1"/>
      <w:numFmt w:val="lowerRoman"/>
      <w:lvlText w:val="%6."/>
      <w:lvlJc w:val="right"/>
      <w:pPr>
        <w:tabs>
          <w:tab w:val="num" w:pos="4800"/>
        </w:tabs>
        <w:ind w:left="4800" w:hanging="180"/>
      </w:pPr>
    </w:lvl>
    <w:lvl w:ilvl="6" w:tentative="1">
      <w:start w:val="1"/>
      <w:numFmt w:val="decimal"/>
      <w:lvlText w:val="%7."/>
      <w:lvlJc w:val="left"/>
      <w:pPr>
        <w:tabs>
          <w:tab w:val="num" w:pos="5520"/>
        </w:tabs>
        <w:ind w:left="5520" w:hanging="360"/>
      </w:pPr>
    </w:lvl>
    <w:lvl w:ilvl="7" w:tentative="1">
      <w:start w:val="1"/>
      <w:numFmt w:val="lowerLetter"/>
      <w:lvlText w:val="%8."/>
      <w:lvlJc w:val="left"/>
      <w:pPr>
        <w:tabs>
          <w:tab w:val="num" w:pos="6240"/>
        </w:tabs>
        <w:ind w:left="6240" w:hanging="360"/>
      </w:pPr>
    </w:lvl>
    <w:lvl w:ilvl="8" w:tentative="1">
      <w:start w:val="1"/>
      <w:numFmt w:val="lowerRoman"/>
      <w:lvlText w:val="%9."/>
      <w:lvlJc w:val="right"/>
      <w:pPr>
        <w:tabs>
          <w:tab w:val="num" w:pos="6960"/>
        </w:tabs>
        <w:ind w:left="6960" w:hanging="180"/>
      </w:pPr>
    </w:lvl>
  </w:abstractNum>
  <w:abstractNum w:abstractNumId="222">
    <w:nsid w:val="36826AA8"/>
    <w:multiLevelType w:val="singleLevel"/>
    <w:tmpl w:val="67582972"/>
    <w:lvl w:ilvl="0">
      <w:start w:val="266"/>
      <w:numFmt w:val="decimal"/>
      <w:lvlRestart w:val="0"/>
      <w:lvlText w:val="%1."/>
      <w:lvlJc w:val="left"/>
      <w:pPr>
        <w:tabs>
          <w:tab w:val="num" w:pos="475"/>
        </w:tabs>
        <w:ind w:left="0" w:firstLine="0"/>
      </w:pPr>
      <w:rPr>
        <w:b w:val="0"/>
        <w:i w:val="0"/>
        <w:spacing w:val="0"/>
        <w:w w:val="100"/>
      </w:rPr>
    </w:lvl>
  </w:abstractNum>
  <w:abstractNum w:abstractNumId="223">
    <w:nsid w:val="370C0399"/>
    <w:multiLevelType w:val="singleLevel"/>
    <w:tmpl w:val="3A6807F4"/>
    <w:lvl w:ilvl="0">
      <w:start w:val="44"/>
      <w:numFmt w:val="decimal"/>
      <w:lvlRestart w:val="0"/>
      <w:lvlText w:val="%1."/>
      <w:lvlJc w:val="left"/>
      <w:pPr>
        <w:tabs>
          <w:tab w:val="num" w:pos="475"/>
        </w:tabs>
        <w:ind w:left="0" w:firstLine="0"/>
      </w:pPr>
      <w:rPr>
        <w:spacing w:val="0"/>
        <w:w w:val="100"/>
      </w:rPr>
    </w:lvl>
  </w:abstractNum>
  <w:abstractNum w:abstractNumId="224">
    <w:nsid w:val="37462984"/>
    <w:multiLevelType w:val="multilevel"/>
    <w:tmpl w:val="D02E2920"/>
    <w:lvl w:ilvl="0">
      <w:start w:val="2"/>
      <w:numFmt w:val="lowerLetter"/>
      <w:lvlText w:val="%1)"/>
      <w:lvlJc w:val="left"/>
      <w:pPr>
        <w:tabs>
          <w:tab w:val="num" w:pos="1260"/>
        </w:tabs>
        <w:ind w:left="1260" w:hanging="420"/>
      </w:pPr>
      <w:rPr>
        <w:rFonts w:hint="default"/>
      </w:rPr>
    </w:lvl>
    <w:lvl w:ilvl="1" w:tentative="1">
      <w:start w:val="1"/>
      <w:numFmt w:val="lowerLetter"/>
      <w:lvlText w:val="%2."/>
      <w:lvlJc w:val="left"/>
      <w:pPr>
        <w:tabs>
          <w:tab w:val="num" w:pos="1920"/>
        </w:tabs>
        <w:ind w:left="1920" w:hanging="360"/>
      </w:pPr>
    </w:lvl>
    <w:lvl w:ilvl="2" w:tentative="1">
      <w:start w:val="1"/>
      <w:numFmt w:val="lowerRoman"/>
      <w:lvlText w:val="%3."/>
      <w:lvlJc w:val="right"/>
      <w:pPr>
        <w:tabs>
          <w:tab w:val="num" w:pos="2640"/>
        </w:tabs>
        <w:ind w:left="2640" w:hanging="180"/>
      </w:pPr>
    </w:lvl>
    <w:lvl w:ilvl="3" w:tentative="1">
      <w:start w:val="1"/>
      <w:numFmt w:val="decimal"/>
      <w:lvlText w:val="%4."/>
      <w:lvlJc w:val="left"/>
      <w:pPr>
        <w:tabs>
          <w:tab w:val="num" w:pos="3360"/>
        </w:tabs>
        <w:ind w:left="3360" w:hanging="360"/>
      </w:pPr>
    </w:lvl>
    <w:lvl w:ilvl="4" w:tentative="1">
      <w:start w:val="1"/>
      <w:numFmt w:val="lowerLetter"/>
      <w:lvlText w:val="%5."/>
      <w:lvlJc w:val="left"/>
      <w:pPr>
        <w:tabs>
          <w:tab w:val="num" w:pos="4080"/>
        </w:tabs>
        <w:ind w:left="4080" w:hanging="360"/>
      </w:pPr>
    </w:lvl>
    <w:lvl w:ilvl="5" w:tentative="1">
      <w:start w:val="1"/>
      <w:numFmt w:val="lowerRoman"/>
      <w:lvlText w:val="%6."/>
      <w:lvlJc w:val="right"/>
      <w:pPr>
        <w:tabs>
          <w:tab w:val="num" w:pos="4800"/>
        </w:tabs>
        <w:ind w:left="4800" w:hanging="180"/>
      </w:pPr>
    </w:lvl>
    <w:lvl w:ilvl="6" w:tentative="1">
      <w:start w:val="1"/>
      <w:numFmt w:val="decimal"/>
      <w:lvlText w:val="%7."/>
      <w:lvlJc w:val="left"/>
      <w:pPr>
        <w:tabs>
          <w:tab w:val="num" w:pos="5520"/>
        </w:tabs>
        <w:ind w:left="5520" w:hanging="360"/>
      </w:pPr>
    </w:lvl>
    <w:lvl w:ilvl="7" w:tentative="1">
      <w:start w:val="1"/>
      <w:numFmt w:val="lowerLetter"/>
      <w:lvlText w:val="%8."/>
      <w:lvlJc w:val="left"/>
      <w:pPr>
        <w:tabs>
          <w:tab w:val="num" w:pos="6240"/>
        </w:tabs>
        <w:ind w:left="6240" w:hanging="360"/>
      </w:pPr>
    </w:lvl>
    <w:lvl w:ilvl="8" w:tentative="1">
      <w:start w:val="1"/>
      <w:numFmt w:val="lowerRoman"/>
      <w:lvlText w:val="%9."/>
      <w:lvlJc w:val="right"/>
      <w:pPr>
        <w:tabs>
          <w:tab w:val="num" w:pos="6960"/>
        </w:tabs>
        <w:ind w:left="6960" w:hanging="180"/>
      </w:pPr>
    </w:lvl>
  </w:abstractNum>
  <w:abstractNum w:abstractNumId="225">
    <w:nsid w:val="37673BF7"/>
    <w:multiLevelType w:val="singleLevel"/>
    <w:tmpl w:val="FA4A9EAA"/>
    <w:lvl w:ilvl="0">
      <w:start w:val="1"/>
      <w:numFmt w:val="decimal"/>
      <w:lvlRestart w:val="0"/>
      <w:lvlText w:val="%1."/>
      <w:lvlJc w:val="left"/>
      <w:pPr>
        <w:tabs>
          <w:tab w:val="num" w:pos="475"/>
        </w:tabs>
        <w:ind w:left="0" w:firstLine="0"/>
      </w:pPr>
      <w:rPr>
        <w:b w:val="0"/>
        <w:i w:val="0"/>
        <w:spacing w:val="0"/>
        <w:w w:val="100"/>
      </w:rPr>
    </w:lvl>
  </w:abstractNum>
  <w:abstractNum w:abstractNumId="226">
    <w:nsid w:val="379A541B"/>
    <w:multiLevelType w:val="singleLevel"/>
    <w:tmpl w:val="CE926054"/>
    <w:lvl w:ilvl="0">
      <w:start w:val="1"/>
      <w:numFmt w:val="decimal"/>
      <w:lvlRestart w:val="0"/>
      <w:lvlText w:val="%1."/>
      <w:lvlJc w:val="left"/>
      <w:pPr>
        <w:tabs>
          <w:tab w:val="num" w:pos="475"/>
        </w:tabs>
        <w:ind w:left="0" w:firstLine="0"/>
      </w:pPr>
      <w:rPr>
        <w:b w:val="0"/>
        <w:i w:val="0"/>
        <w:spacing w:val="0"/>
        <w:w w:val="100"/>
        <w:u w:val="none"/>
      </w:rPr>
    </w:lvl>
  </w:abstractNum>
  <w:abstractNum w:abstractNumId="227">
    <w:nsid w:val="37B56C65"/>
    <w:multiLevelType w:val="singleLevel"/>
    <w:tmpl w:val="98DA7590"/>
    <w:lvl w:ilvl="0">
      <w:start w:val="21"/>
      <w:numFmt w:val="decimal"/>
      <w:lvlRestart w:val="0"/>
      <w:lvlText w:val="%1."/>
      <w:lvlJc w:val="left"/>
      <w:pPr>
        <w:tabs>
          <w:tab w:val="num" w:pos="1742"/>
        </w:tabs>
        <w:ind w:left="1267" w:firstLine="0"/>
      </w:pPr>
      <w:rPr>
        <w:spacing w:val="0"/>
        <w:w w:val="100"/>
      </w:rPr>
    </w:lvl>
  </w:abstractNum>
  <w:abstractNum w:abstractNumId="228">
    <w:nsid w:val="38D912FD"/>
    <w:multiLevelType w:val="singleLevel"/>
    <w:tmpl w:val="2D8C99AC"/>
    <w:lvl w:ilvl="0">
      <w:start w:val="46"/>
      <w:numFmt w:val="decimal"/>
      <w:lvlText w:val="%1."/>
      <w:lvlJc w:val="left"/>
      <w:pPr>
        <w:tabs>
          <w:tab w:val="num" w:pos="480"/>
        </w:tabs>
        <w:ind w:left="480" w:hanging="480"/>
      </w:pPr>
      <w:rPr>
        <w:rFonts w:hint="default"/>
      </w:rPr>
    </w:lvl>
  </w:abstractNum>
  <w:abstractNum w:abstractNumId="229">
    <w:nsid w:val="393610DF"/>
    <w:multiLevelType w:val="singleLevel"/>
    <w:tmpl w:val="B260AAA2"/>
    <w:lvl w:ilvl="0">
      <w:start w:val="1"/>
      <w:numFmt w:val="decimal"/>
      <w:lvlRestart w:val="0"/>
      <w:lvlText w:val="%1."/>
      <w:lvlJc w:val="left"/>
      <w:pPr>
        <w:tabs>
          <w:tab w:val="num" w:pos="475"/>
        </w:tabs>
        <w:ind w:left="0" w:firstLine="0"/>
      </w:pPr>
      <w:rPr>
        <w:spacing w:val="0"/>
        <w:w w:val="100"/>
      </w:rPr>
    </w:lvl>
  </w:abstractNum>
  <w:abstractNum w:abstractNumId="230">
    <w:nsid w:val="39A41379"/>
    <w:multiLevelType w:val="singleLevel"/>
    <w:tmpl w:val="F78A2CDC"/>
    <w:lvl w:ilvl="0">
      <w:start w:val="23"/>
      <w:numFmt w:val="decimal"/>
      <w:lvlRestart w:val="0"/>
      <w:lvlText w:val="%1."/>
      <w:lvlJc w:val="left"/>
      <w:pPr>
        <w:tabs>
          <w:tab w:val="num" w:pos="475"/>
        </w:tabs>
        <w:ind w:left="0" w:firstLine="0"/>
      </w:pPr>
      <w:rPr>
        <w:spacing w:val="0"/>
        <w:w w:val="100"/>
      </w:rPr>
    </w:lvl>
  </w:abstractNum>
  <w:abstractNum w:abstractNumId="231">
    <w:nsid w:val="39A935C1"/>
    <w:multiLevelType w:val="singleLevel"/>
    <w:tmpl w:val="3D900D16"/>
    <w:lvl w:ilvl="0">
      <w:start w:val="18"/>
      <w:numFmt w:val="decimal"/>
      <w:lvlRestart w:val="0"/>
      <w:lvlText w:val="%1."/>
      <w:lvlJc w:val="left"/>
      <w:pPr>
        <w:tabs>
          <w:tab w:val="num" w:pos="475"/>
        </w:tabs>
        <w:ind w:left="0" w:firstLine="0"/>
      </w:pPr>
      <w:rPr>
        <w:spacing w:val="0"/>
        <w:w w:val="100"/>
      </w:rPr>
    </w:lvl>
  </w:abstractNum>
  <w:abstractNum w:abstractNumId="232">
    <w:nsid w:val="39F51E66"/>
    <w:multiLevelType w:val="singleLevel"/>
    <w:tmpl w:val="F0523ECC"/>
    <w:lvl w:ilvl="0">
      <w:start w:val="138"/>
      <w:numFmt w:val="decimal"/>
      <w:lvlRestart w:val="0"/>
      <w:lvlText w:val="%1."/>
      <w:lvlJc w:val="left"/>
      <w:pPr>
        <w:tabs>
          <w:tab w:val="num" w:pos="1742"/>
        </w:tabs>
        <w:ind w:left="1267" w:firstLine="0"/>
      </w:pPr>
      <w:rPr>
        <w:spacing w:val="0"/>
        <w:w w:val="100"/>
      </w:rPr>
    </w:lvl>
  </w:abstractNum>
  <w:abstractNum w:abstractNumId="233">
    <w:nsid w:val="3A8D0236"/>
    <w:multiLevelType w:val="singleLevel"/>
    <w:tmpl w:val="96F0EC0E"/>
    <w:lvl w:ilvl="0">
      <w:start w:val="29"/>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234">
    <w:nsid w:val="3A8E28A7"/>
    <w:multiLevelType w:val="singleLevel"/>
    <w:tmpl w:val="74E0557E"/>
    <w:lvl w:ilvl="0">
      <w:start w:val="6"/>
      <w:numFmt w:val="decimal"/>
      <w:lvlText w:val="%1."/>
      <w:lvlJc w:val="left"/>
      <w:pPr>
        <w:tabs>
          <w:tab w:val="num" w:pos="480"/>
        </w:tabs>
        <w:ind w:left="480" w:hanging="480"/>
      </w:pPr>
      <w:rPr>
        <w:rFonts w:hint="default"/>
      </w:rPr>
    </w:lvl>
  </w:abstractNum>
  <w:abstractNum w:abstractNumId="235">
    <w:nsid w:val="3AE773A2"/>
    <w:multiLevelType w:val="singleLevel"/>
    <w:tmpl w:val="DADA6CF2"/>
    <w:lvl w:ilvl="0">
      <w:start w:val="11"/>
      <w:numFmt w:val="decimal"/>
      <w:lvlText w:val="%1."/>
      <w:lvlJc w:val="left"/>
      <w:pPr>
        <w:tabs>
          <w:tab w:val="num" w:pos="480"/>
        </w:tabs>
        <w:ind w:left="480" w:hanging="480"/>
      </w:pPr>
      <w:rPr>
        <w:rFonts w:hint="default"/>
      </w:rPr>
    </w:lvl>
  </w:abstractNum>
  <w:abstractNum w:abstractNumId="236">
    <w:nsid w:val="3B21112F"/>
    <w:multiLevelType w:val="singleLevel"/>
    <w:tmpl w:val="1ECAA376"/>
    <w:lvl w:ilvl="0">
      <w:start w:val="282"/>
      <w:numFmt w:val="decimal"/>
      <w:lvlRestart w:val="0"/>
      <w:lvlText w:val="%1."/>
      <w:lvlJc w:val="left"/>
      <w:pPr>
        <w:tabs>
          <w:tab w:val="num" w:pos="475"/>
        </w:tabs>
        <w:ind w:left="0" w:firstLine="0"/>
      </w:pPr>
      <w:rPr>
        <w:b w:val="0"/>
        <w:i w:val="0"/>
        <w:spacing w:val="0"/>
        <w:w w:val="100"/>
      </w:rPr>
    </w:lvl>
  </w:abstractNum>
  <w:abstractNum w:abstractNumId="237">
    <w:nsid w:val="3B241725"/>
    <w:multiLevelType w:val="multilevel"/>
    <w:tmpl w:val="516895D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8">
    <w:nsid w:val="3B377E88"/>
    <w:multiLevelType w:val="singleLevel"/>
    <w:tmpl w:val="0C1CC88A"/>
    <w:lvl w:ilvl="0">
      <w:start w:val="1"/>
      <w:numFmt w:val="decimal"/>
      <w:lvlRestart w:val="0"/>
      <w:lvlText w:val="%1."/>
      <w:lvlJc w:val="left"/>
      <w:pPr>
        <w:tabs>
          <w:tab w:val="num" w:pos="475"/>
        </w:tabs>
        <w:ind w:left="0" w:firstLine="0"/>
      </w:pPr>
      <w:rPr>
        <w:spacing w:val="0"/>
        <w:w w:val="100"/>
      </w:rPr>
    </w:lvl>
  </w:abstractNum>
  <w:abstractNum w:abstractNumId="239">
    <w:nsid w:val="3B4044E4"/>
    <w:multiLevelType w:val="singleLevel"/>
    <w:tmpl w:val="A3940C7C"/>
    <w:lvl w:ilvl="0">
      <w:start w:val="323"/>
      <w:numFmt w:val="decimal"/>
      <w:lvlRestart w:val="0"/>
      <w:lvlText w:val="%1."/>
      <w:lvlJc w:val="left"/>
      <w:pPr>
        <w:tabs>
          <w:tab w:val="num" w:pos="475"/>
        </w:tabs>
        <w:ind w:left="0" w:firstLine="0"/>
      </w:pPr>
      <w:rPr>
        <w:spacing w:val="0"/>
        <w:w w:val="100"/>
      </w:rPr>
    </w:lvl>
  </w:abstractNum>
  <w:abstractNum w:abstractNumId="240">
    <w:nsid w:val="3C0B2DF5"/>
    <w:multiLevelType w:val="singleLevel"/>
    <w:tmpl w:val="CCAEA8AC"/>
    <w:lvl w:ilvl="0">
      <w:start w:val="1"/>
      <w:numFmt w:val="decimal"/>
      <w:lvlRestart w:val="0"/>
      <w:lvlText w:val="%1."/>
      <w:lvlJc w:val="left"/>
      <w:pPr>
        <w:tabs>
          <w:tab w:val="num" w:pos="475"/>
        </w:tabs>
        <w:ind w:left="0" w:firstLine="0"/>
      </w:pPr>
      <w:rPr>
        <w:b w:val="0"/>
        <w:i w:val="0"/>
        <w:spacing w:val="0"/>
        <w:w w:val="100"/>
      </w:rPr>
    </w:lvl>
  </w:abstractNum>
  <w:abstractNum w:abstractNumId="241">
    <w:nsid w:val="3C7525D4"/>
    <w:multiLevelType w:val="singleLevel"/>
    <w:tmpl w:val="B7D4DDEE"/>
    <w:lvl w:ilvl="0">
      <w:start w:val="1"/>
      <w:numFmt w:val="decimal"/>
      <w:lvlRestart w:val="0"/>
      <w:lvlText w:val="%1."/>
      <w:lvlJc w:val="left"/>
      <w:pPr>
        <w:tabs>
          <w:tab w:val="num" w:pos="475"/>
        </w:tabs>
        <w:ind w:left="0" w:firstLine="0"/>
      </w:pPr>
      <w:rPr>
        <w:spacing w:val="0"/>
        <w:w w:val="100"/>
      </w:rPr>
    </w:lvl>
  </w:abstractNum>
  <w:abstractNum w:abstractNumId="242">
    <w:nsid w:val="3CB81027"/>
    <w:multiLevelType w:val="singleLevel"/>
    <w:tmpl w:val="3D4C154C"/>
    <w:lvl w:ilvl="0">
      <w:start w:val="52"/>
      <w:numFmt w:val="decimal"/>
      <w:lvlRestart w:val="0"/>
      <w:lvlText w:val="%1."/>
      <w:lvlJc w:val="left"/>
      <w:pPr>
        <w:tabs>
          <w:tab w:val="num" w:pos="475"/>
        </w:tabs>
        <w:ind w:left="0" w:firstLine="0"/>
      </w:pPr>
      <w:rPr>
        <w:spacing w:val="0"/>
        <w:w w:val="100"/>
      </w:rPr>
    </w:lvl>
  </w:abstractNum>
  <w:abstractNum w:abstractNumId="243">
    <w:nsid w:val="3D396207"/>
    <w:multiLevelType w:val="singleLevel"/>
    <w:tmpl w:val="EA86951E"/>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244">
    <w:nsid w:val="3D3B408D"/>
    <w:multiLevelType w:val="singleLevel"/>
    <w:tmpl w:val="5C245148"/>
    <w:lvl w:ilvl="0">
      <w:start w:val="1"/>
      <w:numFmt w:val="decimal"/>
      <w:lvlRestart w:val="0"/>
      <w:lvlText w:val="%1."/>
      <w:lvlJc w:val="left"/>
      <w:pPr>
        <w:tabs>
          <w:tab w:val="num" w:pos="475"/>
        </w:tabs>
        <w:ind w:left="0" w:firstLine="0"/>
      </w:pPr>
      <w:rPr>
        <w:spacing w:val="0"/>
        <w:w w:val="100"/>
      </w:rPr>
    </w:lvl>
  </w:abstractNum>
  <w:abstractNum w:abstractNumId="245">
    <w:nsid w:val="3D5236ED"/>
    <w:multiLevelType w:val="singleLevel"/>
    <w:tmpl w:val="91A29458"/>
    <w:lvl w:ilvl="0">
      <w:start w:val="35"/>
      <w:numFmt w:val="decimal"/>
      <w:lvlRestart w:val="0"/>
      <w:lvlText w:val="%1."/>
      <w:lvlJc w:val="left"/>
      <w:pPr>
        <w:tabs>
          <w:tab w:val="num" w:pos="475"/>
        </w:tabs>
        <w:ind w:left="0" w:firstLine="0"/>
      </w:pPr>
      <w:rPr>
        <w:spacing w:val="0"/>
        <w:w w:val="100"/>
      </w:rPr>
    </w:lvl>
  </w:abstractNum>
  <w:abstractNum w:abstractNumId="246">
    <w:nsid w:val="3D5D4B86"/>
    <w:multiLevelType w:val="singleLevel"/>
    <w:tmpl w:val="80AA5E98"/>
    <w:lvl w:ilvl="0">
      <w:start w:val="70"/>
      <w:numFmt w:val="decimal"/>
      <w:lvlRestart w:val="0"/>
      <w:lvlText w:val="%1."/>
      <w:lvlJc w:val="left"/>
      <w:pPr>
        <w:tabs>
          <w:tab w:val="num" w:pos="475"/>
        </w:tabs>
        <w:ind w:left="0" w:firstLine="0"/>
      </w:pPr>
      <w:rPr>
        <w:spacing w:val="0"/>
        <w:w w:val="100"/>
      </w:rPr>
    </w:lvl>
  </w:abstractNum>
  <w:abstractNum w:abstractNumId="247">
    <w:nsid w:val="3D745569"/>
    <w:multiLevelType w:val="singleLevel"/>
    <w:tmpl w:val="64CE9C20"/>
    <w:lvl w:ilvl="0">
      <w:start w:val="145"/>
      <w:numFmt w:val="decimal"/>
      <w:lvlRestart w:val="0"/>
      <w:lvlText w:val="%1."/>
      <w:lvlJc w:val="left"/>
      <w:pPr>
        <w:tabs>
          <w:tab w:val="num" w:pos="1742"/>
        </w:tabs>
        <w:ind w:left="1267" w:firstLine="0"/>
      </w:pPr>
      <w:rPr>
        <w:spacing w:val="0"/>
        <w:w w:val="100"/>
      </w:rPr>
    </w:lvl>
  </w:abstractNum>
  <w:abstractNum w:abstractNumId="248">
    <w:nsid w:val="3E4070F4"/>
    <w:multiLevelType w:val="singleLevel"/>
    <w:tmpl w:val="7B107E38"/>
    <w:lvl w:ilvl="0">
      <w:start w:val="41"/>
      <w:numFmt w:val="decimal"/>
      <w:lvlRestart w:val="0"/>
      <w:lvlText w:val="%1."/>
      <w:lvlJc w:val="left"/>
      <w:pPr>
        <w:tabs>
          <w:tab w:val="num" w:pos="475"/>
        </w:tabs>
        <w:ind w:left="0" w:firstLine="0"/>
      </w:pPr>
      <w:rPr>
        <w:spacing w:val="0"/>
        <w:w w:val="100"/>
      </w:rPr>
    </w:lvl>
  </w:abstractNum>
  <w:abstractNum w:abstractNumId="249">
    <w:nsid w:val="3E963AAF"/>
    <w:multiLevelType w:val="singleLevel"/>
    <w:tmpl w:val="0E24F236"/>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250">
    <w:nsid w:val="3EB86236"/>
    <w:multiLevelType w:val="singleLevel"/>
    <w:tmpl w:val="2AF09B04"/>
    <w:lvl w:ilvl="0">
      <w:start w:val="1"/>
      <w:numFmt w:val="decimal"/>
      <w:lvlRestart w:val="0"/>
      <w:lvlText w:val="%1."/>
      <w:lvlJc w:val="left"/>
      <w:pPr>
        <w:tabs>
          <w:tab w:val="num" w:pos="475"/>
        </w:tabs>
        <w:ind w:left="0" w:firstLine="0"/>
      </w:pPr>
      <w:rPr>
        <w:b w:val="0"/>
        <w:i w:val="0"/>
        <w:spacing w:val="0"/>
        <w:w w:val="100"/>
        <w:sz w:val="20"/>
      </w:rPr>
    </w:lvl>
  </w:abstractNum>
  <w:abstractNum w:abstractNumId="251">
    <w:nsid w:val="3EE64BCA"/>
    <w:multiLevelType w:val="singleLevel"/>
    <w:tmpl w:val="CCAEA8AC"/>
    <w:lvl w:ilvl="0">
      <w:start w:val="1"/>
      <w:numFmt w:val="decimal"/>
      <w:lvlRestart w:val="0"/>
      <w:lvlText w:val="%1."/>
      <w:lvlJc w:val="left"/>
      <w:pPr>
        <w:tabs>
          <w:tab w:val="num" w:pos="475"/>
        </w:tabs>
        <w:ind w:left="0" w:firstLine="0"/>
      </w:pPr>
      <w:rPr>
        <w:b w:val="0"/>
        <w:i w:val="0"/>
        <w:spacing w:val="0"/>
        <w:w w:val="100"/>
      </w:rPr>
    </w:lvl>
  </w:abstractNum>
  <w:abstractNum w:abstractNumId="252">
    <w:nsid w:val="3F0E32C6"/>
    <w:multiLevelType w:val="singleLevel"/>
    <w:tmpl w:val="F99A4556"/>
    <w:lvl w:ilvl="0">
      <w:start w:val="60"/>
      <w:numFmt w:val="decimal"/>
      <w:lvlRestart w:val="0"/>
      <w:lvlText w:val="%1."/>
      <w:lvlJc w:val="left"/>
      <w:pPr>
        <w:tabs>
          <w:tab w:val="num" w:pos="475"/>
        </w:tabs>
        <w:ind w:left="0" w:firstLine="0"/>
      </w:pPr>
      <w:rPr>
        <w:spacing w:val="0"/>
        <w:w w:val="100"/>
      </w:rPr>
    </w:lvl>
  </w:abstractNum>
  <w:abstractNum w:abstractNumId="253">
    <w:nsid w:val="401E7664"/>
    <w:multiLevelType w:val="singleLevel"/>
    <w:tmpl w:val="C90A232A"/>
    <w:lvl w:ilvl="0">
      <w:start w:val="16"/>
      <w:numFmt w:val="decimal"/>
      <w:lvlRestart w:val="0"/>
      <w:lvlText w:val="%1."/>
      <w:lvlJc w:val="left"/>
      <w:pPr>
        <w:tabs>
          <w:tab w:val="num" w:pos="1742"/>
        </w:tabs>
        <w:ind w:left="1267" w:firstLine="0"/>
      </w:pPr>
      <w:rPr>
        <w:spacing w:val="0"/>
        <w:w w:val="100"/>
      </w:rPr>
    </w:lvl>
  </w:abstractNum>
  <w:abstractNum w:abstractNumId="254">
    <w:nsid w:val="403B583E"/>
    <w:multiLevelType w:val="singleLevel"/>
    <w:tmpl w:val="39F02720"/>
    <w:lvl w:ilvl="0">
      <w:start w:val="27"/>
      <w:numFmt w:val="decimal"/>
      <w:lvlRestart w:val="0"/>
      <w:lvlText w:val="%1."/>
      <w:lvlJc w:val="left"/>
      <w:pPr>
        <w:tabs>
          <w:tab w:val="num" w:pos="1742"/>
        </w:tabs>
        <w:ind w:left="1267" w:firstLine="0"/>
      </w:pPr>
      <w:rPr>
        <w:spacing w:val="0"/>
        <w:w w:val="100"/>
      </w:rPr>
    </w:lvl>
  </w:abstractNum>
  <w:abstractNum w:abstractNumId="255">
    <w:nsid w:val="40665918"/>
    <w:multiLevelType w:val="singleLevel"/>
    <w:tmpl w:val="DB5C0E50"/>
    <w:lvl w:ilvl="0">
      <w:start w:val="37"/>
      <w:numFmt w:val="decimal"/>
      <w:lvlRestart w:val="0"/>
      <w:lvlText w:val="%1."/>
      <w:lvlJc w:val="left"/>
      <w:pPr>
        <w:tabs>
          <w:tab w:val="num" w:pos="1742"/>
        </w:tabs>
        <w:ind w:left="1267" w:firstLine="0"/>
      </w:pPr>
      <w:rPr>
        <w:b w:val="0"/>
        <w:i w:val="0"/>
        <w:spacing w:val="0"/>
        <w:w w:val="100"/>
      </w:rPr>
    </w:lvl>
  </w:abstractNum>
  <w:abstractNum w:abstractNumId="256">
    <w:nsid w:val="406E0D2F"/>
    <w:multiLevelType w:val="singleLevel"/>
    <w:tmpl w:val="F60CC0B4"/>
    <w:lvl w:ilvl="0">
      <w:start w:val="22"/>
      <w:numFmt w:val="decimal"/>
      <w:lvlText w:val="%1."/>
      <w:lvlJc w:val="left"/>
      <w:pPr>
        <w:tabs>
          <w:tab w:val="num" w:pos="480"/>
        </w:tabs>
        <w:ind w:left="480" w:hanging="480"/>
      </w:pPr>
      <w:rPr>
        <w:rFonts w:hint="default"/>
      </w:rPr>
    </w:lvl>
  </w:abstractNum>
  <w:abstractNum w:abstractNumId="257">
    <w:nsid w:val="408F0027"/>
    <w:multiLevelType w:val="singleLevel"/>
    <w:tmpl w:val="9C7494F8"/>
    <w:lvl w:ilvl="0">
      <w:start w:val="19"/>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258">
    <w:nsid w:val="41202B2A"/>
    <w:multiLevelType w:val="singleLevel"/>
    <w:tmpl w:val="10CA6030"/>
    <w:lvl w:ilvl="0">
      <w:start w:val="64"/>
      <w:numFmt w:val="decimal"/>
      <w:lvlRestart w:val="0"/>
      <w:lvlText w:val="%1."/>
      <w:lvlJc w:val="left"/>
      <w:pPr>
        <w:tabs>
          <w:tab w:val="num" w:pos="475"/>
        </w:tabs>
        <w:ind w:left="0" w:firstLine="0"/>
      </w:pPr>
      <w:rPr>
        <w:spacing w:val="0"/>
        <w:w w:val="100"/>
      </w:rPr>
    </w:lvl>
  </w:abstractNum>
  <w:abstractNum w:abstractNumId="259">
    <w:nsid w:val="42341349"/>
    <w:multiLevelType w:val="singleLevel"/>
    <w:tmpl w:val="6A327B08"/>
    <w:lvl w:ilvl="0">
      <w:start w:val="122"/>
      <w:numFmt w:val="decimal"/>
      <w:lvlRestart w:val="0"/>
      <w:lvlText w:val="%1."/>
      <w:lvlJc w:val="left"/>
      <w:pPr>
        <w:tabs>
          <w:tab w:val="num" w:pos="1742"/>
        </w:tabs>
        <w:ind w:left="1267" w:firstLine="0"/>
      </w:pPr>
      <w:rPr>
        <w:b w:val="0"/>
        <w:i w:val="0"/>
        <w:spacing w:val="0"/>
        <w:w w:val="100"/>
      </w:rPr>
    </w:lvl>
  </w:abstractNum>
  <w:abstractNum w:abstractNumId="260">
    <w:nsid w:val="427A1191"/>
    <w:multiLevelType w:val="singleLevel"/>
    <w:tmpl w:val="0236278C"/>
    <w:lvl w:ilvl="0">
      <w:start w:val="347"/>
      <w:numFmt w:val="decimal"/>
      <w:lvlRestart w:val="0"/>
      <w:lvlText w:val="%1."/>
      <w:lvlJc w:val="left"/>
      <w:pPr>
        <w:tabs>
          <w:tab w:val="num" w:pos="475"/>
        </w:tabs>
        <w:ind w:left="0" w:firstLine="0"/>
      </w:pPr>
      <w:rPr>
        <w:spacing w:val="0"/>
        <w:w w:val="100"/>
      </w:rPr>
    </w:lvl>
  </w:abstractNum>
  <w:abstractNum w:abstractNumId="261">
    <w:nsid w:val="43B833A5"/>
    <w:multiLevelType w:val="singleLevel"/>
    <w:tmpl w:val="2BC0D45C"/>
    <w:lvl w:ilvl="0">
      <w:start w:val="24"/>
      <w:numFmt w:val="decimal"/>
      <w:lvlRestart w:val="0"/>
      <w:lvlText w:val="%1."/>
      <w:lvlJc w:val="left"/>
      <w:pPr>
        <w:tabs>
          <w:tab w:val="num" w:pos="475"/>
        </w:tabs>
        <w:ind w:left="0" w:firstLine="0"/>
      </w:pPr>
      <w:rPr>
        <w:spacing w:val="0"/>
        <w:w w:val="100"/>
      </w:rPr>
    </w:lvl>
  </w:abstractNum>
  <w:abstractNum w:abstractNumId="262">
    <w:nsid w:val="43CB7337"/>
    <w:multiLevelType w:val="singleLevel"/>
    <w:tmpl w:val="9A66B9E8"/>
    <w:lvl w:ilvl="0">
      <w:start w:val="10"/>
      <w:numFmt w:val="decimal"/>
      <w:lvlText w:val="%1."/>
      <w:lvlJc w:val="left"/>
      <w:pPr>
        <w:tabs>
          <w:tab w:val="num" w:pos="480"/>
        </w:tabs>
        <w:ind w:left="480" w:hanging="480"/>
      </w:pPr>
      <w:rPr>
        <w:rFonts w:hint="default"/>
      </w:rPr>
    </w:lvl>
  </w:abstractNum>
  <w:abstractNum w:abstractNumId="263">
    <w:nsid w:val="43EA24DD"/>
    <w:multiLevelType w:val="singleLevel"/>
    <w:tmpl w:val="64BE55CA"/>
    <w:lvl w:ilvl="0">
      <w:start w:val="4"/>
      <w:numFmt w:val="decimal"/>
      <w:lvlRestart w:val="0"/>
      <w:lvlText w:val="%1."/>
      <w:lvlJc w:val="left"/>
      <w:pPr>
        <w:tabs>
          <w:tab w:val="num" w:pos="1742"/>
        </w:tabs>
        <w:ind w:left="1267" w:firstLine="0"/>
      </w:pPr>
      <w:rPr>
        <w:spacing w:val="0"/>
        <w:w w:val="100"/>
      </w:rPr>
    </w:lvl>
  </w:abstractNum>
  <w:abstractNum w:abstractNumId="264">
    <w:nsid w:val="44386BE8"/>
    <w:multiLevelType w:val="singleLevel"/>
    <w:tmpl w:val="79784E58"/>
    <w:lvl w:ilvl="0">
      <w:start w:val="12"/>
      <w:numFmt w:val="decimal"/>
      <w:lvlRestart w:val="0"/>
      <w:lvlText w:val="%1."/>
      <w:lvlJc w:val="left"/>
      <w:pPr>
        <w:tabs>
          <w:tab w:val="num" w:pos="475"/>
        </w:tabs>
        <w:ind w:left="0" w:firstLine="0"/>
      </w:pPr>
      <w:rPr>
        <w:spacing w:val="0"/>
        <w:w w:val="100"/>
      </w:rPr>
    </w:lvl>
  </w:abstractNum>
  <w:abstractNum w:abstractNumId="265">
    <w:nsid w:val="44675D92"/>
    <w:multiLevelType w:val="singleLevel"/>
    <w:tmpl w:val="E74612FA"/>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266">
    <w:nsid w:val="447D4373"/>
    <w:multiLevelType w:val="multilevel"/>
    <w:tmpl w:val="9CC23068"/>
    <w:name w:val="TOC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7">
    <w:nsid w:val="449C5557"/>
    <w:multiLevelType w:val="singleLevel"/>
    <w:tmpl w:val="98883BAE"/>
    <w:lvl w:ilvl="0">
      <w:start w:val="21"/>
      <w:numFmt w:val="decimal"/>
      <w:lvlRestart w:val="0"/>
      <w:lvlText w:val="%1."/>
      <w:lvlJc w:val="left"/>
      <w:pPr>
        <w:tabs>
          <w:tab w:val="num" w:pos="1742"/>
        </w:tabs>
        <w:ind w:left="1267" w:firstLine="0"/>
      </w:pPr>
      <w:rPr>
        <w:spacing w:val="0"/>
        <w:w w:val="100"/>
      </w:rPr>
    </w:lvl>
  </w:abstractNum>
  <w:abstractNum w:abstractNumId="268">
    <w:nsid w:val="44D01F13"/>
    <w:multiLevelType w:val="singleLevel"/>
    <w:tmpl w:val="57D4CBEA"/>
    <w:lvl w:ilvl="0">
      <w:start w:val="278"/>
      <w:numFmt w:val="decimal"/>
      <w:lvlRestart w:val="0"/>
      <w:lvlText w:val="%1."/>
      <w:lvlJc w:val="left"/>
      <w:pPr>
        <w:tabs>
          <w:tab w:val="num" w:pos="475"/>
        </w:tabs>
        <w:ind w:left="0" w:firstLine="0"/>
      </w:pPr>
      <w:rPr>
        <w:b w:val="0"/>
        <w:i w:val="0"/>
        <w:spacing w:val="0"/>
        <w:w w:val="100"/>
      </w:rPr>
    </w:lvl>
  </w:abstractNum>
  <w:abstractNum w:abstractNumId="269">
    <w:nsid w:val="454D6819"/>
    <w:multiLevelType w:val="singleLevel"/>
    <w:tmpl w:val="285254AA"/>
    <w:lvl w:ilvl="0">
      <w:start w:val="114"/>
      <w:numFmt w:val="decimal"/>
      <w:lvlRestart w:val="0"/>
      <w:lvlText w:val="%1."/>
      <w:lvlJc w:val="left"/>
      <w:pPr>
        <w:tabs>
          <w:tab w:val="num" w:pos="475"/>
        </w:tabs>
        <w:ind w:left="0" w:firstLine="0"/>
      </w:pPr>
      <w:rPr>
        <w:spacing w:val="0"/>
        <w:w w:val="100"/>
      </w:rPr>
    </w:lvl>
  </w:abstractNum>
  <w:abstractNum w:abstractNumId="270">
    <w:nsid w:val="45982DDD"/>
    <w:multiLevelType w:val="singleLevel"/>
    <w:tmpl w:val="BBD8083E"/>
    <w:lvl w:ilvl="0">
      <w:start w:val="32"/>
      <w:numFmt w:val="decimal"/>
      <w:lvlRestart w:val="0"/>
      <w:lvlText w:val="%1."/>
      <w:lvlJc w:val="left"/>
      <w:pPr>
        <w:tabs>
          <w:tab w:val="num" w:pos="1742"/>
        </w:tabs>
        <w:ind w:left="1267" w:firstLine="0"/>
      </w:pPr>
      <w:rPr>
        <w:spacing w:val="0"/>
        <w:w w:val="100"/>
      </w:rPr>
    </w:lvl>
  </w:abstractNum>
  <w:abstractNum w:abstractNumId="271">
    <w:nsid w:val="459F1EEF"/>
    <w:multiLevelType w:val="singleLevel"/>
    <w:tmpl w:val="FB8A7D5A"/>
    <w:lvl w:ilvl="0">
      <w:start w:val="8"/>
      <w:numFmt w:val="decimal"/>
      <w:lvlText w:val="%1."/>
      <w:lvlJc w:val="left"/>
      <w:pPr>
        <w:tabs>
          <w:tab w:val="num" w:pos="480"/>
        </w:tabs>
        <w:ind w:left="480" w:hanging="480"/>
      </w:pPr>
      <w:rPr>
        <w:rFonts w:hint="default"/>
      </w:rPr>
    </w:lvl>
  </w:abstractNum>
  <w:abstractNum w:abstractNumId="272">
    <w:nsid w:val="45EA702A"/>
    <w:multiLevelType w:val="singleLevel"/>
    <w:tmpl w:val="5956C9C8"/>
    <w:lvl w:ilvl="0">
      <w:start w:val="15"/>
      <w:numFmt w:val="decimal"/>
      <w:lvlRestart w:val="0"/>
      <w:lvlText w:val="%1."/>
      <w:lvlJc w:val="left"/>
      <w:pPr>
        <w:tabs>
          <w:tab w:val="num" w:pos="1742"/>
        </w:tabs>
        <w:ind w:left="1267" w:firstLine="0"/>
      </w:pPr>
      <w:rPr>
        <w:b w:val="0"/>
        <w:i w:val="0"/>
        <w:spacing w:val="0"/>
        <w:w w:val="100"/>
      </w:rPr>
    </w:lvl>
  </w:abstractNum>
  <w:abstractNum w:abstractNumId="273">
    <w:nsid w:val="460333B9"/>
    <w:multiLevelType w:val="singleLevel"/>
    <w:tmpl w:val="3350FEB2"/>
    <w:lvl w:ilvl="0">
      <w:start w:val="27"/>
      <w:numFmt w:val="decimal"/>
      <w:lvlRestart w:val="0"/>
      <w:lvlText w:val="%1."/>
      <w:lvlJc w:val="left"/>
      <w:pPr>
        <w:tabs>
          <w:tab w:val="num" w:pos="475"/>
        </w:tabs>
        <w:ind w:left="0" w:firstLine="0"/>
      </w:pPr>
      <w:rPr>
        <w:spacing w:val="0"/>
        <w:w w:val="100"/>
      </w:rPr>
    </w:lvl>
  </w:abstractNum>
  <w:abstractNum w:abstractNumId="274">
    <w:nsid w:val="46C66821"/>
    <w:multiLevelType w:val="singleLevel"/>
    <w:tmpl w:val="11344E24"/>
    <w:lvl w:ilvl="0">
      <w:start w:val="1"/>
      <w:numFmt w:val="decimal"/>
      <w:lvlRestart w:val="0"/>
      <w:lvlText w:val="%1."/>
      <w:lvlJc w:val="left"/>
      <w:pPr>
        <w:tabs>
          <w:tab w:val="num" w:pos="1742"/>
        </w:tabs>
        <w:ind w:left="1267" w:firstLine="0"/>
      </w:pPr>
      <w:rPr>
        <w:spacing w:val="0"/>
        <w:w w:val="100"/>
      </w:rPr>
    </w:lvl>
  </w:abstractNum>
  <w:abstractNum w:abstractNumId="275">
    <w:nsid w:val="46D92327"/>
    <w:multiLevelType w:val="singleLevel"/>
    <w:tmpl w:val="20244F84"/>
    <w:lvl w:ilvl="0">
      <w:start w:val="1"/>
      <w:numFmt w:val="decimal"/>
      <w:lvlRestart w:val="0"/>
      <w:lvlText w:val="%1."/>
      <w:lvlJc w:val="left"/>
      <w:pPr>
        <w:tabs>
          <w:tab w:val="num" w:pos="475"/>
        </w:tabs>
        <w:ind w:left="0" w:firstLine="0"/>
      </w:pPr>
      <w:rPr>
        <w:spacing w:val="0"/>
        <w:w w:val="100"/>
      </w:rPr>
    </w:lvl>
  </w:abstractNum>
  <w:abstractNum w:abstractNumId="276">
    <w:nsid w:val="47507F2B"/>
    <w:multiLevelType w:val="singleLevel"/>
    <w:tmpl w:val="831E8B32"/>
    <w:lvl w:ilvl="0">
      <w:start w:val="373"/>
      <w:numFmt w:val="decimal"/>
      <w:lvlRestart w:val="0"/>
      <w:lvlText w:val="%1."/>
      <w:lvlJc w:val="left"/>
      <w:pPr>
        <w:tabs>
          <w:tab w:val="num" w:pos="475"/>
        </w:tabs>
        <w:ind w:left="0" w:firstLine="0"/>
      </w:pPr>
      <w:rPr>
        <w:b w:val="0"/>
        <w:i w:val="0"/>
        <w:spacing w:val="0"/>
        <w:w w:val="100"/>
        <w:sz w:val="20"/>
      </w:rPr>
    </w:lvl>
  </w:abstractNum>
  <w:abstractNum w:abstractNumId="277">
    <w:nsid w:val="47542FB1"/>
    <w:multiLevelType w:val="multilevel"/>
    <w:tmpl w:val="9D60F798"/>
    <w:lvl w:ilvl="0">
      <w:start w:val="2"/>
      <w:numFmt w:val="lowerLetter"/>
      <w:lvlText w:val="%1)"/>
      <w:lvlJc w:val="left"/>
      <w:pPr>
        <w:tabs>
          <w:tab w:val="num" w:pos="1260"/>
        </w:tabs>
        <w:ind w:left="1260" w:hanging="420"/>
      </w:pPr>
      <w:rPr>
        <w:rFonts w:hint="default"/>
      </w:rPr>
    </w:lvl>
    <w:lvl w:ilvl="1" w:tentative="1">
      <w:start w:val="1"/>
      <w:numFmt w:val="lowerLetter"/>
      <w:lvlText w:val="%2."/>
      <w:lvlJc w:val="left"/>
      <w:pPr>
        <w:tabs>
          <w:tab w:val="num" w:pos="1920"/>
        </w:tabs>
        <w:ind w:left="1920" w:hanging="360"/>
      </w:pPr>
    </w:lvl>
    <w:lvl w:ilvl="2" w:tentative="1">
      <w:start w:val="1"/>
      <w:numFmt w:val="lowerRoman"/>
      <w:lvlText w:val="%3."/>
      <w:lvlJc w:val="right"/>
      <w:pPr>
        <w:tabs>
          <w:tab w:val="num" w:pos="2640"/>
        </w:tabs>
        <w:ind w:left="2640" w:hanging="180"/>
      </w:pPr>
    </w:lvl>
    <w:lvl w:ilvl="3" w:tentative="1">
      <w:start w:val="1"/>
      <w:numFmt w:val="decimal"/>
      <w:lvlText w:val="%4."/>
      <w:lvlJc w:val="left"/>
      <w:pPr>
        <w:tabs>
          <w:tab w:val="num" w:pos="3360"/>
        </w:tabs>
        <w:ind w:left="3360" w:hanging="360"/>
      </w:pPr>
    </w:lvl>
    <w:lvl w:ilvl="4" w:tentative="1">
      <w:start w:val="1"/>
      <w:numFmt w:val="lowerLetter"/>
      <w:lvlText w:val="%5."/>
      <w:lvlJc w:val="left"/>
      <w:pPr>
        <w:tabs>
          <w:tab w:val="num" w:pos="4080"/>
        </w:tabs>
        <w:ind w:left="4080" w:hanging="360"/>
      </w:pPr>
    </w:lvl>
    <w:lvl w:ilvl="5" w:tentative="1">
      <w:start w:val="1"/>
      <w:numFmt w:val="lowerRoman"/>
      <w:lvlText w:val="%6."/>
      <w:lvlJc w:val="right"/>
      <w:pPr>
        <w:tabs>
          <w:tab w:val="num" w:pos="4800"/>
        </w:tabs>
        <w:ind w:left="4800" w:hanging="180"/>
      </w:pPr>
    </w:lvl>
    <w:lvl w:ilvl="6" w:tentative="1">
      <w:start w:val="1"/>
      <w:numFmt w:val="decimal"/>
      <w:lvlText w:val="%7."/>
      <w:lvlJc w:val="left"/>
      <w:pPr>
        <w:tabs>
          <w:tab w:val="num" w:pos="5520"/>
        </w:tabs>
        <w:ind w:left="5520" w:hanging="360"/>
      </w:pPr>
    </w:lvl>
    <w:lvl w:ilvl="7" w:tentative="1">
      <w:start w:val="1"/>
      <w:numFmt w:val="lowerLetter"/>
      <w:lvlText w:val="%8."/>
      <w:lvlJc w:val="left"/>
      <w:pPr>
        <w:tabs>
          <w:tab w:val="num" w:pos="6240"/>
        </w:tabs>
        <w:ind w:left="6240" w:hanging="360"/>
      </w:pPr>
    </w:lvl>
    <w:lvl w:ilvl="8" w:tentative="1">
      <w:start w:val="1"/>
      <w:numFmt w:val="lowerRoman"/>
      <w:lvlText w:val="%9."/>
      <w:lvlJc w:val="right"/>
      <w:pPr>
        <w:tabs>
          <w:tab w:val="num" w:pos="6960"/>
        </w:tabs>
        <w:ind w:left="6960" w:hanging="180"/>
      </w:pPr>
    </w:lvl>
  </w:abstractNum>
  <w:abstractNum w:abstractNumId="278">
    <w:nsid w:val="47A00E1A"/>
    <w:multiLevelType w:val="singleLevel"/>
    <w:tmpl w:val="256031DE"/>
    <w:lvl w:ilvl="0">
      <w:start w:val="1"/>
      <w:numFmt w:val="decimal"/>
      <w:lvlRestart w:val="0"/>
      <w:lvlText w:val="%1."/>
      <w:lvlJc w:val="left"/>
      <w:pPr>
        <w:tabs>
          <w:tab w:val="num" w:pos="475"/>
        </w:tabs>
        <w:ind w:left="0" w:firstLine="0"/>
      </w:pPr>
      <w:rPr>
        <w:spacing w:val="0"/>
        <w:w w:val="100"/>
      </w:rPr>
    </w:lvl>
  </w:abstractNum>
  <w:abstractNum w:abstractNumId="279">
    <w:nsid w:val="47DD206A"/>
    <w:multiLevelType w:val="singleLevel"/>
    <w:tmpl w:val="A5764982"/>
    <w:lvl w:ilvl="0">
      <w:start w:val="217"/>
      <w:numFmt w:val="decimal"/>
      <w:lvlRestart w:val="0"/>
      <w:lvlText w:val="%1."/>
      <w:lvlJc w:val="left"/>
      <w:pPr>
        <w:tabs>
          <w:tab w:val="num" w:pos="475"/>
        </w:tabs>
        <w:ind w:left="0" w:firstLine="0"/>
      </w:pPr>
      <w:rPr>
        <w:spacing w:val="0"/>
        <w:w w:val="100"/>
      </w:rPr>
    </w:lvl>
  </w:abstractNum>
  <w:abstractNum w:abstractNumId="280">
    <w:nsid w:val="47E44003"/>
    <w:multiLevelType w:val="singleLevel"/>
    <w:tmpl w:val="4FE22494"/>
    <w:lvl w:ilvl="0">
      <w:start w:val="137"/>
      <w:numFmt w:val="decimal"/>
      <w:lvlRestart w:val="0"/>
      <w:lvlText w:val="%1."/>
      <w:lvlJc w:val="left"/>
      <w:pPr>
        <w:tabs>
          <w:tab w:val="num" w:pos="1742"/>
        </w:tabs>
        <w:ind w:left="1267" w:firstLine="0"/>
      </w:pPr>
      <w:rPr>
        <w:spacing w:val="0"/>
        <w:w w:val="100"/>
      </w:rPr>
    </w:lvl>
  </w:abstractNum>
  <w:abstractNum w:abstractNumId="281">
    <w:nsid w:val="47F959D4"/>
    <w:multiLevelType w:val="singleLevel"/>
    <w:tmpl w:val="90825CE4"/>
    <w:lvl w:ilvl="0">
      <w:start w:val="1"/>
      <w:numFmt w:val="decimal"/>
      <w:lvlRestart w:val="0"/>
      <w:lvlText w:val="%1."/>
      <w:lvlJc w:val="left"/>
      <w:pPr>
        <w:tabs>
          <w:tab w:val="num" w:pos="475"/>
        </w:tabs>
        <w:ind w:left="0" w:firstLine="0"/>
      </w:pPr>
      <w:rPr>
        <w:spacing w:val="0"/>
        <w:w w:val="100"/>
      </w:rPr>
    </w:lvl>
  </w:abstractNum>
  <w:abstractNum w:abstractNumId="282">
    <w:nsid w:val="485E0CCC"/>
    <w:multiLevelType w:val="singleLevel"/>
    <w:tmpl w:val="0DA23F72"/>
    <w:lvl w:ilvl="0">
      <w:start w:val="1"/>
      <w:numFmt w:val="decimal"/>
      <w:lvlRestart w:val="0"/>
      <w:lvlText w:val="%1."/>
      <w:lvlJc w:val="left"/>
      <w:pPr>
        <w:tabs>
          <w:tab w:val="num" w:pos="475"/>
        </w:tabs>
        <w:ind w:left="0" w:firstLine="0"/>
      </w:pPr>
      <w:rPr>
        <w:spacing w:val="0"/>
        <w:w w:val="100"/>
      </w:rPr>
    </w:lvl>
  </w:abstractNum>
  <w:abstractNum w:abstractNumId="283">
    <w:nsid w:val="489C41E9"/>
    <w:multiLevelType w:val="singleLevel"/>
    <w:tmpl w:val="3E4A1ACC"/>
    <w:lvl w:ilvl="0">
      <w:start w:val="1"/>
      <w:numFmt w:val="decimal"/>
      <w:lvlRestart w:val="0"/>
      <w:lvlText w:val="%1."/>
      <w:lvlJc w:val="left"/>
      <w:pPr>
        <w:tabs>
          <w:tab w:val="num" w:pos="475"/>
        </w:tabs>
        <w:ind w:left="0" w:firstLine="0"/>
      </w:pPr>
      <w:rPr>
        <w:spacing w:val="0"/>
        <w:w w:val="100"/>
      </w:rPr>
    </w:lvl>
  </w:abstractNum>
  <w:abstractNum w:abstractNumId="284">
    <w:nsid w:val="48D12D23"/>
    <w:multiLevelType w:val="singleLevel"/>
    <w:tmpl w:val="02FCB8D4"/>
    <w:lvl w:ilvl="0">
      <w:start w:val="1"/>
      <w:numFmt w:val="decimal"/>
      <w:lvlRestart w:val="0"/>
      <w:lvlText w:val="%1."/>
      <w:lvlJc w:val="left"/>
      <w:pPr>
        <w:tabs>
          <w:tab w:val="num" w:pos="475"/>
        </w:tabs>
        <w:ind w:left="0" w:firstLine="0"/>
      </w:pPr>
      <w:rPr>
        <w:b w:val="0"/>
        <w:i w:val="0"/>
        <w:spacing w:val="0"/>
        <w:w w:val="100"/>
      </w:rPr>
    </w:lvl>
  </w:abstractNum>
  <w:abstractNum w:abstractNumId="285">
    <w:nsid w:val="48F34F85"/>
    <w:multiLevelType w:val="singleLevel"/>
    <w:tmpl w:val="CAC2F7B8"/>
    <w:lvl w:ilvl="0">
      <w:start w:val="31"/>
      <w:numFmt w:val="decimal"/>
      <w:lvlText w:val="%1."/>
      <w:lvlJc w:val="left"/>
      <w:pPr>
        <w:tabs>
          <w:tab w:val="num" w:pos="480"/>
        </w:tabs>
        <w:ind w:left="480" w:hanging="480"/>
      </w:pPr>
      <w:rPr>
        <w:rFonts w:hint="default"/>
      </w:rPr>
    </w:lvl>
  </w:abstractNum>
  <w:abstractNum w:abstractNumId="286">
    <w:nsid w:val="497C5C22"/>
    <w:multiLevelType w:val="singleLevel"/>
    <w:tmpl w:val="C0B8DAF6"/>
    <w:lvl w:ilvl="0">
      <w:start w:val="44"/>
      <w:numFmt w:val="decimal"/>
      <w:lvlText w:val="%1."/>
      <w:lvlJc w:val="left"/>
      <w:pPr>
        <w:tabs>
          <w:tab w:val="num" w:pos="480"/>
        </w:tabs>
        <w:ind w:left="480" w:hanging="480"/>
      </w:pPr>
      <w:rPr>
        <w:rFonts w:hint="default"/>
      </w:rPr>
    </w:lvl>
  </w:abstractNum>
  <w:abstractNum w:abstractNumId="287">
    <w:nsid w:val="49F6191C"/>
    <w:multiLevelType w:val="singleLevel"/>
    <w:tmpl w:val="6A327B08"/>
    <w:lvl w:ilvl="0">
      <w:start w:val="122"/>
      <w:numFmt w:val="decimal"/>
      <w:lvlRestart w:val="0"/>
      <w:lvlText w:val="%1."/>
      <w:lvlJc w:val="left"/>
      <w:pPr>
        <w:tabs>
          <w:tab w:val="num" w:pos="1742"/>
        </w:tabs>
        <w:ind w:left="1267" w:firstLine="0"/>
      </w:pPr>
      <w:rPr>
        <w:b w:val="0"/>
        <w:i w:val="0"/>
        <w:spacing w:val="0"/>
        <w:w w:val="100"/>
      </w:rPr>
    </w:lvl>
  </w:abstractNum>
  <w:abstractNum w:abstractNumId="288">
    <w:nsid w:val="4A097E01"/>
    <w:multiLevelType w:val="singleLevel"/>
    <w:tmpl w:val="1F461302"/>
    <w:lvl w:ilvl="0">
      <w:start w:val="127"/>
      <w:numFmt w:val="decimal"/>
      <w:lvlRestart w:val="0"/>
      <w:lvlText w:val="%1."/>
      <w:lvlJc w:val="left"/>
      <w:pPr>
        <w:tabs>
          <w:tab w:val="num" w:pos="1742"/>
        </w:tabs>
        <w:ind w:left="1267" w:firstLine="0"/>
      </w:pPr>
      <w:rPr>
        <w:spacing w:val="0"/>
        <w:w w:val="100"/>
      </w:rPr>
    </w:lvl>
  </w:abstractNum>
  <w:abstractNum w:abstractNumId="289">
    <w:nsid w:val="4A875C6C"/>
    <w:multiLevelType w:val="singleLevel"/>
    <w:tmpl w:val="B7C6CA82"/>
    <w:lvl w:ilvl="0">
      <w:start w:val="379"/>
      <w:numFmt w:val="decimal"/>
      <w:lvlRestart w:val="0"/>
      <w:lvlText w:val="%1."/>
      <w:lvlJc w:val="left"/>
      <w:pPr>
        <w:tabs>
          <w:tab w:val="num" w:pos="475"/>
        </w:tabs>
        <w:ind w:left="0" w:firstLine="0"/>
      </w:pPr>
      <w:rPr>
        <w:spacing w:val="0"/>
        <w:w w:val="100"/>
      </w:rPr>
    </w:lvl>
  </w:abstractNum>
  <w:abstractNum w:abstractNumId="290">
    <w:nsid w:val="4A903D94"/>
    <w:multiLevelType w:val="singleLevel"/>
    <w:tmpl w:val="79784E58"/>
    <w:lvl w:ilvl="0">
      <w:start w:val="12"/>
      <w:numFmt w:val="decimal"/>
      <w:lvlRestart w:val="0"/>
      <w:lvlText w:val="%1."/>
      <w:lvlJc w:val="left"/>
      <w:pPr>
        <w:tabs>
          <w:tab w:val="num" w:pos="475"/>
        </w:tabs>
        <w:ind w:left="0" w:firstLine="0"/>
      </w:pPr>
      <w:rPr>
        <w:spacing w:val="0"/>
        <w:w w:val="100"/>
      </w:rPr>
    </w:lvl>
  </w:abstractNum>
  <w:abstractNum w:abstractNumId="291">
    <w:nsid w:val="4AB43310"/>
    <w:multiLevelType w:val="singleLevel"/>
    <w:tmpl w:val="35789752"/>
    <w:lvl w:ilvl="0">
      <w:start w:val="97"/>
      <w:numFmt w:val="decimal"/>
      <w:lvlRestart w:val="0"/>
      <w:lvlText w:val="%1."/>
      <w:lvlJc w:val="left"/>
      <w:pPr>
        <w:tabs>
          <w:tab w:val="num" w:pos="1742"/>
        </w:tabs>
        <w:ind w:left="1267" w:firstLine="0"/>
      </w:pPr>
      <w:rPr>
        <w:b w:val="0"/>
        <w:i w:val="0"/>
        <w:spacing w:val="0"/>
        <w:w w:val="100"/>
        <w:u w:val="none"/>
      </w:rPr>
    </w:lvl>
  </w:abstractNum>
  <w:abstractNum w:abstractNumId="292">
    <w:nsid w:val="4B38651F"/>
    <w:multiLevelType w:val="singleLevel"/>
    <w:tmpl w:val="0A362B18"/>
    <w:lvl w:ilvl="0">
      <w:start w:val="167"/>
      <w:numFmt w:val="decimal"/>
      <w:lvlRestart w:val="0"/>
      <w:lvlText w:val="%1."/>
      <w:lvlJc w:val="left"/>
      <w:pPr>
        <w:tabs>
          <w:tab w:val="num" w:pos="475"/>
        </w:tabs>
        <w:ind w:left="0" w:firstLine="0"/>
      </w:pPr>
      <w:rPr>
        <w:b w:val="0"/>
        <w:i w:val="0"/>
        <w:spacing w:val="0"/>
        <w:w w:val="100"/>
        <w:u w:val="none"/>
      </w:rPr>
    </w:lvl>
  </w:abstractNum>
  <w:abstractNum w:abstractNumId="293">
    <w:nsid w:val="4B442826"/>
    <w:multiLevelType w:val="singleLevel"/>
    <w:tmpl w:val="FDE4B968"/>
    <w:lvl w:ilvl="0">
      <w:start w:val="1"/>
      <w:numFmt w:val="decimal"/>
      <w:lvlRestart w:val="0"/>
      <w:lvlText w:val="%1."/>
      <w:lvlJc w:val="left"/>
      <w:pPr>
        <w:tabs>
          <w:tab w:val="num" w:pos="475"/>
        </w:tabs>
        <w:ind w:left="0" w:firstLine="0"/>
      </w:pPr>
      <w:rPr>
        <w:b w:val="0"/>
        <w:i w:val="0"/>
        <w:spacing w:val="0"/>
        <w:w w:val="100"/>
      </w:rPr>
    </w:lvl>
  </w:abstractNum>
  <w:abstractNum w:abstractNumId="294">
    <w:nsid w:val="4B4548AE"/>
    <w:multiLevelType w:val="singleLevel"/>
    <w:tmpl w:val="EC180B16"/>
    <w:lvl w:ilvl="0">
      <w:start w:val="361"/>
      <w:numFmt w:val="decimal"/>
      <w:lvlRestart w:val="0"/>
      <w:lvlText w:val="%1."/>
      <w:lvlJc w:val="left"/>
      <w:pPr>
        <w:tabs>
          <w:tab w:val="num" w:pos="475"/>
        </w:tabs>
        <w:ind w:left="0" w:firstLine="0"/>
      </w:pPr>
      <w:rPr>
        <w:b w:val="0"/>
        <w:i w:val="0"/>
        <w:spacing w:val="0"/>
        <w:w w:val="100"/>
        <w:u w:val="none"/>
      </w:rPr>
    </w:lvl>
  </w:abstractNum>
  <w:abstractNum w:abstractNumId="295">
    <w:nsid w:val="4B5B29D4"/>
    <w:multiLevelType w:val="singleLevel"/>
    <w:tmpl w:val="0E24F236"/>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296">
    <w:nsid w:val="4C2C77A5"/>
    <w:multiLevelType w:val="singleLevel"/>
    <w:tmpl w:val="0809000F"/>
    <w:lvl w:ilvl="0">
      <w:start w:val="1"/>
      <w:numFmt w:val="decimal"/>
      <w:lvlText w:val="%1."/>
      <w:lvlJc w:val="left"/>
      <w:pPr>
        <w:tabs>
          <w:tab w:val="num" w:pos="360"/>
        </w:tabs>
        <w:ind w:left="360" w:hanging="360"/>
      </w:pPr>
    </w:lvl>
  </w:abstractNum>
  <w:abstractNum w:abstractNumId="297">
    <w:nsid w:val="4C3A0C2D"/>
    <w:multiLevelType w:val="singleLevel"/>
    <w:tmpl w:val="8228AA20"/>
    <w:lvl w:ilvl="0">
      <w:start w:val="22"/>
      <w:numFmt w:val="decimal"/>
      <w:lvlText w:val="%1."/>
      <w:lvlJc w:val="left"/>
      <w:pPr>
        <w:tabs>
          <w:tab w:val="num" w:pos="480"/>
        </w:tabs>
        <w:ind w:left="480" w:hanging="480"/>
      </w:pPr>
      <w:rPr>
        <w:rFonts w:hint="default"/>
      </w:rPr>
    </w:lvl>
  </w:abstractNum>
  <w:abstractNum w:abstractNumId="298">
    <w:nsid w:val="4C63446C"/>
    <w:multiLevelType w:val="singleLevel"/>
    <w:tmpl w:val="50D207E0"/>
    <w:lvl w:ilvl="0">
      <w:start w:val="1"/>
      <w:numFmt w:val="decimal"/>
      <w:lvlRestart w:val="0"/>
      <w:lvlText w:val="%1."/>
      <w:lvlJc w:val="left"/>
      <w:pPr>
        <w:tabs>
          <w:tab w:val="num" w:pos="475"/>
        </w:tabs>
        <w:ind w:left="0" w:firstLine="0"/>
      </w:pPr>
      <w:rPr>
        <w:spacing w:val="0"/>
        <w:w w:val="100"/>
      </w:rPr>
    </w:lvl>
  </w:abstractNum>
  <w:abstractNum w:abstractNumId="299">
    <w:nsid w:val="4CA10924"/>
    <w:multiLevelType w:val="singleLevel"/>
    <w:tmpl w:val="239C8FA0"/>
    <w:lvl w:ilvl="0">
      <w:start w:val="18"/>
      <w:numFmt w:val="decimal"/>
      <w:lvlRestart w:val="0"/>
      <w:lvlText w:val="%1."/>
      <w:lvlJc w:val="left"/>
      <w:pPr>
        <w:tabs>
          <w:tab w:val="num" w:pos="1742"/>
        </w:tabs>
        <w:ind w:left="1267" w:firstLine="0"/>
      </w:pPr>
      <w:rPr>
        <w:spacing w:val="0"/>
        <w:w w:val="100"/>
      </w:rPr>
    </w:lvl>
  </w:abstractNum>
  <w:abstractNum w:abstractNumId="300">
    <w:nsid w:val="4CC026E0"/>
    <w:multiLevelType w:val="singleLevel"/>
    <w:tmpl w:val="30720942"/>
    <w:lvl w:ilvl="0">
      <w:start w:val="1"/>
      <w:numFmt w:val="decimal"/>
      <w:lvlRestart w:val="0"/>
      <w:lvlText w:val="%1."/>
      <w:lvlJc w:val="left"/>
      <w:pPr>
        <w:tabs>
          <w:tab w:val="num" w:pos="475"/>
        </w:tabs>
        <w:ind w:left="0" w:firstLine="0"/>
      </w:pPr>
      <w:rPr>
        <w:b w:val="0"/>
        <w:i w:val="0"/>
        <w:spacing w:val="0"/>
        <w:w w:val="100"/>
      </w:rPr>
    </w:lvl>
  </w:abstractNum>
  <w:abstractNum w:abstractNumId="301">
    <w:nsid w:val="4D3072BC"/>
    <w:multiLevelType w:val="singleLevel"/>
    <w:tmpl w:val="83C80066"/>
    <w:lvl w:ilvl="0">
      <w:start w:val="1"/>
      <w:numFmt w:val="decimal"/>
      <w:lvlRestart w:val="0"/>
      <w:lvlText w:val="%1."/>
      <w:lvlJc w:val="left"/>
      <w:pPr>
        <w:tabs>
          <w:tab w:val="num" w:pos="475"/>
        </w:tabs>
        <w:ind w:left="0" w:firstLine="0"/>
      </w:pPr>
      <w:rPr>
        <w:b w:val="0"/>
        <w:i w:val="0"/>
        <w:spacing w:val="0"/>
        <w:w w:val="100"/>
      </w:rPr>
    </w:lvl>
  </w:abstractNum>
  <w:abstractNum w:abstractNumId="302">
    <w:nsid w:val="4D5D2CDD"/>
    <w:multiLevelType w:val="singleLevel"/>
    <w:tmpl w:val="0E24F236"/>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303">
    <w:nsid w:val="4DD827B2"/>
    <w:multiLevelType w:val="singleLevel"/>
    <w:tmpl w:val="9A7E6F70"/>
    <w:lvl w:ilvl="0">
      <w:start w:val="2"/>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304">
    <w:nsid w:val="4E776F4D"/>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305">
    <w:nsid w:val="4E985F9F"/>
    <w:multiLevelType w:val="singleLevel"/>
    <w:tmpl w:val="835CCF62"/>
    <w:lvl w:ilvl="0">
      <w:start w:val="15"/>
      <w:numFmt w:val="decimal"/>
      <w:lvlRestart w:val="0"/>
      <w:lvlText w:val="%1."/>
      <w:lvlJc w:val="left"/>
      <w:pPr>
        <w:tabs>
          <w:tab w:val="num" w:pos="475"/>
        </w:tabs>
        <w:ind w:left="0" w:firstLine="0"/>
      </w:pPr>
      <w:rPr>
        <w:spacing w:val="0"/>
        <w:w w:val="100"/>
      </w:rPr>
    </w:lvl>
  </w:abstractNum>
  <w:abstractNum w:abstractNumId="306">
    <w:nsid w:val="4F2C1246"/>
    <w:multiLevelType w:val="singleLevel"/>
    <w:tmpl w:val="D6BA4F38"/>
    <w:lvl w:ilvl="0">
      <w:start w:val="1"/>
      <w:numFmt w:val="decimal"/>
      <w:lvlRestart w:val="0"/>
      <w:lvlText w:val="%1."/>
      <w:lvlJc w:val="left"/>
      <w:pPr>
        <w:tabs>
          <w:tab w:val="num" w:pos="475"/>
        </w:tabs>
        <w:ind w:left="0" w:firstLine="0"/>
      </w:pPr>
      <w:rPr>
        <w:b w:val="0"/>
        <w:i w:val="0"/>
        <w:spacing w:val="0"/>
        <w:w w:val="100"/>
      </w:rPr>
    </w:lvl>
  </w:abstractNum>
  <w:abstractNum w:abstractNumId="307">
    <w:nsid w:val="4F360CAB"/>
    <w:multiLevelType w:val="singleLevel"/>
    <w:tmpl w:val="B7FA8708"/>
    <w:lvl w:ilvl="0">
      <w:start w:val="1"/>
      <w:numFmt w:val="decimal"/>
      <w:lvlRestart w:val="0"/>
      <w:lvlText w:val="%1."/>
      <w:lvlJc w:val="left"/>
      <w:pPr>
        <w:tabs>
          <w:tab w:val="num" w:pos="475"/>
        </w:tabs>
        <w:ind w:left="0" w:firstLine="0"/>
      </w:pPr>
      <w:rPr>
        <w:spacing w:val="0"/>
        <w:w w:val="100"/>
      </w:rPr>
    </w:lvl>
  </w:abstractNum>
  <w:abstractNum w:abstractNumId="308">
    <w:nsid w:val="4F897EEB"/>
    <w:multiLevelType w:val="singleLevel"/>
    <w:tmpl w:val="112C46FC"/>
    <w:lvl w:ilvl="0">
      <w:start w:val="263"/>
      <w:numFmt w:val="decimal"/>
      <w:lvlRestart w:val="0"/>
      <w:lvlText w:val="%1."/>
      <w:lvlJc w:val="left"/>
      <w:pPr>
        <w:tabs>
          <w:tab w:val="num" w:pos="475"/>
        </w:tabs>
        <w:ind w:left="0" w:firstLine="0"/>
      </w:pPr>
      <w:rPr>
        <w:b w:val="0"/>
        <w:i w:val="0"/>
        <w:spacing w:val="0"/>
        <w:w w:val="100"/>
      </w:rPr>
    </w:lvl>
  </w:abstractNum>
  <w:abstractNum w:abstractNumId="309">
    <w:nsid w:val="506D2592"/>
    <w:multiLevelType w:val="singleLevel"/>
    <w:tmpl w:val="21FC022C"/>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310">
    <w:nsid w:val="50796B6C"/>
    <w:multiLevelType w:val="singleLevel"/>
    <w:tmpl w:val="7F429646"/>
    <w:lvl w:ilvl="0">
      <w:start w:val="287"/>
      <w:numFmt w:val="decimal"/>
      <w:lvlRestart w:val="0"/>
      <w:lvlText w:val="%1."/>
      <w:lvlJc w:val="left"/>
      <w:pPr>
        <w:tabs>
          <w:tab w:val="num" w:pos="475"/>
        </w:tabs>
        <w:ind w:left="0" w:firstLine="0"/>
      </w:pPr>
      <w:rPr>
        <w:b w:val="0"/>
        <w:i w:val="0"/>
        <w:spacing w:val="0"/>
        <w:w w:val="100"/>
      </w:rPr>
    </w:lvl>
  </w:abstractNum>
  <w:abstractNum w:abstractNumId="311">
    <w:nsid w:val="50EE0E96"/>
    <w:multiLevelType w:val="singleLevel"/>
    <w:tmpl w:val="5CCC9A8E"/>
    <w:lvl w:ilvl="0">
      <w:start w:val="1"/>
      <w:numFmt w:val="decimal"/>
      <w:lvlRestart w:val="0"/>
      <w:lvlText w:val="%1."/>
      <w:lvlJc w:val="left"/>
      <w:pPr>
        <w:tabs>
          <w:tab w:val="num" w:pos="475"/>
        </w:tabs>
        <w:ind w:left="0" w:firstLine="0"/>
      </w:pPr>
      <w:rPr>
        <w:spacing w:val="0"/>
        <w:w w:val="100"/>
      </w:rPr>
    </w:lvl>
  </w:abstractNum>
  <w:abstractNum w:abstractNumId="312">
    <w:nsid w:val="519203C1"/>
    <w:multiLevelType w:val="singleLevel"/>
    <w:tmpl w:val="F07C801E"/>
    <w:lvl w:ilvl="0">
      <w:start w:val="27"/>
      <w:numFmt w:val="decimal"/>
      <w:lvlRestart w:val="0"/>
      <w:lvlText w:val="%1."/>
      <w:lvlJc w:val="left"/>
      <w:pPr>
        <w:tabs>
          <w:tab w:val="num" w:pos="1742"/>
        </w:tabs>
        <w:ind w:left="1267" w:firstLine="0"/>
      </w:pPr>
      <w:rPr>
        <w:spacing w:val="0"/>
        <w:w w:val="100"/>
      </w:rPr>
    </w:lvl>
  </w:abstractNum>
  <w:abstractNum w:abstractNumId="313">
    <w:nsid w:val="51C65C62"/>
    <w:multiLevelType w:val="singleLevel"/>
    <w:tmpl w:val="D7649112"/>
    <w:lvl w:ilvl="0">
      <w:start w:val="24"/>
      <w:numFmt w:val="decimal"/>
      <w:lvlText w:val="%1."/>
      <w:lvlJc w:val="left"/>
      <w:pPr>
        <w:tabs>
          <w:tab w:val="num" w:pos="480"/>
        </w:tabs>
        <w:ind w:left="480" w:hanging="480"/>
      </w:pPr>
      <w:rPr>
        <w:rFonts w:hint="default"/>
      </w:rPr>
    </w:lvl>
  </w:abstractNum>
  <w:abstractNum w:abstractNumId="314">
    <w:nsid w:val="51CA6C8B"/>
    <w:multiLevelType w:val="singleLevel"/>
    <w:tmpl w:val="FD9CDA92"/>
    <w:lvl w:ilvl="0">
      <w:start w:val="13"/>
      <w:numFmt w:val="decimal"/>
      <w:lvlRestart w:val="0"/>
      <w:lvlText w:val="%1."/>
      <w:lvlJc w:val="left"/>
      <w:pPr>
        <w:tabs>
          <w:tab w:val="num" w:pos="1742"/>
        </w:tabs>
        <w:ind w:left="1267" w:firstLine="0"/>
      </w:pPr>
      <w:rPr>
        <w:b w:val="0"/>
        <w:i w:val="0"/>
        <w:spacing w:val="0"/>
        <w:w w:val="100"/>
      </w:rPr>
    </w:lvl>
  </w:abstractNum>
  <w:abstractNum w:abstractNumId="315">
    <w:nsid w:val="51E625A2"/>
    <w:multiLevelType w:val="singleLevel"/>
    <w:tmpl w:val="EC82D67A"/>
    <w:lvl w:ilvl="0">
      <w:start w:val="14"/>
      <w:numFmt w:val="decimal"/>
      <w:lvlRestart w:val="0"/>
      <w:lvlText w:val="%1."/>
      <w:lvlJc w:val="left"/>
      <w:pPr>
        <w:tabs>
          <w:tab w:val="num" w:pos="1742"/>
        </w:tabs>
        <w:ind w:left="1267" w:firstLine="0"/>
      </w:pPr>
      <w:rPr>
        <w:b w:val="0"/>
        <w:i w:val="0"/>
        <w:spacing w:val="0"/>
        <w:w w:val="100"/>
      </w:rPr>
    </w:lvl>
  </w:abstractNum>
  <w:abstractNum w:abstractNumId="316">
    <w:nsid w:val="52501E22"/>
    <w:multiLevelType w:val="singleLevel"/>
    <w:tmpl w:val="4EE2C8D8"/>
    <w:lvl w:ilvl="0">
      <w:start w:val="1"/>
      <w:numFmt w:val="decimal"/>
      <w:lvlRestart w:val="0"/>
      <w:lvlText w:val="%1."/>
      <w:lvlJc w:val="left"/>
      <w:pPr>
        <w:tabs>
          <w:tab w:val="num" w:pos="475"/>
        </w:tabs>
        <w:ind w:left="0" w:firstLine="0"/>
      </w:pPr>
      <w:rPr>
        <w:spacing w:val="0"/>
        <w:w w:val="100"/>
      </w:rPr>
    </w:lvl>
  </w:abstractNum>
  <w:abstractNum w:abstractNumId="317">
    <w:nsid w:val="52A833C0"/>
    <w:multiLevelType w:val="singleLevel"/>
    <w:tmpl w:val="0C9C2430"/>
    <w:lvl w:ilvl="0">
      <w:start w:val="54"/>
      <w:numFmt w:val="decimal"/>
      <w:lvlRestart w:val="0"/>
      <w:lvlText w:val="%1."/>
      <w:lvlJc w:val="left"/>
      <w:pPr>
        <w:tabs>
          <w:tab w:val="num" w:pos="475"/>
        </w:tabs>
        <w:ind w:left="0" w:firstLine="0"/>
      </w:pPr>
      <w:rPr>
        <w:spacing w:val="0"/>
        <w:w w:val="100"/>
      </w:rPr>
    </w:lvl>
  </w:abstractNum>
  <w:abstractNum w:abstractNumId="318">
    <w:nsid w:val="52E43967"/>
    <w:multiLevelType w:val="singleLevel"/>
    <w:tmpl w:val="044C57EE"/>
    <w:lvl w:ilvl="0">
      <w:start w:val="1"/>
      <w:numFmt w:val="decimal"/>
      <w:lvlRestart w:val="0"/>
      <w:lvlText w:val="%1."/>
      <w:lvlJc w:val="left"/>
      <w:pPr>
        <w:tabs>
          <w:tab w:val="num" w:pos="475"/>
        </w:tabs>
        <w:ind w:left="0" w:firstLine="0"/>
      </w:pPr>
      <w:rPr>
        <w:b w:val="0"/>
        <w:i w:val="0"/>
        <w:spacing w:val="0"/>
        <w:w w:val="100"/>
      </w:rPr>
    </w:lvl>
  </w:abstractNum>
  <w:abstractNum w:abstractNumId="319">
    <w:nsid w:val="52E71C6F"/>
    <w:multiLevelType w:val="singleLevel"/>
    <w:tmpl w:val="04090013"/>
    <w:lvl w:ilvl="0">
      <w:start w:val="1"/>
      <w:numFmt w:val="upperRoman"/>
      <w:lvlText w:val="%1."/>
      <w:lvlJc w:val="left"/>
      <w:pPr>
        <w:tabs>
          <w:tab w:val="num" w:pos="720"/>
        </w:tabs>
        <w:ind w:left="720" w:hanging="720"/>
      </w:pPr>
      <w:rPr>
        <w:rFonts w:hint="default"/>
      </w:rPr>
    </w:lvl>
  </w:abstractNum>
  <w:abstractNum w:abstractNumId="320">
    <w:nsid w:val="530C3BDE"/>
    <w:multiLevelType w:val="multilevel"/>
    <w:tmpl w:val="08F6068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1">
    <w:nsid w:val="53970666"/>
    <w:multiLevelType w:val="singleLevel"/>
    <w:tmpl w:val="632C27A0"/>
    <w:lvl w:ilvl="0">
      <w:start w:val="3"/>
      <w:numFmt w:val="decimal"/>
      <w:lvlRestart w:val="0"/>
      <w:lvlText w:val="%1."/>
      <w:lvlJc w:val="left"/>
      <w:pPr>
        <w:tabs>
          <w:tab w:val="num" w:pos="1742"/>
        </w:tabs>
        <w:ind w:left="1267" w:firstLine="0"/>
      </w:pPr>
      <w:rPr>
        <w:b w:val="0"/>
        <w:i w:val="0"/>
        <w:spacing w:val="0"/>
        <w:w w:val="100"/>
        <w:sz w:val="20"/>
      </w:rPr>
    </w:lvl>
  </w:abstractNum>
  <w:abstractNum w:abstractNumId="322">
    <w:nsid w:val="53F76D36"/>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323">
    <w:nsid w:val="545876B2"/>
    <w:multiLevelType w:val="singleLevel"/>
    <w:tmpl w:val="9EDE5512"/>
    <w:lvl w:ilvl="0">
      <w:start w:val="28"/>
      <w:numFmt w:val="decimal"/>
      <w:lvlText w:val="%1."/>
      <w:lvlJc w:val="left"/>
      <w:pPr>
        <w:tabs>
          <w:tab w:val="num" w:pos="480"/>
        </w:tabs>
        <w:ind w:left="480" w:hanging="480"/>
      </w:pPr>
      <w:rPr>
        <w:rFonts w:hint="default"/>
      </w:rPr>
    </w:lvl>
  </w:abstractNum>
  <w:abstractNum w:abstractNumId="324">
    <w:nsid w:val="55142E43"/>
    <w:multiLevelType w:val="singleLevel"/>
    <w:tmpl w:val="47261478"/>
    <w:lvl w:ilvl="0">
      <w:start w:val="75"/>
      <w:numFmt w:val="decimal"/>
      <w:lvlRestart w:val="0"/>
      <w:lvlText w:val="%1."/>
      <w:lvlJc w:val="left"/>
      <w:pPr>
        <w:tabs>
          <w:tab w:val="num" w:pos="1742"/>
        </w:tabs>
        <w:ind w:left="1267" w:firstLine="0"/>
      </w:pPr>
      <w:rPr>
        <w:spacing w:val="0"/>
        <w:w w:val="100"/>
      </w:rPr>
    </w:lvl>
  </w:abstractNum>
  <w:abstractNum w:abstractNumId="325">
    <w:nsid w:val="55415686"/>
    <w:multiLevelType w:val="singleLevel"/>
    <w:tmpl w:val="DA2C4838"/>
    <w:lvl w:ilvl="0">
      <w:start w:val="1"/>
      <w:numFmt w:val="decimal"/>
      <w:lvlRestart w:val="0"/>
      <w:lvlText w:val="%1."/>
      <w:lvlJc w:val="left"/>
      <w:pPr>
        <w:tabs>
          <w:tab w:val="num" w:pos="475"/>
        </w:tabs>
        <w:ind w:left="0" w:firstLine="0"/>
      </w:pPr>
      <w:rPr>
        <w:b w:val="0"/>
        <w:i w:val="0"/>
        <w:spacing w:val="0"/>
        <w:w w:val="100"/>
      </w:rPr>
    </w:lvl>
  </w:abstractNum>
  <w:abstractNum w:abstractNumId="326">
    <w:nsid w:val="559A4E6D"/>
    <w:multiLevelType w:val="singleLevel"/>
    <w:tmpl w:val="0809000F"/>
    <w:lvl w:ilvl="0">
      <w:start w:val="1"/>
      <w:numFmt w:val="decimal"/>
      <w:lvlText w:val="%1."/>
      <w:lvlJc w:val="left"/>
      <w:pPr>
        <w:tabs>
          <w:tab w:val="num" w:pos="360"/>
        </w:tabs>
        <w:ind w:left="360" w:hanging="360"/>
      </w:pPr>
      <w:rPr>
        <w:rFonts w:hint="default"/>
      </w:rPr>
    </w:lvl>
  </w:abstractNum>
  <w:abstractNum w:abstractNumId="327">
    <w:nsid w:val="559E624D"/>
    <w:multiLevelType w:val="singleLevel"/>
    <w:tmpl w:val="D0549D20"/>
    <w:lvl w:ilvl="0">
      <w:start w:val="25"/>
      <w:numFmt w:val="decimal"/>
      <w:lvlText w:val="%1."/>
      <w:lvlJc w:val="left"/>
      <w:pPr>
        <w:tabs>
          <w:tab w:val="num" w:pos="480"/>
        </w:tabs>
        <w:ind w:left="480" w:hanging="480"/>
      </w:pPr>
      <w:rPr>
        <w:rFonts w:hint="default"/>
      </w:rPr>
    </w:lvl>
  </w:abstractNum>
  <w:abstractNum w:abstractNumId="328">
    <w:nsid w:val="55CB1D51"/>
    <w:multiLevelType w:val="singleLevel"/>
    <w:tmpl w:val="A04E3E8A"/>
    <w:lvl w:ilvl="0">
      <w:start w:val="22"/>
      <w:numFmt w:val="decimal"/>
      <w:lvlRestart w:val="0"/>
      <w:lvlText w:val="%1."/>
      <w:lvlJc w:val="left"/>
      <w:pPr>
        <w:tabs>
          <w:tab w:val="num" w:pos="1742"/>
        </w:tabs>
        <w:ind w:left="1267" w:firstLine="0"/>
      </w:pPr>
      <w:rPr>
        <w:b w:val="0"/>
        <w:i w:val="0"/>
        <w:spacing w:val="0"/>
        <w:w w:val="100"/>
        <w:sz w:val="20"/>
      </w:rPr>
    </w:lvl>
  </w:abstractNum>
  <w:abstractNum w:abstractNumId="329">
    <w:nsid w:val="56024B3D"/>
    <w:multiLevelType w:val="singleLevel"/>
    <w:tmpl w:val="0809000F"/>
    <w:lvl w:ilvl="0">
      <w:start w:val="1"/>
      <w:numFmt w:val="decimal"/>
      <w:lvlText w:val="%1."/>
      <w:lvlJc w:val="left"/>
      <w:pPr>
        <w:tabs>
          <w:tab w:val="num" w:pos="360"/>
        </w:tabs>
        <w:ind w:left="360" w:hanging="360"/>
      </w:pPr>
      <w:rPr>
        <w:rFonts w:hint="default"/>
      </w:rPr>
    </w:lvl>
  </w:abstractNum>
  <w:abstractNum w:abstractNumId="330">
    <w:nsid w:val="561E0107"/>
    <w:multiLevelType w:val="singleLevel"/>
    <w:tmpl w:val="8AA68408"/>
    <w:lvl w:ilvl="0">
      <w:start w:val="45"/>
      <w:numFmt w:val="decimal"/>
      <w:lvlRestart w:val="0"/>
      <w:lvlText w:val="%1."/>
      <w:lvlJc w:val="left"/>
      <w:pPr>
        <w:tabs>
          <w:tab w:val="num" w:pos="475"/>
        </w:tabs>
        <w:ind w:left="0" w:firstLine="0"/>
      </w:pPr>
      <w:rPr>
        <w:spacing w:val="0"/>
        <w:w w:val="100"/>
      </w:rPr>
    </w:lvl>
  </w:abstractNum>
  <w:abstractNum w:abstractNumId="331">
    <w:nsid w:val="564D1780"/>
    <w:multiLevelType w:val="singleLevel"/>
    <w:tmpl w:val="A9F22900"/>
    <w:lvl w:ilvl="0">
      <w:start w:val="30"/>
      <w:numFmt w:val="decimal"/>
      <w:lvlRestart w:val="0"/>
      <w:lvlText w:val="%1."/>
      <w:lvlJc w:val="left"/>
      <w:pPr>
        <w:tabs>
          <w:tab w:val="num" w:pos="1742"/>
        </w:tabs>
        <w:ind w:left="1267" w:firstLine="0"/>
      </w:pPr>
      <w:rPr>
        <w:b w:val="0"/>
        <w:i w:val="0"/>
        <w:spacing w:val="0"/>
        <w:w w:val="100"/>
        <w:u w:val="none"/>
      </w:rPr>
    </w:lvl>
  </w:abstractNum>
  <w:abstractNum w:abstractNumId="332">
    <w:nsid w:val="5669318F"/>
    <w:multiLevelType w:val="singleLevel"/>
    <w:tmpl w:val="2B34E778"/>
    <w:lvl w:ilvl="0">
      <w:start w:val="59"/>
      <w:numFmt w:val="decimal"/>
      <w:lvlRestart w:val="0"/>
      <w:lvlText w:val="%1."/>
      <w:lvlJc w:val="left"/>
      <w:pPr>
        <w:tabs>
          <w:tab w:val="num" w:pos="475"/>
        </w:tabs>
        <w:ind w:left="0" w:firstLine="0"/>
      </w:pPr>
      <w:rPr>
        <w:spacing w:val="0"/>
        <w:w w:val="100"/>
      </w:rPr>
    </w:lvl>
  </w:abstractNum>
  <w:abstractNum w:abstractNumId="333">
    <w:nsid w:val="56CE5DEB"/>
    <w:multiLevelType w:val="singleLevel"/>
    <w:tmpl w:val="CD1AE66E"/>
    <w:lvl w:ilvl="0">
      <w:start w:val="19"/>
      <w:numFmt w:val="decimal"/>
      <w:lvlRestart w:val="0"/>
      <w:lvlText w:val="%1."/>
      <w:lvlJc w:val="left"/>
      <w:pPr>
        <w:tabs>
          <w:tab w:val="num" w:pos="1742"/>
        </w:tabs>
        <w:ind w:left="1267" w:firstLine="0"/>
      </w:pPr>
      <w:rPr>
        <w:spacing w:val="0"/>
        <w:w w:val="100"/>
      </w:rPr>
    </w:lvl>
  </w:abstractNum>
  <w:abstractNum w:abstractNumId="334">
    <w:nsid w:val="57215CC6"/>
    <w:multiLevelType w:val="singleLevel"/>
    <w:tmpl w:val="694291C4"/>
    <w:lvl w:ilvl="0">
      <w:start w:val="1"/>
      <w:numFmt w:val="decimal"/>
      <w:lvlRestart w:val="0"/>
      <w:lvlText w:val="%1."/>
      <w:lvlJc w:val="left"/>
      <w:pPr>
        <w:tabs>
          <w:tab w:val="num" w:pos="475"/>
        </w:tabs>
        <w:ind w:left="0" w:firstLine="0"/>
      </w:pPr>
      <w:rPr>
        <w:b w:val="0"/>
        <w:i w:val="0"/>
        <w:spacing w:val="0"/>
        <w:w w:val="100"/>
        <w:u w:val="none"/>
      </w:rPr>
    </w:lvl>
  </w:abstractNum>
  <w:abstractNum w:abstractNumId="335">
    <w:nsid w:val="57EF4689"/>
    <w:multiLevelType w:val="singleLevel"/>
    <w:tmpl w:val="4FEEDF36"/>
    <w:lvl w:ilvl="0">
      <w:start w:val="73"/>
      <w:numFmt w:val="decimal"/>
      <w:lvlRestart w:val="0"/>
      <w:lvlText w:val="%1."/>
      <w:lvlJc w:val="left"/>
      <w:pPr>
        <w:tabs>
          <w:tab w:val="num" w:pos="475"/>
        </w:tabs>
        <w:ind w:left="0" w:firstLine="0"/>
      </w:pPr>
      <w:rPr>
        <w:spacing w:val="0"/>
        <w:w w:val="100"/>
      </w:rPr>
    </w:lvl>
  </w:abstractNum>
  <w:abstractNum w:abstractNumId="336">
    <w:nsid w:val="585C0B97"/>
    <w:multiLevelType w:val="singleLevel"/>
    <w:tmpl w:val="ABD215B0"/>
    <w:lvl w:ilvl="0">
      <w:start w:val="27"/>
      <w:numFmt w:val="decimal"/>
      <w:lvlText w:val="%1."/>
      <w:lvlJc w:val="left"/>
      <w:pPr>
        <w:tabs>
          <w:tab w:val="num" w:pos="480"/>
        </w:tabs>
        <w:ind w:left="480" w:hanging="480"/>
      </w:pPr>
      <w:rPr>
        <w:rFonts w:hint="default"/>
      </w:rPr>
    </w:lvl>
  </w:abstractNum>
  <w:abstractNum w:abstractNumId="337">
    <w:nsid w:val="58C1373E"/>
    <w:multiLevelType w:val="singleLevel"/>
    <w:tmpl w:val="BC70899E"/>
    <w:lvl w:ilvl="0">
      <w:start w:val="36"/>
      <w:numFmt w:val="decimal"/>
      <w:lvlRestart w:val="0"/>
      <w:lvlText w:val="%1."/>
      <w:lvlJc w:val="left"/>
      <w:pPr>
        <w:tabs>
          <w:tab w:val="num" w:pos="475"/>
        </w:tabs>
        <w:ind w:left="0" w:firstLine="0"/>
      </w:pPr>
      <w:rPr>
        <w:spacing w:val="0"/>
        <w:w w:val="100"/>
      </w:rPr>
    </w:lvl>
  </w:abstractNum>
  <w:abstractNum w:abstractNumId="338">
    <w:nsid w:val="59501017"/>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339">
    <w:nsid w:val="5976530F"/>
    <w:multiLevelType w:val="singleLevel"/>
    <w:tmpl w:val="E3303C96"/>
    <w:lvl w:ilvl="0">
      <w:start w:val="22"/>
      <w:numFmt w:val="decimal"/>
      <w:lvlRestart w:val="0"/>
      <w:lvlText w:val="%1."/>
      <w:lvlJc w:val="left"/>
      <w:pPr>
        <w:tabs>
          <w:tab w:val="num" w:pos="475"/>
        </w:tabs>
        <w:ind w:left="0" w:firstLine="0"/>
      </w:pPr>
      <w:rPr>
        <w:spacing w:val="0"/>
        <w:w w:val="100"/>
      </w:rPr>
    </w:lvl>
  </w:abstractNum>
  <w:abstractNum w:abstractNumId="340">
    <w:nsid w:val="59F3181B"/>
    <w:multiLevelType w:val="singleLevel"/>
    <w:tmpl w:val="4B6E29FA"/>
    <w:lvl w:ilvl="0">
      <w:start w:val="1"/>
      <w:numFmt w:val="decimal"/>
      <w:lvlRestart w:val="0"/>
      <w:lvlText w:val="%1."/>
      <w:lvlJc w:val="left"/>
      <w:pPr>
        <w:tabs>
          <w:tab w:val="num" w:pos="475"/>
        </w:tabs>
        <w:ind w:left="0" w:firstLine="0"/>
      </w:pPr>
      <w:rPr>
        <w:spacing w:val="0"/>
        <w:w w:val="100"/>
      </w:rPr>
    </w:lvl>
  </w:abstractNum>
  <w:abstractNum w:abstractNumId="341">
    <w:nsid w:val="5A0A05D4"/>
    <w:multiLevelType w:val="singleLevel"/>
    <w:tmpl w:val="8A92ABA6"/>
    <w:lvl w:ilvl="0">
      <w:start w:val="23"/>
      <w:numFmt w:val="decimal"/>
      <w:lvlText w:val="%1."/>
      <w:lvlJc w:val="left"/>
      <w:pPr>
        <w:tabs>
          <w:tab w:val="num" w:pos="480"/>
        </w:tabs>
        <w:ind w:left="480" w:hanging="480"/>
      </w:pPr>
      <w:rPr>
        <w:rFonts w:hint="default"/>
      </w:rPr>
    </w:lvl>
  </w:abstractNum>
  <w:abstractNum w:abstractNumId="342">
    <w:nsid w:val="5A890221"/>
    <w:multiLevelType w:val="singleLevel"/>
    <w:tmpl w:val="4E80055A"/>
    <w:lvl w:ilvl="0">
      <w:start w:val="57"/>
      <w:numFmt w:val="decimal"/>
      <w:lvlRestart w:val="0"/>
      <w:lvlText w:val="%1."/>
      <w:lvlJc w:val="left"/>
      <w:pPr>
        <w:tabs>
          <w:tab w:val="num" w:pos="475"/>
        </w:tabs>
        <w:ind w:left="0" w:firstLine="0"/>
      </w:pPr>
      <w:rPr>
        <w:spacing w:val="0"/>
        <w:w w:val="100"/>
      </w:rPr>
    </w:lvl>
  </w:abstractNum>
  <w:abstractNum w:abstractNumId="343">
    <w:nsid w:val="5ADD1837"/>
    <w:multiLevelType w:val="singleLevel"/>
    <w:tmpl w:val="894825DC"/>
    <w:lvl w:ilvl="0">
      <w:start w:val="26"/>
      <w:numFmt w:val="decimal"/>
      <w:lvlRestart w:val="0"/>
      <w:lvlText w:val="%1."/>
      <w:lvlJc w:val="left"/>
      <w:pPr>
        <w:tabs>
          <w:tab w:val="num" w:pos="1742"/>
        </w:tabs>
        <w:ind w:left="1267" w:firstLine="0"/>
      </w:pPr>
      <w:rPr>
        <w:spacing w:val="0"/>
        <w:w w:val="100"/>
      </w:rPr>
    </w:lvl>
  </w:abstractNum>
  <w:abstractNum w:abstractNumId="344">
    <w:nsid w:val="5AF832EE"/>
    <w:multiLevelType w:val="singleLevel"/>
    <w:tmpl w:val="018C95DA"/>
    <w:lvl w:ilvl="0">
      <w:start w:val="43"/>
      <w:numFmt w:val="decimal"/>
      <w:lvlText w:val="%1."/>
      <w:lvlJc w:val="left"/>
      <w:pPr>
        <w:tabs>
          <w:tab w:val="num" w:pos="480"/>
        </w:tabs>
        <w:ind w:left="480" w:hanging="480"/>
      </w:pPr>
      <w:rPr>
        <w:rFonts w:hint="default"/>
      </w:rPr>
    </w:lvl>
  </w:abstractNum>
  <w:abstractNum w:abstractNumId="345">
    <w:nsid w:val="5B0D4EEB"/>
    <w:multiLevelType w:val="singleLevel"/>
    <w:tmpl w:val="14AAFE76"/>
    <w:lvl w:ilvl="0">
      <w:start w:val="1"/>
      <w:numFmt w:val="decimal"/>
      <w:lvlRestart w:val="0"/>
      <w:lvlText w:val="%1."/>
      <w:lvlJc w:val="left"/>
      <w:pPr>
        <w:tabs>
          <w:tab w:val="num" w:pos="475"/>
        </w:tabs>
        <w:ind w:left="0" w:firstLine="0"/>
      </w:pPr>
      <w:rPr>
        <w:spacing w:val="0"/>
        <w:w w:val="100"/>
      </w:rPr>
    </w:lvl>
  </w:abstractNum>
  <w:abstractNum w:abstractNumId="346">
    <w:nsid w:val="5B3C5480"/>
    <w:multiLevelType w:val="singleLevel"/>
    <w:tmpl w:val="416654B4"/>
    <w:lvl w:ilvl="0">
      <w:start w:val="1"/>
      <w:numFmt w:val="decimal"/>
      <w:lvlRestart w:val="0"/>
      <w:lvlText w:val="%1."/>
      <w:lvlJc w:val="left"/>
      <w:pPr>
        <w:tabs>
          <w:tab w:val="num" w:pos="475"/>
        </w:tabs>
        <w:ind w:left="0" w:firstLine="0"/>
      </w:pPr>
      <w:rPr>
        <w:spacing w:val="0"/>
        <w:w w:val="100"/>
      </w:rPr>
    </w:lvl>
  </w:abstractNum>
  <w:abstractNum w:abstractNumId="347">
    <w:nsid w:val="5B8F35A4"/>
    <w:multiLevelType w:val="singleLevel"/>
    <w:tmpl w:val="96E8CE8E"/>
    <w:lvl w:ilvl="0">
      <w:start w:val="64"/>
      <w:numFmt w:val="decimal"/>
      <w:lvlRestart w:val="0"/>
      <w:lvlText w:val="%1."/>
      <w:lvlJc w:val="left"/>
      <w:pPr>
        <w:tabs>
          <w:tab w:val="num" w:pos="475"/>
        </w:tabs>
        <w:ind w:left="0" w:firstLine="0"/>
      </w:pPr>
      <w:rPr>
        <w:spacing w:val="0"/>
        <w:w w:val="100"/>
      </w:rPr>
    </w:lvl>
  </w:abstractNum>
  <w:abstractNum w:abstractNumId="348">
    <w:nsid w:val="5BAC171C"/>
    <w:multiLevelType w:val="singleLevel"/>
    <w:tmpl w:val="5C245148"/>
    <w:lvl w:ilvl="0">
      <w:start w:val="1"/>
      <w:numFmt w:val="decimal"/>
      <w:lvlRestart w:val="0"/>
      <w:lvlText w:val="%1."/>
      <w:lvlJc w:val="left"/>
      <w:pPr>
        <w:tabs>
          <w:tab w:val="num" w:pos="475"/>
        </w:tabs>
        <w:ind w:left="0" w:firstLine="0"/>
      </w:pPr>
      <w:rPr>
        <w:spacing w:val="0"/>
        <w:w w:val="100"/>
      </w:rPr>
    </w:lvl>
  </w:abstractNum>
  <w:abstractNum w:abstractNumId="349">
    <w:nsid w:val="5BC550C1"/>
    <w:multiLevelType w:val="singleLevel"/>
    <w:tmpl w:val="2B9A3C7C"/>
    <w:lvl w:ilvl="0">
      <w:start w:val="1"/>
      <w:numFmt w:val="decimal"/>
      <w:lvlRestart w:val="0"/>
      <w:lvlText w:val="%1."/>
      <w:lvlJc w:val="left"/>
      <w:pPr>
        <w:tabs>
          <w:tab w:val="num" w:pos="475"/>
        </w:tabs>
        <w:ind w:left="0" w:firstLine="0"/>
      </w:pPr>
      <w:rPr>
        <w:spacing w:val="0"/>
        <w:w w:val="100"/>
      </w:rPr>
    </w:lvl>
  </w:abstractNum>
  <w:abstractNum w:abstractNumId="350">
    <w:nsid w:val="5BF51673"/>
    <w:multiLevelType w:val="singleLevel"/>
    <w:tmpl w:val="C0C61C86"/>
    <w:lvl w:ilvl="0">
      <w:start w:val="30"/>
      <w:numFmt w:val="decimal"/>
      <w:lvlRestart w:val="0"/>
      <w:lvlText w:val="%1."/>
      <w:lvlJc w:val="left"/>
      <w:pPr>
        <w:tabs>
          <w:tab w:val="num" w:pos="1742"/>
        </w:tabs>
        <w:ind w:left="1267" w:firstLine="0"/>
      </w:pPr>
      <w:rPr>
        <w:b w:val="0"/>
        <w:i w:val="0"/>
        <w:spacing w:val="0"/>
        <w:w w:val="100"/>
      </w:rPr>
    </w:lvl>
  </w:abstractNum>
  <w:abstractNum w:abstractNumId="351">
    <w:nsid w:val="5C31047B"/>
    <w:multiLevelType w:val="singleLevel"/>
    <w:tmpl w:val="1C147E60"/>
    <w:lvl w:ilvl="0">
      <w:start w:val="11"/>
      <w:numFmt w:val="decimal"/>
      <w:lvlRestart w:val="0"/>
      <w:lvlText w:val="%1."/>
      <w:lvlJc w:val="left"/>
      <w:pPr>
        <w:tabs>
          <w:tab w:val="num" w:pos="1742"/>
        </w:tabs>
        <w:ind w:left="1267" w:firstLine="0"/>
      </w:pPr>
      <w:rPr>
        <w:spacing w:val="0"/>
        <w:w w:val="100"/>
      </w:rPr>
    </w:lvl>
  </w:abstractNum>
  <w:abstractNum w:abstractNumId="352">
    <w:nsid w:val="5C462475"/>
    <w:multiLevelType w:val="singleLevel"/>
    <w:tmpl w:val="3ACE4782"/>
    <w:lvl w:ilvl="0">
      <w:start w:val="14"/>
      <w:numFmt w:val="decimal"/>
      <w:lvlRestart w:val="0"/>
      <w:lvlText w:val="%1."/>
      <w:lvlJc w:val="left"/>
      <w:pPr>
        <w:tabs>
          <w:tab w:val="num" w:pos="475"/>
        </w:tabs>
        <w:ind w:left="0" w:firstLine="0"/>
      </w:pPr>
      <w:rPr>
        <w:spacing w:val="0"/>
        <w:w w:val="100"/>
      </w:rPr>
    </w:lvl>
  </w:abstractNum>
  <w:abstractNum w:abstractNumId="353">
    <w:nsid w:val="5CE9158F"/>
    <w:multiLevelType w:val="singleLevel"/>
    <w:tmpl w:val="05A29154"/>
    <w:lvl w:ilvl="0">
      <w:start w:val="70"/>
      <w:numFmt w:val="decimal"/>
      <w:lvlRestart w:val="0"/>
      <w:lvlText w:val="%1."/>
      <w:lvlJc w:val="left"/>
      <w:pPr>
        <w:tabs>
          <w:tab w:val="num" w:pos="475"/>
        </w:tabs>
        <w:ind w:left="0" w:firstLine="0"/>
      </w:pPr>
      <w:rPr>
        <w:spacing w:val="0"/>
        <w:w w:val="100"/>
      </w:rPr>
    </w:lvl>
  </w:abstractNum>
  <w:abstractNum w:abstractNumId="354">
    <w:nsid w:val="5E232E82"/>
    <w:multiLevelType w:val="singleLevel"/>
    <w:tmpl w:val="8EFCF57E"/>
    <w:lvl w:ilvl="0">
      <w:start w:val="1"/>
      <w:numFmt w:val="decimal"/>
      <w:lvlRestart w:val="0"/>
      <w:lvlText w:val="%1."/>
      <w:lvlJc w:val="left"/>
      <w:pPr>
        <w:tabs>
          <w:tab w:val="num" w:pos="475"/>
        </w:tabs>
        <w:ind w:left="0" w:firstLine="0"/>
      </w:pPr>
      <w:rPr>
        <w:spacing w:val="0"/>
        <w:w w:val="100"/>
      </w:rPr>
    </w:lvl>
  </w:abstractNum>
  <w:abstractNum w:abstractNumId="355">
    <w:nsid w:val="5E2335BE"/>
    <w:multiLevelType w:val="singleLevel"/>
    <w:tmpl w:val="B552AE14"/>
    <w:lvl w:ilvl="0">
      <w:start w:val="17"/>
      <w:numFmt w:val="decimal"/>
      <w:lvlRestart w:val="0"/>
      <w:lvlText w:val="%1."/>
      <w:lvlJc w:val="left"/>
      <w:pPr>
        <w:tabs>
          <w:tab w:val="num" w:pos="1742"/>
        </w:tabs>
        <w:ind w:left="1267" w:firstLine="0"/>
      </w:pPr>
      <w:rPr>
        <w:spacing w:val="0"/>
        <w:w w:val="100"/>
      </w:rPr>
    </w:lvl>
  </w:abstractNum>
  <w:abstractNum w:abstractNumId="356">
    <w:nsid w:val="5E2A3964"/>
    <w:multiLevelType w:val="singleLevel"/>
    <w:tmpl w:val="667863F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357">
    <w:nsid w:val="5E4F5502"/>
    <w:multiLevelType w:val="singleLevel"/>
    <w:tmpl w:val="C2D6420E"/>
    <w:lvl w:ilvl="0">
      <w:start w:val="18"/>
      <w:numFmt w:val="decimal"/>
      <w:lvlRestart w:val="0"/>
      <w:lvlText w:val="%1."/>
      <w:lvlJc w:val="left"/>
      <w:pPr>
        <w:tabs>
          <w:tab w:val="num" w:pos="475"/>
        </w:tabs>
        <w:ind w:left="0" w:firstLine="0"/>
      </w:pPr>
      <w:rPr>
        <w:spacing w:val="0"/>
        <w:w w:val="100"/>
      </w:rPr>
    </w:lvl>
  </w:abstractNum>
  <w:abstractNum w:abstractNumId="358">
    <w:nsid w:val="5EB8140A"/>
    <w:multiLevelType w:val="singleLevel"/>
    <w:tmpl w:val="6EBEEFBC"/>
    <w:lvl w:ilvl="0">
      <w:start w:val="138"/>
      <w:numFmt w:val="decimal"/>
      <w:lvlRestart w:val="0"/>
      <w:lvlText w:val="%1."/>
      <w:lvlJc w:val="left"/>
      <w:pPr>
        <w:tabs>
          <w:tab w:val="num" w:pos="475"/>
        </w:tabs>
        <w:ind w:left="0" w:firstLine="0"/>
      </w:pPr>
      <w:rPr>
        <w:spacing w:val="0"/>
        <w:w w:val="100"/>
      </w:rPr>
    </w:lvl>
  </w:abstractNum>
  <w:abstractNum w:abstractNumId="359">
    <w:nsid w:val="5EE963C2"/>
    <w:multiLevelType w:val="singleLevel"/>
    <w:tmpl w:val="9216EAD8"/>
    <w:lvl w:ilvl="0">
      <w:start w:val="28"/>
      <w:numFmt w:val="decimal"/>
      <w:lvlText w:val="%1."/>
      <w:lvlJc w:val="left"/>
      <w:pPr>
        <w:tabs>
          <w:tab w:val="num" w:pos="480"/>
        </w:tabs>
        <w:ind w:left="480" w:hanging="480"/>
      </w:pPr>
      <w:rPr>
        <w:rFonts w:hint="default"/>
      </w:rPr>
    </w:lvl>
  </w:abstractNum>
  <w:abstractNum w:abstractNumId="360">
    <w:nsid w:val="5FA04007"/>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361">
    <w:nsid w:val="5FAC25A7"/>
    <w:multiLevelType w:val="singleLevel"/>
    <w:tmpl w:val="8234A7CE"/>
    <w:lvl w:ilvl="0">
      <w:start w:val="240"/>
      <w:numFmt w:val="decimal"/>
      <w:lvlRestart w:val="0"/>
      <w:lvlText w:val="%1."/>
      <w:lvlJc w:val="left"/>
      <w:pPr>
        <w:tabs>
          <w:tab w:val="num" w:pos="475"/>
        </w:tabs>
        <w:ind w:left="0" w:firstLine="0"/>
      </w:pPr>
      <w:rPr>
        <w:spacing w:val="0"/>
        <w:w w:val="100"/>
      </w:rPr>
    </w:lvl>
  </w:abstractNum>
  <w:abstractNum w:abstractNumId="362">
    <w:nsid w:val="60153F7F"/>
    <w:multiLevelType w:val="singleLevel"/>
    <w:tmpl w:val="5560C728"/>
    <w:lvl w:ilvl="0">
      <w:start w:val="131"/>
      <w:numFmt w:val="decimal"/>
      <w:lvlRestart w:val="0"/>
      <w:lvlText w:val="%1."/>
      <w:lvlJc w:val="left"/>
      <w:pPr>
        <w:tabs>
          <w:tab w:val="num" w:pos="1742"/>
        </w:tabs>
        <w:ind w:left="1267" w:firstLine="0"/>
      </w:pPr>
      <w:rPr>
        <w:spacing w:val="0"/>
        <w:w w:val="100"/>
      </w:rPr>
    </w:lvl>
  </w:abstractNum>
  <w:abstractNum w:abstractNumId="363">
    <w:nsid w:val="609F1212"/>
    <w:multiLevelType w:val="singleLevel"/>
    <w:tmpl w:val="E1C83FB4"/>
    <w:lvl w:ilvl="0">
      <w:start w:val="1"/>
      <w:numFmt w:val="decimal"/>
      <w:lvlRestart w:val="0"/>
      <w:lvlText w:val="%1."/>
      <w:lvlJc w:val="left"/>
      <w:pPr>
        <w:tabs>
          <w:tab w:val="num" w:pos="475"/>
        </w:tabs>
        <w:ind w:left="0" w:firstLine="0"/>
      </w:pPr>
      <w:rPr>
        <w:b w:val="0"/>
        <w:i w:val="0"/>
        <w:spacing w:val="0"/>
        <w:w w:val="100"/>
      </w:rPr>
    </w:lvl>
  </w:abstractNum>
  <w:abstractNum w:abstractNumId="364">
    <w:nsid w:val="60C81E5F"/>
    <w:multiLevelType w:val="singleLevel"/>
    <w:tmpl w:val="28382EFC"/>
    <w:lvl w:ilvl="0">
      <w:start w:val="352"/>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365">
    <w:nsid w:val="60CD6838"/>
    <w:multiLevelType w:val="singleLevel"/>
    <w:tmpl w:val="0809000F"/>
    <w:lvl w:ilvl="0">
      <w:start w:val="1"/>
      <w:numFmt w:val="decimal"/>
      <w:lvlText w:val="%1."/>
      <w:lvlJc w:val="left"/>
      <w:pPr>
        <w:tabs>
          <w:tab w:val="num" w:pos="360"/>
        </w:tabs>
        <w:ind w:left="360" w:hanging="360"/>
      </w:pPr>
    </w:lvl>
  </w:abstractNum>
  <w:abstractNum w:abstractNumId="366">
    <w:nsid w:val="61430DD7"/>
    <w:multiLevelType w:val="singleLevel"/>
    <w:tmpl w:val="72A45EAC"/>
    <w:lvl w:ilvl="0">
      <w:start w:val="21"/>
      <w:numFmt w:val="decimal"/>
      <w:lvlRestart w:val="0"/>
      <w:lvlText w:val="%1."/>
      <w:lvlJc w:val="left"/>
      <w:pPr>
        <w:tabs>
          <w:tab w:val="num" w:pos="475"/>
        </w:tabs>
        <w:ind w:left="0" w:firstLine="0"/>
      </w:pPr>
      <w:rPr>
        <w:spacing w:val="0"/>
        <w:w w:val="100"/>
      </w:rPr>
    </w:lvl>
  </w:abstractNum>
  <w:abstractNum w:abstractNumId="367">
    <w:nsid w:val="61E7316B"/>
    <w:multiLevelType w:val="singleLevel"/>
    <w:tmpl w:val="72A45EAC"/>
    <w:lvl w:ilvl="0">
      <w:start w:val="21"/>
      <w:numFmt w:val="decimal"/>
      <w:lvlRestart w:val="0"/>
      <w:lvlText w:val="%1."/>
      <w:lvlJc w:val="left"/>
      <w:pPr>
        <w:tabs>
          <w:tab w:val="num" w:pos="475"/>
        </w:tabs>
        <w:ind w:left="0" w:firstLine="0"/>
      </w:pPr>
      <w:rPr>
        <w:spacing w:val="0"/>
        <w:w w:val="100"/>
      </w:rPr>
    </w:lvl>
  </w:abstractNum>
  <w:abstractNum w:abstractNumId="368">
    <w:nsid w:val="61ED1D56"/>
    <w:multiLevelType w:val="singleLevel"/>
    <w:tmpl w:val="6ACA4E86"/>
    <w:lvl w:ilvl="0">
      <w:start w:val="1"/>
      <w:numFmt w:val="decimal"/>
      <w:lvlRestart w:val="0"/>
      <w:lvlText w:val="%1."/>
      <w:lvlJc w:val="left"/>
      <w:pPr>
        <w:tabs>
          <w:tab w:val="num" w:pos="475"/>
        </w:tabs>
        <w:ind w:left="0" w:firstLine="0"/>
      </w:pPr>
      <w:rPr>
        <w:spacing w:val="0"/>
        <w:w w:val="100"/>
      </w:rPr>
    </w:lvl>
  </w:abstractNum>
  <w:abstractNum w:abstractNumId="369">
    <w:nsid w:val="62343150"/>
    <w:multiLevelType w:val="singleLevel"/>
    <w:tmpl w:val="B76E6C50"/>
    <w:lvl w:ilvl="0">
      <w:start w:val="1"/>
      <w:numFmt w:val="decimal"/>
      <w:lvlRestart w:val="0"/>
      <w:lvlText w:val="%1."/>
      <w:lvlJc w:val="left"/>
      <w:pPr>
        <w:tabs>
          <w:tab w:val="num" w:pos="475"/>
        </w:tabs>
        <w:ind w:left="0" w:firstLine="0"/>
      </w:pPr>
      <w:rPr>
        <w:spacing w:val="0"/>
        <w:w w:val="100"/>
      </w:rPr>
    </w:lvl>
  </w:abstractNum>
  <w:abstractNum w:abstractNumId="370">
    <w:nsid w:val="62470D69"/>
    <w:multiLevelType w:val="singleLevel"/>
    <w:tmpl w:val="4B6E29FA"/>
    <w:lvl w:ilvl="0">
      <w:start w:val="1"/>
      <w:numFmt w:val="decimal"/>
      <w:lvlRestart w:val="0"/>
      <w:lvlText w:val="%1."/>
      <w:lvlJc w:val="left"/>
      <w:pPr>
        <w:tabs>
          <w:tab w:val="num" w:pos="475"/>
        </w:tabs>
        <w:ind w:left="0" w:firstLine="0"/>
      </w:pPr>
      <w:rPr>
        <w:spacing w:val="0"/>
        <w:w w:val="100"/>
      </w:rPr>
    </w:lvl>
  </w:abstractNum>
  <w:abstractNum w:abstractNumId="371">
    <w:nsid w:val="629662FE"/>
    <w:multiLevelType w:val="singleLevel"/>
    <w:tmpl w:val="DEA64740"/>
    <w:lvl w:ilvl="0">
      <w:start w:val="166"/>
      <w:numFmt w:val="decimal"/>
      <w:lvlRestart w:val="0"/>
      <w:lvlText w:val="%1."/>
      <w:lvlJc w:val="left"/>
      <w:pPr>
        <w:tabs>
          <w:tab w:val="num" w:pos="475"/>
        </w:tabs>
        <w:ind w:left="0" w:firstLine="0"/>
      </w:pPr>
      <w:rPr>
        <w:b w:val="0"/>
        <w:i w:val="0"/>
        <w:spacing w:val="0"/>
        <w:w w:val="100"/>
      </w:rPr>
    </w:lvl>
  </w:abstractNum>
  <w:abstractNum w:abstractNumId="372">
    <w:nsid w:val="629C353F"/>
    <w:multiLevelType w:val="singleLevel"/>
    <w:tmpl w:val="CEA08348"/>
    <w:lvl w:ilvl="0">
      <w:start w:val="21"/>
      <w:numFmt w:val="decimal"/>
      <w:lvlRestart w:val="0"/>
      <w:lvlText w:val="%1."/>
      <w:lvlJc w:val="left"/>
      <w:pPr>
        <w:tabs>
          <w:tab w:val="num" w:pos="1742"/>
        </w:tabs>
        <w:ind w:left="1267" w:firstLine="0"/>
      </w:pPr>
      <w:rPr>
        <w:b w:val="0"/>
        <w:i w:val="0"/>
        <w:spacing w:val="0"/>
        <w:w w:val="100"/>
      </w:rPr>
    </w:lvl>
  </w:abstractNum>
  <w:abstractNum w:abstractNumId="373">
    <w:nsid w:val="62FB09AD"/>
    <w:multiLevelType w:val="singleLevel"/>
    <w:tmpl w:val="52E0CB14"/>
    <w:lvl w:ilvl="0">
      <w:start w:val="51"/>
      <w:numFmt w:val="decimal"/>
      <w:lvlRestart w:val="0"/>
      <w:lvlText w:val="%1."/>
      <w:lvlJc w:val="left"/>
      <w:pPr>
        <w:tabs>
          <w:tab w:val="num" w:pos="1742"/>
        </w:tabs>
        <w:ind w:left="1267" w:firstLine="0"/>
      </w:pPr>
      <w:rPr>
        <w:spacing w:val="0"/>
        <w:w w:val="100"/>
      </w:rPr>
    </w:lvl>
  </w:abstractNum>
  <w:abstractNum w:abstractNumId="374">
    <w:nsid w:val="633E7ECD"/>
    <w:multiLevelType w:val="singleLevel"/>
    <w:tmpl w:val="5280901A"/>
    <w:lvl w:ilvl="0">
      <w:start w:val="1"/>
      <w:numFmt w:val="decimal"/>
      <w:lvlRestart w:val="0"/>
      <w:lvlText w:val="%1."/>
      <w:lvlJc w:val="left"/>
      <w:pPr>
        <w:tabs>
          <w:tab w:val="num" w:pos="475"/>
        </w:tabs>
        <w:ind w:left="0" w:firstLine="0"/>
      </w:pPr>
      <w:rPr>
        <w:spacing w:val="0"/>
        <w:w w:val="100"/>
      </w:rPr>
    </w:lvl>
  </w:abstractNum>
  <w:abstractNum w:abstractNumId="375">
    <w:nsid w:val="63B30AC2"/>
    <w:multiLevelType w:val="singleLevel"/>
    <w:tmpl w:val="B4940574"/>
    <w:lvl w:ilvl="0">
      <w:start w:val="24"/>
      <w:numFmt w:val="decimal"/>
      <w:lvlText w:val="%1."/>
      <w:lvlJc w:val="left"/>
      <w:pPr>
        <w:tabs>
          <w:tab w:val="num" w:pos="480"/>
        </w:tabs>
        <w:ind w:left="480" w:hanging="480"/>
      </w:pPr>
      <w:rPr>
        <w:rFonts w:hint="default"/>
      </w:rPr>
    </w:lvl>
  </w:abstractNum>
  <w:abstractNum w:abstractNumId="376">
    <w:nsid w:val="640602E1"/>
    <w:multiLevelType w:val="singleLevel"/>
    <w:tmpl w:val="9482BD18"/>
    <w:lvl w:ilvl="0">
      <w:start w:val="366"/>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377">
    <w:nsid w:val="64A2699F"/>
    <w:multiLevelType w:val="singleLevel"/>
    <w:tmpl w:val="CCA6898E"/>
    <w:lvl w:ilvl="0">
      <w:start w:val="2"/>
      <w:numFmt w:val="decimal"/>
      <w:lvlRestart w:val="0"/>
      <w:lvlText w:val="%1."/>
      <w:lvlJc w:val="left"/>
      <w:pPr>
        <w:tabs>
          <w:tab w:val="num" w:pos="475"/>
        </w:tabs>
        <w:ind w:left="0" w:firstLine="0"/>
      </w:pPr>
      <w:rPr>
        <w:spacing w:val="0"/>
        <w:w w:val="100"/>
      </w:rPr>
    </w:lvl>
  </w:abstractNum>
  <w:abstractNum w:abstractNumId="378">
    <w:nsid w:val="6518197F"/>
    <w:multiLevelType w:val="singleLevel"/>
    <w:tmpl w:val="02FCB8D4"/>
    <w:lvl w:ilvl="0">
      <w:start w:val="1"/>
      <w:numFmt w:val="decimal"/>
      <w:lvlRestart w:val="0"/>
      <w:lvlText w:val="%1."/>
      <w:lvlJc w:val="left"/>
      <w:pPr>
        <w:tabs>
          <w:tab w:val="num" w:pos="475"/>
        </w:tabs>
        <w:ind w:left="0" w:firstLine="0"/>
      </w:pPr>
      <w:rPr>
        <w:b w:val="0"/>
        <w:i w:val="0"/>
        <w:spacing w:val="0"/>
        <w:w w:val="100"/>
      </w:rPr>
    </w:lvl>
  </w:abstractNum>
  <w:abstractNum w:abstractNumId="379">
    <w:nsid w:val="659A7F8F"/>
    <w:multiLevelType w:val="singleLevel"/>
    <w:tmpl w:val="B022793E"/>
    <w:lvl w:ilvl="0">
      <w:start w:val="1"/>
      <w:numFmt w:val="decimal"/>
      <w:lvlRestart w:val="0"/>
      <w:lvlText w:val="%1."/>
      <w:lvlJc w:val="left"/>
      <w:pPr>
        <w:tabs>
          <w:tab w:val="num" w:pos="475"/>
        </w:tabs>
        <w:ind w:left="0" w:firstLine="0"/>
      </w:pPr>
      <w:rPr>
        <w:b w:val="0"/>
        <w:i w:val="0"/>
        <w:spacing w:val="0"/>
        <w:w w:val="100"/>
      </w:rPr>
    </w:lvl>
  </w:abstractNum>
  <w:abstractNum w:abstractNumId="380">
    <w:nsid w:val="65A82626"/>
    <w:multiLevelType w:val="singleLevel"/>
    <w:tmpl w:val="32D47D48"/>
    <w:lvl w:ilvl="0">
      <w:start w:val="9"/>
      <w:numFmt w:val="decimal"/>
      <w:lvlRestart w:val="0"/>
      <w:lvlText w:val="%1."/>
      <w:lvlJc w:val="left"/>
      <w:pPr>
        <w:tabs>
          <w:tab w:val="num" w:pos="1742"/>
        </w:tabs>
        <w:ind w:left="1267" w:firstLine="0"/>
      </w:pPr>
      <w:rPr>
        <w:b w:val="0"/>
        <w:i w:val="0"/>
        <w:spacing w:val="0"/>
        <w:w w:val="100"/>
      </w:rPr>
    </w:lvl>
  </w:abstractNum>
  <w:abstractNum w:abstractNumId="381">
    <w:nsid w:val="668A7A51"/>
    <w:multiLevelType w:val="singleLevel"/>
    <w:tmpl w:val="EAE8686C"/>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382">
    <w:nsid w:val="66E941FA"/>
    <w:multiLevelType w:val="singleLevel"/>
    <w:tmpl w:val="5CCC9A8E"/>
    <w:lvl w:ilvl="0">
      <w:start w:val="1"/>
      <w:numFmt w:val="decimal"/>
      <w:lvlRestart w:val="0"/>
      <w:lvlText w:val="%1."/>
      <w:lvlJc w:val="left"/>
      <w:pPr>
        <w:tabs>
          <w:tab w:val="num" w:pos="475"/>
        </w:tabs>
        <w:ind w:left="0" w:firstLine="0"/>
      </w:pPr>
      <w:rPr>
        <w:spacing w:val="0"/>
        <w:w w:val="100"/>
      </w:rPr>
    </w:lvl>
  </w:abstractNum>
  <w:abstractNum w:abstractNumId="383">
    <w:nsid w:val="68293921"/>
    <w:multiLevelType w:val="singleLevel"/>
    <w:tmpl w:val="D304E828"/>
    <w:lvl w:ilvl="0">
      <w:start w:val="14"/>
      <w:numFmt w:val="decimal"/>
      <w:lvlRestart w:val="0"/>
      <w:lvlText w:val="%1."/>
      <w:lvlJc w:val="left"/>
      <w:pPr>
        <w:tabs>
          <w:tab w:val="num" w:pos="1742"/>
        </w:tabs>
        <w:ind w:left="1267" w:firstLine="0"/>
      </w:pPr>
      <w:rPr>
        <w:spacing w:val="0"/>
        <w:w w:val="100"/>
      </w:rPr>
    </w:lvl>
  </w:abstractNum>
  <w:abstractNum w:abstractNumId="384">
    <w:nsid w:val="68624778"/>
    <w:multiLevelType w:val="singleLevel"/>
    <w:tmpl w:val="42704DAA"/>
    <w:lvl w:ilvl="0">
      <w:start w:val="127"/>
      <w:numFmt w:val="decimal"/>
      <w:lvlRestart w:val="0"/>
      <w:lvlText w:val="%1."/>
      <w:lvlJc w:val="left"/>
      <w:pPr>
        <w:tabs>
          <w:tab w:val="num" w:pos="475"/>
        </w:tabs>
        <w:ind w:left="0" w:firstLine="0"/>
      </w:pPr>
      <w:rPr>
        <w:spacing w:val="0"/>
        <w:w w:val="100"/>
      </w:rPr>
    </w:lvl>
  </w:abstractNum>
  <w:abstractNum w:abstractNumId="385">
    <w:nsid w:val="688A4A0A"/>
    <w:multiLevelType w:val="singleLevel"/>
    <w:tmpl w:val="87B48F10"/>
    <w:lvl w:ilvl="0">
      <w:start w:val="1"/>
      <w:numFmt w:val="decimal"/>
      <w:lvlRestart w:val="0"/>
      <w:lvlText w:val="%1."/>
      <w:lvlJc w:val="left"/>
      <w:pPr>
        <w:tabs>
          <w:tab w:val="num" w:pos="475"/>
        </w:tabs>
        <w:ind w:left="0" w:firstLine="0"/>
      </w:pPr>
      <w:rPr>
        <w:b w:val="0"/>
        <w:i w:val="0"/>
        <w:spacing w:val="0"/>
        <w:w w:val="100"/>
      </w:rPr>
    </w:lvl>
  </w:abstractNum>
  <w:abstractNum w:abstractNumId="386">
    <w:nsid w:val="68E3119F"/>
    <w:multiLevelType w:val="singleLevel"/>
    <w:tmpl w:val="1B1E9558"/>
    <w:lvl w:ilvl="0">
      <w:start w:val="329"/>
      <w:numFmt w:val="decimal"/>
      <w:lvlRestart w:val="0"/>
      <w:lvlText w:val="%1."/>
      <w:lvlJc w:val="left"/>
      <w:pPr>
        <w:tabs>
          <w:tab w:val="num" w:pos="1742"/>
        </w:tabs>
        <w:ind w:left="1267" w:firstLine="0"/>
      </w:pPr>
      <w:rPr>
        <w:spacing w:val="0"/>
        <w:w w:val="100"/>
      </w:rPr>
    </w:lvl>
  </w:abstractNum>
  <w:abstractNum w:abstractNumId="387">
    <w:nsid w:val="696B77CB"/>
    <w:multiLevelType w:val="singleLevel"/>
    <w:tmpl w:val="EB56D264"/>
    <w:lvl w:ilvl="0">
      <w:start w:val="1"/>
      <w:numFmt w:val="decimal"/>
      <w:lvlRestart w:val="0"/>
      <w:lvlText w:val="%1."/>
      <w:lvlJc w:val="left"/>
      <w:pPr>
        <w:tabs>
          <w:tab w:val="num" w:pos="475"/>
        </w:tabs>
        <w:ind w:left="0" w:firstLine="0"/>
      </w:pPr>
      <w:rPr>
        <w:spacing w:val="0"/>
        <w:w w:val="100"/>
      </w:rPr>
    </w:lvl>
  </w:abstractNum>
  <w:abstractNum w:abstractNumId="388">
    <w:nsid w:val="6A5B04FC"/>
    <w:multiLevelType w:val="singleLevel"/>
    <w:tmpl w:val="4B6E29FA"/>
    <w:lvl w:ilvl="0">
      <w:start w:val="1"/>
      <w:numFmt w:val="decimal"/>
      <w:lvlRestart w:val="0"/>
      <w:lvlText w:val="%1."/>
      <w:lvlJc w:val="left"/>
      <w:pPr>
        <w:tabs>
          <w:tab w:val="num" w:pos="475"/>
        </w:tabs>
        <w:ind w:left="0" w:firstLine="0"/>
      </w:pPr>
      <w:rPr>
        <w:spacing w:val="0"/>
        <w:w w:val="100"/>
      </w:rPr>
    </w:lvl>
  </w:abstractNum>
  <w:abstractNum w:abstractNumId="389">
    <w:nsid w:val="6A5D4905"/>
    <w:multiLevelType w:val="singleLevel"/>
    <w:tmpl w:val="171AA0C2"/>
    <w:lvl w:ilvl="0">
      <w:start w:val="32"/>
      <w:numFmt w:val="decimal"/>
      <w:lvlText w:val="%1."/>
      <w:lvlJc w:val="left"/>
      <w:pPr>
        <w:tabs>
          <w:tab w:val="num" w:pos="480"/>
        </w:tabs>
        <w:ind w:left="480" w:hanging="480"/>
      </w:pPr>
      <w:rPr>
        <w:rFonts w:hint="default"/>
      </w:rPr>
    </w:lvl>
  </w:abstractNum>
  <w:abstractNum w:abstractNumId="390">
    <w:nsid w:val="6B4342C1"/>
    <w:multiLevelType w:val="singleLevel"/>
    <w:tmpl w:val="BCA831C0"/>
    <w:lvl w:ilvl="0">
      <w:start w:val="1"/>
      <w:numFmt w:val="decimal"/>
      <w:lvlRestart w:val="0"/>
      <w:lvlText w:val="%1."/>
      <w:lvlJc w:val="left"/>
      <w:pPr>
        <w:tabs>
          <w:tab w:val="num" w:pos="475"/>
        </w:tabs>
        <w:ind w:left="0" w:firstLine="0"/>
      </w:pPr>
      <w:rPr>
        <w:spacing w:val="0"/>
        <w:w w:val="100"/>
      </w:rPr>
    </w:lvl>
  </w:abstractNum>
  <w:abstractNum w:abstractNumId="391">
    <w:nsid w:val="6B630FCE"/>
    <w:multiLevelType w:val="singleLevel"/>
    <w:tmpl w:val="1DE684A2"/>
    <w:lvl w:ilvl="0">
      <w:start w:val="214"/>
      <w:numFmt w:val="decimal"/>
      <w:lvlRestart w:val="0"/>
      <w:lvlText w:val="%1."/>
      <w:lvlJc w:val="left"/>
      <w:pPr>
        <w:tabs>
          <w:tab w:val="num" w:pos="475"/>
        </w:tabs>
        <w:ind w:left="0" w:firstLine="0"/>
      </w:pPr>
      <w:rPr>
        <w:spacing w:val="0"/>
        <w:w w:val="100"/>
      </w:rPr>
    </w:lvl>
  </w:abstractNum>
  <w:abstractNum w:abstractNumId="392">
    <w:nsid w:val="6B76600F"/>
    <w:multiLevelType w:val="singleLevel"/>
    <w:tmpl w:val="C32C0074"/>
    <w:lvl w:ilvl="0">
      <w:start w:val="72"/>
      <w:numFmt w:val="decimal"/>
      <w:lvlRestart w:val="0"/>
      <w:lvlText w:val="%1."/>
      <w:lvlJc w:val="left"/>
      <w:pPr>
        <w:tabs>
          <w:tab w:val="num" w:pos="475"/>
        </w:tabs>
        <w:ind w:left="0" w:firstLine="0"/>
      </w:pPr>
      <w:rPr>
        <w:spacing w:val="0"/>
        <w:w w:val="100"/>
      </w:rPr>
    </w:lvl>
  </w:abstractNum>
  <w:abstractNum w:abstractNumId="393">
    <w:nsid w:val="6B793CEC"/>
    <w:multiLevelType w:val="singleLevel"/>
    <w:tmpl w:val="A314A824"/>
    <w:lvl w:ilvl="0">
      <w:start w:val="147"/>
      <w:numFmt w:val="decimal"/>
      <w:lvlRestart w:val="0"/>
      <w:lvlText w:val="%1."/>
      <w:lvlJc w:val="left"/>
      <w:pPr>
        <w:tabs>
          <w:tab w:val="num" w:pos="475"/>
        </w:tabs>
        <w:ind w:left="0" w:firstLine="0"/>
      </w:pPr>
      <w:rPr>
        <w:spacing w:val="0"/>
        <w:w w:val="100"/>
      </w:rPr>
    </w:lvl>
  </w:abstractNum>
  <w:abstractNum w:abstractNumId="394">
    <w:nsid w:val="6CB82371"/>
    <w:multiLevelType w:val="singleLevel"/>
    <w:tmpl w:val="EBBC1C8E"/>
    <w:lvl w:ilvl="0">
      <w:start w:val="70"/>
      <w:numFmt w:val="decimal"/>
      <w:lvlRestart w:val="0"/>
      <w:lvlText w:val="%1."/>
      <w:lvlJc w:val="left"/>
      <w:pPr>
        <w:tabs>
          <w:tab w:val="num" w:pos="475"/>
        </w:tabs>
        <w:ind w:left="0" w:firstLine="0"/>
      </w:pPr>
      <w:rPr>
        <w:b w:val="0"/>
        <w:i w:val="0"/>
        <w:spacing w:val="0"/>
        <w:w w:val="100"/>
      </w:rPr>
    </w:lvl>
  </w:abstractNum>
  <w:abstractNum w:abstractNumId="395">
    <w:nsid w:val="6CC51ADB"/>
    <w:multiLevelType w:val="singleLevel"/>
    <w:tmpl w:val="B7FCCC5C"/>
    <w:lvl w:ilvl="0">
      <w:start w:val="1"/>
      <w:numFmt w:val="decimal"/>
      <w:lvlRestart w:val="0"/>
      <w:lvlText w:val="%1."/>
      <w:lvlJc w:val="left"/>
      <w:pPr>
        <w:tabs>
          <w:tab w:val="num" w:pos="475"/>
        </w:tabs>
        <w:ind w:left="0" w:firstLine="0"/>
      </w:pPr>
      <w:rPr>
        <w:spacing w:val="0"/>
        <w:w w:val="100"/>
      </w:rPr>
    </w:lvl>
  </w:abstractNum>
  <w:abstractNum w:abstractNumId="396">
    <w:nsid w:val="6D2A2A3B"/>
    <w:multiLevelType w:val="singleLevel"/>
    <w:tmpl w:val="325A2828"/>
    <w:lvl w:ilvl="0">
      <w:start w:val="1"/>
      <w:numFmt w:val="decimal"/>
      <w:lvlRestart w:val="0"/>
      <w:lvlText w:val="%1."/>
      <w:lvlJc w:val="left"/>
      <w:pPr>
        <w:tabs>
          <w:tab w:val="num" w:pos="475"/>
        </w:tabs>
        <w:ind w:left="0" w:firstLine="0"/>
      </w:pPr>
      <w:rPr>
        <w:b w:val="0"/>
        <w:i w:val="0"/>
        <w:spacing w:val="0"/>
        <w:w w:val="100"/>
      </w:rPr>
    </w:lvl>
  </w:abstractNum>
  <w:abstractNum w:abstractNumId="397">
    <w:nsid w:val="6F456D41"/>
    <w:multiLevelType w:val="singleLevel"/>
    <w:tmpl w:val="15FCDDDC"/>
    <w:lvl w:ilvl="0">
      <w:start w:val="214"/>
      <w:numFmt w:val="decimal"/>
      <w:lvlRestart w:val="0"/>
      <w:lvlText w:val="%1."/>
      <w:lvlJc w:val="left"/>
      <w:pPr>
        <w:tabs>
          <w:tab w:val="num" w:pos="1742"/>
        </w:tabs>
        <w:ind w:left="1267" w:firstLine="0"/>
      </w:pPr>
      <w:rPr>
        <w:b w:val="0"/>
        <w:i w:val="0"/>
        <w:spacing w:val="0"/>
        <w:w w:val="100"/>
      </w:rPr>
    </w:lvl>
  </w:abstractNum>
  <w:abstractNum w:abstractNumId="398">
    <w:nsid w:val="6F973BE4"/>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399">
    <w:nsid w:val="6FA27C24"/>
    <w:multiLevelType w:val="singleLevel"/>
    <w:tmpl w:val="4988767C"/>
    <w:lvl w:ilvl="0">
      <w:start w:val="256"/>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400">
    <w:nsid w:val="6FA42B34"/>
    <w:multiLevelType w:val="singleLevel"/>
    <w:tmpl w:val="D828FAD8"/>
    <w:lvl w:ilvl="0">
      <w:start w:val="22"/>
      <w:numFmt w:val="decimal"/>
      <w:lvlRestart w:val="0"/>
      <w:lvlText w:val="%1."/>
      <w:lvlJc w:val="left"/>
      <w:pPr>
        <w:tabs>
          <w:tab w:val="num" w:pos="1742"/>
        </w:tabs>
        <w:ind w:left="1267" w:firstLine="0"/>
      </w:pPr>
      <w:rPr>
        <w:spacing w:val="0"/>
        <w:w w:val="100"/>
      </w:rPr>
    </w:lvl>
  </w:abstractNum>
  <w:abstractNum w:abstractNumId="401">
    <w:nsid w:val="6FD91DC5"/>
    <w:multiLevelType w:val="singleLevel"/>
    <w:tmpl w:val="4DB22140"/>
    <w:lvl w:ilvl="0">
      <w:start w:val="1"/>
      <w:numFmt w:val="decimal"/>
      <w:lvlRestart w:val="0"/>
      <w:lvlText w:val="%1."/>
      <w:lvlJc w:val="left"/>
      <w:pPr>
        <w:tabs>
          <w:tab w:val="num" w:pos="475"/>
        </w:tabs>
        <w:ind w:left="0" w:firstLine="0"/>
      </w:pPr>
      <w:rPr>
        <w:b w:val="0"/>
        <w:i w:val="0"/>
        <w:spacing w:val="0"/>
        <w:w w:val="100"/>
      </w:rPr>
    </w:lvl>
  </w:abstractNum>
  <w:abstractNum w:abstractNumId="402">
    <w:nsid w:val="6FDE62C5"/>
    <w:multiLevelType w:val="singleLevel"/>
    <w:tmpl w:val="B40E114E"/>
    <w:lvl w:ilvl="0">
      <w:start w:val="47"/>
      <w:numFmt w:val="decimal"/>
      <w:lvlText w:val="%1."/>
      <w:lvlJc w:val="left"/>
      <w:pPr>
        <w:tabs>
          <w:tab w:val="num" w:pos="480"/>
        </w:tabs>
        <w:ind w:left="480" w:hanging="480"/>
      </w:pPr>
      <w:rPr>
        <w:rFonts w:hint="default"/>
      </w:rPr>
    </w:lvl>
  </w:abstractNum>
  <w:abstractNum w:abstractNumId="403">
    <w:nsid w:val="70012575"/>
    <w:multiLevelType w:val="singleLevel"/>
    <w:tmpl w:val="52E0CB14"/>
    <w:lvl w:ilvl="0">
      <w:start w:val="51"/>
      <w:numFmt w:val="decimal"/>
      <w:lvlRestart w:val="0"/>
      <w:lvlText w:val="%1."/>
      <w:lvlJc w:val="left"/>
      <w:pPr>
        <w:tabs>
          <w:tab w:val="num" w:pos="1742"/>
        </w:tabs>
        <w:ind w:left="1267" w:firstLine="0"/>
      </w:pPr>
      <w:rPr>
        <w:spacing w:val="0"/>
        <w:w w:val="100"/>
      </w:rPr>
    </w:lvl>
  </w:abstractNum>
  <w:abstractNum w:abstractNumId="404">
    <w:nsid w:val="7003000C"/>
    <w:multiLevelType w:val="singleLevel"/>
    <w:tmpl w:val="2EE215C8"/>
    <w:lvl w:ilvl="0">
      <w:start w:val="13"/>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405">
    <w:nsid w:val="70123BB1"/>
    <w:multiLevelType w:val="singleLevel"/>
    <w:tmpl w:val="7AC2C962"/>
    <w:lvl w:ilvl="0">
      <w:start w:val="1"/>
      <w:numFmt w:val="decimal"/>
      <w:lvlRestart w:val="0"/>
      <w:lvlText w:val="%1."/>
      <w:lvlJc w:val="left"/>
      <w:pPr>
        <w:tabs>
          <w:tab w:val="num" w:pos="475"/>
        </w:tabs>
        <w:ind w:left="0" w:firstLine="0"/>
      </w:pPr>
      <w:rPr>
        <w:b w:val="0"/>
        <w:i w:val="0"/>
        <w:spacing w:val="0"/>
        <w:w w:val="100"/>
        <w:u w:val="none"/>
      </w:rPr>
    </w:lvl>
  </w:abstractNum>
  <w:abstractNum w:abstractNumId="406">
    <w:nsid w:val="70134A97"/>
    <w:multiLevelType w:val="singleLevel"/>
    <w:tmpl w:val="371ED396"/>
    <w:lvl w:ilvl="0">
      <w:start w:val="75"/>
      <w:numFmt w:val="decimal"/>
      <w:lvlRestart w:val="0"/>
      <w:lvlText w:val="%1."/>
      <w:lvlJc w:val="left"/>
      <w:pPr>
        <w:tabs>
          <w:tab w:val="num" w:pos="475"/>
        </w:tabs>
        <w:ind w:left="0" w:firstLine="0"/>
      </w:pPr>
      <w:rPr>
        <w:spacing w:val="0"/>
        <w:w w:val="100"/>
      </w:rPr>
    </w:lvl>
  </w:abstractNum>
  <w:abstractNum w:abstractNumId="407">
    <w:nsid w:val="70204F09"/>
    <w:multiLevelType w:val="singleLevel"/>
    <w:tmpl w:val="4DC4AC48"/>
    <w:lvl w:ilvl="0">
      <w:start w:val="119"/>
      <w:numFmt w:val="decimal"/>
      <w:lvlRestart w:val="0"/>
      <w:lvlText w:val="%1."/>
      <w:lvlJc w:val="left"/>
      <w:pPr>
        <w:tabs>
          <w:tab w:val="num" w:pos="475"/>
        </w:tabs>
        <w:ind w:left="0" w:firstLine="0"/>
      </w:pPr>
      <w:rPr>
        <w:spacing w:val="0"/>
        <w:w w:val="100"/>
      </w:rPr>
    </w:lvl>
  </w:abstractNum>
  <w:abstractNum w:abstractNumId="408">
    <w:nsid w:val="709B45FE"/>
    <w:multiLevelType w:val="multilevel"/>
    <w:tmpl w:val="702A9AD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09">
    <w:nsid w:val="70B04E62"/>
    <w:multiLevelType w:val="singleLevel"/>
    <w:tmpl w:val="89E6BE54"/>
    <w:lvl w:ilvl="0">
      <w:start w:val="26"/>
      <w:numFmt w:val="decimal"/>
      <w:lvlText w:val="%1."/>
      <w:lvlJc w:val="left"/>
      <w:pPr>
        <w:tabs>
          <w:tab w:val="num" w:pos="480"/>
        </w:tabs>
        <w:ind w:left="480" w:hanging="480"/>
      </w:pPr>
      <w:rPr>
        <w:rFonts w:hint="default"/>
      </w:rPr>
    </w:lvl>
  </w:abstractNum>
  <w:abstractNum w:abstractNumId="410">
    <w:nsid w:val="70FE0748"/>
    <w:multiLevelType w:val="singleLevel"/>
    <w:tmpl w:val="250A79BE"/>
    <w:lvl w:ilvl="0">
      <w:start w:val="334"/>
      <w:numFmt w:val="decimal"/>
      <w:lvlRestart w:val="0"/>
      <w:lvlText w:val="%1."/>
      <w:lvlJc w:val="left"/>
      <w:pPr>
        <w:tabs>
          <w:tab w:val="num" w:pos="475"/>
        </w:tabs>
        <w:ind w:left="0" w:firstLine="0"/>
      </w:pPr>
      <w:rPr>
        <w:spacing w:val="0"/>
        <w:w w:val="100"/>
      </w:rPr>
    </w:lvl>
  </w:abstractNum>
  <w:abstractNum w:abstractNumId="411">
    <w:nsid w:val="712565E7"/>
    <w:multiLevelType w:val="singleLevel"/>
    <w:tmpl w:val="E93C2230"/>
    <w:lvl w:ilvl="0">
      <w:start w:val="279"/>
      <w:numFmt w:val="decimal"/>
      <w:lvlRestart w:val="0"/>
      <w:lvlText w:val="%1."/>
      <w:lvlJc w:val="left"/>
      <w:pPr>
        <w:tabs>
          <w:tab w:val="num" w:pos="475"/>
        </w:tabs>
        <w:ind w:left="0" w:firstLine="0"/>
      </w:pPr>
      <w:rPr>
        <w:spacing w:val="0"/>
        <w:w w:val="100"/>
      </w:rPr>
    </w:lvl>
  </w:abstractNum>
  <w:abstractNum w:abstractNumId="412">
    <w:nsid w:val="71772289"/>
    <w:multiLevelType w:val="singleLevel"/>
    <w:tmpl w:val="6A327B08"/>
    <w:lvl w:ilvl="0">
      <w:start w:val="122"/>
      <w:numFmt w:val="decimal"/>
      <w:lvlRestart w:val="0"/>
      <w:lvlText w:val="%1."/>
      <w:lvlJc w:val="left"/>
      <w:pPr>
        <w:tabs>
          <w:tab w:val="num" w:pos="1742"/>
        </w:tabs>
        <w:ind w:left="1267" w:firstLine="0"/>
      </w:pPr>
      <w:rPr>
        <w:b w:val="0"/>
        <w:i w:val="0"/>
        <w:spacing w:val="0"/>
        <w:w w:val="100"/>
      </w:rPr>
    </w:lvl>
  </w:abstractNum>
  <w:abstractNum w:abstractNumId="413">
    <w:nsid w:val="71842374"/>
    <w:multiLevelType w:val="singleLevel"/>
    <w:tmpl w:val="DF52D3D4"/>
    <w:lvl w:ilvl="0">
      <w:start w:val="16"/>
      <w:numFmt w:val="decimal"/>
      <w:lvlRestart w:val="0"/>
      <w:lvlText w:val="%1."/>
      <w:lvlJc w:val="left"/>
      <w:pPr>
        <w:tabs>
          <w:tab w:val="num" w:pos="1742"/>
        </w:tabs>
        <w:ind w:left="1267" w:firstLine="0"/>
      </w:pPr>
      <w:rPr>
        <w:spacing w:val="0"/>
        <w:w w:val="100"/>
      </w:rPr>
    </w:lvl>
  </w:abstractNum>
  <w:abstractNum w:abstractNumId="414">
    <w:nsid w:val="718F5633"/>
    <w:multiLevelType w:val="singleLevel"/>
    <w:tmpl w:val="5C9A0952"/>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u w:val="none"/>
      </w:rPr>
    </w:lvl>
  </w:abstractNum>
  <w:abstractNum w:abstractNumId="415">
    <w:nsid w:val="71B340D8"/>
    <w:multiLevelType w:val="singleLevel"/>
    <w:tmpl w:val="CC3A4C84"/>
    <w:lvl w:ilvl="0">
      <w:start w:val="258"/>
      <w:numFmt w:val="decimal"/>
      <w:lvlRestart w:val="0"/>
      <w:lvlText w:val="%1."/>
      <w:lvlJc w:val="left"/>
      <w:pPr>
        <w:tabs>
          <w:tab w:val="num" w:pos="475"/>
        </w:tabs>
        <w:ind w:left="0" w:firstLine="0"/>
      </w:pPr>
      <w:rPr>
        <w:b w:val="0"/>
        <w:i w:val="0"/>
        <w:spacing w:val="0"/>
        <w:w w:val="100"/>
      </w:rPr>
    </w:lvl>
  </w:abstractNum>
  <w:abstractNum w:abstractNumId="416">
    <w:nsid w:val="72562E08"/>
    <w:multiLevelType w:val="singleLevel"/>
    <w:tmpl w:val="667863F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417">
    <w:nsid w:val="72737072"/>
    <w:multiLevelType w:val="singleLevel"/>
    <w:tmpl w:val="DDC44380"/>
    <w:lvl w:ilvl="0">
      <w:start w:val="68"/>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418">
    <w:nsid w:val="727839D7"/>
    <w:multiLevelType w:val="singleLevel"/>
    <w:tmpl w:val="02CE1B4C"/>
    <w:lvl w:ilvl="0">
      <w:start w:val="19"/>
      <w:numFmt w:val="decimal"/>
      <w:lvlRestart w:val="0"/>
      <w:lvlText w:val="%1."/>
      <w:lvlJc w:val="left"/>
      <w:pPr>
        <w:tabs>
          <w:tab w:val="num" w:pos="475"/>
        </w:tabs>
        <w:ind w:left="0" w:firstLine="0"/>
      </w:pPr>
      <w:rPr>
        <w:spacing w:val="0"/>
        <w:w w:val="100"/>
      </w:rPr>
    </w:lvl>
  </w:abstractNum>
  <w:abstractNum w:abstractNumId="419">
    <w:nsid w:val="727F4932"/>
    <w:multiLevelType w:val="singleLevel"/>
    <w:tmpl w:val="71A4FAB0"/>
    <w:lvl w:ilvl="0">
      <w:start w:val="53"/>
      <w:numFmt w:val="decimal"/>
      <w:lvlRestart w:val="0"/>
      <w:lvlText w:val="%1."/>
      <w:lvlJc w:val="left"/>
      <w:pPr>
        <w:tabs>
          <w:tab w:val="num" w:pos="475"/>
        </w:tabs>
        <w:ind w:left="0" w:firstLine="0"/>
      </w:pPr>
      <w:rPr>
        <w:spacing w:val="0"/>
        <w:w w:val="100"/>
      </w:rPr>
    </w:lvl>
  </w:abstractNum>
  <w:abstractNum w:abstractNumId="420">
    <w:nsid w:val="72BD11B0"/>
    <w:multiLevelType w:val="singleLevel"/>
    <w:tmpl w:val="9CC23114"/>
    <w:lvl w:ilvl="0">
      <w:start w:val="4"/>
      <w:numFmt w:val="decimal"/>
      <w:lvlText w:val="%1."/>
      <w:lvlJc w:val="left"/>
      <w:pPr>
        <w:tabs>
          <w:tab w:val="num" w:pos="480"/>
        </w:tabs>
        <w:ind w:left="480" w:hanging="480"/>
      </w:pPr>
      <w:rPr>
        <w:rFonts w:hint="default"/>
      </w:rPr>
    </w:lvl>
  </w:abstractNum>
  <w:abstractNum w:abstractNumId="421">
    <w:nsid w:val="72D81C0B"/>
    <w:multiLevelType w:val="singleLevel"/>
    <w:tmpl w:val="3C863912"/>
    <w:lvl w:ilvl="0">
      <w:start w:val="118"/>
      <w:numFmt w:val="decimal"/>
      <w:lvlRestart w:val="0"/>
      <w:lvlText w:val="%1."/>
      <w:lvlJc w:val="left"/>
      <w:pPr>
        <w:tabs>
          <w:tab w:val="num" w:pos="475"/>
        </w:tabs>
        <w:ind w:left="0" w:firstLine="0"/>
      </w:pPr>
      <w:rPr>
        <w:spacing w:val="0"/>
        <w:w w:val="100"/>
      </w:rPr>
    </w:lvl>
  </w:abstractNum>
  <w:abstractNum w:abstractNumId="422">
    <w:nsid w:val="72FB4F05"/>
    <w:multiLevelType w:val="singleLevel"/>
    <w:tmpl w:val="B3F4499A"/>
    <w:lvl w:ilvl="0">
      <w:start w:val="61"/>
      <w:numFmt w:val="decimal"/>
      <w:lvlRestart w:val="0"/>
      <w:lvlText w:val="%1."/>
      <w:lvlJc w:val="left"/>
      <w:pPr>
        <w:tabs>
          <w:tab w:val="num" w:pos="475"/>
        </w:tabs>
        <w:ind w:left="0" w:firstLine="0"/>
      </w:pPr>
      <w:rPr>
        <w:spacing w:val="0"/>
        <w:w w:val="100"/>
      </w:rPr>
    </w:lvl>
  </w:abstractNum>
  <w:abstractNum w:abstractNumId="423">
    <w:nsid w:val="733F7CF2"/>
    <w:multiLevelType w:val="singleLevel"/>
    <w:tmpl w:val="F3E2DB8A"/>
    <w:lvl w:ilvl="0">
      <w:start w:val="386"/>
      <w:numFmt w:val="decimal"/>
      <w:lvlRestart w:val="0"/>
      <w:lvlText w:val="%1."/>
      <w:lvlJc w:val="left"/>
      <w:pPr>
        <w:tabs>
          <w:tab w:val="num" w:pos="475"/>
        </w:tabs>
        <w:ind w:left="0" w:firstLine="0"/>
      </w:pPr>
      <w:rPr>
        <w:b w:val="0"/>
        <w:i w:val="0"/>
        <w:spacing w:val="0"/>
        <w:w w:val="100"/>
        <w:sz w:val="20"/>
      </w:rPr>
    </w:lvl>
  </w:abstractNum>
  <w:abstractNum w:abstractNumId="424">
    <w:nsid w:val="73443867"/>
    <w:multiLevelType w:val="singleLevel"/>
    <w:tmpl w:val="47B8E70A"/>
    <w:lvl w:ilvl="0">
      <w:start w:val="10"/>
      <w:numFmt w:val="decimal"/>
      <w:lvlRestart w:val="0"/>
      <w:lvlText w:val="%1."/>
      <w:lvlJc w:val="left"/>
      <w:pPr>
        <w:tabs>
          <w:tab w:val="num" w:pos="1742"/>
        </w:tabs>
        <w:ind w:left="1267" w:firstLine="0"/>
      </w:pPr>
      <w:rPr>
        <w:spacing w:val="0"/>
        <w:w w:val="100"/>
      </w:rPr>
    </w:lvl>
  </w:abstractNum>
  <w:abstractNum w:abstractNumId="425">
    <w:nsid w:val="737227C7"/>
    <w:multiLevelType w:val="singleLevel"/>
    <w:tmpl w:val="592AFA32"/>
    <w:lvl w:ilvl="0">
      <w:start w:val="1"/>
      <w:numFmt w:val="decimal"/>
      <w:lvlText w:val="%1."/>
      <w:lvlJc w:val="left"/>
      <w:pPr>
        <w:tabs>
          <w:tab w:val="num" w:pos="1627"/>
        </w:tabs>
        <w:ind w:left="1627" w:hanging="360"/>
      </w:pPr>
      <w:rPr>
        <w:rFonts w:hint="default"/>
      </w:rPr>
    </w:lvl>
  </w:abstractNum>
  <w:abstractNum w:abstractNumId="426">
    <w:nsid w:val="739905AE"/>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427">
    <w:nsid w:val="74041DC8"/>
    <w:multiLevelType w:val="singleLevel"/>
    <w:tmpl w:val="0E24F236"/>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428">
    <w:nsid w:val="74355377"/>
    <w:multiLevelType w:val="singleLevel"/>
    <w:tmpl w:val="0FC450AC"/>
    <w:lvl w:ilvl="0">
      <w:start w:val="1"/>
      <w:numFmt w:val="decimal"/>
      <w:lvlRestart w:val="0"/>
      <w:lvlText w:val="%1."/>
      <w:lvlJc w:val="left"/>
      <w:pPr>
        <w:tabs>
          <w:tab w:val="num" w:pos="475"/>
        </w:tabs>
        <w:ind w:left="0" w:firstLine="0"/>
      </w:pPr>
      <w:rPr>
        <w:spacing w:val="0"/>
        <w:w w:val="100"/>
      </w:rPr>
    </w:lvl>
  </w:abstractNum>
  <w:abstractNum w:abstractNumId="429">
    <w:nsid w:val="74C02B3D"/>
    <w:multiLevelType w:val="singleLevel"/>
    <w:tmpl w:val="C262B08E"/>
    <w:lvl w:ilvl="0">
      <w:start w:val="65"/>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430">
    <w:nsid w:val="74E54EF3"/>
    <w:multiLevelType w:val="singleLevel"/>
    <w:tmpl w:val="25F47790"/>
    <w:lvl w:ilvl="0">
      <w:start w:val="45"/>
      <w:numFmt w:val="decimal"/>
      <w:lvlText w:val="%1."/>
      <w:lvlJc w:val="left"/>
      <w:pPr>
        <w:tabs>
          <w:tab w:val="num" w:pos="480"/>
        </w:tabs>
        <w:ind w:left="480" w:hanging="480"/>
      </w:pPr>
      <w:rPr>
        <w:rFonts w:hint="default"/>
      </w:rPr>
    </w:lvl>
  </w:abstractNum>
  <w:abstractNum w:abstractNumId="431">
    <w:nsid w:val="74F405DF"/>
    <w:multiLevelType w:val="singleLevel"/>
    <w:tmpl w:val="C0C61C86"/>
    <w:lvl w:ilvl="0">
      <w:start w:val="30"/>
      <w:numFmt w:val="decimal"/>
      <w:lvlRestart w:val="0"/>
      <w:lvlText w:val="%1."/>
      <w:lvlJc w:val="left"/>
      <w:pPr>
        <w:tabs>
          <w:tab w:val="num" w:pos="1742"/>
        </w:tabs>
        <w:ind w:left="1267" w:firstLine="0"/>
      </w:pPr>
      <w:rPr>
        <w:b w:val="0"/>
        <w:i w:val="0"/>
        <w:spacing w:val="0"/>
        <w:w w:val="100"/>
      </w:rPr>
    </w:lvl>
  </w:abstractNum>
  <w:abstractNum w:abstractNumId="432">
    <w:nsid w:val="755B6849"/>
    <w:multiLevelType w:val="singleLevel"/>
    <w:tmpl w:val="D898BF94"/>
    <w:lvl w:ilvl="0">
      <w:start w:val="9"/>
      <w:numFmt w:val="decimal"/>
      <w:lvlRestart w:val="0"/>
      <w:lvlText w:val="%1."/>
      <w:lvlJc w:val="left"/>
      <w:pPr>
        <w:tabs>
          <w:tab w:val="num" w:pos="475"/>
        </w:tabs>
        <w:ind w:left="0" w:firstLine="0"/>
      </w:pPr>
      <w:rPr>
        <w:spacing w:val="0"/>
        <w:w w:val="100"/>
      </w:rPr>
    </w:lvl>
  </w:abstractNum>
  <w:abstractNum w:abstractNumId="433">
    <w:nsid w:val="767E0F2B"/>
    <w:multiLevelType w:val="singleLevel"/>
    <w:tmpl w:val="5C245148"/>
    <w:lvl w:ilvl="0">
      <w:start w:val="1"/>
      <w:numFmt w:val="decimal"/>
      <w:lvlRestart w:val="0"/>
      <w:lvlText w:val="%1."/>
      <w:lvlJc w:val="left"/>
      <w:pPr>
        <w:tabs>
          <w:tab w:val="num" w:pos="475"/>
        </w:tabs>
        <w:ind w:left="0" w:firstLine="0"/>
      </w:pPr>
      <w:rPr>
        <w:spacing w:val="0"/>
        <w:w w:val="100"/>
      </w:rPr>
    </w:lvl>
  </w:abstractNum>
  <w:abstractNum w:abstractNumId="434">
    <w:nsid w:val="76810326"/>
    <w:multiLevelType w:val="singleLevel"/>
    <w:tmpl w:val="E782F134"/>
    <w:lvl w:ilvl="0">
      <w:start w:val="13"/>
      <w:numFmt w:val="decimal"/>
      <w:lvlRestart w:val="0"/>
      <w:lvlText w:val="%1."/>
      <w:lvlJc w:val="left"/>
      <w:pPr>
        <w:tabs>
          <w:tab w:val="num" w:pos="1742"/>
        </w:tabs>
        <w:ind w:left="1267" w:firstLine="0"/>
      </w:pPr>
      <w:rPr>
        <w:spacing w:val="0"/>
        <w:w w:val="100"/>
      </w:rPr>
    </w:lvl>
  </w:abstractNum>
  <w:abstractNum w:abstractNumId="435">
    <w:nsid w:val="768114B7"/>
    <w:multiLevelType w:val="singleLevel"/>
    <w:tmpl w:val="EEACF91A"/>
    <w:lvl w:ilvl="0">
      <w:start w:val="30"/>
      <w:numFmt w:val="decimal"/>
      <w:lvlRestart w:val="0"/>
      <w:lvlText w:val="%1."/>
      <w:lvlJc w:val="left"/>
      <w:pPr>
        <w:tabs>
          <w:tab w:val="num" w:pos="475"/>
        </w:tabs>
        <w:ind w:left="0" w:firstLine="0"/>
      </w:pPr>
      <w:rPr>
        <w:spacing w:val="0"/>
        <w:w w:val="100"/>
      </w:rPr>
    </w:lvl>
  </w:abstractNum>
  <w:abstractNum w:abstractNumId="436">
    <w:nsid w:val="76EA3268"/>
    <w:multiLevelType w:val="singleLevel"/>
    <w:tmpl w:val="974CD662"/>
    <w:lvl w:ilvl="0">
      <w:start w:val="74"/>
      <w:numFmt w:val="decimal"/>
      <w:lvlRestart w:val="0"/>
      <w:lvlText w:val="%1."/>
      <w:lvlJc w:val="left"/>
      <w:pPr>
        <w:tabs>
          <w:tab w:val="num" w:pos="475"/>
        </w:tabs>
        <w:ind w:left="0" w:firstLine="0"/>
      </w:pPr>
      <w:rPr>
        <w:spacing w:val="0"/>
        <w:w w:val="100"/>
      </w:rPr>
    </w:lvl>
  </w:abstractNum>
  <w:abstractNum w:abstractNumId="437">
    <w:nsid w:val="76F43201"/>
    <w:multiLevelType w:val="singleLevel"/>
    <w:tmpl w:val="CE1A6338"/>
    <w:lvl w:ilvl="0">
      <w:start w:val="306"/>
      <w:numFmt w:val="decimal"/>
      <w:lvlRestart w:val="0"/>
      <w:lvlText w:val="%1."/>
      <w:lvlJc w:val="left"/>
      <w:pPr>
        <w:tabs>
          <w:tab w:val="num" w:pos="475"/>
        </w:tabs>
        <w:ind w:left="0" w:firstLine="0"/>
      </w:pPr>
      <w:rPr>
        <w:spacing w:val="0"/>
        <w:w w:val="100"/>
      </w:rPr>
    </w:lvl>
  </w:abstractNum>
  <w:abstractNum w:abstractNumId="438">
    <w:nsid w:val="76FB5DC0"/>
    <w:multiLevelType w:val="singleLevel"/>
    <w:tmpl w:val="16287820"/>
    <w:lvl w:ilvl="0">
      <w:start w:val="234"/>
      <w:numFmt w:val="decimal"/>
      <w:lvlRestart w:val="0"/>
      <w:lvlText w:val="%1."/>
      <w:lvlJc w:val="left"/>
      <w:pPr>
        <w:tabs>
          <w:tab w:val="num" w:pos="1742"/>
        </w:tabs>
        <w:ind w:left="1267" w:firstLine="0"/>
      </w:pPr>
      <w:rPr>
        <w:b w:val="0"/>
        <w:i w:val="0"/>
        <w:spacing w:val="0"/>
        <w:w w:val="100"/>
        <w:sz w:val="20"/>
      </w:rPr>
    </w:lvl>
  </w:abstractNum>
  <w:abstractNum w:abstractNumId="439">
    <w:nsid w:val="773D3EB9"/>
    <w:multiLevelType w:val="singleLevel"/>
    <w:tmpl w:val="3072F59C"/>
    <w:lvl w:ilvl="0">
      <w:start w:val="8"/>
      <w:numFmt w:val="decimal"/>
      <w:lvlRestart w:val="0"/>
      <w:lvlText w:val="%1."/>
      <w:lvlJc w:val="left"/>
      <w:pPr>
        <w:tabs>
          <w:tab w:val="num" w:pos="1742"/>
        </w:tabs>
        <w:ind w:left="1267" w:firstLine="0"/>
      </w:pPr>
      <w:rPr>
        <w:spacing w:val="0"/>
        <w:w w:val="100"/>
      </w:rPr>
    </w:lvl>
  </w:abstractNum>
  <w:abstractNum w:abstractNumId="440">
    <w:nsid w:val="775266A9"/>
    <w:multiLevelType w:val="multilevel"/>
    <w:tmpl w:val="F1A60414"/>
    <w:lvl w:ilvl="0">
      <w:start w:val="1"/>
      <w:numFmt w:val="decimal"/>
      <w:lvlText w:val="%1."/>
      <w:lvlJc w:val="left"/>
      <w:pPr>
        <w:tabs>
          <w:tab w:val="num" w:pos="1080"/>
        </w:tabs>
        <w:ind w:left="1080" w:hanging="72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1">
    <w:nsid w:val="77857DEF"/>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442">
    <w:nsid w:val="77E02254"/>
    <w:multiLevelType w:val="singleLevel"/>
    <w:tmpl w:val="DE12E8A0"/>
    <w:lvl w:ilvl="0">
      <w:start w:val="76"/>
      <w:numFmt w:val="decimal"/>
      <w:lvlRestart w:val="0"/>
      <w:lvlText w:val="%1."/>
      <w:lvlJc w:val="left"/>
      <w:pPr>
        <w:tabs>
          <w:tab w:val="num" w:pos="1742"/>
        </w:tabs>
        <w:ind w:left="1267" w:firstLine="0"/>
      </w:pPr>
      <w:rPr>
        <w:spacing w:val="0"/>
        <w:w w:val="100"/>
      </w:rPr>
    </w:lvl>
  </w:abstractNum>
  <w:abstractNum w:abstractNumId="443">
    <w:nsid w:val="781D51E0"/>
    <w:multiLevelType w:val="singleLevel"/>
    <w:tmpl w:val="02804426"/>
    <w:lvl w:ilvl="0">
      <w:start w:val="58"/>
      <w:numFmt w:val="decimal"/>
      <w:lvlRestart w:val="0"/>
      <w:lvlText w:val="%1."/>
      <w:lvlJc w:val="left"/>
      <w:pPr>
        <w:tabs>
          <w:tab w:val="num" w:pos="475"/>
        </w:tabs>
        <w:ind w:left="0" w:firstLine="0"/>
      </w:pPr>
      <w:rPr>
        <w:spacing w:val="0"/>
        <w:w w:val="100"/>
      </w:rPr>
    </w:lvl>
  </w:abstractNum>
  <w:abstractNum w:abstractNumId="444">
    <w:nsid w:val="78343DF3"/>
    <w:multiLevelType w:val="singleLevel"/>
    <w:tmpl w:val="B15EEE8C"/>
    <w:lvl w:ilvl="0">
      <w:start w:val="9"/>
      <w:numFmt w:val="decimal"/>
      <w:lvlRestart w:val="0"/>
      <w:lvlText w:val="%1."/>
      <w:lvlJc w:val="left"/>
      <w:pPr>
        <w:tabs>
          <w:tab w:val="num" w:pos="1742"/>
        </w:tabs>
        <w:ind w:left="1267" w:firstLine="0"/>
      </w:pPr>
      <w:rPr>
        <w:spacing w:val="0"/>
        <w:w w:val="100"/>
      </w:rPr>
    </w:lvl>
  </w:abstractNum>
  <w:abstractNum w:abstractNumId="445">
    <w:nsid w:val="78774A70"/>
    <w:multiLevelType w:val="singleLevel"/>
    <w:tmpl w:val="02FCB8D4"/>
    <w:lvl w:ilvl="0">
      <w:start w:val="1"/>
      <w:numFmt w:val="decimal"/>
      <w:lvlRestart w:val="0"/>
      <w:lvlText w:val="%1."/>
      <w:lvlJc w:val="left"/>
      <w:pPr>
        <w:tabs>
          <w:tab w:val="num" w:pos="475"/>
        </w:tabs>
        <w:ind w:left="0" w:firstLine="0"/>
      </w:pPr>
      <w:rPr>
        <w:b w:val="0"/>
        <w:i w:val="0"/>
        <w:spacing w:val="0"/>
        <w:w w:val="100"/>
      </w:rPr>
    </w:lvl>
  </w:abstractNum>
  <w:abstractNum w:abstractNumId="446">
    <w:nsid w:val="78994E28"/>
    <w:multiLevelType w:val="singleLevel"/>
    <w:tmpl w:val="35789752"/>
    <w:lvl w:ilvl="0">
      <w:start w:val="97"/>
      <w:numFmt w:val="decimal"/>
      <w:lvlRestart w:val="0"/>
      <w:lvlText w:val="%1."/>
      <w:lvlJc w:val="left"/>
      <w:pPr>
        <w:tabs>
          <w:tab w:val="num" w:pos="1742"/>
        </w:tabs>
        <w:ind w:left="1267" w:firstLine="0"/>
      </w:pPr>
      <w:rPr>
        <w:b w:val="0"/>
        <w:i w:val="0"/>
        <w:spacing w:val="0"/>
        <w:w w:val="100"/>
        <w:u w:val="none"/>
      </w:rPr>
    </w:lvl>
  </w:abstractNum>
  <w:abstractNum w:abstractNumId="447">
    <w:nsid w:val="78B1788D"/>
    <w:multiLevelType w:val="singleLevel"/>
    <w:tmpl w:val="599401AE"/>
    <w:lvl w:ilvl="0">
      <w:start w:val="265"/>
      <w:numFmt w:val="decimal"/>
      <w:lvlRestart w:val="0"/>
      <w:lvlText w:val="%1."/>
      <w:lvlJc w:val="left"/>
      <w:pPr>
        <w:tabs>
          <w:tab w:val="num" w:pos="475"/>
        </w:tabs>
        <w:ind w:left="0" w:firstLine="0"/>
      </w:pPr>
      <w:rPr>
        <w:spacing w:val="0"/>
        <w:w w:val="100"/>
      </w:rPr>
    </w:lvl>
  </w:abstractNum>
  <w:abstractNum w:abstractNumId="448">
    <w:nsid w:val="79061E57"/>
    <w:multiLevelType w:val="singleLevel"/>
    <w:tmpl w:val="C72EABBC"/>
    <w:lvl w:ilvl="0">
      <w:start w:val="198"/>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449">
    <w:nsid w:val="791A2980"/>
    <w:multiLevelType w:val="singleLevel"/>
    <w:tmpl w:val="9D86CF8E"/>
    <w:lvl w:ilvl="0">
      <w:start w:val="25"/>
      <w:numFmt w:val="decimal"/>
      <w:lvlText w:val="%1."/>
      <w:lvlJc w:val="left"/>
      <w:pPr>
        <w:tabs>
          <w:tab w:val="num" w:pos="480"/>
        </w:tabs>
        <w:ind w:left="480" w:hanging="480"/>
      </w:pPr>
      <w:rPr>
        <w:rFonts w:hint="default"/>
      </w:rPr>
    </w:lvl>
  </w:abstractNum>
  <w:abstractNum w:abstractNumId="450">
    <w:nsid w:val="79405E71"/>
    <w:multiLevelType w:val="singleLevel"/>
    <w:tmpl w:val="8234A7CE"/>
    <w:lvl w:ilvl="0">
      <w:start w:val="240"/>
      <w:numFmt w:val="decimal"/>
      <w:lvlRestart w:val="0"/>
      <w:lvlText w:val="%1."/>
      <w:lvlJc w:val="left"/>
      <w:pPr>
        <w:tabs>
          <w:tab w:val="num" w:pos="475"/>
        </w:tabs>
        <w:ind w:left="0" w:firstLine="0"/>
      </w:pPr>
      <w:rPr>
        <w:spacing w:val="0"/>
        <w:w w:val="100"/>
      </w:rPr>
    </w:lvl>
  </w:abstractNum>
  <w:abstractNum w:abstractNumId="451">
    <w:nsid w:val="79C96DEA"/>
    <w:multiLevelType w:val="singleLevel"/>
    <w:tmpl w:val="A128F524"/>
    <w:lvl w:ilvl="0">
      <w:start w:val="1"/>
      <w:numFmt w:val="decimal"/>
      <w:lvlRestart w:val="0"/>
      <w:lvlText w:val="%1."/>
      <w:lvlJc w:val="left"/>
      <w:pPr>
        <w:tabs>
          <w:tab w:val="num" w:pos="475"/>
        </w:tabs>
        <w:ind w:left="0" w:firstLine="0"/>
      </w:pPr>
      <w:rPr>
        <w:spacing w:val="0"/>
        <w:w w:val="100"/>
      </w:rPr>
    </w:lvl>
  </w:abstractNum>
  <w:abstractNum w:abstractNumId="452">
    <w:nsid w:val="7A097965"/>
    <w:multiLevelType w:val="singleLevel"/>
    <w:tmpl w:val="FA4827B0"/>
    <w:lvl w:ilvl="0">
      <w:start w:val="1"/>
      <w:numFmt w:val="decimal"/>
      <w:lvlRestart w:val="0"/>
      <w:lvlText w:val="%1."/>
      <w:lvlJc w:val="left"/>
      <w:pPr>
        <w:tabs>
          <w:tab w:val="num" w:pos="475"/>
        </w:tabs>
        <w:ind w:left="0" w:firstLine="0"/>
      </w:pPr>
      <w:rPr>
        <w:spacing w:val="0"/>
        <w:w w:val="100"/>
      </w:rPr>
    </w:lvl>
  </w:abstractNum>
  <w:abstractNum w:abstractNumId="453">
    <w:nsid w:val="7A9029E1"/>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454">
    <w:nsid w:val="7AE737D8"/>
    <w:multiLevelType w:val="singleLevel"/>
    <w:tmpl w:val="5F223600"/>
    <w:lvl w:ilvl="0">
      <w:start w:val="62"/>
      <w:numFmt w:val="decimal"/>
      <w:lvlRestart w:val="0"/>
      <w:lvlText w:val="%1."/>
      <w:lvlJc w:val="left"/>
      <w:pPr>
        <w:tabs>
          <w:tab w:val="num" w:pos="475"/>
        </w:tabs>
        <w:ind w:left="0" w:firstLine="0"/>
      </w:pPr>
      <w:rPr>
        <w:spacing w:val="0"/>
        <w:w w:val="100"/>
      </w:rPr>
    </w:lvl>
  </w:abstractNum>
  <w:abstractNum w:abstractNumId="455">
    <w:nsid w:val="7B0D68D4"/>
    <w:multiLevelType w:val="singleLevel"/>
    <w:tmpl w:val="21F61B4A"/>
    <w:lvl w:ilvl="0">
      <w:start w:val="20"/>
      <w:numFmt w:val="decimal"/>
      <w:lvlRestart w:val="0"/>
      <w:lvlText w:val="%1."/>
      <w:lvlJc w:val="left"/>
      <w:pPr>
        <w:tabs>
          <w:tab w:val="num" w:pos="1742"/>
        </w:tabs>
        <w:ind w:left="1267" w:firstLine="0"/>
      </w:pPr>
      <w:rPr>
        <w:spacing w:val="0"/>
        <w:w w:val="100"/>
      </w:rPr>
    </w:lvl>
  </w:abstractNum>
  <w:abstractNum w:abstractNumId="456">
    <w:nsid w:val="7BFC3E74"/>
    <w:multiLevelType w:val="singleLevel"/>
    <w:tmpl w:val="E2A6AD2C"/>
    <w:lvl w:ilvl="0">
      <w:start w:val="263"/>
      <w:numFmt w:val="decimal"/>
      <w:lvlRestart w:val="0"/>
      <w:lvlText w:val="%1."/>
      <w:lvlJc w:val="left"/>
      <w:pPr>
        <w:tabs>
          <w:tab w:val="num" w:pos="475"/>
        </w:tabs>
        <w:ind w:left="0" w:firstLine="0"/>
      </w:pPr>
      <w:rPr>
        <w:b w:val="0"/>
        <w:i w:val="0"/>
        <w:spacing w:val="0"/>
        <w:w w:val="100"/>
      </w:rPr>
    </w:lvl>
  </w:abstractNum>
  <w:abstractNum w:abstractNumId="457">
    <w:nsid w:val="7C0D4A12"/>
    <w:multiLevelType w:val="singleLevel"/>
    <w:tmpl w:val="BCA831C0"/>
    <w:lvl w:ilvl="0">
      <w:start w:val="1"/>
      <w:numFmt w:val="decimal"/>
      <w:lvlRestart w:val="0"/>
      <w:lvlText w:val="%1."/>
      <w:lvlJc w:val="left"/>
      <w:pPr>
        <w:tabs>
          <w:tab w:val="num" w:pos="475"/>
        </w:tabs>
        <w:ind w:left="0" w:firstLine="0"/>
      </w:pPr>
      <w:rPr>
        <w:spacing w:val="0"/>
        <w:w w:val="100"/>
      </w:rPr>
    </w:lvl>
  </w:abstractNum>
  <w:abstractNum w:abstractNumId="458">
    <w:nsid w:val="7C1B696C"/>
    <w:multiLevelType w:val="singleLevel"/>
    <w:tmpl w:val="11344E24"/>
    <w:lvl w:ilvl="0">
      <w:start w:val="1"/>
      <w:numFmt w:val="decimal"/>
      <w:lvlRestart w:val="0"/>
      <w:lvlText w:val="%1."/>
      <w:lvlJc w:val="left"/>
      <w:pPr>
        <w:tabs>
          <w:tab w:val="num" w:pos="1742"/>
        </w:tabs>
        <w:ind w:left="1267" w:firstLine="0"/>
      </w:pPr>
      <w:rPr>
        <w:spacing w:val="0"/>
        <w:w w:val="100"/>
      </w:rPr>
    </w:lvl>
  </w:abstractNum>
  <w:abstractNum w:abstractNumId="459">
    <w:nsid w:val="7CA2144C"/>
    <w:multiLevelType w:val="singleLevel"/>
    <w:tmpl w:val="07C20BB8"/>
    <w:lvl w:ilvl="0">
      <w:start w:val="261"/>
      <w:numFmt w:val="decimal"/>
      <w:lvlRestart w:val="0"/>
      <w:lvlText w:val="%1."/>
      <w:lvlJc w:val="left"/>
      <w:pPr>
        <w:tabs>
          <w:tab w:val="num" w:pos="475"/>
        </w:tabs>
        <w:ind w:left="0" w:firstLine="0"/>
      </w:pPr>
      <w:rPr>
        <w:b w:val="0"/>
        <w:i w:val="0"/>
        <w:spacing w:val="0"/>
        <w:w w:val="100"/>
      </w:rPr>
    </w:lvl>
  </w:abstractNum>
  <w:abstractNum w:abstractNumId="460">
    <w:nsid w:val="7CCC75EB"/>
    <w:multiLevelType w:val="singleLevel"/>
    <w:tmpl w:val="33689574"/>
    <w:lvl w:ilvl="0">
      <w:start w:val="7"/>
      <w:numFmt w:val="decimal"/>
      <w:lvlRestart w:val="0"/>
      <w:lvlText w:val="%1."/>
      <w:lvlJc w:val="left"/>
      <w:pPr>
        <w:tabs>
          <w:tab w:val="num" w:pos="1742"/>
        </w:tabs>
        <w:ind w:left="1267" w:firstLine="0"/>
      </w:pPr>
      <w:rPr>
        <w:spacing w:val="0"/>
        <w:w w:val="100"/>
      </w:rPr>
    </w:lvl>
  </w:abstractNum>
  <w:abstractNum w:abstractNumId="461">
    <w:nsid w:val="7CD83D34"/>
    <w:multiLevelType w:val="singleLevel"/>
    <w:tmpl w:val="0CA6AAEE"/>
    <w:lvl w:ilvl="0">
      <w:start w:val="211"/>
      <w:numFmt w:val="decimal"/>
      <w:lvlRestart w:val="0"/>
      <w:lvlText w:val="%1."/>
      <w:lvlJc w:val="left"/>
      <w:pPr>
        <w:tabs>
          <w:tab w:val="num" w:pos="475"/>
        </w:tabs>
        <w:ind w:left="0" w:firstLine="0"/>
      </w:pPr>
      <w:rPr>
        <w:spacing w:val="0"/>
        <w:w w:val="100"/>
      </w:rPr>
    </w:lvl>
  </w:abstractNum>
  <w:abstractNum w:abstractNumId="462">
    <w:nsid w:val="7CF35488"/>
    <w:multiLevelType w:val="singleLevel"/>
    <w:tmpl w:val="79784E58"/>
    <w:lvl w:ilvl="0">
      <w:start w:val="12"/>
      <w:numFmt w:val="decimal"/>
      <w:lvlRestart w:val="0"/>
      <w:lvlText w:val="%1."/>
      <w:lvlJc w:val="left"/>
      <w:pPr>
        <w:tabs>
          <w:tab w:val="num" w:pos="475"/>
        </w:tabs>
        <w:ind w:left="0" w:firstLine="0"/>
      </w:pPr>
      <w:rPr>
        <w:spacing w:val="0"/>
        <w:w w:val="100"/>
      </w:rPr>
    </w:lvl>
  </w:abstractNum>
  <w:abstractNum w:abstractNumId="463">
    <w:nsid w:val="7D2D6A0F"/>
    <w:multiLevelType w:val="singleLevel"/>
    <w:tmpl w:val="27707C1E"/>
    <w:lvl w:ilvl="0">
      <w:start w:val="1"/>
      <w:numFmt w:val="decimal"/>
      <w:lvlRestart w:val="0"/>
      <w:lvlText w:val="%1."/>
      <w:lvlJc w:val="left"/>
      <w:pPr>
        <w:tabs>
          <w:tab w:val="num" w:pos="475"/>
        </w:tabs>
        <w:ind w:left="0" w:firstLine="0"/>
      </w:pPr>
      <w:rPr>
        <w:b w:val="0"/>
        <w:i w:val="0"/>
        <w:spacing w:val="0"/>
        <w:w w:val="100"/>
      </w:rPr>
    </w:lvl>
  </w:abstractNum>
  <w:abstractNum w:abstractNumId="464">
    <w:nsid w:val="7D4F1BB9"/>
    <w:multiLevelType w:val="singleLevel"/>
    <w:tmpl w:val="6B70005A"/>
    <w:lvl w:ilvl="0">
      <w:start w:val="282"/>
      <w:numFmt w:val="decimal"/>
      <w:lvlRestart w:val="0"/>
      <w:lvlText w:val="%1."/>
      <w:lvlJc w:val="left"/>
      <w:pPr>
        <w:tabs>
          <w:tab w:val="num" w:pos="475"/>
        </w:tabs>
        <w:ind w:left="0" w:firstLine="0"/>
      </w:pPr>
      <w:rPr>
        <w:b w:val="0"/>
        <w:i w:val="0"/>
        <w:spacing w:val="0"/>
        <w:w w:val="100"/>
      </w:rPr>
    </w:lvl>
  </w:abstractNum>
  <w:abstractNum w:abstractNumId="465">
    <w:nsid w:val="7D9D4736"/>
    <w:multiLevelType w:val="singleLevel"/>
    <w:tmpl w:val="8752DED8"/>
    <w:lvl w:ilvl="0">
      <w:start w:val="49"/>
      <w:numFmt w:val="decimal"/>
      <w:lvlRestart w:val="0"/>
      <w:lvlText w:val="%1."/>
      <w:lvlJc w:val="left"/>
      <w:pPr>
        <w:tabs>
          <w:tab w:val="num" w:pos="475"/>
        </w:tabs>
        <w:ind w:left="0" w:firstLine="0"/>
      </w:pPr>
      <w:rPr>
        <w:spacing w:val="0"/>
        <w:w w:val="100"/>
      </w:rPr>
    </w:lvl>
  </w:abstractNum>
  <w:abstractNum w:abstractNumId="466">
    <w:nsid w:val="7DC84116"/>
    <w:multiLevelType w:val="singleLevel"/>
    <w:tmpl w:val="52E0CB14"/>
    <w:lvl w:ilvl="0">
      <w:start w:val="51"/>
      <w:numFmt w:val="decimal"/>
      <w:lvlRestart w:val="0"/>
      <w:lvlText w:val="%1."/>
      <w:lvlJc w:val="left"/>
      <w:pPr>
        <w:tabs>
          <w:tab w:val="num" w:pos="1742"/>
        </w:tabs>
        <w:ind w:left="1267" w:firstLine="0"/>
      </w:pPr>
      <w:rPr>
        <w:spacing w:val="0"/>
        <w:w w:val="100"/>
      </w:rPr>
    </w:lvl>
  </w:abstractNum>
  <w:abstractNum w:abstractNumId="467">
    <w:nsid w:val="7E154B7B"/>
    <w:multiLevelType w:val="singleLevel"/>
    <w:tmpl w:val="B53AE968"/>
    <w:lvl w:ilvl="0">
      <w:start w:val="1"/>
      <w:numFmt w:val="decimal"/>
      <w:lvlRestart w:val="0"/>
      <w:lvlText w:val="%1."/>
      <w:lvlJc w:val="left"/>
      <w:pPr>
        <w:tabs>
          <w:tab w:val="num" w:pos="475"/>
        </w:tabs>
        <w:ind w:left="0" w:firstLine="0"/>
      </w:pPr>
      <w:rPr>
        <w:spacing w:val="0"/>
        <w:w w:val="100"/>
      </w:rPr>
    </w:lvl>
  </w:abstractNum>
  <w:abstractNum w:abstractNumId="468">
    <w:nsid w:val="7E5A255E"/>
    <w:multiLevelType w:val="singleLevel"/>
    <w:tmpl w:val="9B244956"/>
    <w:lvl w:ilvl="0">
      <w:start w:val="4"/>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469">
    <w:nsid w:val="7ECA65CC"/>
    <w:multiLevelType w:val="singleLevel"/>
    <w:tmpl w:val="4E72EE06"/>
    <w:lvl w:ilvl="0">
      <w:start w:val="11"/>
      <w:numFmt w:val="decimal"/>
      <w:lvlRestart w:val="0"/>
      <w:lvlText w:val="%1."/>
      <w:lvlJc w:val="left"/>
      <w:pPr>
        <w:tabs>
          <w:tab w:val="num" w:pos="1742"/>
        </w:tabs>
        <w:ind w:left="1267" w:firstLine="0"/>
      </w:pPr>
      <w:rPr>
        <w:spacing w:val="0"/>
        <w:w w:val="100"/>
      </w:rPr>
    </w:lvl>
  </w:abstractNum>
  <w:abstractNum w:abstractNumId="470">
    <w:nsid w:val="7ED63EFE"/>
    <w:multiLevelType w:val="singleLevel"/>
    <w:tmpl w:val="237CB01E"/>
    <w:lvl w:ilvl="0">
      <w:start w:val="22"/>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471">
    <w:nsid w:val="7FFE12BB"/>
    <w:multiLevelType w:val="singleLevel"/>
    <w:tmpl w:val="EB88413C"/>
    <w:lvl w:ilvl="0">
      <w:start w:val="1"/>
      <w:numFmt w:val="decimal"/>
      <w:lvlRestart w:val="0"/>
      <w:lvlText w:val="%1."/>
      <w:lvlJc w:val="left"/>
      <w:pPr>
        <w:tabs>
          <w:tab w:val="num" w:pos="475"/>
        </w:tabs>
        <w:ind w:left="0" w:firstLine="0"/>
      </w:pPr>
      <w:rPr>
        <w:b w:val="0"/>
        <w:i w:val="0"/>
        <w:spacing w:val="0"/>
        <w:w w:val="100"/>
      </w:rPr>
    </w:lvl>
  </w:abstractNum>
  <w:num w:numId="1">
    <w:abstractNumId w:val="226"/>
  </w:num>
  <w:num w:numId="2">
    <w:abstractNumId w:val="404"/>
  </w:num>
  <w:num w:numId="3">
    <w:abstractNumId w:val="352"/>
  </w:num>
  <w:num w:numId="4">
    <w:abstractNumId w:val="414"/>
  </w:num>
  <w:num w:numId="5">
    <w:abstractNumId w:val="149"/>
  </w:num>
  <w:num w:numId="6">
    <w:abstractNumId w:val="18"/>
  </w:num>
  <w:num w:numId="7">
    <w:abstractNumId w:val="374"/>
  </w:num>
  <w:num w:numId="8">
    <w:abstractNumId w:val="299"/>
  </w:num>
  <w:num w:numId="9">
    <w:abstractNumId w:val="254"/>
  </w:num>
  <w:num w:numId="10">
    <w:abstractNumId w:val="190"/>
  </w:num>
  <w:num w:numId="11">
    <w:abstractNumId w:val="156"/>
  </w:num>
  <w:num w:numId="12">
    <w:abstractNumId w:val="345"/>
  </w:num>
  <w:num w:numId="13">
    <w:abstractNumId w:val="98"/>
  </w:num>
  <w:num w:numId="14">
    <w:abstractNumId w:val="169"/>
  </w:num>
  <w:num w:numId="15">
    <w:abstractNumId w:val="455"/>
  </w:num>
  <w:num w:numId="16">
    <w:abstractNumId w:val="429"/>
  </w:num>
  <w:num w:numId="17">
    <w:abstractNumId w:val="417"/>
  </w:num>
  <w:num w:numId="18">
    <w:abstractNumId w:val="325"/>
  </w:num>
  <w:num w:numId="19">
    <w:abstractNumId w:val="306"/>
  </w:num>
  <w:num w:numId="20">
    <w:abstractNumId w:val="424"/>
  </w:num>
  <w:num w:numId="21">
    <w:abstractNumId w:val="470"/>
  </w:num>
  <w:num w:numId="22">
    <w:abstractNumId w:val="269"/>
  </w:num>
  <w:num w:numId="23">
    <w:abstractNumId w:val="194"/>
  </w:num>
  <w:num w:numId="24">
    <w:abstractNumId w:val="66"/>
  </w:num>
  <w:num w:numId="25">
    <w:abstractNumId w:val="145"/>
  </w:num>
  <w:num w:numId="26">
    <w:abstractNumId w:val="272"/>
  </w:num>
  <w:num w:numId="27">
    <w:abstractNumId w:val="107"/>
  </w:num>
  <w:num w:numId="28">
    <w:abstractNumId w:val="3"/>
  </w:num>
  <w:num w:numId="29">
    <w:abstractNumId w:val="233"/>
  </w:num>
  <w:num w:numId="30">
    <w:abstractNumId w:val="393"/>
  </w:num>
  <w:num w:numId="31">
    <w:abstractNumId w:val="107"/>
    <w:lvlOverride w:ilvl="0">
      <w:lvl w:ilvl="0">
        <w:start w:val="1"/>
        <w:numFmt w:val="decimal"/>
        <w:lvlRestart w:val="0"/>
        <w:lvlText w:val="%1."/>
        <w:lvlJc w:val="left"/>
        <w:pPr>
          <w:tabs>
            <w:tab w:val="num" w:pos="475"/>
          </w:tabs>
          <w:ind w:left="0" w:firstLine="0"/>
        </w:pPr>
        <w:rPr>
          <w:b w:val="0"/>
          <w:i w:val="0"/>
          <w:spacing w:val="0"/>
          <w:w w:val="100"/>
        </w:rPr>
      </w:lvl>
    </w:lvlOverride>
  </w:num>
  <w:num w:numId="32">
    <w:abstractNumId w:val="371"/>
  </w:num>
  <w:num w:numId="33">
    <w:abstractNumId w:val="471"/>
  </w:num>
  <w:num w:numId="34">
    <w:abstractNumId w:val="233"/>
    <w:lvlOverride w:ilvl="0">
      <w:lvl w:ilvl="0">
        <w:start w:val="1"/>
        <w:numFmt w:val="decimal"/>
        <w:lvlRestart w:val="0"/>
        <w:lvlText w:val="%1."/>
        <w:lvlJc w:val="left"/>
        <w:pPr>
          <w:tabs>
            <w:tab w:val="num" w:pos="475"/>
          </w:tabs>
          <w:ind w:left="0" w:firstLine="0"/>
        </w:pPr>
        <w:rPr>
          <w:b w:val="0"/>
          <w:i w:val="0"/>
          <w:spacing w:val="0"/>
          <w:w w:val="100"/>
        </w:rPr>
      </w:lvl>
    </w:lvlOverride>
  </w:num>
  <w:num w:numId="35">
    <w:abstractNumId w:val="114"/>
  </w:num>
  <w:num w:numId="36">
    <w:abstractNumId w:val="45"/>
  </w:num>
  <w:num w:numId="37">
    <w:abstractNumId w:val="154"/>
  </w:num>
  <w:num w:numId="38">
    <w:abstractNumId w:val="154"/>
    <w:lvlOverride w:ilvl="0">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lvlOverride>
  </w:num>
  <w:num w:numId="39">
    <w:abstractNumId w:val="1"/>
  </w:num>
  <w:num w:numId="40">
    <w:abstractNumId w:val="193"/>
  </w:num>
  <w:num w:numId="41">
    <w:abstractNumId w:val="21"/>
  </w:num>
  <w:num w:numId="42">
    <w:abstractNumId w:val="64"/>
  </w:num>
  <w:num w:numId="43">
    <w:abstractNumId w:val="207"/>
  </w:num>
  <w:num w:numId="44">
    <w:abstractNumId w:val="38"/>
  </w:num>
  <w:num w:numId="45">
    <w:abstractNumId w:val="212"/>
  </w:num>
  <w:num w:numId="46">
    <w:abstractNumId w:val="129"/>
  </w:num>
  <w:num w:numId="47">
    <w:abstractNumId w:val="137"/>
  </w:num>
  <w:num w:numId="48">
    <w:abstractNumId w:val="192"/>
  </w:num>
  <w:num w:numId="49">
    <w:abstractNumId w:val="209"/>
  </w:num>
  <w:num w:numId="50">
    <w:abstractNumId w:val="174"/>
  </w:num>
  <w:num w:numId="51">
    <w:abstractNumId w:val="174"/>
    <w:lvlOverride w:ilvl="0">
      <w:lvl w:ilvl="0">
        <w:start w:val="1"/>
        <w:numFmt w:val="decimal"/>
        <w:lvlRestart w:val="0"/>
        <w:lvlText w:val="%1."/>
        <w:lvlJc w:val="left"/>
        <w:pPr>
          <w:tabs>
            <w:tab w:val="num" w:pos="475"/>
          </w:tabs>
          <w:ind w:left="0" w:firstLine="0"/>
        </w:pPr>
        <w:rPr>
          <w:spacing w:val="0"/>
          <w:w w:val="100"/>
        </w:rPr>
      </w:lvl>
    </w:lvlOverride>
  </w:num>
  <w:num w:numId="52">
    <w:abstractNumId w:val="382"/>
  </w:num>
  <w:num w:numId="53">
    <w:abstractNumId w:val="311"/>
  </w:num>
  <w:num w:numId="54">
    <w:abstractNumId w:val="411"/>
  </w:num>
  <w:num w:numId="55">
    <w:abstractNumId w:val="46"/>
  </w:num>
  <w:num w:numId="56">
    <w:abstractNumId w:val="201"/>
  </w:num>
  <w:num w:numId="57">
    <w:abstractNumId w:val="318"/>
  </w:num>
  <w:num w:numId="58">
    <w:abstractNumId w:val="439"/>
  </w:num>
  <w:num w:numId="59">
    <w:abstractNumId w:val="68"/>
  </w:num>
  <w:num w:numId="60">
    <w:abstractNumId w:val="31"/>
  </w:num>
  <w:num w:numId="61">
    <w:abstractNumId w:val="376"/>
  </w:num>
  <w:num w:numId="62">
    <w:abstractNumId w:val="155"/>
  </w:num>
  <w:num w:numId="63">
    <w:abstractNumId w:val="55"/>
  </w:num>
  <w:num w:numId="64">
    <w:abstractNumId w:val="276"/>
  </w:num>
  <w:num w:numId="65">
    <w:abstractNumId w:val="423"/>
  </w:num>
  <w:num w:numId="66">
    <w:abstractNumId w:val="243"/>
  </w:num>
  <w:num w:numId="67">
    <w:abstractNumId w:val="69"/>
  </w:num>
  <w:num w:numId="68">
    <w:abstractNumId w:val="32"/>
  </w:num>
  <w:num w:numId="69">
    <w:abstractNumId w:val="148"/>
  </w:num>
  <w:num w:numId="70">
    <w:abstractNumId w:val="387"/>
  </w:num>
  <w:num w:numId="71">
    <w:abstractNumId w:val="117"/>
  </w:num>
  <w:num w:numId="72">
    <w:abstractNumId w:val="334"/>
  </w:num>
  <w:num w:numId="73">
    <w:abstractNumId w:val="40"/>
  </w:num>
  <w:num w:numId="74">
    <w:abstractNumId w:val="400"/>
  </w:num>
  <w:num w:numId="75">
    <w:abstractNumId w:val="250"/>
  </w:num>
  <w:num w:numId="76">
    <w:abstractNumId w:val="328"/>
  </w:num>
  <w:num w:numId="77">
    <w:abstractNumId w:val="401"/>
  </w:num>
  <w:num w:numId="78">
    <w:abstractNumId w:val="298"/>
  </w:num>
  <w:num w:numId="79">
    <w:abstractNumId w:val="134"/>
  </w:num>
  <w:num w:numId="80">
    <w:abstractNumId w:val="50"/>
  </w:num>
  <w:num w:numId="81">
    <w:abstractNumId w:val="469"/>
  </w:num>
  <w:num w:numId="82">
    <w:abstractNumId w:val="333"/>
  </w:num>
  <w:num w:numId="83">
    <w:abstractNumId w:val="224"/>
  </w:num>
  <w:num w:numId="84">
    <w:abstractNumId w:val="463"/>
  </w:num>
  <w:num w:numId="85">
    <w:abstractNumId w:val="180"/>
  </w:num>
  <w:num w:numId="86">
    <w:abstractNumId w:val="444"/>
  </w:num>
  <w:num w:numId="87">
    <w:abstractNumId w:val="111"/>
  </w:num>
  <w:num w:numId="88">
    <w:abstractNumId w:val="188"/>
  </w:num>
  <w:num w:numId="89">
    <w:abstractNumId w:val="425"/>
  </w:num>
  <w:num w:numId="90">
    <w:abstractNumId w:val="451"/>
  </w:num>
  <w:num w:numId="91">
    <w:abstractNumId w:val="2"/>
  </w:num>
  <w:num w:numId="92">
    <w:abstractNumId w:val="312"/>
  </w:num>
  <w:num w:numId="93">
    <w:abstractNumId w:val="221"/>
  </w:num>
  <w:num w:numId="94">
    <w:abstractNumId w:val="293"/>
  </w:num>
  <w:num w:numId="95">
    <w:abstractNumId w:val="14"/>
  </w:num>
  <w:num w:numId="96">
    <w:abstractNumId w:val="225"/>
  </w:num>
  <w:num w:numId="97">
    <w:abstractNumId w:val="301"/>
  </w:num>
  <w:num w:numId="98">
    <w:abstractNumId w:val="101"/>
  </w:num>
  <w:num w:numId="99">
    <w:abstractNumId w:val="17"/>
  </w:num>
  <w:num w:numId="100">
    <w:abstractNumId w:val="314"/>
  </w:num>
  <w:num w:numId="101">
    <w:abstractNumId w:val="267"/>
  </w:num>
  <w:num w:numId="102">
    <w:abstractNumId w:val="395"/>
  </w:num>
  <w:num w:numId="103">
    <w:abstractNumId w:val="395"/>
    <w:lvlOverride w:ilvl="0">
      <w:lvl w:ilvl="0">
        <w:start w:val="1"/>
        <w:numFmt w:val="decimal"/>
        <w:lvlRestart w:val="0"/>
        <w:lvlText w:val="%1."/>
        <w:lvlJc w:val="left"/>
        <w:pPr>
          <w:tabs>
            <w:tab w:val="num" w:pos="475"/>
          </w:tabs>
          <w:ind w:left="0" w:firstLine="0"/>
        </w:pPr>
        <w:rPr>
          <w:spacing w:val="0"/>
          <w:w w:val="100"/>
        </w:rPr>
      </w:lvl>
    </w:lvlOverride>
  </w:num>
  <w:num w:numId="104">
    <w:abstractNumId w:val="227"/>
  </w:num>
  <w:num w:numId="105">
    <w:abstractNumId w:val="277"/>
  </w:num>
  <w:num w:numId="106">
    <w:abstractNumId w:val="205"/>
  </w:num>
  <w:num w:numId="107">
    <w:abstractNumId w:val="307"/>
  </w:num>
  <w:num w:numId="108">
    <w:abstractNumId w:val="405"/>
  </w:num>
  <w:num w:numId="109">
    <w:abstractNumId w:val="139"/>
  </w:num>
  <w:num w:numId="110">
    <w:abstractNumId w:val="331"/>
  </w:num>
  <w:num w:numId="111">
    <w:abstractNumId w:val="246"/>
  </w:num>
  <w:num w:numId="112">
    <w:abstractNumId w:val="363"/>
  </w:num>
  <w:num w:numId="113">
    <w:abstractNumId w:val="178"/>
  </w:num>
  <w:num w:numId="114">
    <w:abstractNumId w:val="178"/>
    <w:lvlOverride w:ilvl="0">
      <w:lvl w:ilvl="0">
        <w:start w:val="1"/>
        <w:numFmt w:val="decimal"/>
        <w:lvlRestart w:val="0"/>
        <w:lvlText w:val="%1."/>
        <w:lvlJc w:val="left"/>
        <w:pPr>
          <w:tabs>
            <w:tab w:val="num" w:pos="475"/>
          </w:tabs>
          <w:ind w:left="0" w:firstLine="0"/>
        </w:pPr>
        <w:rPr>
          <w:spacing w:val="0"/>
          <w:w w:val="100"/>
        </w:rPr>
      </w:lvl>
    </w:lvlOverride>
  </w:num>
  <w:num w:numId="115">
    <w:abstractNumId w:val="246"/>
  </w:num>
  <w:num w:numId="116">
    <w:abstractNumId w:val="72"/>
  </w:num>
  <w:num w:numId="117">
    <w:abstractNumId w:val="36"/>
  </w:num>
  <w:num w:numId="118">
    <w:abstractNumId w:val="246"/>
    <w:lvlOverride w:ilvl="0">
      <w:lvl w:ilvl="0">
        <w:start w:val="70"/>
        <w:numFmt w:val="decimal"/>
        <w:lvlRestart w:val="0"/>
        <w:lvlText w:val="%1."/>
        <w:lvlJc w:val="left"/>
        <w:pPr>
          <w:tabs>
            <w:tab w:val="num" w:pos="475"/>
          </w:tabs>
          <w:ind w:left="0" w:firstLine="0"/>
        </w:pPr>
        <w:rPr>
          <w:spacing w:val="0"/>
          <w:w w:val="100"/>
        </w:rPr>
      </w:lvl>
    </w:lvlOverride>
  </w:num>
  <w:num w:numId="119">
    <w:abstractNumId w:val="36"/>
  </w:num>
  <w:num w:numId="120">
    <w:abstractNumId w:val="151"/>
  </w:num>
  <w:num w:numId="121">
    <w:abstractNumId w:val="105"/>
  </w:num>
  <w:num w:numId="122">
    <w:abstractNumId w:val="105"/>
    <w:lvlOverride w:ilvl="0">
      <w:lvl w:ilvl="0">
        <w:start w:val="166"/>
        <w:numFmt w:val="decimal"/>
        <w:lvlRestart w:val="0"/>
        <w:lvlText w:val="%1."/>
        <w:lvlJc w:val="left"/>
        <w:pPr>
          <w:tabs>
            <w:tab w:val="num" w:pos="475"/>
          </w:tabs>
          <w:ind w:left="0" w:firstLine="0"/>
        </w:pPr>
        <w:rPr>
          <w:b w:val="0"/>
          <w:i w:val="0"/>
          <w:spacing w:val="0"/>
          <w:w w:val="100"/>
        </w:rPr>
      </w:lvl>
    </w:lvlOverride>
  </w:num>
  <w:num w:numId="123">
    <w:abstractNumId w:val="120"/>
  </w:num>
  <w:num w:numId="124">
    <w:abstractNumId w:val="75"/>
  </w:num>
  <w:num w:numId="125">
    <w:abstractNumId w:val="75"/>
    <w:lvlOverride w:ilvl="0">
      <w:lvl w:ilvl="0">
        <w:start w:val="1"/>
        <w:numFmt w:val="decimal"/>
        <w:lvlRestart w:val="0"/>
        <w:lvlText w:val="%1."/>
        <w:lvlJc w:val="left"/>
        <w:pPr>
          <w:tabs>
            <w:tab w:val="num" w:pos="475"/>
          </w:tabs>
          <w:ind w:left="0" w:firstLine="0"/>
        </w:pPr>
        <w:rPr>
          <w:b w:val="0"/>
          <w:i w:val="0"/>
          <w:spacing w:val="0"/>
          <w:w w:val="100"/>
        </w:rPr>
      </w:lvl>
    </w:lvlOverride>
  </w:num>
  <w:num w:numId="126">
    <w:abstractNumId w:val="240"/>
  </w:num>
  <w:num w:numId="127">
    <w:abstractNumId w:val="251"/>
  </w:num>
  <w:num w:numId="128">
    <w:abstractNumId w:val="279"/>
  </w:num>
  <w:num w:numId="129">
    <w:abstractNumId w:val="36"/>
    <w:lvlOverride w:ilvl="0">
      <w:lvl w:ilvl="0">
        <w:start w:val="119"/>
        <w:numFmt w:val="decimal"/>
        <w:lvlRestart w:val="0"/>
        <w:lvlText w:val="%1."/>
        <w:lvlJc w:val="left"/>
        <w:pPr>
          <w:tabs>
            <w:tab w:val="num" w:pos="475"/>
          </w:tabs>
          <w:ind w:left="0" w:firstLine="0"/>
        </w:pPr>
        <w:rPr>
          <w:spacing w:val="0"/>
          <w:w w:val="100"/>
        </w:rPr>
      </w:lvl>
    </w:lvlOverride>
  </w:num>
  <w:num w:numId="130">
    <w:abstractNumId w:val="279"/>
  </w:num>
  <w:num w:numId="131">
    <w:abstractNumId w:val="279"/>
    <w:lvlOverride w:ilvl="0">
      <w:lvl w:ilvl="0">
        <w:start w:val="217"/>
        <w:numFmt w:val="decimal"/>
        <w:lvlRestart w:val="0"/>
        <w:lvlText w:val="%1."/>
        <w:lvlJc w:val="left"/>
        <w:pPr>
          <w:tabs>
            <w:tab w:val="num" w:pos="475"/>
          </w:tabs>
          <w:ind w:left="0" w:firstLine="0"/>
        </w:pPr>
        <w:rPr>
          <w:spacing w:val="0"/>
          <w:w w:val="100"/>
        </w:rPr>
      </w:lvl>
    </w:lvlOverride>
  </w:num>
  <w:num w:numId="132">
    <w:abstractNumId w:val="279"/>
    <w:lvlOverride w:ilvl="0">
      <w:lvl w:ilvl="0">
        <w:start w:val="217"/>
        <w:numFmt w:val="decimal"/>
        <w:lvlRestart w:val="0"/>
        <w:lvlText w:val="%1."/>
        <w:lvlJc w:val="left"/>
        <w:pPr>
          <w:tabs>
            <w:tab w:val="num" w:pos="475"/>
          </w:tabs>
          <w:ind w:left="0" w:firstLine="0"/>
        </w:pPr>
        <w:rPr>
          <w:spacing w:val="0"/>
          <w:w w:val="100"/>
        </w:rPr>
      </w:lvl>
    </w:lvlOverride>
  </w:num>
  <w:num w:numId="133">
    <w:abstractNumId w:val="279"/>
    <w:lvlOverride w:ilvl="0">
      <w:lvl w:ilvl="0">
        <w:start w:val="217"/>
        <w:numFmt w:val="decimal"/>
        <w:lvlRestart w:val="0"/>
        <w:lvlText w:val="%1."/>
        <w:lvlJc w:val="left"/>
        <w:pPr>
          <w:tabs>
            <w:tab w:val="num" w:pos="475"/>
          </w:tabs>
          <w:ind w:left="0" w:firstLine="0"/>
        </w:pPr>
        <w:rPr>
          <w:spacing w:val="0"/>
          <w:w w:val="100"/>
        </w:rPr>
      </w:lvl>
    </w:lvlOverride>
  </w:num>
  <w:num w:numId="134">
    <w:abstractNumId w:val="279"/>
    <w:lvlOverride w:ilvl="0">
      <w:lvl w:ilvl="0">
        <w:start w:val="217"/>
        <w:numFmt w:val="decimal"/>
        <w:lvlRestart w:val="0"/>
        <w:lvlText w:val="%1."/>
        <w:lvlJc w:val="left"/>
        <w:pPr>
          <w:tabs>
            <w:tab w:val="num" w:pos="475"/>
          </w:tabs>
          <w:ind w:left="0" w:firstLine="0"/>
        </w:pPr>
        <w:rPr>
          <w:spacing w:val="0"/>
          <w:w w:val="100"/>
        </w:rPr>
      </w:lvl>
    </w:lvlOverride>
  </w:num>
  <w:num w:numId="135">
    <w:abstractNumId w:val="279"/>
    <w:lvlOverride w:ilvl="0">
      <w:lvl w:ilvl="0">
        <w:start w:val="217"/>
        <w:numFmt w:val="decimal"/>
        <w:lvlRestart w:val="0"/>
        <w:lvlText w:val="%1."/>
        <w:lvlJc w:val="left"/>
        <w:pPr>
          <w:tabs>
            <w:tab w:val="num" w:pos="475"/>
          </w:tabs>
          <w:ind w:left="0" w:firstLine="0"/>
        </w:pPr>
        <w:rPr>
          <w:spacing w:val="0"/>
          <w:w w:val="100"/>
        </w:rPr>
      </w:lvl>
    </w:lvlOverride>
  </w:num>
  <w:num w:numId="136">
    <w:abstractNumId w:val="379"/>
  </w:num>
  <w:num w:numId="137">
    <w:abstractNumId w:val="279"/>
  </w:num>
  <w:num w:numId="138">
    <w:abstractNumId w:val="415"/>
    <w:lvlOverride w:ilvl="0">
      <w:lvl w:ilvl="0">
        <w:start w:val="258"/>
        <w:numFmt w:val="decimal"/>
        <w:lvlRestart w:val="0"/>
        <w:lvlText w:val="%1."/>
        <w:lvlJc w:val="left"/>
        <w:pPr>
          <w:tabs>
            <w:tab w:val="num" w:pos="475"/>
          </w:tabs>
          <w:ind w:left="0" w:firstLine="0"/>
        </w:pPr>
        <w:rPr>
          <w:b w:val="0"/>
          <w:i w:val="0"/>
          <w:spacing w:val="0"/>
          <w:w w:val="100"/>
        </w:rPr>
      </w:lvl>
    </w:lvlOverride>
  </w:num>
  <w:num w:numId="139">
    <w:abstractNumId w:val="42"/>
  </w:num>
  <w:num w:numId="140">
    <w:abstractNumId w:val="279"/>
    <w:lvlOverride w:ilvl="0">
      <w:lvl w:ilvl="0">
        <w:start w:val="217"/>
        <w:numFmt w:val="decimal"/>
        <w:lvlRestart w:val="0"/>
        <w:lvlText w:val="%1."/>
        <w:lvlJc w:val="left"/>
        <w:pPr>
          <w:tabs>
            <w:tab w:val="num" w:pos="475"/>
          </w:tabs>
          <w:ind w:left="0" w:firstLine="0"/>
        </w:pPr>
        <w:rPr>
          <w:spacing w:val="0"/>
          <w:w w:val="100"/>
        </w:rPr>
      </w:lvl>
    </w:lvlOverride>
  </w:num>
  <w:num w:numId="141">
    <w:abstractNumId w:val="109"/>
  </w:num>
  <w:num w:numId="142">
    <w:abstractNumId w:val="30"/>
  </w:num>
  <w:num w:numId="143">
    <w:abstractNumId w:val="104"/>
  </w:num>
  <w:num w:numId="144">
    <w:abstractNumId w:val="104"/>
    <w:lvlOverride w:ilvl="0">
      <w:lvl w:ilvl="0">
        <w:start w:val="1"/>
        <w:numFmt w:val="decimal"/>
        <w:lvlRestart w:val="0"/>
        <w:lvlText w:val="%1."/>
        <w:lvlJc w:val="left"/>
        <w:pPr>
          <w:tabs>
            <w:tab w:val="num" w:pos="360"/>
          </w:tabs>
          <w:ind w:left="0" w:firstLine="0"/>
        </w:pPr>
        <w:rPr>
          <w:rFonts w:ascii="Times New Roman" w:hAnsi="Times New Roman" w:hint="default"/>
          <w:b w:val="0"/>
          <w:i w:val="0"/>
          <w:spacing w:val="0"/>
          <w:w w:val="100"/>
          <w:sz w:val="20"/>
        </w:rPr>
      </w:lvl>
    </w:lvlOverride>
  </w:num>
  <w:num w:numId="145">
    <w:abstractNumId w:val="44"/>
  </w:num>
  <w:num w:numId="146">
    <w:abstractNumId w:val="47"/>
  </w:num>
  <w:num w:numId="147">
    <w:abstractNumId w:val="326"/>
  </w:num>
  <w:num w:numId="148">
    <w:abstractNumId w:val="87"/>
    <w:lvlOverride w:ilvl="0">
      <w:lvl w:ilvl="0">
        <w:start w:val="59"/>
        <w:numFmt w:val="decimal"/>
        <w:lvlRestart w:val="0"/>
        <w:lvlText w:val="%1."/>
        <w:lvlJc w:val="left"/>
        <w:pPr>
          <w:tabs>
            <w:tab w:val="num" w:pos="475"/>
          </w:tabs>
          <w:ind w:left="0" w:firstLine="0"/>
        </w:pPr>
        <w:rPr>
          <w:spacing w:val="0"/>
          <w:w w:val="100"/>
        </w:rPr>
      </w:lvl>
    </w:lvlOverride>
  </w:num>
  <w:num w:numId="149">
    <w:abstractNumId w:val="279"/>
    <w:lvlOverride w:ilvl="0">
      <w:lvl w:ilvl="0">
        <w:start w:val="217"/>
        <w:numFmt w:val="decimal"/>
        <w:lvlRestart w:val="0"/>
        <w:lvlText w:val="%1."/>
        <w:lvlJc w:val="left"/>
        <w:pPr>
          <w:tabs>
            <w:tab w:val="num" w:pos="475"/>
          </w:tabs>
          <w:ind w:left="0" w:firstLine="0"/>
        </w:pPr>
        <w:rPr>
          <w:spacing w:val="0"/>
          <w:w w:val="100"/>
        </w:rPr>
      </w:lvl>
    </w:lvlOverride>
  </w:num>
  <w:num w:numId="150">
    <w:abstractNumId w:val="252"/>
  </w:num>
  <w:num w:numId="151">
    <w:abstractNumId w:val="252"/>
    <w:lvlOverride w:ilvl="0">
      <w:lvl w:ilvl="0">
        <w:start w:val="60"/>
        <w:numFmt w:val="decimal"/>
        <w:lvlRestart w:val="0"/>
        <w:lvlText w:val="%1."/>
        <w:lvlJc w:val="left"/>
        <w:pPr>
          <w:tabs>
            <w:tab w:val="num" w:pos="475"/>
          </w:tabs>
          <w:ind w:left="0" w:firstLine="0"/>
        </w:pPr>
        <w:rPr>
          <w:spacing w:val="0"/>
          <w:w w:val="100"/>
        </w:rPr>
      </w:lvl>
    </w:lvlOverride>
  </w:num>
  <w:num w:numId="152">
    <w:abstractNumId w:val="47"/>
  </w:num>
  <w:num w:numId="153">
    <w:abstractNumId w:val="291"/>
  </w:num>
  <w:num w:numId="154">
    <w:abstractNumId w:val="446"/>
  </w:num>
  <w:num w:numId="155">
    <w:abstractNumId w:val="288"/>
  </w:num>
  <w:num w:numId="156">
    <w:abstractNumId w:val="43"/>
  </w:num>
  <w:num w:numId="157">
    <w:abstractNumId w:val="247"/>
  </w:num>
  <w:num w:numId="158">
    <w:abstractNumId w:val="384"/>
  </w:num>
  <w:num w:numId="159">
    <w:abstractNumId w:val="47"/>
    <w:lvlOverride w:ilvl="0">
      <w:lvl w:ilvl="0">
        <w:start w:val="59"/>
        <w:numFmt w:val="decimal"/>
        <w:lvlRestart w:val="0"/>
        <w:lvlText w:val="%1."/>
        <w:lvlJc w:val="left"/>
        <w:pPr>
          <w:tabs>
            <w:tab w:val="num" w:pos="475"/>
          </w:tabs>
          <w:ind w:left="0" w:firstLine="0"/>
        </w:pPr>
        <w:rPr>
          <w:spacing w:val="0"/>
          <w:w w:val="100"/>
        </w:rPr>
      </w:lvl>
    </w:lvlOverride>
  </w:num>
  <w:num w:numId="160">
    <w:abstractNumId w:val="384"/>
  </w:num>
  <w:num w:numId="161">
    <w:abstractNumId w:val="396"/>
  </w:num>
  <w:num w:numId="162">
    <w:abstractNumId w:val="384"/>
  </w:num>
  <w:num w:numId="163">
    <w:abstractNumId w:val="384"/>
  </w:num>
  <w:num w:numId="164">
    <w:abstractNumId w:val="448"/>
    <w:lvlOverride w:ilvl="0">
      <w:lvl w:ilvl="0">
        <w:start w:val="127"/>
        <w:numFmt w:val="decimal"/>
        <w:lvlRestart w:val="0"/>
        <w:lvlText w:val="%1."/>
        <w:lvlJc w:val="left"/>
        <w:pPr>
          <w:tabs>
            <w:tab w:val="num" w:pos="475"/>
          </w:tabs>
          <w:ind w:left="0" w:firstLine="0"/>
        </w:pPr>
        <w:rPr>
          <w:spacing w:val="0"/>
          <w:w w:val="100"/>
        </w:rPr>
      </w:lvl>
    </w:lvlOverride>
  </w:num>
  <w:num w:numId="165">
    <w:abstractNumId w:val="438"/>
  </w:num>
  <w:num w:numId="166">
    <w:abstractNumId w:val="438"/>
    <w:lvlOverride w:ilvl="0">
      <w:lvl w:ilvl="0">
        <w:start w:val="127"/>
        <w:numFmt w:val="decimal"/>
        <w:lvlRestart w:val="0"/>
        <w:lvlText w:val="%1."/>
        <w:lvlJc w:val="left"/>
        <w:pPr>
          <w:tabs>
            <w:tab w:val="num" w:pos="475"/>
          </w:tabs>
          <w:ind w:left="0" w:firstLine="0"/>
        </w:pPr>
        <w:rPr>
          <w:spacing w:val="0"/>
          <w:w w:val="100"/>
        </w:rPr>
      </w:lvl>
    </w:lvlOverride>
  </w:num>
  <w:num w:numId="167">
    <w:abstractNumId w:val="132"/>
  </w:num>
  <w:num w:numId="168">
    <w:abstractNumId w:val="384"/>
  </w:num>
  <w:num w:numId="169">
    <w:abstractNumId w:val="214"/>
  </w:num>
  <w:num w:numId="170">
    <w:abstractNumId w:val="384"/>
  </w:num>
  <w:num w:numId="171">
    <w:abstractNumId w:val="9"/>
  </w:num>
  <w:num w:numId="172">
    <w:abstractNumId w:val="83"/>
  </w:num>
  <w:num w:numId="173">
    <w:abstractNumId w:val="384"/>
  </w:num>
  <w:num w:numId="174">
    <w:abstractNumId w:val="440"/>
  </w:num>
  <w:num w:numId="175">
    <w:abstractNumId w:val="160"/>
  </w:num>
  <w:num w:numId="176">
    <w:abstractNumId w:val="135"/>
  </w:num>
  <w:num w:numId="177">
    <w:abstractNumId w:val="90"/>
  </w:num>
  <w:num w:numId="178">
    <w:abstractNumId w:val="57"/>
  </w:num>
  <w:num w:numId="179">
    <w:abstractNumId w:val="294"/>
  </w:num>
  <w:num w:numId="180">
    <w:abstractNumId w:val="71"/>
  </w:num>
  <w:num w:numId="181">
    <w:abstractNumId w:val="49"/>
  </w:num>
  <w:num w:numId="182">
    <w:abstractNumId w:val="384"/>
    <w:lvlOverride w:ilvl="0">
      <w:lvl w:ilvl="0">
        <w:start w:val="127"/>
        <w:numFmt w:val="decimal"/>
        <w:lvlRestart w:val="0"/>
        <w:lvlText w:val="%1."/>
        <w:lvlJc w:val="left"/>
        <w:pPr>
          <w:tabs>
            <w:tab w:val="num" w:pos="475"/>
          </w:tabs>
          <w:ind w:left="0" w:firstLine="0"/>
        </w:pPr>
        <w:rPr>
          <w:spacing w:val="0"/>
          <w:w w:val="100"/>
        </w:rPr>
      </w:lvl>
    </w:lvlOverride>
  </w:num>
  <w:num w:numId="183">
    <w:abstractNumId w:val="166"/>
  </w:num>
  <w:num w:numId="184">
    <w:abstractNumId w:val="142"/>
  </w:num>
  <w:num w:numId="185">
    <w:abstractNumId w:val="142"/>
    <w:lvlOverride w:ilvl="0">
      <w:lvl w:ilvl="0">
        <w:start w:val="1"/>
        <w:numFmt w:val="decimal"/>
        <w:lvlRestart w:val="0"/>
        <w:lvlText w:val="%1."/>
        <w:lvlJc w:val="left"/>
        <w:pPr>
          <w:tabs>
            <w:tab w:val="num" w:pos="475"/>
          </w:tabs>
          <w:ind w:left="0" w:firstLine="0"/>
        </w:pPr>
        <w:rPr>
          <w:b w:val="0"/>
          <w:i w:val="0"/>
          <w:spacing w:val="0"/>
          <w:w w:val="100"/>
        </w:rPr>
      </w:lvl>
    </w:lvlOverride>
  </w:num>
  <w:num w:numId="186">
    <w:abstractNumId w:val="378"/>
  </w:num>
  <w:num w:numId="187">
    <w:abstractNumId w:val="284"/>
  </w:num>
  <w:num w:numId="188">
    <w:abstractNumId w:val="94"/>
  </w:num>
  <w:num w:numId="189">
    <w:abstractNumId w:val="445"/>
  </w:num>
  <w:num w:numId="190">
    <w:abstractNumId w:val="58"/>
  </w:num>
  <w:num w:numId="191">
    <w:abstractNumId w:val="150"/>
  </w:num>
  <w:num w:numId="192">
    <w:abstractNumId w:val="130"/>
  </w:num>
  <w:num w:numId="193">
    <w:abstractNumId w:val="39"/>
  </w:num>
  <w:num w:numId="194">
    <w:abstractNumId w:val="203"/>
  </w:num>
  <w:num w:numId="195">
    <w:abstractNumId w:val="296"/>
  </w:num>
  <w:num w:numId="196">
    <w:abstractNumId w:val="99"/>
  </w:num>
  <w:num w:numId="197">
    <w:abstractNumId w:val="108"/>
  </w:num>
  <w:num w:numId="198">
    <w:abstractNumId w:val="140"/>
  </w:num>
  <w:num w:numId="199">
    <w:abstractNumId w:val="365"/>
  </w:num>
  <w:num w:numId="200">
    <w:abstractNumId w:val="321"/>
  </w:num>
  <w:num w:numId="201">
    <w:abstractNumId w:val="26"/>
  </w:num>
  <w:num w:numId="202">
    <w:abstractNumId w:val="93"/>
  </w:num>
  <w:num w:numId="203">
    <w:abstractNumId w:val="460"/>
  </w:num>
  <w:num w:numId="204">
    <w:abstractNumId w:val="56"/>
  </w:num>
  <w:num w:numId="205">
    <w:abstractNumId w:val="16"/>
  </w:num>
  <w:num w:numId="206">
    <w:abstractNumId w:val="309"/>
  </w:num>
  <w:num w:numId="207">
    <w:abstractNumId w:val="65"/>
  </w:num>
  <w:num w:numId="208">
    <w:abstractNumId w:val="303"/>
  </w:num>
  <w:num w:numId="209">
    <w:abstractNumId w:val="295"/>
  </w:num>
  <w:num w:numId="210">
    <w:abstractNumId w:val="427"/>
  </w:num>
  <w:num w:numId="211">
    <w:abstractNumId w:val="249"/>
  </w:num>
  <w:num w:numId="212">
    <w:abstractNumId w:val="121"/>
  </w:num>
  <w:num w:numId="213">
    <w:abstractNumId w:val="302"/>
  </w:num>
  <w:num w:numId="214">
    <w:abstractNumId w:val="176"/>
  </w:num>
  <w:num w:numId="215">
    <w:abstractNumId w:val="113"/>
  </w:num>
  <w:num w:numId="216">
    <w:abstractNumId w:val="468"/>
  </w:num>
  <w:num w:numId="217">
    <w:abstractNumId w:val="381"/>
  </w:num>
  <w:num w:numId="218">
    <w:abstractNumId w:val="356"/>
  </w:num>
  <w:num w:numId="219">
    <w:abstractNumId w:val="416"/>
  </w:num>
  <w:num w:numId="220">
    <w:abstractNumId w:val="138"/>
  </w:num>
  <w:num w:numId="221">
    <w:abstractNumId w:val="70"/>
  </w:num>
  <w:num w:numId="222">
    <w:abstractNumId w:val="238"/>
  </w:num>
  <w:num w:numId="223">
    <w:abstractNumId w:val="322"/>
  </w:num>
  <w:num w:numId="224">
    <w:abstractNumId w:val="453"/>
  </w:num>
  <w:num w:numId="225">
    <w:abstractNumId w:val="304"/>
  </w:num>
  <w:num w:numId="226">
    <w:abstractNumId w:val="189"/>
  </w:num>
  <w:num w:numId="227">
    <w:abstractNumId w:val="360"/>
  </w:num>
  <w:num w:numId="228">
    <w:abstractNumId w:val="59"/>
  </w:num>
  <w:num w:numId="229">
    <w:abstractNumId w:val="398"/>
  </w:num>
  <w:num w:numId="230">
    <w:abstractNumId w:val="338"/>
  </w:num>
  <w:num w:numId="231">
    <w:abstractNumId w:val="441"/>
  </w:num>
  <w:num w:numId="232">
    <w:abstractNumId w:val="52"/>
  </w:num>
  <w:num w:numId="233">
    <w:abstractNumId w:val="163"/>
  </w:num>
  <w:num w:numId="234">
    <w:abstractNumId w:val="426"/>
  </w:num>
  <w:num w:numId="235">
    <w:abstractNumId w:val="95"/>
  </w:num>
  <w:num w:numId="236">
    <w:abstractNumId w:val="266"/>
  </w:num>
  <w:num w:numId="237">
    <w:abstractNumId w:val="62"/>
  </w:num>
  <w:num w:numId="238">
    <w:abstractNumId w:val="373"/>
  </w:num>
  <w:num w:numId="239">
    <w:abstractNumId w:val="403"/>
  </w:num>
  <w:num w:numId="240">
    <w:abstractNumId w:val="466"/>
  </w:num>
  <w:num w:numId="241">
    <w:abstractNumId w:val="324"/>
  </w:num>
  <w:num w:numId="242">
    <w:abstractNumId w:val="442"/>
  </w:num>
  <w:num w:numId="243">
    <w:abstractNumId w:val="141"/>
  </w:num>
  <w:num w:numId="244">
    <w:abstractNumId w:val="320"/>
  </w:num>
  <w:num w:numId="245">
    <w:abstractNumId w:val="28"/>
  </w:num>
  <w:num w:numId="246">
    <w:abstractNumId w:val="282"/>
  </w:num>
  <w:num w:numId="247">
    <w:abstractNumId w:val="241"/>
  </w:num>
  <w:num w:numId="248">
    <w:abstractNumId w:val="300"/>
  </w:num>
  <w:num w:numId="249">
    <w:abstractNumId w:val="181"/>
  </w:num>
  <w:num w:numId="250">
    <w:abstractNumId w:val="237"/>
  </w:num>
  <w:num w:numId="251">
    <w:abstractNumId w:val="281"/>
  </w:num>
  <w:num w:numId="252">
    <w:abstractNumId w:val="54"/>
  </w:num>
  <w:num w:numId="253">
    <w:abstractNumId w:val="220"/>
  </w:num>
  <w:num w:numId="254">
    <w:abstractNumId w:val="177"/>
  </w:num>
  <w:num w:numId="255">
    <w:abstractNumId w:val="196"/>
  </w:num>
  <w:num w:numId="256">
    <w:abstractNumId w:val="428"/>
  </w:num>
  <w:num w:numId="257">
    <w:abstractNumId w:val="406"/>
  </w:num>
  <w:num w:numId="258">
    <w:abstractNumId w:val="8"/>
  </w:num>
  <w:num w:numId="259">
    <w:abstractNumId w:val="367"/>
  </w:num>
  <w:num w:numId="260">
    <w:abstractNumId w:val="86"/>
  </w:num>
  <w:num w:numId="261">
    <w:abstractNumId w:val="366"/>
  </w:num>
  <w:num w:numId="262">
    <w:abstractNumId w:val="368"/>
  </w:num>
  <w:num w:numId="263">
    <w:abstractNumId w:val="465"/>
  </w:num>
  <w:num w:numId="264">
    <w:abstractNumId w:val="337"/>
  </w:num>
  <w:num w:numId="265">
    <w:abstractNumId w:val="248"/>
  </w:num>
  <w:num w:numId="266">
    <w:abstractNumId w:val="256"/>
  </w:num>
  <w:num w:numId="267">
    <w:abstractNumId w:val="242"/>
  </w:num>
  <w:num w:numId="268">
    <w:abstractNumId w:val="341"/>
  </w:num>
  <w:num w:numId="269">
    <w:abstractNumId w:val="419"/>
  </w:num>
  <w:num w:numId="270">
    <w:abstractNumId w:val="313"/>
  </w:num>
  <w:num w:numId="271">
    <w:abstractNumId w:val="317"/>
  </w:num>
  <w:num w:numId="272">
    <w:abstractNumId w:val="449"/>
  </w:num>
  <w:num w:numId="273">
    <w:abstractNumId w:val="11"/>
  </w:num>
  <w:num w:numId="274">
    <w:abstractNumId w:val="409"/>
  </w:num>
  <w:num w:numId="275">
    <w:abstractNumId w:val="170"/>
  </w:num>
  <w:num w:numId="276">
    <w:abstractNumId w:val="336"/>
  </w:num>
  <w:num w:numId="277">
    <w:abstractNumId w:val="342"/>
  </w:num>
  <w:num w:numId="278">
    <w:abstractNumId w:val="323"/>
  </w:num>
  <w:num w:numId="279">
    <w:abstractNumId w:val="443"/>
  </w:num>
  <w:num w:numId="280">
    <w:abstractNumId w:val="217"/>
  </w:num>
  <w:num w:numId="281">
    <w:abstractNumId w:val="332"/>
  </w:num>
  <w:num w:numId="282">
    <w:abstractNumId w:val="24"/>
  </w:num>
  <w:num w:numId="283">
    <w:abstractNumId w:val="79"/>
  </w:num>
  <w:num w:numId="284">
    <w:abstractNumId w:val="285"/>
  </w:num>
  <w:num w:numId="285">
    <w:abstractNumId w:val="5"/>
  </w:num>
  <w:num w:numId="286">
    <w:abstractNumId w:val="389"/>
  </w:num>
  <w:num w:numId="287">
    <w:abstractNumId w:val="422"/>
  </w:num>
  <w:num w:numId="288">
    <w:abstractNumId w:val="454"/>
  </w:num>
  <w:num w:numId="289">
    <w:abstractNumId w:val="48"/>
  </w:num>
  <w:num w:numId="290">
    <w:abstractNumId w:val="258"/>
  </w:num>
  <w:num w:numId="291">
    <w:abstractNumId w:val="143"/>
  </w:num>
  <w:num w:numId="292">
    <w:abstractNumId w:val="213"/>
  </w:num>
  <w:num w:numId="293">
    <w:abstractNumId w:val="347"/>
  </w:num>
  <w:num w:numId="294">
    <w:abstractNumId w:val="51"/>
  </w:num>
  <w:num w:numId="295">
    <w:abstractNumId w:val="206"/>
  </w:num>
  <w:num w:numId="296">
    <w:abstractNumId w:val="125"/>
  </w:num>
  <w:num w:numId="297">
    <w:abstractNumId w:val="353"/>
  </w:num>
  <w:num w:numId="298">
    <w:abstractNumId w:val="210"/>
  </w:num>
  <w:num w:numId="299">
    <w:abstractNumId w:val="162"/>
  </w:num>
  <w:num w:numId="300">
    <w:abstractNumId w:val="4"/>
  </w:num>
  <w:num w:numId="301">
    <w:abstractNumId w:val="19"/>
  </w:num>
  <w:num w:numId="302">
    <w:abstractNumId w:val="78"/>
  </w:num>
  <w:num w:numId="303">
    <w:abstractNumId w:val="197"/>
  </w:num>
  <w:num w:numId="304">
    <w:abstractNumId w:val="172"/>
  </w:num>
  <w:num w:numId="305">
    <w:abstractNumId w:val="392"/>
  </w:num>
  <w:num w:numId="306">
    <w:abstractNumId w:val="344"/>
  </w:num>
  <w:num w:numId="307">
    <w:abstractNumId w:val="335"/>
  </w:num>
  <w:num w:numId="308">
    <w:abstractNumId w:val="286"/>
  </w:num>
  <w:num w:numId="309">
    <w:abstractNumId w:val="436"/>
  </w:num>
  <w:num w:numId="310">
    <w:abstractNumId w:val="430"/>
  </w:num>
  <w:num w:numId="311">
    <w:abstractNumId w:val="228"/>
  </w:num>
  <w:num w:numId="312">
    <w:abstractNumId w:val="402"/>
  </w:num>
  <w:num w:numId="313">
    <w:abstractNumId w:val="259"/>
  </w:num>
  <w:num w:numId="314">
    <w:abstractNumId w:val="37"/>
  </w:num>
  <w:num w:numId="315">
    <w:abstractNumId w:val="287"/>
  </w:num>
  <w:num w:numId="316">
    <w:abstractNumId w:val="412"/>
  </w:num>
  <w:num w:numId="317">
    <w:abstractNumId w:val="348"/>
  </w:num>
  <w:num w:numId="318">
    <w:abstractNumId w:val="126"/>
  </w:num>
  <w:num w:numId="319">
    <w:abstractNumId w:val="412"/>
    <w:lvlOverride w:ilvl="0">
      <w:lvl w:ilvl="0">
        <w:start w:val="122"/>
        <w:numFmt w:val="decimal"/>
        <w:lvlRestart w:val="0"/>
        <w:lvlText w:val="%1."/>
        <w:lvlJc w:val="left"/>
        <w:pPr>
          <w:tabs>
            <w:tab w:val="num" w:pos="1742"/>
          </w:tabs>
          <w:ind w:left="1267" w:firstLine="0"/>
        </w:pPr>
        <w:rPr>
          <w:b w:val="0"/>
          <w:i w:val="0"/>
          <w:spacing w:val="0"/>
          <w:w w:val="100"/>
        </w:rPr>
      </w:lvl>
    </w:lvlOverride>
  </w:num>
  <w:num w:numId="320">
    <w:abstractNumId w:val="89"/>
  </w:num>
  <w:num w:numId="321">
    <w:abstractNumId w:val="77"/>
  </w:num>
  <w:num w:numId="322">
    <w:abstractNumId w:val="175"/>
  </w:num>
  <w:num w:numId="323">
    <w:abstractNumId w:val="173"/>
  </w:num>
  <w:num w:numId="324">
    <w:abstractNumId w:val="85"/>
  </w:num>
  <w:num w:numId="325">
    <w:abstractNumId w:val="168"/>
  </w:num>
  <w:num w:numId="326">
    <w:abstractNumId w:val="278"/>
  </w:num>
  <w:num w:numId="327">
    <w:abstractNumId w:val="144"/>
  </w:num>
  <w:num w:numId="328">
    <w:abstractNumId w:val="391"/>
  </w:num>
  <w:num w:numId="329">
    <w:abstractNumId w:val="158"/>
  </w:num>
  <w:num w:numId="330">
    <w:abstractNumId w:val="397"/>
  </w:num>
  <w:num w:numId="331">
    <w:abstractNumId w:val="183"/>
  </w:num>
  <w:num w:numId="332">
    <w:abstractNumId w:val="433"/>
  </w:num>
  <w:num w:numId="333">
    <w:abstractNumId w:val="81"/>
  </w:num>
  <w:num w:numId="334">
    <w:abstractNumId w:val="244"/>
  </w:num>
  <w:num w:numId="335">
    <w:abstractNumId w:val="244"/>
    <w:lvlOverride w:ilvl="0">
      <w:lvl w:ilvl="0">
        <w:start w:val="1"/>
        <w:numFmt w:val="decimal"/>
        <w:lvlRestart w:val="0"/>
        <w:lvlText w:val="%1."/>
        <w:lvlJc w:val="left"/>
        <w:pPr>
          <w:tabs>
            <w:tab w:val="num" w:pos="475"/>
          </w:tabs>
          <w:ind w:left="0" w:firstLine="0"/>
        </w:pPr>
        <w:rPr>
          <w:spacing w:val="0"/>
          <w:w w:val="100"/>
        </w:rPr>
      </w:lvl>
    </w:lvlOverride>
  </w:num>
  <w:num w:numId="336">
    <w:abstractNumId w:val="432"/>
  </w:num>
  <w:num w:numId="337">
    <w:abstractNumId w:val="102"/>
  </w:num>
  <w:num w:numId="338">
    <w:abstractNumId w:val="264"/>
  </w:num>
  <w:num w:numId="339">
    <w:abstractNumId w:val="13"/>
  </w:num>
  <w:num w:numId="340">
    <w:abstractNumId w:val="462"/>
  </w:num>
  <w:num w:numId="341">
    <w:abstractNumId w:val="185"/>
  </w:num>
  <w:num w:numId="342">
    <w:abstractNumId w:val="290"/>
  </w:num>
  <w:num w:numId="343">
    <w:abstractNumId w:val="290"/>
    <w:lvlOverride w:ilvl="0">
      <w:lvl w:ilvl="0">
        <w:start w:val="12"/>
        <w:numFmt w:val="decimal"/>
        <w:lvlRestart w:val="0"/>
        <w:lvlText w:val="%1."/>
        <w:lvlJc w:val="left"/>
        <w:pPr>
          <w:tabs>
            <w:tab w:val="num" w:pos="475"/>
          </w:tabs>
          <w:ind w:left="0" w:firstLine="0"/>
        </w:pPr>
        <w:rPr>
          <w:spacing w:val="0"/>
          <w:w w:val="100"/>
        </w:rPr>
      </w:lvl>
    </w:lvlOverride>
  </w:num>
  <w:num w:numId="344">
    <w:abstractNumId w:val="97"/>
  </w:num>
  <w:num w:numId="345">
    <w:abstractNumId w:val="29"/>
  </w:num>
  <w:num w:numId="346">
    <w:abstractNumId w:val="305"/>
  </w:num>
  <w:num w:numId="347">
    <w:abstractNumId w:val="273"/>
  </w:num>
  <w:num w:numId="348">
    <w:abstractNumId w:val="273"/>
    <w:lvlOverride w:ilvl="0">
      <w:lvl w:ilvl="0">
        <w:start w:val="27"/>
        <w:numFmt w:val="decimal"/>
        <w:lvlRestart w:val="0"/>
        <w:lvlText w:val="%1."/>
        <w:lvlJc w:val="left"/>
        <w:pPr>
          <w:tabs>
            <w:tab w:val="num" w:pos="475"/>
          </w:tabs>
          <w:ind w:left="0" w:firstLine="0"/>
        </w:pPr>
        <w:rPr>
          <w:spacing w:val="0"/>
          <w:w w:val="100"/>
        </w:rPr>
      </w:lvl>
    </w:lvlOverride>
  </w:num>
  <w:num w:numId="349">
    <w:abstractNumId w:val="123"/>
  </w:num>
  <w:num w:numId="350">
    <w:abstractNumId w:val="118"/>
  </w:num>
  <w:num w:numId="351">
    <w:abstractNumId w:val="152"/>
  </w:num>
  <w:num w:numId="352">
    <w:abstractNumId w:val="399"/>
  </w:num>
  <w:num w:numId="353">
    <w:abstractNumId w:val="385"/>
  </w:num>
  <w:num w:numId="354">
    <w:abstractNumId w:val="222"/>
  </w:num>
  <w:num w:numId="355">
    <w:abstractNumId w:val="61"/>
  </w:num>
  <w:num w:numId="356">
    <w:abstractNumId w:val="308"/>
  </w:num>
  <w:num w:numId="357">
    <w:abstractNumId w:val="133"/>
  </w:num>
  <w:num w:numId="358">
    <w:abstractNumId w:val="136"/>
  </w:num>
  <w:num w:numId="359">
    <w:abstractNumId w:val="464"/>
  </w:num>
  <w:num w:numId="360">
    <w:abstractNumId w:val="283"/>
  </w:num>
  <w:num w:numId="361">
    <w:abstractNumId w:val="159"/>
  </w:num>
  <w:num w:numId="362">
    <w:abstractNumId w:val="377"/>
  </w:num>
  <w:num w:numId="363">
    <w:abstractNumId w:val="179"/>
  </w:num>
  <w:num w:numId="364">
    <w:abstractNumId w:val="310"/>
  </w:num>
  <w:num w:numId="365">
    <w:abstractNumId w:val="161"/>
  </w:num>
  <w:num w:numId="366">
    <w:abstractNumId w:val="236"/>
  </w:num>
  <w:num w:numId="367">
    <w:abstractNumId w:val="146"/>
  </w:num>
  <w:num w:numId="368">
    <w:abstractNumId w:val="211"/>
  </w:num>
  <w:num w:numId="369">
    <w:abstractNumId w:val="20"/>
  </w:num>
  <w:num w:numId="370">
    <w:abstractNumId w:val="386"/>
  </w:num>
  <w:num w:numId="371">
    <w:abstractNumId w:val="63"/>
  </w:num>
  <w:num w:numId="372">
    <w:abstractNumId w:val="437"/>
  </w:num>
  <w:num w:numId="373">
    <w:abstractNumId w:val="410"/>
  </w:num>
  <w:num w:numId="374">
    <w:abstractNumId w:val="27"/>
  </w:num>
  <w:num w:numId="375">
    <w:abstractNumId w:val="260"/>
  </w:num>
  <w:num w:numId="376">
    <w:abstractNumId w:val="216"/>
  </w:num>
  <w:num w:numId="377">
    <w:abstractNumId w:val="219"/>
  </w:num>
  <w:num w:numId="378">
    <w:abstractNumId w:val="0"/>
    <w:lvlOverride w:ilvl="0">
      <w:lvl w:ilvl="0">
        <w:start w:val="379"/>
        <w:numFmt w:val="decimal"/>
        <w:lvlRestart w:val="0"/>
        <w:lvlText w:val="%1."/>
        <w:lvlJc w:val="left"/>
        <w:pPr>
          <w:tabs>
            <w:tab w:val="num" w:pos="475"/>
          </w:tabs>
          <w:ind w:left="0" w:firstLine="0"/>
        </w:pPr>
        <w:rPr>
          <w:spacing w:val="0"/>
          <w:w w:val="100"/>
        </w:rPr>
      </w:lvl>
    </w:lvlOverride>
  </w:num>
  <w:num w:numId="379">
    <w:abstractNumId w:val="229"/>
  </w:num>
  <w:num w:numId="380">
    <w:abstractNumId w:val="289"/>
  </w:num>
  <w:num w:numId="381">
    <w:abstractNumId w:val="116"/>
  </w:num>
  <w:num w:numId="382">
    <w:abstractNumId w:val="420"/>
  </w:num>
  <w:num w:numId="383">
    <w:abstractNumId w:val="195"/>
  </w:num>
  <w:num w:numId="384">
    <w:abstractNumId w:val="234"/>
  </w:num>
  <w:num w:numId="385">
    <w:abstractNumId w:val="147"/>
  </w:num>
  <w:num w:numId="386">
    <w:abstractNumId w:val="271"/>
  </w:num>
  <w:num w:numId="387">
    <w:abstractNumId w:val="167"/>
  </w:num>
  <w:num w:numId="388">
    <w:abstractNumId w:val="262"/>
  </w:num>
  <w:num w:numId="389">
    <w:abstractNumId w:val="235"/>
  </w:num>
  <w:num w:numId="390">
    <w:abstractNumId w:val="12"/>
  </w:num>
  <w:num w:numId="391">
    <w:abstractNumId w:val="119"/>
  </w:num>
  <w:num w:numId="392">
    <w:abstractNumId w:val="35"/>
  </w:num>
  <w:num w:numId="393">
    <w:abstractNumId w:val="289"/>
    <w:lvlOverride w:ilvl="0">
      <w:lvl w:ilvl="0">
        <w:start w:val="379"/>
        <w:numFmt w:val="decimal"/>
        <w:lvlRestart w:val="0"/>
        <w:lvlText w:val="%1."/>
        <w:lvlJc w:val="left"/>
        <w:pPr>
          <w:tabs>
            <w:tab w:val="num" w:pos="475"/>
          </w:tabs>
          <w:ind w:left="0" w:firstLine="0"/>
        </w:pPr>
        <w:rPr>
          <w:spacing w:val="0"/>
          <w:w w:val="100"/>
        </w:rPr>
      </w:lvl>
    </w:lvlOverride>
  </w:num>
  <w:num w:numId="394">
    <w:abstractNumId w:val="340"/>
  </w:num>
  <w:num w:numId="395">
    <w:abstractNumId w:val="6"/>
  </w:num>
  <w:num w:numId="396">
    <w:abstractNumId w:val="339"/>
  </w:num>
  <w:num w:numId="397">
    <w:abstractNumId w:val="261"/>
  </w:num>
  <w:num w:numId="398">
    <w:abstractNumId w:val="230"/>
  </w:num>
  <w:num w:numId="399">
    <w:abstractNumId w:val="358"/>
  </w:num>
  <w:num w:numId="400">
    <w:abstractNumId w:val="67"/>
  </w:num>
  <w:num w:numId="401">
    <w:abstractNumId w:val="182"/>
  </w:num>
  <w:num w:numId="402">
    <w:abstractNumId w:val="447"/>
  </w:num>
  <w:num w:numId="403">
    <w:abstractNumId w:val="364"/>
  </w:num>
  <w:num w:numId="404">
    <w:abstractNumId w:val="370"/>
  </w:num>
  <w:num w:numId="405">
    <w:abstractNumId w:val="364"/>
    <w:lvlOverride w:ilvl="0">
      <w:lvl w:ilvl="0">
        <w:start w:val="1"/>
        <w:numFmt w:val="decimal"/>
        <w:lvlRestart w:val="0"/>
        <w:lvlText w:val="%1."/>
        <w:lvlJc w:val="left"/>
        <w:pPr>
          <w:tabs>
            <w:tab w:val="num" w:pos="475"/>
          </w:tabs>
          <w:ind w:left="0" w:firstLine="0"/>
        </w:pPr>
        <w:rPr>
          <w:spacing w:val="0"/>
          <w:w w:val="100"/>
        </w:rPr>
      </w:lvl>
    </w:lvlOverride>
  </w:num>
  <w:num w:numId="406">
    <w:abstractNumId w:val="215"/>
  </w:num>
  <w:num w:numId="407">
    <w:abstractNumId w:val="388"/>
  </w:num>
  <w:num w:numId="408">
    <w:abstractNumId w:val="354"/>
  </w:num>
  <w:num w:numId="409">
    <w:abstractNumId w:val="263"/>
  </w:num>
  <w:num w:numId="410">
    <w:abstractNumId w:val="413"/>
  </w:num>
  <w:num w:numId="411">
    <w:abstractNumId w:val="355"/>
  </w:num>
  <w:num w:numId="412">
    <w:abstractNumId w:val="34"/>
  </w:num>
  <w:num w:numId="413">
    <w:abstractNumId w:val="157"/>
  </w:num>
  <w:num w:numId="414">
    <w:abstractNumId w:val="435"/>
  </w:num>
  <w:num w:numId="415">
    <w:abstractNumId w:val="329"/>
  </w:num>
  <w:num w:numId="416">
    <w:abstractNumId w:val="60"/>
  </w:num>
  <w:num w:numId="417">
    <w:abstractNumId w:val="223"/>
  </w:num>
  <w:num w:numId="418">
    <w:abstractNumId w:val="330"/>
  </w:num>
  <w:num w:numId="419">
    <w:abstractNumId w:val="92"/>
  </w:num>
  <w:num w:numId="420">
    <w:abstractNumId w:val="191"/>
  </w:num>
  <w:num w:numId="421">
    <w:abstractNumId w:val="122"/>
  </w:num>
  <w:num w:numId="422">
    <w:abstractNumId w:val="297"/>
  </w:num>
  <w:num w:numId="423">
    <w:abstractNumId w:val="84"/>
  </w:num>
  <w:num w:numId="424">
    <w:abstractNumId w:val="375"/>
  </w:num>
  <w:num w:numId="425">
    <w:abstractNumId w:val="327"/>
  </w:num>
  <w:num w:numId="426">
    <w:abstractNumId w:val="171"/>
  </w:num>
  <w:num w:numId="427">
    <w:abstractNumId w:val="204"/>
  </w:num>
  <w:num w:numId="428">
    <w:abstractNumId w:val="359"/>
  </w:num>
  <w:num w:numId="429">
    <w:abstractNumId w:val="265"/>
  </w:num>
  <w:num w:numId="430">
    <w:abstractNumId w:val="103"/>
  </w:num>
  <w:num w:numId="431">
    <w:abstractNumId w:val="434"/>
  </w:num>
  <w:num w:numId="432">
    <w:abstractNumId w:val="343"/>
  </w:num>
  <w:num w:numId="433">
    <w:abstractNumId w:val="153"/>
  </w:num>
  <w:num w:numId="434">
    <w:abstractNumId w:val="349"/>
  </w:num>
  <w:num w:numId="435">
    <w:abstractNumId w:val="198"/>
  </w:num>
  <w:num w:numId="436">
    <w:abstractNumId w:val="165"/>
  </w:num>
  <w:num w:numId="437">
    <w:abstractNumId w:val="25"/>
  </w:num>
  <w:num w:numId="438">
    <w:abstractNumId w:val="467"/>
  </w:num>
  <w:num w:numId="439">
    <w:abstractNumId w:val="351"/>
  </w:num>
  <w:num w:numId="440">
    <w:abstractNumId w:val="23"/>
  </w:num>
  <w:num w:numId="441">
    <w:abstractNumId w:val="76"/>
  </w:num>
  <w:num w:numId="442">
    <w:abstractNumId w:val="274"/>
  </w:num>
  <w:num w:numId="443">
    <w:abstractNumId w:val="458"/>
  </w:num>
  <w:num w:numId="444">
    <w:abstractNumId w:val="124"/>
  </w:num>
  <w:num w:numId="445">
    <w:abstractNumId w:val="383"/>
  </w:num>
  <w:num w:numId="446">
    <w:abstractNumId w:val="106"/>
  </w:num>
  <w:num w:numId="447">
    <w:abstractNumId w:val="431"/>
  </w:num>
  <w:num w:numId="448">
    <w:abstractNumId w:val="350"/>
  </w:num>
  <w:num w:numId="449">
    <w:abstractNumId w:val="255"/>
  </w:num>
  <w:num w:numId="450">
    <w:abstractNumId w:val="127"/>
  </w:num>
  <w:num w:numId="451">
    <w:abstractNumId w:val="315"/>
  </w:num>
  <w:num w:numId="452">
    <w:abstractNumId w:val="372"/>
  </w:num>
  <w:num w:numId="453">
    <w:abstractNumId w:val="200"/>
  </w:num>
  <w:num w:numId="454">
    <w:abstractNumId w:val="91"/>
  </w:num>
  <w:num w:numId="455">
    <w:abstractNumId w:val="187"/>
  </w:num>
  <w:num w:numId="456">
    <w:abstractNumId w:val="362"/>
  </w:num>
  <w:num w:numId="457">
    <w:abstractNumId w:val="280"/>
  </w:num>
  <w:num w:numId="458">
    <w:abstractNumId w:val="232"/>
  </w:num>
  <w:num w:numId="459">
    <w:abstractNumId w:val="421"/>
  </w:num>
  <w:num w:numId="460">
    <w:abstractNumId w:val="457"/>
  </w:num>
  <w:num w:numId="461">
    <w:abstractNumId w:val="390"/>
  </w:num>
  <w:num w:numId="462">
    <w:abstractNumId w:val="380"/>
  </w:num>
  <w:num w:numId="463">
    <w:abstractNumId w:val="346"/>
  </w:num>
  <w:num w:numId="464">
    <w:abstractNumId w:val="231"/>
  </w:num>
  <w:num w:numId="465">
    <w:abstractNumId w:val="88"/>
  </w:num>
  <w:num w:numId="466">
    <w:abstractNumId w:val="199"/>
  </w:num>
  <w:num w:numId="467">
    <w:abstractNumId w:val="292"/>
  </w:num>
  <w:num w:numId="468">
    <w:abstractNumId w:val="22"/>
  </w:num>
  <w:num w:numId="469">
    <w:abstractNumId w:val="452"/>
  </w:num>
  <w:num w:numId="470">
    <w:abstractNumId w:val="461"/>
  </w:num>
  <w:num w:numId="471">
    <w:abstractNumId w:val="270"/>
  </w:num>
  <w:num w:numId="472">
    <w:abstractNumId w:val="461"/>
    <w:lvlOverride w:ilvl="0">
      <w:lvl w:ilvl="0">
        <w:start w:val="211"/>
        <w:numFmt w:val="decimal"/>
        <w:lvlRestart w:val="0"/>
        <w:lvlText w:val="%1."/>
        <w:lvlJc w:val="left"/>
        <w:pPr>
          <w:tabs>
            <w:tab w:val="num" w:pos="475"/>
          </w:tabs>
          <w:ind w:left="0" w:firstLine="0"/>
        </w:pPr>
        <w:rPr>
          <w:spacing w:val="0"/>
          <w:w w:val="100"/>
        </w:rPr>
      </w:lvl>
    </w:lvlOverride>
  </w:num>
  <w:num w:numId="473">
    <w:abstractNumId w:val="452"/>
    <w:lvlOverride w:ilvl="0">
      <w:lvl w:ilvl="0">
        <w:start w:val="211"/>
        <w:numFmt w:val="decimal"/>
        <w:lvlRestart w:val="0"/>
        <w:lvlText w:val="%1."/>
        <w:lvlJc w:val="left"/>
        <w:pPr>
          <w:tabs>
            <w:tab w:val="num" w:pos="475"/>
          </w:tabs>
          <w:ind w:left="0" w:firstLine="0"/>
        </w:pPr>
        <w:rPr>
          <w:spacing w:val="0"/>
          <w:w w:val="100"/>
        </w:rPr>
      </w:lvl>
    </w:lvlOverride>
  </w:num>
  <w:num w:numId="474">
    <w:abstractNumId w:val="450"/>
  </w:num>
  <w:num w:numId="475">
    <w:abstractNumId w:val="361"/>
  </w:num>
  <w:num w:numId="476">
    <w:abstractNumId w:val="15"/>
  </w:num>
  <w:num w:numId="477">
    <w:abstractNumId w:val="275"/>
  </w:num>
  <w:num w:numId="478">
    <w:abstractNumId w:val="74"/>
  </w:num>
  <w:num w:numId="479">
    <w:abstractNumId w:val="257"/>
  </w:num>
  <w:num w:numId="480">
    <w:abstractNumId w:val="357"/>
  </w:num>
  <w:num w:numId="481">
    <w:abstractNumId w:val="218"/>
  </w:num>
  <w:num w:numId="482">
    <w:abstractNumId w:val="418"/>
  </w:num>
  <w:num w:numId="483">
    <w:abstractNumId w:val="7"/>
  </w:num>
  <w:num w:numId="484">
    <w:abstractNumId w:val="112"/>
  </w:num>
  <w:num w:numId="485">
    <w:abstractNumId w:val="459"/>
  </w:num>
  <w:num w:numId="486">
    <w:abstractNumId w:val="33"/>
  </w:num>
  <w:num w:numId="487">
    <w:abstractNumId w:val="369"/>
  </w:num>
  <w:num w:numId="488">
    <w:abstractNumId w:val="316"/>
  </w:num>
  <w:num w:numId="489">
    <w:abstractNumId w:val="184"/>
  </w:num>
  <w:num w:numId="490">
    <w:abstractNumId w:val="184"/>
    <w:lvlOverride w:ilvl="0">
      <w:lvl w:ilvl="0">
        <w:start w:val="1"/>
        <w:numFmt w:val="decimal"/>
        <w:lvlRestart w:val="0"/>
        <w:lvlText w:val="%1."/>
        <w:lvlJc w:val="left"/>
        <w:pPr>
          <w:tabs>
            <w:tab w:val="num" w:pos="475"/>
          </w:tabs>
          <w:ind w:left="0" w:firstLine="0"/>
        </w:pPr>
        <w:rPr>
          <w:spacing w:val="0"/>
          <w:w w:val="100"/>
        </w:rPr>
      </w:lvl>
    </w:lvlOverride>
  </w:num>
  <w:num w:numId="491">
    <w:abstractNumId w:val="53"/>
  </w:num>
  <w:num w:numId="492">
    <w:abstractNumId w:val="253"/>
  </w:num>
  <w:num w:numId="493">
    <w:abstractNumId w:val="96"/>
  </w:num>
  <w:num w:numId="494">
    <w:abstractNumId w:val="186"/>
  </w:num>
  <w:num w:numId="495">
    <w:abstractNumId w:val="41"/>
  </w:num>
  <w:num w:numId="496">
    <w:abstractNumId w:val="253"/>
    <w:lvlOverride w:ilvl="0">
      <w:lvl w:ilvl="0">
        <w:start w:val="16"/>
        <w:numFmt w:val="decimal"/>
        <w:lvlRestart w:val="0"/>
        <w:lvlText w:val="%1."/>
        <w:lvlJc w:val="left"/>
        <w:pPr>
          <w:tabs>
            <w:tab w:val="num" w:pos="1742"/>
          </w:tabs>
          <w:ind w:left="1267" w:firstLine="0"/>
        </w:pPr>
        <w:rPr>
          <w:spacing w:val="0"/>
          <w:w w:val="100"/>
        </w:rPr>
      </w:lvl>
    </w:lvlOverride>
  </w:num>
  <w:num w:numId="497">
    <w:abstractNumId w:val="202"/>
  </w:num>
  <w:num w:numId="498">
    <w:abstractNumId w:val="53"/>
    <w:lvlOverride w:ilvl="0">
      <w:lvl w:ilvl="0">
        <w:start w:val="1"/>
        <w:numFmt w:val="decimal"/>
        <w:lvlRestart w:val="0"/>
        <w:lvlText w:val="%1."/>
        <w:lvlJc w:val="left"/>
        <w:pPr>
          <w:tabs>
            <w:tab w:val="num" w:pos="475"/>
          </w:tabs>
          <w:ind w:left="0" w:firstLine="0"/>
        </w:pPr>
        <w:rPr>
          <w:spacing w:val="0"/>
          <w:w w:val="100"/>
        </w:rPr>
      </w:lvl>
    </w:lvlOverride>
  </w:num>
  <w:num w:numId="499">
    <w:abstractNumId w:val="245"/>
  </w:num>
  <w:num w:numId="500">
    <w:abstractNumId w:val="268"/>
  </w:num>
  <w:num w:numId="501">
    <w:abstractNumId w:val="239"/>
  </w:num>
  <w:num w:numId="502">
    <w:abstractNumId w:val="128"/>
  </w:num>
  <w:num w:numId="503">
    <w:abstractNumId w:val="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04">
    <w:abstractNumId w:val="73"/>
  </w:num>
  <w:num w:numId="505">
    <w:abstractNumId w:val="319"/>
  </w:num>
  <w:num w:numId="506">
    <w:abstractNumId w:val="131"/>
  </w:num>
  <w:num w:numId="507">
    <w:abstractNumId w:val="110"/>
  </w:num>
  <w:num w:numId="508">
    <w:abstractNumId w:val="110"/>
  </w:num>
  <w:num w:numId="509">
    <w:abstractNumId w:val="408"/>
  </w:num>
  <w:num w:numId="510">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10/2001 16:14:53"/>
    <w:docVar w:name="DocCategory" w:val="Supplements"/>
    <w:docVar w:name="DocType" w:val="Final"/>
    <w:docVar w:name="JobNo" w:val="0153459S"/>
    <w:docVar w:name="OandT" w:val="mtdk"/>
    <w:docVar w:name="Symbol1" w:val="A/56/38"/>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23"/>
      </w:numPr>
      <w:spacing w:before="240" w:after="60"/>
      <w:outlineLvl w:val="7"/>
    </w:pPr>
    <w:rPr>
      <w:rFonts w:ascii="Arial" w:hAnsi="Arial"/>
      <w:i/>
    </w:rPr>
  </w:style>
  <w:style w:type="paragraph" w:styleId="Heading9">
    <w:name w:val="heading 9"/>
    <w:basedOn w:val="Normal"/>
    <w:next w:val="Normal"/>
    <w:qFormat/>
    <w:pPr>
      <w:numPr>
        <w:ilvl w:val="8"/>
        <w:numId w:val="23"/>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pacing w:line="270" w:lineRule="exact"/>
      <w:outlineLvl w:val="0"/>
    </w:pPr>
    <w:rPr>
      <w:b/>
      <w:sz w:val="24"/>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Ch">
    <w:name w:val="_ H _Ch"/>
    <w:basedOn w:val="H1"/>
    <w:next w:val="SingleTxt"/>
    <w:pPr>
      <w:spacing w:line="300" w:lineRule="exact"/>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 w:type="character" w:customStyle="1" w:styleId="TTable3E">
    <w:name w:val="_TTable3(E)"/>
    <w:rPr>
      <w:rFonts w:ascii="Times New Roman" w:hAnsi="Times New Roman"/>
      <w:sz w:val="20"/>
    </w:rPr>
  </w:style>
  <w:style w:type="character" w:customStyle="1" w:styleId="TTable2">
    <w:name w:val="_TTable2"/>
    <w:rPr>
      <w:rFonts w:ascii="Times New Roman" w:hAnsi="Times New Roman"/>
      <w:sz w:val="20"/>
    </w:rPr>
  </w:style>
  <w:style w:type="character" w:customStyle="1" w:styleId="TTable1a">
    <w:name w:val="_TTable1(a)"/>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oter" Target="footer6.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530</TotalTime>
  <Pages>168</Pages>
  <Words>84917</Words>
  <Characters>431822</Characters>
  <Application>Microsoft Office Word</Application>
  <DocSecurity>4</DocSecurity>
  <Lines>13996</Lines>
  <Paragraphs>4772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511638</CharactersWithSpaces>
  <SharedDoc>false</SharedDoc>
  <HLinks>
    <vt:vector size="12" baseType="variant">
      <vt:variant>
        <vt:i4>4522087</vt:i4>
      </vt:variant>
      <vt:variant>
        <vt:i4>1447</vt:i4>
      </vt:variant>
      <vt:variant>
        <vt:i4>1025</vt:i4>
      </vt:variant>
      <vt:variant>
        <vt:i4>1</vt:i4>
      </vt:variant>
      <vt:variant>
        <vt:lpwstr>C:\Program Files\Microsoft Office\WordMacros\_unlogo.wpg</vt:lpwstr>
      </vt:variant>
      <vt:variant>
        <vt:lpwstr/>
      </vt:variant>
      <vt:variant>
        <vt:i4>4522087</vt:i4>
      </vt:variant>
      <vt:variant>
        <vt:i4>519089</vt:i4>
      </vt:variant>
      <vt:variant>
        <vt:i4>1026</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Díaz de Kostich, María Teresa</dc:creator>
  <cp:keywords/>
  <dc:description/>
  <cp:lastModifiedBy>Amores, José</cp:lastModifiedBy>
  <cp:revision>70</cp:revision>
  <cp:lastPrinted>2001-10-11T15:12:00Z</cp:lastPrinted>
  <dcterms:created xsi:type="dcterms:W3CDTF">2001-10-08T15:14:00Z</dcterms:created>
  <dcterms:modified xsi:type="dcterms:W3CDTF">2001-10-11T15:17:00Z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0153459</vt:lpwstr>
  </property>
  <property fmtid="{D5CDD505-2E9C-101B-9397-08002B2CF9AE}" pid="3" name="Symbol1">
    <vt:lpwstr>A/56/38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Amores</vt:lpwstr>
  </property>
</Properties>
</file>