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bookmarkStart w:id="0" w:name="TmpSave"/>
      <w:bookmarkEnd w:id="0"/>
      <w:r>
        <w:rPr>
          <w:rStyle w:val="CommentReference"/>
          <w:vanish/>
        </w:rPr>
        <w:commentReference w:id="1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428-м заседании,</w:t>
      </w:r>
    </w:p>
    <w:p w:rsidR="00000000" w:rsidRDefault="00000000">
      <w:r>
        <w:t>состоявшемся в Центральных учреждениях, Нью-Йорк, в среду, 9 июня 1999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</w:t>
      </w:r>
      <w:r>
        <w:noBreakHyphen/>
        <w:t>жа Шёпп-Шиллинг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t xml:space="preserve">              затем:</w:t>
      </w:r>
      <w:r>
        <w:tab/>
        <w:t>г</w:t>
      </w:r>
      <w:r>
        <w:noBreakHyphen/>
        <w:t>жа Гонсалес (Председатель)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</w:t>
      </w:r>
      <w:r>
        <w:br/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>Первоначальный доклад Грузии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spacing w:after="0" w:line="240" w:lineRule="auto"/>
        <w:jc w:val="left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В отсутствие г</w:t>
      </w:r>
      <w:r>
        <w:rPr>
          <w:i/>
        </w:rPr>
        <w:noBreakHyphen/>
        <w:t>жи Гонсалес место Председателя з</w:t>
      </w:r>
      <w:r>
        <w:rPr>
          <w:i/>
        </w:rPr>
        <w:t>а</w:t>
      </w:r>
      <w:r>
        <w:rPr>
          <w:i/>
        </w:rPr>
        <w:t>нимает г</w:t>
      </w:r>
      <w:r>
        <w:rPr>
          <w:i/>
        </w:rPr>
        <w:noBreakHyphen/>
        <w:t>жа Шёпп-Шиллинг.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i/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</w:t>
      </w:r>
      <w:r>
        <w:rPr>
          <w:b w:val="0"/>
          <w:i/>
        </w:rPr>
        <w:t>е</w:t>
      </w:r>
      <w:r>
        <w:rPr>
          <w:b w:val="0"/>
          <w:i/>
        </w:rPr>
        <w:t>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tabs>
          <w:tab w:val="clear" w:pos="480"/>
          <w:tab w:val="clear" w:pos="960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</w:r>
      <w:r>
        <w:rPr>
          <w:i/>
          <w:spacing w:val="3"/>
        </w:rPr>
        <w:t>Первоначальный доклад Грузии</w:t>
      </w:r>
      <w:r>
        <w:t xml:space="preserve"> (</w:t>
      </w:r>
      <w:r>
        <w:rPr>
          <w:i/>
        </w:rPr>
        <w:t>продолжение</w:t>
      </w:r>
      <w:r>
        <w:t>) (CEDAW/GEO/1 и Add.1)</w:t>
      </w: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г</w:t>
      </w:r>
      <w:r>
        <w:rPr>
          <w:i/>
        </w:rPr>
        <w:noBreakHyphen/>
        <w:t>жа Беридзе (Грузия) занимает место за ст</w:t>
      </w:r>
      <w:r>
        <w:rPr>
          <w:i/>
        </w:rPr>
        <w:t>о</w:t>
      </w:r>
      <w:r>
        <w:rPr>
          <w:i/>
        </w:rPr>
        <w:t>лом Комитета</w:t>
      </w:r>
      <w:r>
        <w:t>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с интересом отмечает, что на долю женщин приходится 53 процента рабочей силы Гр</w:t>
      </w:r>
      <w:r>
        <w:t>у</w:t>
      </w:r>
      <w:r>
        <w:t>зии, и позитивно оценивает обширные меры по з</w:t>
      </w:r>
      <w:r>
        <w:t>а</w:t>
      </w:r>
      <w:r>
        <w:t>щите материнства и другие пособия, предусмотре</w:t>
      </w:r>
      <w:r>
        <w:t>н</w:t>
      </w:r>
      <w:r>
        <w:t>ные в соответствии с Кодексом законов о труде. Ссылаясь на пункт 81, она говорит, что в докладе не рассматриваются или не представлены достаточные данные о дискриминации в области занятости, в ч</w:t>
      </w:r>
      <w:r>
        <w:t>а</w:t>
      </w:r>
      <w:r>
        <w:t>стности в плане оплаты труда, и она интересуется наличием данной проблемы в Грузии. В этой связи она отмечает, что на долю женщин приходится 52 процента низкооплачиваемых должностей (81,3 процента женщин заняты в сельскохозяйс</w:t>
      </w:r>
      <w:r>
        <w:t>т</w:t>
      </w:r>
      <w:r>
        <w:t>венном секторе) и что женщины, включая женщин, занимающих должности высококвалифицирова</w:t>
      </w:r>
      <w:r>
        <w:t>н</w:t>
      </w:r>
      <w:r>
        <w:t>ных специалистов, располагают менее значител</w:t>
      </w:r>
      <w:r>
        <w:t>ь</w:t>
      </w:r>
      <w:r>
        <w:t>ными возможностями занятости в частном секторе. Она опасается, что наличие большого числа же</w:t>
      </w:r>
      <w:r>
        <w:t>н</w:t>
      </w:r>
      <w:r>
        <w:t>щин в рамках рабочей силы, возможно, объясняется их готовностью соглашаться на более низкую зар</w:t>
      </w:r>
      <w:r>
        <w:t>а</w:t>
      </w:r>
      <w:r>
        <w:t>ботную плату. Распространяется ли трудовое зак</w:t>
      </w:r>
      <w:r>
        <w:t>о</w:t>
      </w:r>
      <w:r>
        <w:t>нодательство на сельскохозяйственный и новый складывающийся час</w:t>
      </w:r>
      <w:r>
        <w:t>т</w:t>
      </w:r>
      <w:r>
        <w:t>ный секторы?</w:t>
      </w:r>
    </w:p>
    <w:p w:rsidR="00000000" w:rsidRDefault="00000000">
      <w:pPr>
        <w:pStyle w:val="DualTxt"/>
      </w:pPr>
      <w:r>
        <w:t>3.</w:t>
      </w:r>
      <w:r>
        <w:tab/>
        <w:t>Интересно было бы услышать, ведет ли эк</w:t>
      </w:r>
      <w:r>
        <w:t>о</w:t>
      </w:r>
      <w:r>
        <w:t>номическая глобализация к созданию возможностей занятости грузинских женщин и разработало ли правительство программы по сведению к минимуму отрицательных последствий структурной пер</w:t>
      </w:r>
      <w:r>
        <w:t>е</w:t>
      </w:r>
      <w:r>
        <w:t>стройки путем расширения сферы социальных у</w:t>
      </w:r>
      <w:r>
        <w:t>с</w:t>
      </w:r>
      <w:r>
        <w:t>луг, в частности сети заведений по уходу за детьми. В период после ликвидации советского режима н</w:t>
      </w:r>
      <w:r>
        <w:t>а</w:t>
      </w:r>
      <w:r>
        <w:t>блюдалось уменьшение количества центров по ух</w:t>
      </w:r>
      <w:r>
        <w:t>о</w:t>
      </w:r>
      <w:r>
        <w:t>ду за детьми; являются ли доступными заведения по уходу за детьми, созданные частным сектором? Она задает вопрос относительно законов, нацеле</w:t>
      </w:r>
      <w:r>
        <w:t>н</w:t>
      </w:r>
      <w:r>
        <w:t>ных на борьбу с сексуальными домогательствами на рабочем месте, и наличия программ професси</w:t>
      </w:r>
      <w:r>
        <w:t>о</w:t>
      </w:r>
      <w:r>
        <w:t>нальной переподготовки, разработанных по образцу программ некоторых восточноевропейских стран с переходной экономикой, в целях подготовки же</w:t>
      </w:r>
      <w:r>
        <w:t>н</w:t>
      </w:r>
      <w:r>
        <w:t>щин-служащих государственного сектора к перех</w:t>
      </w:r>
      <w:r>
        <w:t>о</w:t>
      </w:r>
      <w:r>
        <w:t>ду в частный се</w:t>
      </w:r>
      <w:r>
        <w:t>к</w:t>
      </w:r>
      <w:r>
        <w:t>тор.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>, ссылаясь на пункт 74, выражает озабоченность в связи с ограничениями труда же</w:t>
      </w:r>
      <w:r>
        <w:t>н</w:t>
      </w:r>
      <w:r>
        <w:t>щин на ночных и сверхурочных работах и напра</w:t>
      </w:r>
      <w:r>
        <w:t>в</w:t>
      </w:r>
      <w:r>
        <w:t>ления их в командировки, что противоречит как Конвенции о ликвидации дискриминации в отн</w:t>
      </w:r>
      <w:r>
        <w:t>о</w:t>
      </w:r>
      <w:r>
        <w:t>шении женщин, так и конвенциям Международной организации труда. Кроме того, представителю Гр</w:t>
      </w:r>
      <w:r>
        <w:t>у</w:t>
      </w:r>
      <w:r>
        <w:t>зии следует заверить Комитет в том, что запрет на использование женского труда на работах с опа</w:t>
      </w:r>
      <w:r>
        <w:t>с</w:t>
      </w:r>
      <w:r>
        <w:t>ными условиями или работах, связанных с перен</w:t>
      </w:r>
      <w:r>
        <w:t>о</w:t>
      </w:r>
      <w:r>
        <w:t>сом тяжестей (пункт 75), не используется в качестве предлога для того, чтобы отказывать женщинам в найме на работу.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Шалев</w:t>
      </w:r>
      <w:r>
        <w:t xml:space="preserve"> поздравляет Грузию с принятием Закона о правах пациентов и интересуется его с</w:t>
      </w:r>
      <w:r>
        <w:t>о</w:t>
      </w:r>
      <w:r>
        <w:t>держанием. Хотелось бы знать, соответствуют ли принципы, изложенные в этом Законе, общим рек</w:t>
      </w:r>
      <w:r>
        <w:t>о</w:t>
      </w:r>
      <w:r>
        <w:t>мендациям Комитета по статье 12, которые обесп</w:t>
      </w:r>
      <w:r>
        <w:t>е</w:t>
      </w:r>
      <w:r>
        <w:t>чивают, в частности, защиту прав на информир</w:t>
      </w:r>
      <w:r>
        <w:t>о</w:t>
      </w:r>
      <w:r>
        <w:t>ванный выбор, конфиденциальность и неприкосн</w:t>
      </w:r>
      <w:r>
        <w:t>о</w:t>
      </w:r>
      <w:r>
        <w:t>венность частной жизни. Она выражает озабоче</w:t>
      </w:r>
      <w:r>
        <w:t>н</w:t>
      </w:r>
      <w:r>
        <w:t>ность в связи с ростом показателей материнской и младенческой смертности (пункты 102 и 108), в ч</w:t>
      </w:r>
      <w:r>
        <w:t>а</w:t>
      </w:r>
      <w:r>
        <w:t>стности в период после принятия в 1997 году Зак</w:t>
      </w:r>
      <w:r>
        <w:t>о</w:t>
      </w:r>
      <w:r>
        <w:t>на о медицинском страховании, и интересуется, обусловлена ли эта проблема осуществляемым в больницах в результате приватизации переходом к системе платных услуг. Представитель Грузии до</w:t>
      </w:r>
      <w:r>
        <w:t>л</w:t>
      </w:r>
      <w:r>
        <w:t>жен представить информацию об имеющихся у женщин общинных услугах, оказываемых в дород</w:t>
      </w:r>
      <w:r>
        <w:t>о</w:t>
      </w:r>
      <w:r>
        <w:t>вой период, включая услуги, покрываемые Законом о медицинском страховании. В этой связи она о</w:t>
      </w:r>
      <w:r>
        <w:t>б</w:t>
      </w:r>
      <w:r>
        <w:t>ращает внимание на пункт 2 статьи 12 Конвенции, в котором упоминается необходимость обеспечения, где это необходимо, беспла</w:t>
      </w:r>
      <w:r>
        <w:t>т</w:t>
      </w:r>
      <w:r>
        <w:t>ных услуг.</w:t>
      </w:r>
    </w:p>
    <w:p w:rsidR="00000000" w:rsidRDefault="00000000">
      <w:pPr>
        <w:pStyle w:val="DualTxt"/>
      </w:pPr>
      <w:r>
        <w:t>6.</w:t>
      </w:r>
      <w:r>
        <w:tab/>
        <w:t>Переходя к вопросу об аборте, она выражает признательность Грузии за налаженные ею пар</w:t>
      </w:r>
      <w:r>
        <w:t>т</w:t>
      </w:r>
      <w:r>
        <w:t>нерские связи с Фондом Организации Объедине</w:t>
      </w:r>
      <w:r>
        <w:t>н</w:t>
      </w:r>
      <w:r>
        <w:t>ных Наций в области народонаселения в рамках п</w:t>
      </w:r>
      <w:r>
        <w:t>о</w:t>
      </w:r>
      <w:r>
        <w:t>ощрения применения современных средств контр</w:t>
      </w:r>
      <w:r>
        <w:t>а</w:t>
      </w:r>
      <w:r>
        <w:t>цепции и подчеркивает необходимость просвещ</w:t>
      </w:r>
      <w:r>
        <w:t>е</w:t>
      </w:r>
      <w:r>
        <w:t>ния молодежи об альтернативах аборту. Она просит разъяснить действующие в Грузии законодательные положения, регулирующие аборт, и просит предст</w:t>
      </w:r>
      <w:r>
        <w:t>а</w:t>
      </w:r>
      <w:r>
        <w:t>вить дополнительную информацию о случаях нез</w:t>
      </w:r>
      <w:r>
        <w:t>а</w:t>
      </w:r>
      <w:r>
        <w:t>конных абортов, упомянутых в докладе (пункт 101). Переходя к пункту 44, она предостерегает от пр</w:t>
      </w:r>
      <w:r>
        <w:t>и</w:t>
      </w:r>
      <w:r>
        <w:t>менения неэффективной политики преследования проституток в целях сдерживания распространения заболеваний, передаваемых половым путем. Ком</w:t>
      </w:r>
      <w:r>
        <w:t>и</w:t>
      </w:r>
      <w:r>
        <w:t>тет получил информацию о широких масштабах распространения передаваемых половым путем з</w:t>
      </w:r>
      <w:r>
        <w:t>а</w:t>
      </w:r>
      <w:r>
        <w:t>болеваний среди грузинской молодежи в возра</w:t>
      </w:r>
      <w:r>
        <w:t>с</w:t>
      </w:r>
      <w:r>
        <w:t>те 19–25 лет, включая лиц гетеросексуальной ор</w:t>
      </w:r>
      <w:r>
        <w:t>и</w:t>
      </w:r>
      <w:r>
        <w:t>ентации. Государство-участник должно представить информацию о любых осуществляемых в интересах этой возрастной группы программах обеспечения сексуал</w:t>
      </w:r>
      <w:r>
        <w:t>ь</w:t>
      </w:r>
      <w:r>
        <w:t>ного здоровья.</w:t>
      </w:r>
    </w:p>
    <w:p w:rsidR="00000000" w:rsidRDefault="00000000">
      <w:pPr>
        <w:pStyle w:val="DualTxt"/>
      </w:pPr>
      <w:r>
        <w:t>7.</w:t>
      </w:r>
      <w:r>
        <w:tab/>
        <w:t>Она интересуется, рассматривали ли грузи</w:t>
      </w:r>
      <w:r>
        <w:t>н</w:t>
      </w:r>
      <w:r>
        <w:t>ские власти вопрос о необходимости того, чтобы специалисты системы здравоохранения информ</w:t>
      </w:r>
      <w:r>
        <w:t>и</w:t>
      </w:r>
      <w:r>
        <w:t>ровали органы полиции о случаях насилия в отн</w:t>
      </w:r>
      <w:r>
        <w:t>о</w:t>
      </w:r>
      <w:r>
        <w:t>шении женщин. И наконец, она была бы призн</w:t>
      </w:r>
      <w:r>
        <w:t>а</w:t>
      </w:r>
      <w:r>
        <w:t>тельна за дополнительную информацию о заплан</w:t>
      </w:r>
      <w:r>
        <w:t>и</w:t>
      </w:r>
      <w:r>
        <w:t>рованной на 2010 год программе поощрения здор</w:t>
      </w:r>
      <w:r>
        <w:t>о</w:t>
      </w:r>
      <w:r>
        <w:t>вья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i/>
        </w:rPr>
        <w:t>Г</w:t>
      </w:r>
      <w:r>
        <w:rPr>
          <w:i/>
        </w:rPr>
        <w:noBreakHyphen/>
        <w:t>жа Гонсалес, Председатель, занимает м</w:t>
      </w:r>
      <w:r>
        <w:rPr>
          <w:i/>
        </w:rPr>
        <w:t>е</w:t>
      </w:r>
      <w:r>
        <w:rPr>
          <w:i/>
        </w:rPr>
        <w:t>сто Председателя</w:t>
      </w:r>
      <w:r>
        <w:t>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интересуется вопросами потре</w:t>
      </w:r>
      <w:r>
        <w:t>б</w:t>
      </w:r>
      <w:r>
        <w:t>ления табака среди женщин, в частности ввиду и</w:t>
      </w:r>
      <w:r>
        <w:t>с</w:t>
      </w:r>
      <w:r>
        <w:t>пытываемых Грузией экономических трудностей, и о наличии связи между курением и высокими пок</w:t>
      </w:r>
      <w:r>
        <w:t>а</w:t>
      </w:r>
      <w:r>
        <w:t>зателями материнской и младенческой смертности. Она была бы признательна за предоставление д</w:t>
      </w:r>
      <w:r>
        <w:t>о</w:t>
      </w:r>
      <w:r>
        <w:t>полнительной информации о проводимой госуда</w:t>
      </w:r>
      <w:r>
        <w:t>р</w:t>
      </w:r>
      <w:r>
        <w:t>ством-участником политике в отношении потребл</w:t>
      </w:r>
      <w:r>
        <w:t>е</w:t>
      </w:r>
      <w:r>
        <w:t>ния табака, и в частности любых программах, нац</w:t>
      </w:r>
      <w:r>
        <w:t>е</w:t>
      </w:r>
      <w:r>
        <w:t>ленных на борьбу с его злоупотреблением среди женщин и молодежи.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 </w:t>
      </w:r>
      <w:r>
        <w:t>говорит, что, читая доклад государства-участника, представленный К</w:t>
      </w:r>
      <w:r>
        <w:t>о</w:t>
      </w:r>
      <w:r>
        <w:t>митету по экономическим, социальным и культу</w:t>
      </w:r>
      <w:r>
        <w:t>р</w:t>
      </w:r>
      <w:r>
        <w:t>ным правам, она узнала о том, что в результате пр</w:t>
      </w:r>
      <w:r>
        <w:t>и</w:t>
      </w:r>
      <w:r>
        <w:t>ватизации системы медицинского обслуживания количество больниц в Грузии резко сократилось. Государству-участнику следует разъяснить свое решение отказаться от своей бывшей, весьма э</w:t>
      </w:r>
      <w:r>
        <w:t>ф</w:t>
      </w:r>
      <w:r>
        <w:t>фективной системы и последствия приватизации для охраны здоровья женщин, включая их репр</w:t>
      </w:r>
      <w:r>
        <w:t>о</w:t>
      </w:r>
      <w:r>
        <w:t>дуктивное здоровье. Сокращение масштабов мед</w:t>
      </w:r>
      <w:r>
        <w:t>и</w:t>
      </w:r>
      <w:r>
        <w:t>цинского обслуживания вызывает особую озаб</w:t>
      </w:r>
      <w:r>
        <w:t>о</w:t>
      </w:r>
      <w:r>
        <w:t>ченность в период, когда развал системы сельскох</w:t>
      </w:r>
      <w:r>
        <w:t>о</w:t>
      </w:r>
      <w:r>
        <w:t>зяйственного производства пагубным образом ск</w:t>
      </w:r>
      <w:r>
        <w:t>а</w:t>
      </w:r>
      <w:r>
        <w:t>зывается на поставках продовол</w:t>
      </w:r>
      <w:r>
        <w:t>ь</w:t>
      </w:r>
      <w:r>
        <w:t>ствия.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Фэн </w:t>
      </w:r>
      <w:r>
        <w:t>Чуй отмечает, что сельские женщ</w:t>
      </w:r>
      <w:r>
        <w:t>и</w:t>
      </w:r>
      <w:r>
        <w:t>ны составляют четверть населения страны и что 81,3 процента женщин заняты на сельскохозяйс</w:t>
      </w:r>
      <w:r>
        <w:t>т</w:t>
      </w:r>
      <w:r>
        <w:t>венных работах. Она просит представить дополн</w:t>
      </w:r>
      <w:r>
        <w:t>и</w:t>
      </w:r>
      <w:r>
        <w:t>тельную информацию о положении сельских же</w:t>
      </w:r>
      <w:r>
        <w:t>н</w:t>
      </w:r>
      <w:r>
        <w:t>щин, в том числе о последствиях земельной рефо</w:t>
      </w:r>
      <w:r>
        <w:t>р</w:t>
      </w:r>
      <w:r>
        <w:t>мы; о наличии существующей де-факто, если не де-юре, дискриминации; о процентной доле обнища</w:t>
      </w:r>
      <w:r>
        <w:t>в</w:t>
      </w:r>
      <w:r>
        <w:t>ших сельских женщин и о положении в области здравоохранения и образования. Она интересуется, содержатся ли в Плане действий по улучшению п</w:t>
      </w:r>
      <w:r>
        <w:t>о</w:t>
      </w:r>
      <w:r>
        <w:t>ложения женщин на период 1998–2000 годов (СEDAW/C/GEO/1/Add.1, пункт 6) конкретные цели в отношении сельских женщин, и выражает наде</w:t>
      </w:r>
      <w:r>
        <w:t>ж</w:t>
      </w:r>
      <w:r>
        <w:t>ду на то, что в следующем докладе г</w:t>
      </w:r>
      <w:r>
        <w:t>о</w:t>
      </w:r>
      <w:r>
        <w:t>сударства-участника будут представлены дополнительные статистические да</w:t>
      </w:r>
      <w:r>
        <w:t>н</w:t>
      </w:r>
      <w:r>
        <w:t>ные по этим вопросам.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отмечает отсутствие подро</w:t>
      </w:r>
      <w:r>
        <w:t>б</w:t>
      </w:r>
      <w:r>
        <w:t>ной информации или статистических данных, по</w:t>
      </w:r>
      <w:r>
        <w:t>д</w:t>
      </w:r>
      <w:r>
        <w:t>тверждающих утверждение об отсутствии дискр</w:t>
      </w:r>
      <w:r>
        <w:t>и</w:t>
      </w:r>
      <w:r>
        <w:t>минации в отношении сельских женщин (пункт 121). В докладе следовало бы представить информацию о доступе сельских женщин к услугам в области здравоохранения и планирования семьи и о показателях грамотности. Она надеется, что во втором пери</w:t>
      </w:r>
      <w:r>
        <w:t>о</w:t>
      </w:r>
      <w:r>
        <w:t>дическом докладе государства-участника будут рассмотрены все аспекты полож</w:t>
      </w:r>
      <w:r>
        <w:t>е</w:t>
      </w:r>
      <w:r>
        <w:t>ния сельских женщин, включая землевладение и их доступ к профессионально-техническому образов</w:t>
      </w:r>
      <w:r>
        <w:t>а</w:t>
      </w:r>
      <w:r>
        <w:t>нию и информации. В нем также следует указать, распространен ли текст Конвенции среди сельских женщин и имеют ли они возможность пользоваться теми же правами, что и горо</w:t>
      </w:r>
      <w:r>
        <w:t>д</w:t>
      </w:r>
      <w:r>
        <w:t>ские женщины.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>, отмечая содержащиеся в докладе частые ссылки на наличие стереотипных представлений и дискриминации в отношении женщин в рамках семьи, интересуется, какие фа</w:t>
      </w:r>
      <w:r>
        <w:t>к</w:t>
      </w:r>
      <w:r>
        <w:t>торы способствовали принятию в 1997 году Кодекса о семье, в котором было провозглашено абсолютное равенство между мужчинами и женщинами в ра</w:t>
      </w:r>
      <w:r>
        <w:t>м</w:t>
      </w:r>
      <w:r>
        <w:t>ках семейных отношений. Она была бы призн</w:t>
      </w:r>
      <w:r>
        <w:t>а</w:t>
      </w:r>
      <w:r>
        <w:t>тельна за предоставление информации о мерах, принимаемых в целях осуществления Кодекса о с</w:t>
      </w:r>
      <w:r>
        <w:t>е</w:t>
      </w:r>
      <w:r>
        <w:t>мье и распространения информации о нем среди женщин. Учитывая высокую процентную долю женщин-судей в Грузии, было бы интересно узнать, рассматривается ли Кодекс о семье в программах профессиональной подготовки судей. Она была бы признательна за разъяснение изложенных в пун</w:t>
      </w:r>
      <w:r>
        <w:t>к</w:t>
      </w:r>
      <w:r>
        <w:t>те 125 концепций ««прав и обязанностей имущес</w:t>
      </w:r>
      <w:r>
        <w:t>т</w:t>
      </w:r>
      <w:r>
        <w:t>венного и неимущественного характера». И нак</w:t>
      </w:r>
      <w:r>
        <w:t>о</w:t>
      </w:r>
      <w:r>
        <w:t>нец, она спрашивает, каким образом обеспечивается на практике прим</w:t>
      </w:r>
      <w:r>
        <w:t>и</w:t>
      </w:r>
      <w:r>
        <w:t>рение концепции мужчины-кормильца и концепции обеспечения равной отве</w:t>
      </w:r>
      <w:r>
        <w:t>т</w:t>
      </w:r>
      <w:r>
        <w:t>ственности за содержание р</w:t>
      </w:r>
      <w:r>
        <w:t>е</w:t>
      </w:r>
      <w:r>
        <w:t>бенка.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просит представить дополн</w:t>
      </w:r>
      <w:r>
        <w:t>и</w:t>
      </w:r>
      <w:r>
        <w:t>тельную информацию о количестве и статусе бр</w:t>
      </w:r>
      <w:r>
        <w:t>а</w:t>
      </w:r>
      <w:r>
        <w:t>ков, заключаемых по религиозному обряду, и зак</w:t>
      </w:r>
      <w:r>
        <w:t>о</w:t>
      </w:r>
      <w:r>
        <w:t>нах о браке, применяемых в отношении мусульма</w:t>
      </w:r>
      <w:r>
        <w:t>н</w:t>
      </w:r>
      <w:r>
        <w:t>ской общины. Она позитивно оценивает установл</w:t>
      </w:r>
      <w:r>
        <w:t>е</w:t>
      </w:r>
      <w:r>
        <w:t>ние режима совместной собственности. Что касае</w:t>
      </w:r>
      <w:r>
        <w:t>т</w:t>
      </w:r>
      <w:r>
        <w:t>ся развода, то она хотела бы знать, обеспечивается ли он решением судьи и каким образом решаются вопросы попечительства. Она выражает озабоче</w:t>
      </w:r>
      <w:r>
        <w:t>н</w:t>
      </w:r>
      <w:r>
        <w:t>ность в отношении защиты интересов ребенка в тех случаях, когда решения относительно попечител</w:t>
      </w:r>
      <w:r>
        <w:t>ь</w:t>
      </w:r>
      <w:r>
        <w:t>ства принимаются судьями.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Беридзе</w:t>
      </w:r>
      <w:r>
        <w:t xml:space="preserve"> (Грузия) выражает признател</w:t>
      </w:r>
      <w:r>
        <w:t>ь</w:t>
      </w:r>
      <w:r>
        <w:t>ность членам Комитета за их весьма интересные и содержательные вопросы, на которые ее делегация ответит на запланированном заседании, посвяще</w:t>
      </w:r>
      <w:r>
        <w:t>н</w:t>
      </w:r>
      <w:r>
        <w:t>ном ответам. Вопросы, затронутые в ходе текущей сессии, будут приняты в расчет при подготовке вт</w:t>
      </w:r>
      <w:r>
        <w:t>о</w:t>
      </w:r>
      <w:r>
        <w:t>рого пери</w:t>
      </w:r>
      <w:r>
        <w:t>о</w:t>
      </w:r>
      <w:r>
        <w:t>дического доклада ее страны.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rPr>
          <w:i/>
        </w:rPr>
      </w:pPr>
      <w:r>
        <w:rPr>
          <w:i/>
        </w:rPr>
        <w:t>Заседание закр</w:t>
      </w:r>
      <w:r>
        <w:rPr>
          <w:i/>
        </w:rPr>
        <w:t>ы</w:t>
      </w:r>
      <w:r>
        <w:rPr>
          <w:i/>
        </w:rPr>
        <w:t>вается в 15 ч. 50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NO&gt;&gt;N0155431R&lt;&lt;ODS JOB NO&gt;&gt;</w:t>
      </w:r>
    </w:p>
    <w:p w:rsidR="00000000" w:rsidRDefault="00000000">
      <w:pPr>
        <w:pStyle w:val="CommentText"/>
      </w:pPr>
      <w:r>
        <w:t>&lt;&lt;ODS DOC SYMBOL1&gt;&gt;CEDAW/C/SR.428&lt;&lt;ODS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01-55431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*0155431*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CEDAW/C/SR.428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CEDAW/C/SR.428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/C/SR.428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8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02/2006 14:43:44"/>
    <w:docVar w:name="DocCategory" w:val="SROthers"/>
    <w:docVar w:name="DocType" w:val="Final"/>
    <w:docVar w:name="JobNo" w:val="0155431R"/>
    <w:docVar w:name="OandT" w:val=" "/>
    <w:docVar w:name="Symbol1" w:val="CEDAW/C/SR.42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1320</Words>
  <Characters>9101</Characters>
  <Application>Microsoft Office Word</Application>
  <DocSecurity>4</DocSecurity>
  <Lines>257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10381</CharactersWithSpaces>
  <SharedDoc>false</SharedDoc>
  <HLinks>
    <vt:vector size="6" baseType="variant">
      <vt:variant>
        <vt:i4>4522087</vt:i4>
      </vt:variant>
      <vt:variant>
        <vt:i4>22020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Nina.Mouslikova</dc:creator>
  <cp:keywords/>
  <dc:description/>
  <cp:lastModifiedBy>Nina.Mouslikova</cp:lastModifiedBy>
  <cp:revision>6</cp:revision>
  <cp:lastPrinted>2006-02-07T13:07:00Z</cp:lastPrinted>
  <dcterms:created xsi:type="dcterms:W3CDTF">2006-02-07T13:07:00Z</dcterms:created>
  <dcterms:modified xsi:type="dcterms:W3CDTF">2006-02-07T13:21:00Z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0155431</vt:lpwstr>
  </property>
  <property fmtid="{D5CDD505-2E9C-101B-9397-08002B2CF9AE}" pid="3" name="Symbol1">
    <vt:lpwstr>CEDAW/C/SR.428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4</vt:lpwstr>
  </property>
  <property fmtid="{D5CDD505-2E9C-101B-9397-08002B2CF9AE}" pid="8" name="Operator">
    <vt:lpwstr>Mouslikova</vt:lpwstr>
  </property>
</Properties>
</file>