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BC1" w:rsidRDefault="00C20BC1" w:rsidP="00C20BC1">
      <w:pPr>
        <w:spacing w:line="60" w:lineRule="exact"/>
        <w:rPr>
          <w:sz w:val="6"/>
        </w:rPr>
        <w:sectPr w:rsidR="00C20BC1" w:rsidSect="00C20BC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C20BC1" w:rsidRDefault="00C20BC1" w:rsidP="00C20BC1">
      <w:pPr>
        <w:spacing w:line="60" w:lineRule="exact"/>
        <w:rPr>
          <w:sz w:val="6"/>
        </w:rPr>
      </w:pPr>
    </w:p>
    <w:p w:rsidR="007A5F57" w:rsidRDefault="007A5F57" w:rsidP="007A5F5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7A5F57" w:rsidRDefault="007A5F57" w:rsidP="007A5F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第四十六届会议</w:t>
      </w:r>
    </w:p>
    <w:p w:rsidR="007A5F57" w:rsidRDefault="007A5F57" w:rsidP="007A5F57">
      <w:pPr>
        <w:pStyle w:val="SingleTxt"/>
        <w:spacing w:after="60"/>
        <w:ind w:left="0"/>
        <w:rPr>
          <w:rFonts w:hint="eastAsia"/>
        </w:rPr>
      </w:pPr>
      <w:r>
        <w:rPr>
          <w:rFonts w:hint="eastAsia"/>
        </w:rPr>
        <w:t>2010年7月12日至30日</w:t>
      </w:r>
    </w:p>
    <w:p w:rsidR="007A5F57" w:rsidRPr="007A5F57" w:rsidRDefault="007A5F57" w:rsidP="007A5F57">
      <w:pPr>
        <w:pStyle w:val="SingleTxt"/>
        <w:spacing w:after="0" w:line="120" w:lineRule="exact"/>
        <w:rPr>
          <w:sz w:val="10"/>
        </w:rPr>
      </w:pPr>
    </w:p>
    <w:p w:rsidR="007A5F57" w:rsidRPr="007A5F57" w:rsidRDefault="007A5F57" w:rsidP="007A5F57">
      <w:pPr>
        <w:pStyle w:val="SingleTxt"/>
        <w:spacing w:after="0" w:line="120" w:lineRule="exact"/>
        <w:rPr>
          <w:sz w:val="10"/>
        </w:rPr>
      </w:pPr>
    </w:p>
    <w:p w:rsidR="007A5F57" w:rsidRPr="007A5F57" w:rsidRDefault="007A5F57" w:rsidP="007A5F57">
      <w:pPr>
        <w:pStyle w:val="SingleTxt"/>
        <w:spacing w:after="0" w:line="120" w:lineRule="exact"/>
        <w:rPr>
          <w:sz w:val="10"/>
        </w:rPr>
      </w:pPr>
    </w:p>
    <w:p w:rsidR="007A5F57" w:rsidRDefault="007A5F57" w:rsidP="007A5F5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消除对妇女歧视委员会的结论意见：澳大利亚</w:t>
      </w:r>
    </w:p>
    <w:p w:rsidR="007A5F57" w:rsidRPr="007A5F57" w:rsidRDefault="007A5F57" w:rsidP="007A5F57">
      <w:pPr>
        <w:pStyle w:val="SingleTxt"/>
        <w:spacing w:after="0" w:line="120" w:lineRule="exact"/>
        <w:rPr>
          <w:rFonts w:hint="eastAsia"/>
          <w:sz w:val="10"/>
        </w:rPr>
      </w:pPr>
    </w:p>
    <w:p w:rsidR="007A5F57" w:rsidRPr="007A5F57" w:rsidRDefault="007A5F57" w:rsidP="007A5F57">
      <w:pPr>
        <w:pStyle w:val="SingleTxt"/>
        <w:spacing w:after="0" w:line="120" w:lineRule="exact"/>
        <w:rPr>
          <w:rFonts w:hint="eastAsia"/>
          <w:sz w:val="10"/>
        </w:rPr>
      </w:pPr>
    </w:p>
    <w:p w:rsidR="007A5F57" w:rsidRDefault="007A5F57" w:rsidP="007A5F57">
      <w:pPr>
        <w:pStyle w:val="SingleTxt"/>
        <w:rPr>
          <w:rFonts w:hint="eastAsia"/>
        </w:rPr>
      </w:pPr>
      <w:r>
        <w:rPr>
          <w:rFonts w:hint="eastAsia"/>
        </w:rPr>
        <w:t>1.</w:t>
      </w:r>
      <w:r>
        <w:rPr>
          <w:rFonts w:hint="eastAsia"/>
        </w:rPr>
        <w:tab/>
      </w:r>
      <w:r w:rsidRPr="006C400F">
        <w:rPr>
          <w:rFonts w:hint="eastAsia"/>
          <w:spacing w:val="-2"/>
        </w:rPr>
        <w:t>2010年7月20日，消除对妇女歧视委员会第935和第936次会议审议了澳大利亚的第六次和第七次合并报告(CEDAW/C/AUL/7)(见CEDAW/C/SR.935和</w:t>
      </w:r>
      <w:r>
        <w:rPr>
          <w:rFonts w:hint="eastAsia"/>
        </w:rPr>
        <w:t>936)。委员会的事项和问题清单载于CEDAW/C/AUL/Q/7号文件，澳大利亚的答复载于CEDAW/C/AUL/Q/7/Add.1号文件。</w:t>
      </w:r>
    </w:p>
    <w:p w:rsidR="007A5F57" w:rsidRDefault="007A5F57" w:rsidP="007A5F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导言</w:t>
      </w:r>
    </w:p>
    <w:p w:rsidR="007A5F57" w:rsidRPr="007A5F57" w:rsidRDefault="007A5F57" w:rsidP="007A5F57">
      <w:pPr>
        <w:pStyle w:val="SingleTxt"/>
        <w:spacing w:after="0" w:line="120" w:lineRule="exact"/>
        <w:rPr>
          <w:rFonts w:hint="eastAsia"/>
          <w:sz w:val="10"/>
        </w:rPr>
      </w:pPr>
    </w:p>
    <w:p w:rsidR="007A5F57" w:rsidRDefault="007A5F57" w:rsidP="007A5F57">
      <w:pPr>
        <w:pStyle w:val="SingleTxt"/>
        <w:rPr>
          <w:rFonts w:hint="eastAsia"/>
        </w:rPr>
      </w:pPr>
      <w:r>
        <w:rPr>
          <w:rFonts w:hint="eastAsia"/>
        </w:rPr>
        <w:t>2.</w:t>
      </w:r>
      <w:r>
        <w:rPr>
          <w:rFonts w:hint="eastAsia"/>
        </w:rPr>
        <w:tab/>
        <w:t>委员会赞赏缔约国提交第六次和第七次合并定期报告，该报告结构严谨并遵从委员会关于编写报告的准则。委员会赞赏缔约国回应委员会上次对没有提供充</w:t>
      </w:r>
      <w:r w:rsidRPr="006C400F">
        <w:rPr>
          <w:rFonts w:hint="eastAsia"/>
          <w:spacing w:val="-2"/>
        </w:rPr>
        <w:t>分的分列统计数据所表示的关切，提供了妇女事务办公室为改进数据收集工作而采取的步骤和制定关于两性平等的各项指标，包括土著人、残疾人以及低社会-</w:t>
      </w:r>
      <w:r>
        <w:rPr>
          <w:rFonts w:hint="eastAsia"/>
        </w:rPr>
        <w:t>经济阶层和农村及偏远地区的人的数据。委员会赞扬缔约国对委员会会前工作组提出的事项和问题清单作出的书面答复，以及对委员会口头提出的问题作出的口头陈述和进一步澄清。</w:t>
      </w:r>
    </w:p>
    <w:p w:rsidR="007A5F57" w:rsidRDefault="007A5F57" w:rsidP="007A5F57">
      <w:pPr>
        <w:pStyle w:val="SingleTxt"/>
        <w:rPr>
          <w:rFonts w:hint="eastAsia"/>
        </w:rPr>
      </w:pPr>
      <w:r>
        <w:rPr>
          <w:rFonts w:hint="eastAsia"/>
        </w:rPr>
        <w:t>3.</w:t>
      </w:r>
      <w:r>
        <w:rPr>
          <w:rFonts w:hint="eastAsia"/>
        </w:rPr>
        <w:tab/>
        <w:t>委员会赞扬缔约国的专家代表团，感谢代表团与委员会成员之间进行的建设性对话以及对委员会成员提出的问题作出的非常详细和全面的答复。</w:t>
      </w:r>
    </w:p>
    <w:p w:rsidR="007A5F57" w:rsidRDefault="007A5F57" w:rsidP="007A5F57">
      <w:pPr>
        <w:pStyle w:val="SingleTxt"/>
        <w:rPr>
          <w:rFonts w:hint="eastAsia"/>
        </w:rPr>
      </w:pPr>
      <w:r>
        <w:rPr>
          <w:rFonts w:hint="eastAsia"/>
        </w:rPr>
        <w:t>4.</w:t>
      </w:r>
      <w:r>
        <w:rPr>
          <w:rFonts w:hint="eastAsia"/>
        </w:rPr>
        <w:tab/>
        <w:t>委员会赞赏地注意到报告是通过参与性过程编制的，涉及政府机构、非政府组织并在州和领土各级广泛进行社区协商。委员会还满意地注意到，已经同残疾妇女、土著妇女、移民和难民妇女以及来自偏远或农村社区的妇女进行了具体协商，以回应委员会对以往报告缺乏关于这些类别妇女的资料所表示的关切。委员会赞扬缔约国向各非政府组织和民间社会组织提供财政支助，以协助它们编写提交委员会的替代报告。</w:t>
      </w:r>
    </w:p>
    <w:p w:rsidR="007A5F57" w:rsidRDefault="007A5F57" w:rsidP="007A5F57">
      <w:pPr>
        <w:pStyle w:val="SingleTxt"/>
        <w:rPr>
          <w:rFonts w:hint="eastAsia"/>
        </w:rPr>
      </w:pPr>
      <w:r>
        <w:rPr>
          <w:rFonts w:hint="eastAsia"/>
        </w:rPr>
        <w:t>5.</w:t>
      </w:r>
      <w:r>
        <w:rPr>
          <w:rFonts w:hint="eastAsia"/>
        </w:rPr>
        <w:tab/>
        <w:t>委员会赞赏地注意到，缔约国的报告虽然没有提交澳大利亚议会讨论，但已获得总理和内阁以及每个州和领土的妇女事务部长的核准。</w:t>
      </w:r>
    </w:p>
    <w:p w:rsidR="007A5F57" w:rsidRDefault="007A5F57" w:rsidP="007A5F57">
      <w:pPr>
        <w:pStyle w:val="SingleTxt"/>
        <w:rPr>
          <w:rFonts w:hint="eastAsia"/>
        </w:rPr>
      </w:pPr>
      <w:r>
        <w:rPr>
          <w:rFonts w:hint="eastAsia"/>
        </w:rPr>
        <w:t>6.</w:t>
      </w:r>
      <w:r>
        <w:tab/>
      </w:r>
      <w:r>
        <w:rPr>
          <w:rFonts w:hint="eastAsia"/>
        </w:rPr>
        <w:t>委员会注意到，由于2010年8月21日将要举行联邦选举，本届联邦政府及其公务人员受宪政惯例约束在选举结果揭晓之前只限于起看守政府的作用，因此澳大利亚代表团只能提供关于过去政策立场的资料，而不能就即将上任的新政府的相关立场作出任何承诺。尽管如此，委员会指出，无论哪个政府掌权，澳大利亚作为缔约国都受《公约》约束，委员会期望任何即将上任的政府在拟订政策时考虑到本文件提出的建议。</w:t>
      </w:r>
    </w:p>
    <w:p w:rsidR="007A5F57" w:rsidRPr="007A5F57" w:rsidRDefault="007A5F57" w:rsidP="007A5F57">
      <w:pPr>
        <w:pStyle w:val="SingleTxt"/>
        <w:rPr>
          <w:rFonts w:ascii="SimHei" w:eastAsia="SimHei" w:hint="eastAsia"/>
        </w:rPr>
      </w:pPr>
      <w:r w:rsidRPr="007A5F57">
        <w:rPr>
          <w:rFonts w:ascii="SimHei" w:eastAsia="SimHei" w:hint="eastAsia"/>
        </w:rPr>
        <w:t>积极的方面</w:t>
      </w:r>
    </w:p>
    <w:p w:rsidR="007A5F57" w:rsidRDefault="007A5F57" w:rsidP="007A5F57">
      <w:pPr>
        <w:pStyle w:val="SingleTxt"/>
        <w:rPr>
          <w:rFonts w:hint="eastAsia"/>
        </w:rPr>
      </w:pPr>
      <w:r>
        <w:rPr>
          <w:rFonts w:hint="eastAsia"/>
        </w:rPr>
        <w:t>7.</w:t>
      </w:r>
      <w:r>
        <w:rPr>
          <w:rFonts w:hint="eastAsia"/>
        </w:rPr>
        <w:tab/>
        <w:t>委员会欢迎于2008年12月批准了《消除对妇女一切形式歧视公约》任择议定书。委员会还欢迎于2008年7月批准了《残疾人权利公约》及其任择议定书，2006年和2007年批准了《儿童权利公约》的两个任择议定书，以及2006年批准了国际劳工组织(劳工组织)《关于消除最恶劣形式的童工劳动公约》。</w:t>
      </w:r>
    </w:p>
    <w:p w:rsidR="007A5F57" w:rsidRDefault="007A5F57" w:rsidP="007A5F57">
      <w:pPr>
        <w:pStyle w:val="SingleTxt"/>
        <w:rPr>
          <w:rFonts w:hint="eastAsia"/>
        </w:rPr>
      </w:pPr>
      <w:r>
        <w:rPr>
          <w:rFonts w:hint="eastAsia"/>
        </w:rPr>
        <w:t>8.</w:t>
      </w:r>
      <w:r>
        <w:rPr>
          <w:rFonts w:hint="eastAsia"/>
        </w:rPr>
        <w:tab/>
        <w:t>委员会满意地注意到自提交上次报告以来制定了提高妇女地位和打击歧视的各种法律，诸如《2009年公平工作法》和《2010年带薪育儿假法》。委员会还欢迎已通过的许多方案，包括国家土著人及托雷斯海峡岛民妇女卫生政策和国家初级保健战略。</w:t>
      </w:r>
    </w:p>
    <w:p w:rsidR="007A5F57" w:rsidRDefault="007A5F57" w:rsidP="007A5F57">
      <w:pPr>
        <w:pStyle w:val="SingleTxt"/>
        <w:rPr>
          <w:rFonts w:hint="eastAsia"/>
        </w:rPr>
      </w:pPr>
      <w:r>
        <w:rPr>
          <w:rFonts w:hint="eastAsia"/>
        </w:rPr>
        <w:t>9.</w:t>
      </w:r>
      <w:r>
        <w:tab/>
      </w:r>
      <w:r>
        <w:rPr>
          <w:rFonts w:hint="eastAsia"/>
        </w:rPr>
        <w:t>委员会确认在促进妇女担任领导职位方面取得的进展，特别是两名妇女担任政府最高职位的历史性里程碑。委员会祝贺昆廷</w:t>
      </w:r>
      <w:r w:rsidR="006C400F">
        <w:rPr>
          <w:rFonts w:hint="eastAsia"/>
        </w:rPr>
        <w:t>·</w:t>
      </w:r>
      <w:r>
        <w:rPr>
          <w:rFonts w:hint="eastAsia"/>
        </w:rPr>
        <w:t>布赖斯于2008年就任澳大利亚首位女总督，祝贺朱莉亚·吉拉德于2010年就任澳大利亚首位女总理。</w:t>
      </w:r>
    </w:p>
    <w:p w:rsidR="007A5F57" w:rsidRDefault="007A5F57" w:rsidP="007A5F57">
      <w:pPr>
        <w:pStyle w:val="SingleTxt"/>
        <w:rPr>
          <w:rFonts w:hint="eastAsia"/>
        </w:rPr>
      </w:pPr>
      <w:r>
        <w:rPr>
          <w:rFonts w:hint="eastAsia"/>
        </w:rPr>
        <w:t>10.</w:t>
      </w:r>
      <w:r>
        <w:rPr>
          <w:rFonts w:hint="eastAsia"/>
        </w:rPr>
        <w:tab/>
        <w:t>委员会赞扬缔约国努力支持民间社会和非政府组织，并鼓励把包容性协商作为政府决策进程的一部分，例如，政府提供经费支助6个全国性妇女联盟，包括土著人及托雷斯海峡岛民妇女联盟。</w:t>
      </w:r>
    </w:p>
    <w:p w:rsidR="007A5F57" w:rsidRDefault="007A5F57" w:rsidP="007A5F57">
      <w:pPr>
        <w:pStyle w:val="SingleTxt"/>
        <w:rPr>
          <w:rFonts w:hint="eastAsia"/>
        </w:rPr>
      </w:pPr>
      <w:r>
        <w:rPr>
          <w:rFonts w:hint="eastAsia"/>
        </w:rPr>
        <w:t>11.</w:t>
      </w:r>
      <w:r>
        <w:rPr>
          <w:rFonts w:hint="eastAsia"/>
        </w:rPr>
        <w:tab/>
        <w:t>委员会祝贺缔约国被联合国开发计划署《2009年联合国人类发展报告》在性别相关发展指数方面列于世界首位，并在其他国际措施中一贯位居高位。</w:t>
      </w:r>
    </w:p>
    <w:p w:rsidR="007A5F57" w:rsidRDefault="007A5F57" w:rsidP="007A5F57">
      <w:pPr>
        <w:pStyle w:val="SingleTxt"/>
        <w:rPr>
          <w:rFonts w:hint="eastAsia"/>
        </w:rPr>
      </w:pPr>
      <w:r>
        <w:rPr>
          <w:rFonts w:hint="eastAsia"/>
        </w:rPr>
        <w:t>12.</w:t>
      </w:r>
      <w:r>
        <w:rPr>
          <w:rFonts w:hint="eastAsia"/>
        </w:rPr>
        <w:tab/>
        <w:t>委员会欢迎澳大利亚签署了《联合国土著人民权利宣言》，并赞扬澳大利亚议会动议为历届政府的法律和政策所造成的深切悲伤、苦难和损失向澳大利亚土著人民道歉。委员会还欢迎提名和选出首位土著妇女担任土著问题常设论坛成员。</w:t>
      </w:r>
    </w:p>
    <w:p w:rsidR="007A5F57" w:rsidRDefault="007A5F57" w:rsidP="007A5F57">
      <w:pPr>
        <w:pStyle w:val="SingleTxt"/>
        <w:rPr>
          <w:rFonts w:hint="eastAsia"/>
        </w:rPr>
      </w:pPr>
      <w:r>
        <w:rPr>
          <w:rFonts w:hint="eastAsia"/>
        </w:rPr>
        <w:t>13.</w:t>
      </w:r>
      <w:r>
        <w:rPr>
          <w:rFonts w:hint="eastAsia"/>
        </w:rPr>
        <w:tab/>
        <w:t>委员会欢迎缔约国承诺与土著社区一道在澳大利亚土著人民不利处境方面努力“弥补差距”，和设立了有些论坛以听取土著人民的呼声，包括一个独立的土著指导委员会和澳大利亚最先住民全国大会</w:t>
      </w:r>
      <w:r w:rsidR="006C400F">
        <w:rPr>
          <w:rFonts w:hint="eastAsia"/>
        </w:rPr>
        <w:t>——</w:t>
      </w:r>
      <w:r>
        <w:rPr>
          <w:rFonts w:hint="eastAsia"/>
        </w:rPr>
        <w:t>男女代表各半</w:t>
      </w:r>
      <w:r w:rsidR="006C400F">
        <w:rPr>
          <w:rFonts w:hint="eastAsia"/>
        </w:rPr>
        <w:t>——</w:t>
      </w:r>
      <w:r>
        <w:rPr>
          <w:rFonts w:hint="eastAsia"/>
        </w:rPr>
        <w:t>以及继续支持全国土著人及托雷斯海峡岛民妇女会议。</w:t>
      </w:r>
    </w:p>
    <w:p w:rsidR="007A5F57" w:rsidRPr="007A5F57" w:rsidRDefault="007A5F57" w:rsidP="007A5F57">
      <w:pPr>
        <w:pStyle w:val="SingleTxt"/>
        <w:rPr>
          <w:rFonts w:ascii="SimHei" w:eastAsia="SimHei" w:hint="eastAsia"/>
        </w:rPr>
      </w:pPr>
      <w:r w:rsidRPr="007A5F57">
        <w:rPr>
          <w:rFonts w:ascii="SimHei" w:eastAsia="SimHei" w:hint="eastAsia"/>
        </w:rPr>
        <w:t>主要关切领域和建议</w:t>
      </w:r>
    </w:p>
    <w:p w:rsidR="007A5F57" w:rsidRDefault="007A5F57" w:rsidP="007A5F57">
      <w:pPr>
        <w:pStyle w:val="SingleTxt"/>
        <w:rPr>
          <w:rFonts w:hint="eastAsia"/>
        </w:rPr>
      </w:pPr>
      <w:r>
        <w:rPr>
          <w:rFonts w:hint="eastAsia"/>
        </w:rPr>
        <w:t>14.</w:t>
      </w:r>
      <w:r>
        <w:rPr>
          <w:rFonts w:hint="eastAsia"/>
        </w:rPr>
        <w:tab/>
      </w:r>
      <w:r w:rsidRPr="005F6E43">
        <w:rPr>
          <w:rFonts w:ascii="SimHei" w:eastAsia="SimHei" w:hint="eastAsia"/>
        </w:rPr>
        <w:t>委员会回顾，缔约国有义务有计划地持续执行《消除对妇女一切形式歧视公约》的所有条款，并认为本结论意见中确定的关切和建议是要求缔约国在从目前到提交下次定期报告之间优先重视的事项。因此，委员会敦促缔约国把实施活动的重点放在这些领域，在下一次定期报告中报告采取的行动和取得的成果。委员会呼吁缔约国向所有相关部委、议会和司法部门递交本结论意见，以确保充分实施。</w:t>
      </w:r>
    </w:p>
    <w:p w:rsidR="007A5F57" w:rsidRPr="007A5F57" w:rsidRDefault="007A5F57" w:rsidP="007A5F57">
      <w:pPr>
        <w:pStyle w:val="SingleTxt"/>
        <w:rPr>
          <w:rFonts w:ascii="SimHei" w:eastAsia="SimHei" w:hint="eastAsia"/>
        </w:rPr>
      </w:pPr>
      <w:r w:rsidRPr="007A5F57">
        <w:rPr>
          <w:rFonts w:ascii="SimHei" w:eastAsia="SimHei" w:hint="eastAsia"/>
        </w:rPr>
        <w:t>议会</w:t>
      </w:r>
    </w:p>
    <w:p w:rsidR="007A5F57" w:rsidRDefault="007A5F57" w:rsidP="007A5F57">
      <w:pPr>
        <w:pStyle w:val="SingleTxt"/>
        <w:rPr>
          <w:rFonts w:hint="eastAsia"/>
        </w:rPr>
      </w:pPr>
      <w:r>
        <w:rPr>
          <w:rFonts w:hint="eastAsia"/>
        </w:rPr>
        <w:t>15.</w:t>
      </w:r>
      <w:r>
        <w:rPr>
          <w:rFonts w:hint="eastAsia"/>
        </w:rPr>
        <w:tab/>
      </w:r>
      <w:r w:rsidRPr="005F6E43">
        <w:rPr>
          <w:rFonts w:ascii="SimHei" w:eastAsia="SimHei" w:hint="eastAsia"/>
        </w:rPr>
        <w:t>委员会重申联邦政府对缔约国充分履行《公约》规定的义务负主要和特别责任，但强调《公约》对政府所有部门都有约束力，因此委员会请缔约国鼓励议会酌情按照其程序采取必要步骤，以实施本结论意见和《公约》规定的政府下次报告进程。</w:t>
      </w:r>
    </w:p>
    <w:p w:rsidR="007A5F57" w:rsidRPr="007A5F57" w:rsidRDefault="007A5F57" w:rsidP="007A5F57">
      <w:pPr>
        <w:pStyle w:val="SingleTxt"/>
        <w:rPr>
          <w:rFonts w:ascii="SimHei" w:eastAsia="SimHei" w:hint="eastAsia"/>
        </w:rPr>
      </w:pPr>
      <w:r w:rsidRPr="007A5F57">
        <w:rPr>
          <w:rFonts w:ascii="SimHei" w:eastAsia="SimHei" w:hint="eastAsia"/>
        </w:rPr>
        <w:t>联邦结构</w:t>
      </w:r>
    </w:p>
    <w:p w:rsidR="007A5F57" w:rsidRDefault="007A5F57" w:rsidP="007A5F57">
      <w:pPr>
        <w:pStyle w:val="SingleTxt"/>
        <w:rPr>
          <w:rFonts w:hint="eastAsia"/>
        </w:rPr>
      </w:pPr>
      <w:r>
        <w:rPr>
          <w:rFonts w:hint="eastAsia"/>
        </w:rPr>
        <w:t>16.</w:t>
      </w:r>
      <w:r>
        <w:rPr>
          <w:rFonts w:hint="eastAsia"/>
        </w:rPr>
        <w:tab/>
        <w:t>委员会仍然关切在全国纳入和执行《公约》方面缺乏协调一致的方式，特别是当处理一个特定问题的主要权限属于个别州和领土时。委员会注意到，例如，在对堕胎施加刑事制裁方面就出现了不一致的办法。</w:t>
      </w:r>
    </w:p>
    <w:p w:rsidR="007A5F57" w:rsidRDefault="007A5F57" w:rsidP="007A5F57">
      <w:pPr>
        <w:pStyle w:val="SingleTxt"/>
        <w:rPr>
          <w:rFonts w:hint="eastAsia"/>
        </w:rPr>
      </w:pPr>
      <w:r>
        <w:rPr>
          <w:rFonts w:hint="eastAsia"/>
        </w:rPr>
        <w:t>17.</w:t>
      </w:r>
      <w:r>
        <w:rPr>
          <w:rFonts w:hint="eastAsia"/>
        </w:rPr>
        <w:tab/>
      </w:r>
      <w:r w:rsidRPr="005F6E43">
        <w:rPr>
          <w:rFonts w:ascii="SimHei" w:eastAsia="SimHei" w:hint="eastAsia"/>
        </w:rPr>
        <w:t>委员会认识到总检察长常设委员会在协调反歧视战略方面发挥了重要作用，但重申以往的建议，即缔约国应促进并保证在全国范围实施《公约》，包括通过其为在所有各州和领土履行条约而制定法律的权力。</w:t>
      </w:r>
    </w:p>
    <w:p w:rsidR="007A5F57" w:rsidRPr="006C400F" w:rsidRDefault="007A5F57" w:rsidP="007A5F57">
      <w:pPr>
        <w:pStyle w:val="SingleTxt"/>
        <w:rPr>
          <w:rFonts w:ascii="SimHei" w:eastAsia="SimHei" w:hint="eastAsia"/>
        </w:rPr>
      </w:pPr>
      <w:r w:rsidRPr="006C400F">
        <w:rPr>
          <w:rFonts w:ascii="SimHei" w:eastAsia="SimHei" w:hint="eastAsia"/>
        </w:rPr>
        <w:t>保留</w:t>
      </w:r>
    </w:p>
    <w:p w:rsidR="007A5F57" w:rsidRDefault="007A5F57" w:rsidP="007A5F57">
      <w:pPr>
        <w:pStyle w:val="SingleTxt"/>
        <w:rPr>
          <w:rFonts w:hint="eastAsia"/>
        </w:rPr>
      </w:pPr>
      <w:r>
        <w:rPr>
          <w:rFonts w:hint="eastAsia"/>
        </w:rPr>
        <w:t>18.</w:t>
      </w:r>
      <w:r w:rsidR="005F6E43">
        <w:rPr>
          <w:rFonts w:hint="eastAsia"/>
        </w:rPr>
        <w:tab/>
      </w:r>
      <w:r>
        <w:rPr>
          <w:rFonts w:hint="eastAsia"/>
        </w:rPr>
        <w:t>委员会注意到，尽管有最近在武装部队中妇女作用方面的事态发展并通过了《带薪育儿假法》，缔约国仍未撤销对《公约》的两项保留。</w:t>
      </w:r>
    </w:p>
    <w:p w:rsidR="007A5F57" w:rsidRDefault="007A5F57" w:rsidP="007A5F57">
      <w:pPr>
        <w:pStyle w:val="SingleTxt"/>
        <w:rPr>
          <w:rFonts w:hint="eastAsia"/>
        </w:rPr>
      </w:pPr>
      <w:r>
        <w:rPr>
          <w:rFonts w:hint="eastAsia"/>
        </w:rPr>
        <w:t>19.</w:t>
      </w:r>
      <w:r>
        <w:rPr>
          <w:rFonts w:hint="eastAsia"/>
        </w:rPr>
        <w:tab/>
      </w:r>
      <w:r w:rsidRPr="005F6E43">
        <w:rPr>
          <w:rFonts w:ascii="SimHei" w:eastAsia="SimHei" w:hint="eastAsia"/>
        </w:rPr>
        <w:t>委员会建议缔约国尽快撤销对《公约》的两项保留。</w:t>
      </w:r>
    </w:p>
    <w:p w:rsidR="007A5F57" w:rsidRPr="007A5F57" w:rsidRDefault="007A5F57" w:rsidP="007A5F57">
      <w:pPr>
        <w:pStyle w:val="SingleTxt"/>
        <w:rPr>
          <w:rFonts w:ascii="SimHei" w:eastAsia="SimHei" w:hint="eastAsia"/>
        </w:rPr>
      </w:pPr>
      <w:r w:rsidRPr="007A5F57">
        <w:rPr>
          <w:rFonts w:ascii="SimHei" w:eastAsia="SimHei" w:hint="eastAsia"/>
        </w:rPr>
        <w:t>处理歧视问题的法律框架</w:t>
      </w:r>
    </w:p>
    <w:p w:rsidR="007A5F57" w:rsidRDefault="007A5F57" w:rsidP="007A5F57">
      <w:pPr>
        <w:pStyle w:val="SingleTxt"/>
        <w:rPr>
          <w:rFonts w:hint="eastAsia"/>
        </w:rPr>
      </w:pPr>
      <w:r>
        <w:rPr>
          <w:rFonts w:hint="eastAsia"/>
        </w:rPr>
        <w:t>20.</w:t>
      </w:r>
      <w:r>
        <w:rPr>
          <w:rFonts w:hint="eastAsia"/>
        </w:rPr>
        <w:tab/>
        <w:t>委员会注意到1984年《性别歧视法》提供的保护有缺口，并欢迎参议院宪法和法律事务委员会对《性别歧视法》的有效性进行审查和2010年6月向议会提出法案。委员会注意到，在选举有结果以前，该法案被暂时搁置。</w:t>
      </w:r>
    </w:p>
    <w:p w:rsidR="007A5F57" w:rsidRDefault="007A5F57" w:rsidP="007A5F57">
      <w:pPr>
        <w:pStyle w:val="SingleTxt"/>
        <w:rPr>
          <w:rFonts w:hint="eastAsia"/>
        </w:rPr>
      </w:pPr>
      <w:r>
        <w:rPr>
          <w:rFonts w:hint="eastAsia"/>
        </w:rPr>
        <w:t>21.</w:t>
      </w:r>
      <w:r>
        <w:rPr>
          <w:rFonts w:hint="eastAsia"/>
        </w:rPr>
        <w:tab/>
      </w:r>
      <w:r w:rsidRPr="005F6E43">
        <w:rPr>
          <w:rFonts w:ascii="SimHei" w:eastAsia="SimHei" w:hint="eastAsia"/>
        </w:rPr>
        <w:t>委员会敦促缔约国，作为优先事项，在选举后尽快将该法案重新提交新议会，并确保法案考虑到2008年参议院报告的关键建议，以确保法案的条款提供全面保护，禁止对妇女的一切形式歧视。委员会还建议缔约国考虑扩大性别歧视专员的任务，以处理所有两性平等问题。</w:t>
      </w:r>
    </w:p>
    <w:p w:rsidR="007A5F57" w:rsidRPr="007A5F57" w:rsidRDefault="007A5F57" w:rsidP="007A5F57">
      <w:pPr>
        <w:pStyle w:val="SingleTxt"/>
        <w:rPr>
          <w:rFonts w:ascii="SimHei" w:eastAsia="SimHei" w:hint="eastAsia"/>
        </w:rPr>
      </w:pPr>
      <w:r>
        <w:rPr>
          <w:rFonts w:ascii="SimHei" w:eastAsia="SimHei"/>
        </w:rPr>
        <w:br w:type="page"/>
      </w:r>
      <w:r w:rsidRPr="007A5F57">
        <w:rPr>
          <w:rFonts w:ascii="SimHei" w:eastAsia="SimHei" w:hint="eastAsia"/>
        </w:rPr>
        <w:t>公约和任择议定书的能见度</w:t>
      </w:r>
    </w:p>
    <w:p w:rsidR="007A5F57" w:rsidRDefault="007A5F57" w:rsidP="007A5F57">
      <w:pPr>
        <w:pStyle w:val="SingleTxt"/>
        <w:rPr>
          <w:rFonts w:hint="eastAsia"/>
        </w:rPr>
      </w:pPr>
      <w:r>
        <w:rPr>
          <w:rFonts w:hint="eastAsia"/>
        </w:rPr>
        <w:t>22.</w:t>
      </w:r>
      <w:r>
        <w:rPr>
          <w:rFonts w:hint="eastAsia"/>
        </w:rPr>
        <w:tab/>
        <w:t>委员会认识到，缔约国努力对其司法人员进行性别问题与法律制度的交叉方面的培训，并设立了国立司法学院及其性别公正委员会。不过，委员会注意到，虽然澳大利亚法院、包括高等法院有若干裁决援引了《公约》，但司法裁决还可进一步接受《公约》及其任择议定书条款和委员会一般性建议的指引。</w:t>
      </w:r>
    </w:p>
    <w:p w:rsidR="007A5F57" w:rsidRDefault="007A5F57" w:rsidP="007A5F57">
      <w:pPr>
        <w:pStyle w:val="SingleTxt"/>
        <w:rPr>
          <w:rFonts w:hint="eastAsia"/>
        </w:rPr>
      </w:pPr>
      <w:r>
        <w:rPr>
          <w:rFonts w:hint="eastAsia"/>
        </w:rPr>
        <w:t>23.</w:t>
      </w:r>
      <w:r>
        <w:rPr>
          <w:rFonts w:hint="eastAsia"/>
        </w:rPr>
        <w:tab/>
      </w:r>
      <w:r w:rsidRPr="005F6E43">
        <w:rPr>
          <w:rFonts w:ascii="SimHei" w:eastAsia="SimHei" w:hint="eastAsia"/>
        </w:rPr>
        <w:t>委员会建议，澳大利亚国立司法学院在法官、治安法官、法庭人员和法律执业人员的进修教育方案中具体列入《公约》及其任择议定书和委员会一般性建议。</w:t>
      </w:r>
    </w:p>
    <w:p w:rsidR="007A5F57" w:rsidRPr="007A5F57" w:rsidRDefault="007A5F57" w:rsidP="007A5F57">
      <w:pPr>
        <w:pStyle w:val="SingleTxt"/>
        <w:rPr>
          <w:rFonts w:ascii="SimHei" w:eastAsia="SimHei" w:hint="eastAsia"/>
        </w:rPr>
      </w:pPr>
      <w:r w:rsidRPr="007A5F57">
        <w:rPr>
          <w:rFonts w:ascii="SimHei" w:eastAsia="SimHei" w:hint="eastAsia"/>
        </w:rPr>
        <w:t>歧视与人权</w:t>
      </w:r>
    </w:p>
    <w:p w:rsidR="007A5F57" w:rsidRDefault="007A5F57" w:rsidP="007A5F57">
      <w:pPr>
        <w:pStyle w:val="SingleTxt"/>
        <w:rPr>
          <w:rFonts w:hint="eastAsia"/>
        </w:rPr>
      </w:pPr>
      <w:r>
        <w:rPr>
          <w:rFonts w:hint="eastAsia"/>
        </w:rPr>
        <w:t>24.</w:t>
      </w:r>
      <w:r>
        <w:rPr>
          <w:rFonts w:hint="eastAsia"/>
        </w:rPr>
        <w:tab/>
        <w:t>委员会欢迎缔约国于2008年12月启动全国人权协商以调查澳大利亚保护和促进人权的情况，但关切地注意到，关于通过一部人权法的建议未获保留，而是发布了一个人权框架。不过，委员会注意到，现政府表示打算在2014年审查这一框架，以评估其保护和促进人权的效力。</w:t>
      </w:r>
    </w:p>
    <w:p w:rsidR="007A5F57" w:rsidRDefault="007A5F57" w:rsidP="007A5F57">
      <w:pPr>
        <w:pStyle w:val="SingleTxt"/>
        <w:rPr>
          <w:rFonts w:hint="eastAsia"/>
        </w:rPr>
      </w:pPr>
      <w:r>
        <w:rPr>
          <w:rFonts w:hint="eastAsia"/>
        </w:rPr>
        <w:t>25.</w:t>
      </w:r>
      <w:r>
        <w:rPr>
          <w:rFonts w:hint="eastAsia"/>
        </w:rPr>
        <w:tab/>
      </w:r>
      <w:r w:rsidRPr="005F6E43">
        <w:rPr>
          <w:rFonts w:ascii="SimHei" w:eastAsia="SimHei" w:hint="eastAsia"/>
        </w:rPr>
        <w:t>委员会敦促缔约国为实施人权框架提供足够经费，并加强促进和保护人权，办法包括拟订一个全国人权行动计划以及协调联邦各项反歧视法律并合并成一部法律。委员会还敦促缔约国，为进一步保护妇女人权，认真考虑通过一部涵盖全部公民、文化、经济、政治和社会权利的人权法。</w:t>
      </w:r>
    </w:p>
    <w:p w:rsidR="007A5F57" w:rsidRPr="007A5F57" w:rsidRDefault="007A5F57" w:rsidP="007A5F57">
      <w:pPr>
        <w:pStyle w:val="SingleTxt"/>
        <w:rPr>
          <w:rFonts w:ascii="SimHei" w:eastAsia="SimHei" w:hint="eastAsia"/>
        </w:rPr>
      </w:pPr>
      <w:r w:rsidRPr="007A5F57">
        <w:rPr>
          <w:rFonts w:ascii="SimHei" w:eastAsia="SimHei" w:hint="eastAsia"/>
        </w:rPr>
        <w:t>临时特别措施</w:t>
      </w:r>
    </w:p>
    <w:p w:rsidR="007A5F57" w:rsidRDefault="007A5F57" w:rsidP="007A5F57">
      <w:pPr>
        <w:pStyle w:val="SingleTxt"/>
        <w:rPr>
          <w:rFonts w:hint="eastAsia"/>
        </w:rPr>
      </w:pPr>
      <w:r>
        <w:rPr>
          <w:rFonts w:hint="eastAsia"/>
        </w:rPr>
        <w:t>26.</w:t>
      </w:r>
      <w:r>
        <w:rPr>
          <w:rFonts w:hint="eastAsia"/>
        </w:rPr>
        <w:tab/>
        <w:t>委员会关切地注意到，尽管缔约国通过了大量政策和方案来解决某些弱势妇女群体，包括土著妇女、残疾妇女、移民妇女、文化和语言背景不同的妇女以及来自偏远或农村社区的妇女，参与不足的问题，但是在确保她们平等参与政治和公共生活，担任领导和决策职位，以及平等获得教育、就业和保健机会方面仍然进展缓慢。委员会继续表示关切缔约国不支持采取临时特别措施，制定强制性目标和配额，以解决妇女在决策机构、在政治和公共生活中参与不足，在获得教育、就业机会和保健服务方面始终不平等的问题。</w:t>
      </w:r>
    </w:p>
    <w:p w:rsidR="007A5F57" w:rsidRDefault="007A5F57" w:rsidP="007A5F57">
      <w:pPr>
        <w:pStyle w:val="SingleTxt"/>
        <w:rPr>
          <w:rFonts w:hint="eastAsia"/>
        </w:rPr>
      </w:pPr>
      <w:r>
        <w:rPr>
          <w:rFonts w:hint="eastAsia"/>
        </w:rPr>
        <w:t>27.</w:t>
      </w:r>
      <w:r>
        <w:rPr>
          <w:rFonts w:hint="eastAsia"/>
        </w:rPr>
        <w:tab/>
      </w:r>
      <w:r w:rsidRPr="005F6E43">
        <w:rPr>
          <w:rFonts w:ascii="SimHei" w:eastAsia="SimHei" w:hint="eastAsia"/>
        </w:rPr>
        <w:t>委员会重申上次结论意见中的建议(CEDAW/C/AUL/CO/5，第17段)，即缔约国应充分利用《性别歧视法》，并考虑按照《公约》第四条第1款和委员会一般性建议25，正式通过临时特别措施，以进一步增加参与政治和公共生活的妇女人数，同时确保妇女在政治和公共机构的任职情况能完全体现人口的多样性，包括土著妇女和少数族裔妇女。</w:t>
      </w:r>
    </w:p>
    <w:p w:rsidR="007A5F57" w:rsidRPr="007A5F57" w:rsidRDefault="007A5F57" w:rsidP="007A5F57">
      <w:pPr>
        <w:pStyle w:val="SingleTxt"/>
        <w:rPr>
          <w:rFonts w:ascii="SimHei" w:eastAsia="SimHei" w:hint="eastAsia"/>
        </w:rPr>
      </w:pPr>
      <w:r w:rsidRPr="007A5F57">
        <w:rPr>
          <w:rFonts w:ascii="SimHei" w:eastAsia="SimHei" w:hint="eastAsia"/>
        </w:rPr>
        <w:t>暴力侵害妇女行为</w:t>
      </w:r>
    </w:p>
    <w:p w:rsidR="007A5F57" w:rsidRDefault="007A5F57" w:rsidP="007A5F57">
      <w:pPr>
        <w:pStyle w:val="SingleTxt"/>
        <w:rPr>
          <w:rFonts w:hint="eastAsia"/>
        </w:rPr>
      </w:pPr>
      <w:r>
        <w:rPr>
          <w:rFonts w:hint="eastAsia"/>
        </w:rPr>
        <w:t>28.</w:t>
      </w:r>
      <w:r>
        <w:rPr>
          <w:rFonts w:hint="eastAsia"/>
        </w:rPr>
        <w:tab/>
        <w:t>委员会关切地注意到，澳大利亚暴力侵害妇女行为一直多得不可接受，澳大利亚每三名妇女就有一名一生中遭受过身体暴力，每五名就有一名遭受过性暴力。委员会还注意到缺乏保护妇女免受暴力和家庭暴力的联邦法律或最低标准。委员会欢迎2008年设立了全国理事会，就制定一个基于证据的减少暴力侵害妇女及其子女行为的国家计划提供咨询意见，和该理事会2009年提出的题为“行动的时机”的报告。</w:t>
      </w:r>
    </w:p>
    <w:p w:rsidR="007A5F57" w:rsidRDefault="007A5F57" w:rsidP="007A5F57">
      <w:pPr>
        <w:pStyle w:val="SingleTxt"/>
        <w:rPr>
          <w:rFonts w:hint="eastAsia"/>
        </w:rPr>
      </w:pPr>
      <w:r>
        <w:rPr>
          <w:rFonts w:hint="eastAsia"/>
        </w:rPr>
        <w:t>29.</w:t>
      </w:r>
      <w:r>
        <w:rPr>
          <w:rFonts w:hint="eastAsia"/>
        </w:rPr>
        <w:tab/>
      </w:r>
      <w:r w:rsidRPr="005F6E43">
        <w:rPr>
          <w:rFonts w:ascii="SimHei" w:eastAsia="SimHei" w:hint="eastAsia"/>
        </w:rPr>
        <w:t>委员会鼓励缔约国继续努力对付长期存在的暴力侵害妇女问题，并敦促缔约国制定国家法律，同时紧急制定、实施和提供充分经费给《减少暴力侵害妇女及其子女行为的国家计划》，包括独立监测机制。委员会还建议制定防止由家庭暴力导致无家可归和确保向受家庭暴力之害的妇女及其子女提供适当住宿设施和综合支助的战略。委员会建议缔约国采取适当措施，包括具体立法措施，将家庭暴力行为定为刑事罪，起诉家庭暴力行为并惩罚犯下这种行为的人。委员会请缔约国按照本结论意见第50段所述跟进程序，提供资料说明家庭暴力报案案件的数目和性质，对犯下这种行为者的定罪和制裁情况，以及向家庭暴力受害者提供的任何援助和康复措施。</w:t>
      </w:r>
    </w:p>
    <w:p w:rsidR="007A5F57" w:rsidRPr="007A5F57" w:rsidRDefault="007A5F57" w:rsidP="007A5F57">
      <w:pPr>
        <w:pStyle w:val="SingleTxt"/>
        <w:rPr>
          <w:rFonts w:ascii="SimHei" w:eastAsia="SimHei" w:hint="eastAsia"/>
        </w:rPr>
      </w:pPr>
      <w:r w:rsidRPr="007A5F57">
        <w:rPr>
          <w:rFonts w:ascii="SimHei" w:eastAsia="SimHei" w:hint="eastAsia"/>
        </w:rPr>
        <w:t>贩运人口</w:t>
      </w:r>
    </w:p>
    <w:p w:rsidR="007A5F57" w:rsidRDefault="007A5F57" w:rsidP="007A5F57">
      <w:pPr>
        <w:pStyle w:val="SingleTxt"/>
        <w:rPr>
          <w:rFonts w:hint="eastAsia"/>
        </w:rPr>
      </w:pPr>
      <w:r>
        <w:rPr>
          <w:rFonts w:hint="eastAsia"/>
        </w:rPr>
        <w:t>30.</w:t>
      </w:r>
      <w:r>
        <w:rPr>
          <w:rFonts w:hint="eastAsia"/>
        </w:rPr>
        <w:tab/>
        <w:t>委员会赞扬缔约国为打击贩运人口和剥削妇女而采取的措施，包括实施一个数百万美元的杜绝人口贩运国家计划，该计划反映《巴勒莫打击跨国有组织犯罪公约关于预防、禁止和惩治贩运人口特别是妇女和儿童行为的补充议定书》的目的。委员会还满意地注意到，为回应委员会2006年的建议，缔约国通过《支助人口贩运受害者方案》和《人口贩运签证框架》自2009年7月1日以来对疑似贩运受害者提供比较符合人道主义的对待。委员会还注意到，缔约国在国际上和区域上做出努力以解决跨界贩运人口问题。</w:t>
      </w:r>
    </w:p>
    <w:p w:rsidR="007A5F57" w:rsidRDefault="007A5F57" w:rsidP="007A5F57">
      <w:pPr>
        <w:pStyle w:val="SingleTxt"/>
        <w:rPr>
          <w:rFonts w:hint="eastAsia"/>
        </w:rPr>
      </w:pPr>
      <w:r>
        <w:rPr>
          <w:rFonts w:hint="eastAsia"/>
        </w:rPr>
        <w:t>31.</w:t>
      </w:r>
      <w:r>
        <w:rPr>
          <w:rFonts w:hint="eastAsia"/>
        </w:rPr>
        <w:tab/>
      </w:r>
      <w:r w:rsidRPr="005F6E43">
        <w:rPr>
          <w:rFonts w:ascii="SimHei" w:eastAsia="SimHei" w:hint="eastAsia"/>
        </w:rPr>
        <w:t>委员会建议缔约国在其行动计划中采用人权框架，并考虑对现行刑事司法办法采用补充办法。委员会建议缔约国采取步骤，改进涉及反贩运的各政府机构之间整个工作周期的协调。委员会还建议缔约国对人口贩运受害者的回国和重返社会进行一次正式审查，并为警察和其他相关人员制定关于遣返的准则。委员会也建议缔约国审查为被贩运到澳大利亚的妇女提供住宿的办法，以期提供更多选择和减轻受害者的心理压力。委员会请缔约国在下次报告中提供资料，说明为受害者提供赔偿机会的民事程序、案件数目和赔偿数额。委员会敦促缔约国对“巴厘进程”进行一次影响评估，以确保该项目下各国之间的联系网络可以维持。还鼓励缔约国评价和监测“亚洲区域人口贩运项目”，并继续援助东南亚国家联盟(东盟)成员国，以改进人口贩运案件的调查和司法进程。</w:t>
      </w:r>
    </w:p>
    <w:p w:rsidR="007A5F57" w:rsidRPr="007A5F57" w:rsidRDefault="007A5F57" w:rsidP="007A5F57">
      <w:pPr>
        <w:pStyle w:val="SingleTxt"/>
        <w:rPr>
          <w:rFonts w:ascii="SimHei" w:eastAsia="SimHei" w:hint="eastAsia"/>
        </w:rPr>
      </w:pPr>
      <w:r w:rsidRPr="007A5F57">
        <w:rPr>
          <w:rFonts w:ascii="SimHei" w:eastAsia="SimHei" w:hint="eastAsia"/>
        </w:rPr>
        <w:t>卖淫剥削</w:t>
      </w:r>
    </w:p>
    <w:p w:rsidR="007A5F57" w:rsidRDefault="007A5F57" w:rsidP="007A5F57">
      <w:pPr>
        <w:pStyle w:val="SingleTxt"/>
        <w:rPr>
          <w:rFonts w:hint="eastAsia"/>
        </w:rPr>
      </w:pPr>
      <w:r>
        <w:rPr>
          <w:rFonts w:hint="eastAsia"/>
        </w:rPr>
        <w:t>32.</w:t>
      </w:r>
      <w:r>
        <w:rPr>
          <w:rFonts w:hint="eastAsia"/>
        </w:rPr>
        <w:tab/>
        <w:t>委员会注意到缔约国为管理卖淫而做的努力，但这种努力没有以减少对妇女卖淫的需求和(或)为卖淫妇女提供替代出路为目的，对此委员会感到关切。</w:t>
      </w:r>
    </w:p>
    <w:p w:rsidR="007A5F57" w:rsidRDefault="007A5F57" w:rsidP="007A5F57">
      <w:pPr>
        <w:pStyle w:val="SingleTxt"/>
        <w:rPr>
          <w:rFonts w:hint="eastAsia"/>
        </w:rPr>
      </w:pPr>
      <w:r>
        <w:rPr>
          <w:rFonts w:hint="eastAsia"/>
        </w:rPr>
        <w:t>33.</w:t>
      </w:r>
      <w:r>
        <w:rPr>
          <w:rFonts w:hint="eastAsia"/>
        </w:rPr>
        <w:tab/>
      </w:r>
      <w:r w:rsidRPr="005F6E43">
        <w:rPr>
          <w:rFonts w:ascii="SimHei" w:eastAsia="SimHei" w:hint="eastAsia"/>
        </w:rPr>
        <w:t>委员会建议缔约国采取措施劝阻妇女和防止女孩卖淫。委员会敦促缔约国制定有效战略和方案，以处理对卖淫的需求并支助愿意脱离卖淫生涯的妇女。</w:t>
      </w:r>
    </w:p>
    <w:p w:rsidR="007A5F57" w:rsidRPr="007A5F57" w:rsidRDefault="007A5F57" w:rsidP="007A5F57">
      <w:pPr>
        <w:pStyle w:val="SingleTxt"/>
        <w:rPr>
          <w:rFonts w:ascii="SimHei" w:eastAsia="SimHei" w:hint="eastAsia"/>
        </w:rPr>
      </w:pPr>
      <w:r w:rsidRPr="007A5F57">
        <w:rPr>
          <w:rFonts w:ascii="SimHei" w:eastAsia="SimHei" w:hint="eastAsia"/>
        </w:rPr>
        <w:t>参与政治和参加公共生活</w:t>
      </w:r>
    </w:p>
    <w:p w:rsidR="007A5F57" w:rsidRDefault="007A5F57" w:rsidP="007A5F57">
      <w:pPr>
        <w:pStyle w:val="SingleTxt"/>
        <w:rPr>
          <w:rFonts w:hint="eastAsia"/>
        </w:rPr>
      </w:pPr>
      <w:r>
        <w:rPr>
          <w:rFonts w:hint="eastAsia"/>
        </w:rPr>
        <w:t>34.</w:t>
      </w:r>
      <w:r>
        <w:rPr>
          <w:rFonts w:hint="eastAsia"/>
        </w:rPr>
        <w:tab/>
        <w:t>委员会赞赏地注意到妇女担任公务机构高级职位的人数增加这一积极发展，澳大利亚30%的议员是妇女，58%的公务员是妇女，高等法院7名法官中有3名妇女。不过，委员会仍然关切，为增加土著人及托雷斯海峡岛民妇女和残疾妇女参加公共生活而采取的措施仍然不足。</w:t>
      </w:r>
    </w:p>
    <w:p w:rsidR="007A5F57" w:rsidRDefault="007A5F57" w:rsidP="007A5F57">
      <w:pPr>
        <w:pStyle w:val="SingleTxt"/>
        <w:rPr>
          <w:rFonts w:hint="eastAsia"/>
        </w:rPr>
      </w:pPr>
      <w:r>
        <w:rPr>
          <w:rFonts w:hint="eastAsia"/>
        </w:rPr>
        <w:t>35.</w:t>
      </w:r>
      <w:r>
        <w:rPr>
          <w:rFonts w:hint="eastAsia"/>
        </w:rPr>
        <w:tab/>
      </w:r>
      <w:r w:rsidRPr="005F6E43">
        <w:rPr>
          <w:rFonts w:ascii="SimHei" w:eastAsia="SimHei" w:hint="eastAsia"/>
        </w:rPr>
        <w:t>委员会建议缔约国采取有针对性的措施，包括按照《公约》第四条第1款和委员会一般性建议25采取有明确时限的临时特别措施，以确保妇女平等参加和任职于公共和政治生活，特别着重土著人及托雷斯海峡岛民妇女和残疾妇女。</w:t>
      </w:r>
    </w:p>
    <w:p w:rsidR="007A5F57" w:rsidRPr="007A5F57" w:rsidRDefault="007A5F57" w:rsidP="007A5F57">
      <w:pPr>
        <w:pStyle w:val="SingleTxt"/>
        <w:rPr>
          <w:rFonts w:ascii="SimHei" w:eastAsia="SimHei" w:hint="eastAsia"/>
        </w:rPr>
      </w:pPr>
      <w:r w:rsidRPr="007A5F57">
        <w:rPr>
          <w:rFonts w:ascii="SimHei" w:eastAsia="SimHei" w:hint="eastAsia"/>
        </w:rPr>
        <w:t>教育</w:t>
      </w:r>
    </w:p>
    <w:p w:rsidR="007A5F57" w:rsidRDefault="007A5F57" w:rsidP="007A5F57">
      <w:pPr>
        <w:pStyle w:val="SingleTxt"/>
        <w:rPr>
          <w:rFonts w:hint="eastAsia"/>
        </w:rPr>
      </w:pPr>
      <w:r>
        <w:rPr>
          <w:rFonts w:hint="eastAsia"/>
        </w:rPr>
        <w:t>36.</w:t>
      </w:r>
      <w:r>
        <w:rPr>
          <w:rFonts w:hint="eastAsia"/>
        </w:rPr>
        <w:tab/>
        <w:t>委员会注意到，已经采取若干资源丰富的举措以消除教育系统各级对女孩和妇女的歧视。不过，委员会关切的是，所提供的资料并非总能让人充分了解多种形式的歧视对特定人群、例如土著妇女和女孩造成影响的方式。委员会还关切高等教育和职业培训中学科的隔离，这最终造成劳动力市场上两性职业的隔离。</w:t>
      </w:r>
    </w:p>
    <w:p w:rsidR="007A5F57" w:rsidRDefault="007A5F57" w:rsidP="007A5F57">
      <w:pPr>
        <w:pStyle w:val="SingleTxt"/>
        <w:rPr>
          <w:rFonts w:hint="eastAsia"/>
        </w:rPr>
      </w:pPr>
      <w:r>
        <w:rPr>
          <w:rFonts w:hint="eastAsia"/>
        </w:rPr>
        <w:t>37.</w:t>
      </w:r>
      <w:r>
        <w:rPr>
          <w:rFonts w:hint="eastAsia"/>
        </w:rPr>
        <w:tab/>
      </w:r>
      <w:r w:rsidRPr="005F6E43">
        <w:rPr>
          <w:rFonts w:ascii="SimHei" w:eastAsia="SimHei" w:hint="eastAsia"/>
        </w:rPr>
        <w:t>委员会建议，有关在校就读、完成学业、识字和识数成就的数据应当分别开列，按性别、族裔和地理位置交叉分组列表，以确保可以查明特定组别的需要，采用适当干预措施以消除男女差别。委员会敦促缔约国拨出资源鼓励妇女在一贯由男性控制的领域求学和就业。</w:t>
      </w:r>
    </w:p>
    <w:p w:rsidR="007A5F57" w:rsidRPr="007A5F57" w:rsidRDefault="007A5F57" w:rsidP="007A5F57">
      <w:pPr>
        <w:pStyle w:val="SingleTxt"/>
        <w:rPr>
          <w:rFonts w:ascii="SimHei" w:eastAsia="SimHei" w:hint="eastAsia"/>
        </w:rPr>
      </w:pPr>
      <w:r w:rsidRPr="007A5F57">
        <w:rPr>
          <w:rFonts w:ascii="SimHei" w:eastAsia="SimHei" w:hint="eastAsia"/>
        </w:rPr>
        <w:t>就业</w:t>
      </w:r>
    </w:p>
    <w:p w:rsidR="007A5F57" w:rsidRDefault="007A5F57" w:rsidP="007A5F57">
      <w:pPr>
        <w:pStyle w:val="SingleTxt"/>
        <w:rPr>
          <w:rFonts w:hint="eastAsia"/>
        </w:rPr>
      </w:pPr>
      <w:r>
        <w:rPr>
          <w:rFonts w:hint="eastAsia"/>
        </w:rPr>
        <w:t>38.</w:t>
      </w:r>
      <w:r>
        <w:rPr>
          <w:rFonts w:hint="eastAsia"/>
        </w:rPr>
        <w:tab/>
        <w:t>委员会关切劳动力继续存在性别隔离；全职工作的妇女薪金仍然比男性同事少18%；照顾责任继续影响妇女参加工作；残疾妇女和土著妇女工作机会有限。委员会还注意到，尽管有《性别歧视法》的规定，在工作场所性骚扰继续是严重的问题。委员会欢迎将从2011年 1月1日起实施的首个带薪育儿假计划，但注意到这个计划不包括退休金，这会影响到老年妇女和男子之间在退休储蓄和经济安全上的重大性别差距，育儿假长度有限(18个星期)，补偿限于联邦最低工资等额并受其他条件限制。</w:t>
      </w:r>
    </w:p>
    <w:p w:rsidR="007A5F57" w:rsidRDefault="007A5F57" w:rsidP="007A5F57">
      <w:pPr>
        <w:pStyle w:val="SingleTxt"/>
        <w:rPr>
          <w:rFonts w:hint="eastAsia"/>
        </w:rPr>
      </w:pPr>
      <w:r>
        <w:rPr>
          <w:rFonts w:hint="eastAsia"/>
        </w:rPr>
        <w:t>39.</w:t>
      </w:r>
      <w:r>
        <w:rPr>
          <w:rFonts w:hint="eastAsia"/>
        </w:rPr>
        <w:tab/>
      </w:r>
      <w:r w:rsidRPr="005F6E43">
        <w:rPr>
          <w:rFonts w:ascii="SimHei" w:eastAsia="SimHei" w:hint="eastAsia"/>
        </w:rPr>
        <w:t>委员会敦促缔约国采取具体措施消除职业上的隔离，包括排除所有部门对妇女的障碍并确保劳动力市场男女的平等机会和平等待遇。委员会欢迎《2009年公平工作法》，并敦促缔约国制订国家薪资战略和在澳大利亚公平工作署新的工资制定机构内设立一个专门单位来制订和监测薪资差距机制。委员会还请缔约国在下次定期报告中对《公平工作法》消除薪资差距的效果提供一个全面评估。委员会敦促缔约国通过适当的立法措施，以及一个预防性战略计划，以打击工作场所的性骚扰。委员会呼吁缔约国确保对《带薪育儿假法》的法定独立审查适当考虑增加补偿额和为带薪假提供退休金，以更好地保护妇女的财务安全和鼓励父母平等参加育儿。委员会敦促缔约国制订全面的儿童保育政策，以包括放学以后和放假期间的保育照顾并增加提供负担得起的高质量托儿服务。</w:t>
      </w:r>
    </w:p>
    <w:p w:rsidR="007A5F57" w:rsidRPr="007A5F57" w:rsidRDefault="007A5F57" w:rsidP="007A5F57">
      <w:pPr>
        <w:pStyle w:val="SingleTxt"/>
        <w:rPr>
          <w:rFonts w:ascii="SimHei" w:eastAsia="SimHei" w:hint="eastAsia"/>
        </w:rPr>
      </w:pPr>
      <w:r w:rsidRPr="007A5F57">
        <w:rPr>
          <w:rFonts w:ascii="SimHei" w:eastAsia="SimHei" w:hint="eastAsia"/>
        </w:rPr>
        <w:t>弱势群体妇女</w:t>
      </w:r>
    </w:p>
    <w:p w:rsidR="007A5F57" w:rsidRDefault="007A5F57" w:rsidP="007A5F57">
      <w:pPr>
        <w:pStyle w:val="SingleTxt"/>
        <w:rPr>
          <w:rFonts w:hint="eastAsia"/>
        </w:rPr>
      </w:pPr>
      <w:r>
        <w:rPr>
          <w:rFonts w:hint="eastAsia"/>
        </w:rPr>
        <w:t>40.</w:t>
      </w:r>
      <w:r>
        <w:rPr>
          <w:rFonts w:hint="eastAsia"/>
        </w:rPr>
        <w:tab/>
        <w:t>委员会关切地注意到，尽管自上次报告以来已加强努力解决问题，但社会经济指标一直显示土著人及托雷斯海峡岛民社区继续是澳大利亚最弱势的群体，土著妇女尤其弱势。委员会关切的是，土著妇女和女孩最常面临暴力，尤其是在家里，因家庭暴力攻击而住院治疗的土著妇女是非土著妇女的35倍。委员会也继续关切土著妇女获得优质教育、医疗和法律援助服务的机会较少，限制较多。</w:t>
      </w:r>
    </w:p>
    <w:p w:rsidR="007A5F57" w:rsidRDefault="007A5F57" w:rsidP="007A5F57">
      <w:pPr>
        <w:pStyle w:val="SingleTxt"/>
        <w:rPr>
          <w:rFonts w:hint="eastAsia"/>
        </w:rPr>
      </w:pPr>
      <w:r>
        <w:rPr>
          <w:rFonts w:hint="eastAsia"/>
        </w:rPr>
        <w:t>41.</w:t>
      </w:r>
      <w:r>
        <w:rPr>
          <w:rFonts w:hint="eastAsia"/>
        </w:rPr>
        <w:tab/>
      </w:r>
      <w:r w:rsidRPr="005F6E43">
        <w:rPr>
          <w:rFonts w:ascii="SimHei" w:eastAsia="SimHei" w:hint="eastAsia"/>
        </w:rPr>
        <w:t>委员会重申其以往的建议，即缔约国应制定和实施有针对性的措施，包括按照《公约》第四条第1款和委员会一般性建议25采取临时特别措施，以改进土著妇女在所有部门的人权享受情况，同时考虑到她们的语言和文化利益。委员会敦促缔约国在国家计划内实施具体战略以解决暴力伤害土著人及托雷斯海峡岛民妇女的问题，包括在澳大利亚城市、农村和偏远地区资助文化上适合土著妇女的法律服务。委员会建议缔约国特别注意确保获得包括研究生教育在内的优质教育、职业培训、充分的保健和社会服务、普及法律知识和诉诸法律的机会。</w:t>
      </w:r>
    </w:p>
    <w:p w:rsidR="007A5F57" w:rsidRDefault="007A5F57" w:rsidP="007A5F57">
      <w:pPr>
        <w:pStyle w:val="SingleTxt"/>
        <w:rPr>
          <w:rFonts w:hint="eastAsia"/>
        </w:rPr>
      </w:pPr>
      <w:r>
        <w:rPr>
          <w:rFonts w:hint="eastAsia"/>
        </w:rPr>
        <w:t>42.</w:t>
      </w:r>
      <w:r>
        <w:rPr>
          <w:rFonts w:hint="eastAsia"/>
        </w:rPr>
        <w:tab/>
        <w:t>委员会关切残疾妇女几乎完全无人担任关键领导和决策职位，并在教育和就业机会方面继续处于不利地位。委员会关切妇女，特别是住在救济院或支助性住所的妇女频繁遭受暴力伤害。委员会还关切地注意到，澳大利亚有些州继续对残疾妇女和女孩实施非治疗绝育手术，并注意到联邦政府认为这是由州政府管理的事项。</w:t>
      </w:r>
    </w:p>
    <w:p w:rsidR="007A5F57" w:rsidRDefault="007A5F57" w:rsidP="007A5F57">
      <w:pPr>
        <w:pStyle w:val="SingleTxt"/>
        <w:rPr>
          <w:rFonts w:hint="eastAsia"/>
        </w:rPr>
      </w:pPr>
      <w:r>
        <w:rPr>
          <w:rFonts w:hint="eastAsia"/>
        </w:rPr>
        <w:t>43.</w:t>
      </w:r>
      <w:r>
        <w:rPr>
          <w:rFonts w:hint="eastAsia"/>
        </w:rPr>
        <w:tab/>
      </w:r>
      <w:r w:rsidRPr="005F6E43">
        <w:rPr>
          <w:rFonts w:ascii="SimHei" w:eastAsia="SimHei" w:hint="eastAsia"/>
        </w:rPr>
        <w:t>委员会敦促缔约国，鉴于它最近批准了《残疾人权利公约》，对澳大利亚残疾妇女情况进行一次全面评估。委员会建议缔约国优先处理住在救济院或支助性住所的妇女遭受虐待和暴力的问题。委员会还建议缔约国采取紧急措施，包括按照《公约》第四条第1款和委员会一般性建议25采取诸如配额和目标的临时特别措施，确保有更多残疾妇女担任决策和领导职位。委员会建议缔约国颁布国家法律，禁止对无论是否残疾的女孩和未经本人充分知情、自由同意的成年残疾妇女动用绝育手术，除非生命或健康受到严重威胁。</w:t>
      </w:r>
    </w:p>
    <w:p w:rsidR="007A5F57" w:rsidRDefault="007A5F57" w:rsidP="007A5F57">
      <w:pPr>
        <w:pStyle w:val="SingleTxt"/>
        <w:rPr>
          <w:rFonts w:hint="eastAsia"/>
        </w:rPr>
      </w:pPr>
      <w:r>
        <w:rPr>
          <w:rFonts w:hint="eastAsia"/>
        </w:rPr>
        <w:t>44.</w:t>
      </w:r>
      <w:r>
        <w:rPr>
          <w:rFonts w:hint="eastAsia"/>
        </w:rPr>
        <w:tab/>
        <w:t>委员会赞赏缔约国为防止歧视移民妇女而采取的一些措施以及移民和公民事务部的一些举措，但关切地注意到移民妇女普遍频繁遭受暴力，劳动力市场参与率低而且集中在低薪工作，在获得普遍提供的保健服务时有特殊的语言和文化需要。</w:t>
      </w:r>
    </w:p>
    <w:p w:rsidR="007A5F57" w:rsidRPr="005F6E43" w:rsidRDefault="007A5F57" w:rsidP="007A5F57">
      <w:pPr>
        <w:pStyle w:val="SingleTxt"/>
        <w:rPr>
          <w:rFonts w:ascii="SimHei" w:eastAsia="SimHei" w:hint="eastAsia"/>
        </w:rPr>
      </w:pPr>
      <w:r>
        <w:rPr>
          <w:rFonts w:hint="eastAsia"/>
        </w:rPr>
        <w:t>45.</w:t>
      </w:r>
      <w:r>
        <w:rPr>
          <w:rFonts w:hint="eastAsia"/>
        </w:rPr>
        <w:tab/>
      </w:r>
      <w:r w:rsidRPr="005F6E43">
        <w:rPr>
          <w:rFonts w:ascii="SimHei" w:eastAsia="SimHei" w:hint="eastAsia"/>
        </w:rPr>
        <w:t>委员会敦促缔约国确保为保护移民妇女而采取的措施得到充分、有效的执行。委员会建议缔约国加紧努力起诉家庭暴力行为，并为受害者提供适当的支助服务，包括住所。委员会敦促缔约国采取定向措施，移除移民妇女参加工作场所的现有障碍，制定平等获得有效职业培训和职业介绍的政策，这种政策不限于传统就业领域。委员会敦促缔约国制定向移民妇女提供保健服务的广泛框架，其中考虑到她们的特殊健康情况。委员会提醒缔约国注意其关于移徙女工的一般性建议</w:t>
      </w:r>
      <w:r w:rsidR="005F6E43">
        <w:rPr>
          <w:rFonts w:ascii="SimHei" w:eastAsia="SimHei" w:hint="eastAsia"/>
        </w:rPr>
        <w:t>26。</w:t>
      </w:r>
    </w:p>
    <w:p w:rsidR="007A5F57" w:rsidRPr="007A5F57" w:rsidRDefault="007A5F57" w:rsidP="007A5F57">
      <w:pPr>
        <w:pStyle w:val="SingleTxt"/>
        <w:rPr>
          <w:rFonts w:ascii="SimHei" w:eastAsia="SimHei" w:hint="eastAsia"/>
        </w:rPr>
      </w:pPr>
      <w:r w:rsidRPr="007A5F57">
        <w:rPr>
          <w:rFonts w:ascii="SimHei" w:eastAsia="SimHei" w:hint="eastAsia"/>
        </w:rPr>
        <w:t>北京宣言和行动纲要</w:t>
      </w:r>
    </w:p>
    <w:p w:rsidR="007A5F57" w:rsidRDefault="007A5F57" w:rsidP="007A5F57">
      <w:pPr>
        <w:pStyle w:val="SingleTxt"/>
        <w:rPr>
          <w:rFonts w:hint="eastAsia"/>
        </w:rPr>
      </w:pPr>
      <w:r>
        <w:rPr>
          <w:rFonts w:hint="eastAsia"/>
        </w:rPr>
        <w:t>46.</w:t>
      </w:r>
      <w:r>
        <w:rPr>
          <w:rFonts w:hint="eastAsia"/>
        </w:rPr>
        <w:tab/>
      </w:r>
      <w:r w:rsidRPr="005F6E43">
        <w:rPr>
          <w:rFonts w:ascii="SimHei" w:eastAsia="SimHei" w:hint="eastAsia"/>
        </w:rPr>
        <w:t>委员会敦促该缔约国在履行《公约》义务时充分利用加强《公约》条款的《北京宣言和行动纲要》，并请缔约国在下次定期报告中列入有关资料。</w:t>
      </w:r>
    </w:p>
    <w:p w:rsidR="007A5F57" w:rsidRPr="007A5F57" w:rsidRDefault="007A5F57" w:rsidP="007A5F57">
      <w:pPr>
        <w:pStyle w:val="SingleTxt"/>
        <w:rPr>
          <w:rFonts w:ascii="SimHei" w:eastAsia="SimHei" w:hint="eastAsia"/>
        </w:rPr>
      </w:pPr>
      <w:r w:rsidRPr="007A5F57">
        <w:rPr>
          <w:rFonts w:ascii="SimHei" w:eastAsia="SimHei" w:hint="eastAsia"/>
        </w:rPr>
        <w:t>千年发展目标</w:t>
      </w:r>
    </w:p>
    <w:p w:rsidR="007A5F57" w:rsidRPr="005F6E43" w:rsidRDefault="007A5F57" w:rsidP="007A5F57">
      <w:pPr>
        <w:pStyle w:val="SingleTxt"/>
        <w:rPr>
          <w:rFonts w:ascii="SimHei" w:eastAsia="SimHei" w:hint="eastAsia"/>
        </w:rPr>
      </w:pPr>
      <w:r>
        <w:rPr>
          <w:rFonts w:hint="eastAsia"/>
        </w:rPr>
        <w:t>47.</w:t>
      </w:r>
      <w:r>
        <w:rPr>
          <w:rFonts w:hint="eastAsia"/>
        </w:rPr>
        <w:tab/>
      </w:r>
      <w:r w:rsidRPr="005F6E43">
        <w:rPr>
          <w:rFonts w:ascii="SimHei" w:eastAsia="SimHei" w:hint="eastAsia"/>
        </w:rPr>
        <w:t>委员会强调，充分有效地执行《公约》对实现千年发展目标不可或缺。委员会要求在实现千年发展目标的各项努力中纳入社会性别观点并明确反映《公约》条款，并请缔约国在下次定期报告中列入有关资料。</w:t>
      </w:r>
    </w:p>
    <w:p w:rsidR="007A5F57" w:rsidRPr="006C400F" w:rsidRDefault="007A5F57" w:rsidP="007A5F57">
      <w:pPr>
        <w:pStyle w:val="SingleTxt"/>
        <w:rPr>
          <w:rFonts w:ascii="SimHei" w:eastAsia="SimHei" w:hint="eastAsia"/>
        </w:rPr>
      </w:pPr>
      <w:r w:rsidRPr="006C400F">
        <w:rPr>
          <w:rFonts w:ascii="SimHei" w:eastAsia="SimHei" w:hint="eastAsia"/>
        </w:rPr>
        <w:t>传播</w:t>
      </w:r>
    </w:p>
    <w:p w:rsidR="007A5F57" w:rsidRDefault="007A5F57" w:rsidP="007A5F57">
      <w:pPr>
        <w:pStyle w:val="SingleTxt"/>
        <w:rPr>
          <w:rFonts w:hint="eastAsia"/>
        </w:rPr>
      </w:pPr>
      <w:r>
        <w:rPr>
          <w:rFonts w:hint="eastAsia"/>
        </w:rPr>
        <w:t>48.</w:t>
      </w:r>
      <w:r w:rsidR="00731841">
        <w:rPr>
          <w:rFonts w:hint="eastAsia"/>
        </w:rPr>
        <w:tab/>
      </w:r>
      <w:r w:rsidRPr="005F6E43">
        <w:rPr>
          <w:rFonts w:ascii="SimHei" w:eastAsia="SimHei" w:hint="eastAsia"/>
        </w:rPr>
        <w:t>委员会确认缔约国为传播委员会以往的结论意见而做的努力，并要求同样传播本结论意见，以便让全体人民，包括政府官员、政治人物、国会议员和妇女组织及人权组织，都了解已经为确保妇女在法律上和事实上的平等而采取的步骤，以及在这方面需要进一步采取的步骤。委员会建议将传播范围扩大到地方社区一级，包括偏远社区。鼓励缔约国举办一系列会议，讨论本结论意见的实施。委员会请缔约国继续广泛传播，特别是向妇女组织和人权组织传播委员会的一般性建议、《北京宣言和行动纲要》以及主题为“2000年妇女：二十一世纪两性平等、发展与和平”的大会第二十三届特别会议的成果。</w:t>
      </w:r>
    </w:p>
    <w:p w:rsidR="007A5F57" w:rsidRPr="00731841" w:rsidRDefault="007A5F57" w:rsidP="007A5F57">
      <w:pPr>
        <w:pStyle w:val="SingleTxt"/>
        <w:rPr>
          <w:rFonts w:ascii="SimHei" w:eastAsia="SimHei" w:hint="eastAsia"/>
        </w:rPr>
      </w:pPr>
      <w:r w:rsidRPr="00731841">
        <w:rPr>
          <w:rFonts w:ascii="SimHei" w:eastAsia="SimHei" w:hint="eastAsia"/>
        </w:rPr>
        <w:t>批准其他条约</w:t>
      </w:r>
    </w:p>
    <w:p w:rsidR="007A5F57" w:rsidRPr="005F6E43" w:rsidRDefault="007A5F57" w:rsidP="007A5F57">
      <w:pPr>
        <w:pStyle w:val="SingleTxt"/>
        <w:rPr>
          <w:rFonts w:ascii="SimHei" w:eastAsia="SimHei" w:hint="eastAsia"/>
        </w:rPr>
      </w:pPr>
      <w:r>
        <w:rPr>
          <w:rFonts w:hint="eastAsia"/>
        </w:rPr>
        <w:t>49.</w:t>
      </w:r>
      <w:r w:rsidR="00731841">
        <w:rPr>
          <w:rFonts w:hint="eastAsia"/>
        </w:rPr>
        <w:tab/>
      </w:r>
      <w:r w:rsidRPr="005F6E43">
        <w:rPr>
          <w:rFonts w:ascii="SimHei" w:eastAsia="SimHei" w:hint="eastAsia"/>
        </w:rPr>
        <w:t>委员会认为，缔约国加入全部九项主要国际人权文书</w:t>
      </w:r>
      <w:r w:rsidR="005F6E43">
        <w:rPr>
          <w:rStyle w:val="FootnoteReference"/>
          <w:rFonts w:ascii="SimHei" w:eastAsia="SimHei"/>
        </w:rPr>
        <w:footnoteReference w:id="1"/>
      </w:r>
      <w:r w:rsidRPr="005F6E43">
        <w:rPr>
          <w:rFonts w:ascii="SimHei" w:eastAsia="SimHei" w:hint="eastAsia"/>
        </w:rPr>
        <w:t xml:space="preserve"> 将促进妇女在生活的各个方面享受人权和基本自由。因此，委员会鼓励联邦政府考虑批准它尚未成为缔约国的条约，即《保护所有移徙工人及其家庭成员权利国际公约》和《保护所有人免遭强迫失踪国际公约》。</w:t>
      </w:r>
    </w:p>
    <w:p w:rsidR="007A5F57" w:rsidRPr="00731841" w:rsidRDefault="007A5F57" w:rsidP="007A5F57">
      <w:pPr>
        <w:pStyle w:val="SingleTxt"/>
        <w:rPr>
          <w:rFonts w:ascii="SimHei" w:eastAsia="SimHei" w:hint="eastAsia"/>
        </w:rPr>
      </w:pPr>
      <w:r w:rsidRPr="00731841">
        <w:rPr>
          <w:rFonts w:ascii="SimHei" w:eastAsia="SimHei" w:hint="eastAsia"/>
        </w:rPr>
        <w:t>跟进结论意见</w:t>
      </w:r>
    </w:p>
    <w:p w:rsidR="007A5F57" w:rsidRDefault="007A5F57" w:rsidP="007A5F57">
      <w:pPr>
        <w:pStyle w:val="SingleTxt"/>
        <w:rPr>
          <w:rFonts w:hint="eastAsia"/>
        </w:rPr>
      </w:pPr>
      <w:r>
        <w:rPr>
          <w:rFonts w:hint="eastAsia"/>
        </w:rPr>
        <w:t>50.</w:t>
      </w:r>
      <w:r w:rsidR="00731841">
        <w:rPr>
          <w:rFonts w:hint="eastAsia"/>
        </w:rPr>
        <w:tab/>
      </w:r>
      <w:r w:rsidRPr="005F6E43">
        <w:rPr>
          <w:rFonts w:ascii="SimHei" w:eastAsia="SimHei" w:hint="eastAsia"/>
        </w:rPr>
        <w:t>委员会请缔约国在两年内提供书面材料，说明为执行上文第29和41段所列建议而采取的步骤。</w:t>
      </w:r>
    </w:p>
    <w:p w:rsidR="007A5F57" w:rsidRPr="005F6E43" w:rsidRDefault="005F6E43" w:rsidP="007A5F57">
      <w:pPr>
        <w:pStyle w:val="SingleTxt"/>
        <w:rPr>
          <w:rFonts w:ascii="SimHei" w:eastAsia="SimHei" w:hint="eastAsia"/>
        </w:rPr>
      </w:pPr>
      <w:r>
        <w:rPr>
          <w:rFonts w:ascii="SimHei" w:eastAsia="SimHei"/>
        </w:rPr>
        <w:br w:type="page"/>
      </w:r>
      <w:r w:rsidR="007A5F57" w:rsidRPr="005F6E43">
        <w:rPr>
          <w:rFonts w:ascii="SimHei" w:eastAsia="SimHei" w:hint="eastAsia"/>
        </w:rPr>
        <w:t>编写下次报告</w:t>
      </w:r>
    </w:p>
    <w:p w:rsidR="007A5F57" w:rsidRPr="005F6E43" w:rsidRDefault="007A5F57" w:rsidP="007A5F57">
      <w:pPr>
        <w:pStyle w:val="SingleTxt"/>
        <w:rPr>
          <w:rFonts w:ascii="SimHei" w:eastAsia="SimHei" w:hint="eastAsia"/>
        </w:rPr>
      </w:pPr>
      <w:r>
        <w:rPr>
          <w:rFonts w:hint="eastAsia"/>
        </w:rPr>
        <w:t>51.</w:t>
      </w:r>
      <w:r w:rsidR="00731841">
        <w:rPr>
          <w:rFonts w:hint="eastAsia"/>
        </w:rPr>
        <w:tab/>
      </w:r>
      <w:r w:rsidRPr="005F6E43">
        <w:rPr>
          <w:rFonts w:ascii="SimHei" w:eastAsia="SimHei" w:hint="eastAsia"/>
        </w:rPr>
        <w:t>委员会请缔约国确保所有部委和公共机构广泛参加编写其下次报告，并在编写阶段同各种妇女组织和人权组织协商。</w:t>
      </w:r>
    </w:p>
    <w:p w:rsidR="007A5F57" w:rsidRDefault="007A5F57" w:rsidP="007A5F57">
      <w:pPr>
        <w:pStyle w:val="SingleTxt"/>
        <w:rPr>
          <w:rFonts w:hint="eastAsia"/>
        </w:rPr>
      </w:pPr>
      <w:r>
        <w:rPr>
          <w:rFonts w:hint="eastAsia"/>
        </w:rPr>
        <w:t>52.</w:t>
      </w:r>
      <w:r w:rsidR="00731841">
        <w:rPr>
          <w:rFonts w:hint="eastAsia"/>
        </w:rPr>
        <w:tab/>
      </w:r>
      <w:r w:rsidRPr="005F6E43">
        <w:rPr>
          <w:rFonts w:ascii="SimHei" w:eastAsia="SimHei" w:hint="eastAsia"/>
        </w:rPr>
        <w:t>委员会请缔约国根据《公约》第十八条，在其下次定期报告中对本结论意见表示关切的问题作出回应。委员会请缔约国于2014年7月提交下次定期报告。</w:t>
      </w:r>
    </w:p>
    <w:p w:rsidR="007A5F57" w:rsidRDefault="007A5F57" w:rsidP="007A5F57">
      <w:pPr>
        <w:pStyle w:val="SingleTxt"/>
        <w:rPr>
          <w:rFonts w:hint="eastAsia"/>
        </w:rPr>
      </w:pPr>
      <w:r>
        <w:rPr>
          <w:rFonts w:hint="eastAsia"/>
        </w:rPr>
        <w:t>53.</w:t>
      </w:r>
      <w:r w:rsidR="00731841">
        <w:rPr>
          <w:rFonts w:hint="eastAsia"/>
        </w:rPr>
        <w:tab/>
      </w:r>
      <w:r w:rsidRPr="005F6E43">
        <w:rPr>
          <w:rFonts w:ascii="SimHei" w:eastAsia="SimHei" w:hint="eastAsia"/>
        </w:rPr>
        <w:t>委员会请缔约国按照2006年6月第五次人权条约机构委员会间会议核准的“根据国际人权条约提交报告的统一准则，包括关于共同核心文件和具体条约报告的准则”(见HRI/MC/2006/3和Corr.1)更新其共同核心文件。委员会2008年1月第四十届会议通过的具体条约报告准则必须与关于共同核心文件的统一报告准则一并适用。两者共同构成根据《消除对妇女一切形式歧视公约》提交报告的统一准则。具体条约文件篇幅以40页为限，更新的共同核心文件篇幅应不超过80页。</w:t>
      </w:r>
    </w:p>
    <w:p w:rsidR="007A5F57" w:rsidRPr="00731841" w:rsidRDefault="00731841" w:rsidP="00731841">
      <w:pPr>
        <w:pStyle w:val="SingleTxt"/>
        <w:spacing w:after="0" w:line="240" w:lineRule="auto"/>
        <w:rPr>
          <w:rFonts w:hint="eastAsia"/>
          <w:sz w:val="20"/>
        </w:rPr>
      </w:pPr>
      <w:r>
        <w:rPr>
          <w:noProof/>
          <w:sz w:val="20"/>
        </w:rPr>
        <w:pict>
          <v:line id="_x0000_s1026" style="position:absolute;left:0;text-align:left;z-index:1;mso-position-horizontal:center" from="0,30pt" to="1in,30pt" strokeweight=".25pt"/>
        </w:pict>
      </w:r>
    </w:p>
    <w:p w:rsidR="007A5F57" w:rsidRDefault="007A5F57" w:rsidP="007A5F57">
      <w:pPr>
        <w:pStyle w:val="SingleTxt"/>
      </w:pPr>
    </w:p>
    <w:p w:rsidR="00EA31C3" w:rsidRPr="00C20BC1" w:rsidRDefault="00EA31C3" w:rsidP="007A5F57">
      <w:pPr>
        <w:pStyle w:val="SingleTxt"/>
        <w:rPr>
          <w:rFonts w:hint="eastAsia"/>
        </w:rPr>
      </w:pPr>
    </w:p>
    <w:sectPr w:rsidR="00EA31C3" w:rsidRPr="00C20BC1" w:rsidSect="00C20BC1">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0-09-23T09:51:00Z" w:initials="Start">
    <w:p w:rsidR="006C400F" w:rsidRDefault="006C400F">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NO&gt;&gt;N1048547C&lt;&lt;ODS JOB NO&gt;&gt;</w:t>
      </w:r>
    </w:p>
    <w:p w:rsidR="006C400F" w:rsidRDefault="006C400F">
      <w:pPr>
        <w:pStyle w:val="CommentText"/>
      </w:pPr>
      <w:r>
        <w:t>&lt;&lt;ODS DOC SYMBOL1&gt;&gt;CEDAW/C/AUL/CO/7&lt;&lt;ODS DOC SYMBOL1&gt;&gt;</w:t>
      </w:r>
    </w:p>
    <w:p w:rsidR="006C400F" w:rsidRDefault="006C400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7048" w:rsidRDefault="00417048">
      <w:r>
        <w:separator/>
      </w:r>
    </w:p>
  </w:endnote>
  <w:endnote w:type="continuationSeparator" w:id="0">
    <w:p w:rsidR="00417048" w:rsidRDefault="004170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imHei">
    <w:altName w:val="黑体"/>
    <w:panose1 w:val="02010600030101010101"/>
    <w:charset w:val="86"/>
    <w:family w:val="modern"/>
    <w:notTrueType/>
    <w:pitch w:val="fixed"/>
    <w:sig w:usb0="00000001" w:usb1="080E0000" w:usb2="00000010" w:usb3="00000000" w:csb0="00040000" w:csb1="00000000"/>
  </w:font>
  <w:font w:name="KaiTi_GB2312">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C400F" w:rsidTr="00C20BC1">
      <w:tblPrEx>
        <w:tblCellMar>
          <w:top w:w="0" w:type="dxa"/>
          <w:bottom w:w="0" w:type="dxa"/>
        </w:tblCellMar>
      </w:tblPrEx>
      <w:tc>
        <w:tcPr>
          <w:tcW w:w="5033" w:type="dxa"/>
          <w:shd w:val="clear" w:color="auto" w:fill="auto"/>
        </w:tcPr>
        <w:p w:rsidR="006C400F" w:rsidRPr="00C20BC1" w:rsidRDefault="006C400F" w:rsidP="00C20BC1">
          <w:pPr>
            <w:pStyle w:val="Footer"/>
            <w:jc w:val="right"/>
            <w:rPr>
              <w:b w:val="0"/>
              <w:w w:val="103"/>
              <w:sz w:val="14"/>
            </w:rPr>
          </w:pPr>
          <w:fldSimple w:instr=" DOCVARIABLE &quot;FooterJN&quot; \* MERGEFORMAT ">
            <w:r>
              <w:rPr>
                <w:b w:val="0"/>
                <w:w w:val="103"/>
                <w:sz w:val="14"/>
              </w:rPr>
              <w:t>10-48547 (C)</w:t>
            </w:r>
          </w:fldSimple>
        </w:p>
      </w:tc>
      <w:tc>
        <w:tcPr>
          <w:tcW w:w="5033" w:type="dxa"/>
          <w:shd w:val="clear" w:color="auto" w:fill="auto"/>
        </w:tcPr>
        <w:p w:rsidR="006C400F" w:rsidRPr="00C20BC1" w:rsidRDefault="006C400F" w:rsidP="00C20BC1">
          <w:pPr>
            <w:pStyle w:val="Footer"/>
            <w:jc w:val="left"/>
            <w:rPr>
              <w:w w:val="103"/>
            </w:rPr>
          </w:pPr>
          <w:r>
            <w:rPr>
              <w:w w:val="103"/>
            </w:rPr>
            <w:fldChar w:fldCharType="begin"/>
          </w:r>
          <w:r>
            <w:rPr>
              <w:w w:val="103"/>
            </w:rPr>
            <w:instrText xml:space="preserve"> PAGE  \* MERGEFORMAT </w:instrText>
          </w:r>
          <w:r>
            <w:rPr>
              <w:w w:val="103"/>
            </w:rPr>
            <w:fldChar w:fldCharType="separate"/>
          </w:r>
          <w:r w:rsidR="00410C31">
            <w:rPr>
              <w:w w:val="103"/>
            </w:rPr>
            <w:t>8</w:t>
          </w:r>
          <w:r>
            <w:rPr>
              <w:w w:val="103"/>
            </w:rPr>
            <w:fldChar w:fldCharType="end"/>
          </w:r>
        </w:p>
      </w:tc>
    </w:tr>
  </w:tbl>
  <w:p w:rsidR="006C400F" w:rsidRPr="00C20BC1" w:rsidRDefault="006C400F" w:rsidP="00C20BC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C400F" w:rsidTr="00C20BC1">
      <w:tblPrEx>
        <w:tblCellMar>
          <w:top w:w="0" w:type="dxa"/>
          <w:bottom w:w="0" w:type="dxa"/>
        </w:tblCellMar>
      </w:tblPrEx>
      <w:tc>
        <w:tcPr>
          <w:tcW w:w="5033" w:type="dxa"/>
          <w:shd w:val="clear" w:color="auto" w:fill="auto"/>
        </w:tcPr>
        <w:p w:rsidR="006C400F" w:rsidRPr="00C20BC1" w:rsidRDefault="006C400F" w:rsidP="00C20BC1">
          <w:pPr>
            <w:pStyle w:val="Footer"/>
            <w:jc w:val="right"/>
          </w:pPr>
          <w:fldSimple w:instr=" PAGE  \* MERGEFORMAT ">
            <w:r w:rsidR="00410C31">
              <w:t>7</w:t>
            </w:r>
          </w:fldSimple>
        </w:p>
      </w:tc>
      <w:tc>
        <w:tcPr>
          <w:tcW w:w="5033" w:type="dxa"/>
          <w:shd w:val="clear" w:color="auto" w:fill="auto"/>
        </w:tcPr>
        <w:p w:rsidR="006C400F" w:rsidRPr="00C20BC1" w:rsidRDefault="006C400F" w:rsidP="00C20BC1">
          <w:pPr>
            <w:pStyle w:val="Footer"/>
            <w:jc w:val="left"/>
            <w:rPr>
              <w:b w:val="0"/>
              <w:w w:val="103"/>
              <w:sz w:val="14"/>
            </w:rPr>
          </w:pPr>
          <w:fldSimple w:instr=" DOCVARIABLE &quot;FooterJN&quot; \* MERGEFORMAT ">
            <w:r>
              <w:rPr>
                <w:b w:val="0"/>
                <w:w w:val="103"/>
                <w:sz w:val="14"/>
              </w:rPr>
              <w:t>10-48547 (C)</w:t>
            </w:r>
          </w:fldSimple>
        </w:p>
      </w:tc>
    </w:tr>
  </w:tbl>
  <w:p w:rsidR="006C400F" w:rsidRPr="00C20BC1" w:rsidRDefault="006C400F" w:rsidP="00C20BC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6C400F">
      <w:tblPrEx>
        <w:tblCellMar>
          <w:top w:w="0" w:type="dxa"/>
          <w:bottom w:w="0" w:type="dxa"/>
        </w:tblCellMar>
      </w:tblPrEx>
      <w:tc>
        <w:tcPr>
          <w:tcW w:w="5033" w:type="dxa"/>
        </w:tcPr>
        <w:p w:rsidR="006C400F" w:rsidRDefault="006C400F" w:rsidP="00C20BC1">
          <w:pPr>
            <w:pStyle w:val="Footer"/>
            <w:rPr>
              <w:b w:val="0"/>
              <w:sz w:val="21"/>
            </w:rPr>
          </w:pPr>
          <w:fldSimple w:instr=" DOCVARIABLE &quot;jobn&quot; \* MERGEFORMAT ">
            <w:r>
              <w:rPr>
                <w:b w:val="0"/>
                <w:sz w:val="21"/>
              </w:rPr>
              <w:t>10-48547 (C)</w:t>
            </w:r>
          </w:fldSimple>
          <w:r>
            <w:rPr>
              <w:b w:val="0"/>
              <w:sz w:val="21"/>
            </w:rPr>
            <w:t xml:space="preserve">    220910    230910</w:t>
          </w:r>
        </w:p>
        <w:p w:rsidR="006C400F" w:rsidRPr="00C20BC1" w:rsidRDefault="006C400F" w:rsidP="00C20BC1">
          <w:pPr>
            <w:spacing w:before="80" w:line="210" w:lineRule="exact"/>
            <w:rPr>
              <w:rFonts w:ascii="Barcode 3 of 9 by request" w:hAnsi="Barcode 3 of 9 by request"/>
              <w:sz w:val="24"/>
            </w:rPr>
          </w:pPr>
          <w:fldSimple w:instr=" DOCVARIABLE &quot;Barcode&quot; \* MERGEFORMAT ">
            <w:r>
              <w:rPr>
                <w:rFonts w:ascii="Barcode 3 of 9 by request" w:hAnsi="Barcode 3 of 9 by request"/>
                <w:sz w:val="24"/>
              </w:rPr>
              <w:t>*1048547*</w:t>
            </w:r>
          </w:fldSimple>
        </w:p>
      </w:tc>
      <w:tc>
        <w:tcPr>
          <w:tcW w:w="5033" w:type="dxa"/>
        </w:tcPr>
        <w:p w:rsidR="006C400F" w:rsidRDefault="006C400F" w:rsidP="00C20BC1">
          <w:pPr>
            <w:pStyle w:val="Footer"/>
            <w:jc w:val="right"/>
            <w:rPr>
              <w:b w:val="0"/>
              <w:sz w:val="21"/>
            </w:rPr>
          </w:pPr>
          <w:r w:rsidRPr="00C20BC1">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6C400F" w:rsidRPr="00C20BC1" w:rsidRDefault="006C400F" w:rsidP="00C20BC1">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7048" w:rsidRPr="005F6E43" w:rsidRDefault="00417048" w:rsidP="005F6E43">
      <w:pPr>
        <w:pStyle w:val="Footer"/>
        <w:spacing w:after="80"/>
        <w:ind w:left="792"/>
        <w:rPr>
          <w:sz w:val="16"/>
        </w:rPr>
      </w:pPr>
      <w:r w:rsidRPr="005F6E43">
        <w:rPr>
          <w:sz w:val="16"/>
        </w:rPr>
        <w:t>__________________</w:t>
      </w:r>
    </w:p>
  </w:footnote>
  <w:footnote w:type="continuationSeparator" w:id="0">
    <w:p w:rsidR="00417048" w:rsidRPr="005F6E43" w:rsidRDefault="00417048" w:rsidP="005F6E43">
      <w:pPr>
        <w:pStyle w:val="Footer"/>
        <w:spacing w:after="80"/>
        <w:ind w:left="792"/>
        <w:rPr>
          <w:sz w:val="16"/>
        </w:rPr>
      </w:pPr>
      <w:r w:rsidRPr="005F6E43">
        <w:rPr>
          <w:sz w:val="16"/>
        </w:rPr>
        <w:t>__________________</w:t>
      </w:r>
    </w:p>
  </w:footnote>
  <w:footnote w:id="1">
    <w:p w:rsidR="006C400F" w:rsidRPr="005F6E43" w:rsidRDefault="006C400F" w:rsidP="005F6E4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5F6E43">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6C400F" w:rsidTr="00C20BC1">
      <w:tblPrEx>
        <w:tblCellMar>
          <w:top w:w="0" w:type="dxa"/>
          <w:bottom w:w="0" w:type="dxa"/>
        </w:tblCellMar>
      </w:tblPrEx>
      <w:trPr>
        <w:trHeight w:hRule="exact" w:val="864"/>
      </w:trPr>
      <w:tc>
        <w:tcPr>
          <w:tcW w:w="4838" w:type="dxa"/>
          <w:shd w:val="clear" w:color="auto" w:fill="auto"/>
          <w:vAlign w:val="bottom"/>
        </w:tcPr>
        <w:p w:rsidR="006C400F" w:rsidRPr="00C20BC1" w:rsidRDefault="006C400F" w:rsidP="00C20BC1">
          <w:pPr>
            <w:pStyle w:val="Header"/>
            <w:spacing w:after="80"/>
            <w:jc w:val="left"/>
            <w:rPr>
              <w:b/>
              <w:sz w:val="17"/>
            </w:rPr>
          </w:pPr>
          <w:fldSimple w:instr=" DOCVARIABLE &quot;sss1&quot; \* MERGEFORMAT ">
            <w:r>
              <w:rPr>
                <w:b/>
                <w:sz w:val="17"/>
              </w:rPr>
              <w:t>CEDAW/C/AUL/CO/7</w:t>
            </w:r>
          </w:fldSimple>
        </w:p>
      </w:tc>
      <w:tc>
        <w:tcPr>
          <w:tcW w:w="5033" w:type="dxa"/>
          <w:shd w:val="clear" w:color="auto" w:fill="auto"/>
          <w:vAlign w:val="bottom"/>
        </w:tcPr>
        <w:p w:rsidR="006C400F" w:rsidRDefault="006C400F" w:rsidP="00C20BC1">
          <w:pPr>
            <w:pStyle w:val="Header"/>
          </w:pPr>
        </w:p>
      </w:tc>
    </w:tr>
  </w:tbl>
  <w:p w:rsidR="006C400F" w:rsidRPr="00C20BC1" w:rsidRDefault="006C400F" w:rsidP="00C20BC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6C400F" w:rsidTr="00C20BC1">
      <w:tblPrEx>
        <w:tblCellMar>
          <w:top w:w="0" w:type="dxa"/>
          <w:bottom w:w="0" w:type="dxa"/>
        </w:tblCellMar>
      </w:tblPrEx>
      <w:trPr>
        <w:trHeight w:hRule="exact" w:val="864"/>
      </w:trPr>
      <w:tc>
        <w:tcPr>
          <w:tcW w:w="4838" w:type="dxa"/>
          <w:shd w:val="clear" w:color="auto" w:fill="auto"/>
          <w:vAlign w:val="bottom"/>
        </w:tcPr>
        <w:p w:rsidR="006C400F" w:rsidRDefault="006C400F" w:rsidP="00C20BC1">
          <w:pPr>
            <w:pStyle w:val="Header"/>
          </w:pPr>
        </w:p>
      </w:tc>
      <w:tc>
        <w:tcPr>
          <w:tcW w:w="5033" w:type="dxa"/>
          <w:shd w:val="clear" w:color="auto" w:fill="auto"/>
          <w:vAlign w:val="bottom"/>
        </w:tcPr>
        <w:p w:rsidR="006C400F" w:rsidRPr="00C20BC1" w:rsidRDefault="006C400F" w:rsidP="00C20BC1">
          <w:pPr>
            <w:pStyle w:val="Header"/>
            <w:spacing w:after="80"/>
            <w:jc w:val="right"/>
            <w:rPr>
              <w:b/>
              <w:sz w:val="17"/>
            </w:rPr>
          </w:pPr>
          <w:fldSimple w:instr=" DOCVARIABLE &quot;sss1&quot; \* MERGEFORMAT ">
            <w:r>
              <w:rPr>
                <w:b/>
                <w:sz w:val="17"/>
              </w:rPr>
              <w:t>CEDAW/C/AUL/CO/7</w:t>
            </w:r>
          </w:fldSimple>
        </w:p>
      </w:tc>
    </w:tr>
  </w:tbl>
  <w:p w:rsidR="006C400F" w:rsidRPr="00C20BC1" w:rsidRDefault="006C400F" w:rsidP="00C20BC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6C400F" w:rsidTr="00C20BC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C400F" w:rsidRDefault="006C400F" w:rsidP="00C20BC1">
          <w:pPr>
            <w:pStyle w:val="Header"/>
            <w:spacing w:after="120"/>
          </w:pPr>
        </w:p>
      </w:tc>
      <w:tc>
        <w:tcPr>
          <w:tcW w:w="1872" w:type="dxa"/>
          <w:tcBorders>
            <w:bottom w:val="single" w:sz="4" w:space="0" w:color="auto"/>
          </w:tcBorders>
          <w:shd w:val="clear" w:color="auto" w:fill="auto"/>
          <w:vAlign w:val="bottom"/>
        </w:tcPr>
        <w:p w:rsidR="006C400F" w:rsidRPr="00C20BC1" w:rsidRDefault="006C400F" w:rsidP="00C20BC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6C400F" w:rsidRDefault="006C400F" w:rsidP="00C20BC1">
          <w:pPr>
            <w:pStyle w:val="Header"/>
            <w:spacing w:after="120"/>
          </w:pPr>
        </w:p>
      </w:tc>
      <w:tc>
        <w:tcPr>
          <w:tcW w:w="6523" w:type="dxa"/>
          <w:gridSpan w:val="3"/>
          <w:tcBorders>
            <w:bottom w:val="single" w:sz="4" w:space="0" w:color="auto"/>
          </w:tcBorders>
          <w:shd w:val="clear" w:color="auto" w:fill="auto"/>
          <w:vAlign w:val="bottom"/>
        </w:tcPr>
        <w:p w:rsidR="006C400F" w:rsidRPr="00C20BC1" w:rsidRDefault="006C400F" w:rsidP="00C20BC1">
          <w:pPr>
            <w:spacing w:after="80" w:line="240" w:lineRule="auto"/>
            <w:jc w:val="right"/>
            <w:rPr>
              <w:rFonts w:ascii="Times New Roman"/>
              <w:position w:val="-4"/>
            </w:rPr>
          </w:pPr>
          <w:r>
            <w:rPr>
              <w:rFonts w:ascii="Times New Roman"/>
              <w:position w:val="-4"/>
              <w:sz w:val="40"/>
            </w:rPr>
            <w:t>CEDAW</w:t>
          </w:r>
          <w:r>
            <w:rPr>
              <w:rFonts w:ascii="Times New Roman"/>
              <w:position w:val="-4"/>
            </w:rPr>
            <w:t>/C/AUL/CO/7</w:t>
          </w:r>
        </w:p>
      </w:tc>
    </w:tr>
    <w:tr w:rsidR="006C400F" w:rsidRPr="00C20BC1" w:rsidTr="00C20BC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C400F" w:rsidRDefault="006C400F" w:rsidP="00C20BC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6C400F" w:rsidRPr="00C20BC1" w:rsidRDefault="006C400F" w:rsidP="00C20BC1">
          <w:pPr>
            <w:pStyle w:val="Header"/>
            <w:spacing w:before="109"/>
            <w:ind w:left="-72"/>
          </w:pPr>
        </w:p>
      </w:tc>
      <w:tc>
        <w:tcPr>
          <w:tcW w:w="5227" w:type="dxa"/>
          <w:gridSpan w:val="3"/>
          <w:tcBorders>
            <w:top w:val="single" w:sz="4" w:space="0" w:color="auto"/>
            <w:bottom w:val="single" w:sz="12" w:space="0" w:color="auto"/>
          </w:tcBorders>
          <w:shd w:val="clear" w:color="auto" w:fill="auto"/>
        </w:tcPr>
        <w:p w:rsidR="006C400F" w:rsidRPr="00C20BC1" w:rsidRDefault="006C400F" w:rsidP="00C20BC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6C400F" w:rsidRPr="00C20BC1" w:rsidRDefault="006C400F" w:rsidP="00C20BC1">
          <w:pPr>
            <w:pStyle w:val="Header"/>
            <w:spacing w:before="109"/>
          </w:pPr>
        </w:p>
      </w:tc>
      <w:tc>
        <w:tcPr>
          <w:tcW w:w="3180" w:type="dxa"/>
          <w:gridSpan w:val="2"/>
          <w:tcBorders>
            <w:top w:val="single" w:sz="4" w:space="0" w:color="auto"/>
            <w:bottom w:val="single" w:sz="12" w:space="0" w:color="auto"/>
          </w:tcBorders>
          <w:shd w:val="clear" w:color="auto" w:fill="auto"/>
        </w:tcPr>
        <w:p w:rsidR="006C400F" w:rsidRDefault="006C400F" w:rsidP="00C20BC1">
          <w:pPr>
            <w:spacing w:before="240" w:line="240" w:lineRule="exact"/>
            <w:rPr>
              <w:rFonts w:ascii="Times New Roman"/>
            </w:rPr>
          </w:pPr>
          <w:r>
            <w:rPr>
              <w:rFonts w:ascii="Times New Roman"/>
            </w:rPr>
            <w:t>Distr.: General</w:t>
          </w:r>
        </w:p>
        <w:p w:rsidR="006C400F" w:rsidRDefault="006C400F" w:rsidP="00C20BC1">
          <w:pPr>
            <w:spacing w:line="240" w:lineRule="exact"/>
            <w:rPr>
              <w:rFonts w:ascii="Times New Roman"/>
            </w:rPr>
          </w:pPr>
          <w:r>
            <w:rPr>
              <w:rFonts w:ascii="Times New Roman"/>
            </w:rPr>
            <w:t>30 July 2010</w:t>
          </w:r>
        </w:p>
        <w:p w:rsidR="006C400F" w:rsidRDefault="006C400F" w:rsidP="00C20BC1">
          <w:pPr>
            <w:spacing w:line="240" w:lineRule="exact"/>
            <w:rPr>
              <w:rFonts w:ascii="Times New Roman"/>
            </w:rPr>
          </w:pPr>
          <w:r>
            <w:rPr>
              <w:rFonts w:ascii="Times New Roman"/>
            </w:rPr>
            <w:t>Chinese</w:t>
          </w:r>
        </w:p>
        <w:p w:rsidR="006C400F" w:rsidRPr="00C20BC1" w:rsidRDefault="006C400F" w:rsidP="00C20BC1">
          <w:pPr>
            <w:spacing w:line="240" w:lineRule="exact"/>
            <w:rPr>
              <w:rFonts w:ascii="Times New Roman"/>
            </w:rPr>
          </w:pPr>
          <w:r>
            <w:rPr>
              <w:rFonts w:ascii="Times New Roman"/>
            </w:rPr>
            <w:t>Original: English</w:t>
          </w:r>
        </w:p>
      </w:tc>
    </w:tr>
  </w:tbl>
  <w:p w:rsidR="006C400F" w:rsidRPr="00C20BC1" w:rsidRDefault="006C400F" w:rsidP="00C20BC1">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048547*"/>
    <w:docVar w:name="CreationDt" w:val="23/09/2010 09:36:39"/>
    <w:docVar w:name="DocCategory" w:val="Doc"/>
    <w:docVar w:name="DocType" w:val="Final"/>
    <w:docVar w:name="FooterJN" w:val="10-48547 (C)"/>
    <w:docVar w:name="jobn" w:val="10-48547 (C)"/>
    <w:docVar w:name="jobnDT" w:val="10-48547 (C)   230910"/>
    <w:docVar w:name="jobnDTDT" w:val="10-48547 (C)   230910   230910"/>
    <w:docVar w:name="JobNo" w:val="1048547C"/>
    <w:docVar w:name="OandT" w:val="Hao sl"/>
    <w:docVar w:name="sss1" w:val="CEDAW/C/AUL/CO/7"/>
    <w:docVar w:name="sss2" w:val="-"/>
    <w:docVar w:name="Symbol1" w:val="CEDAW/C/AUL/CO/7"/>
    <w:docVar w:name="Symbol2" w:val="-"/>
  </w:docVars>
  <w:rsids>
    <w:rsidRoot w:val="005D79F5"/>
    <w:rsid w:val="0000347C"/>
    <w:rsid w:val="000125BC"/>
    <w:rsid w:val="00021A2B"/>
    <w:rsid w:val="00037B39"/>
    <w:rsid w:val="00044CA4"/>
    <w:rsid w:val="00045EFE"/>
    <w:rsid w:val="0007337D"/>
    <w:rsid w:val="000758DF"/>
    <w:rsid w:val="00076EB8"/>
    <w:rsid w:val="00095C67"/>
    <w:rsid w:val="000A31F9"/>
    <w:rsid w:val="000C1786"/>
    <w:rsid w:val="000C4DDE"/>
    <w:rsid w:val="000E240F"/>
    <w:rsid w:val="000E49A4"/>
    <w:rsid w:val="000F1058"/>
    <w:rsid w:val="00101C4E"/>
    <w:rsid w:val="001113F8"/>
    <w:rsid w:val="001212F9"/>
    <w:rsid w:val="00121328"/>
    <w:rsid w:val="0012708E"/>
    <w:rsid w:val="001329F7"/>
    <w:rsid w:val="00141322"/>
    <w:rsid w:val="0015066B"/>
    <w:rsid w:val="00150D3A"/>
    <w:rsid w:val="00153D29"/>
    <w:rsid w:val="001557FF"/>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0B62"/>
    <w:rsid w:val="002D4ACE"/>
    <w:rsid w:val="002D5503"/>
    <w:rsid w:val="002E66D5"/>
    <w:rsid w:val="002F41E2"/>
    <w:rsid w:val="00320C99"/>
    <w:rsid w:val="003274A9"/>
    <w:rsid w:val="00331221"/>
    <w:rsid w:val="003649EE"/>
    <w:rsid w:val="00371BC6"/>
    <w:rsid w:val="00373A15"/>
    <w:rsid w:val="00383ACA"/>
    <w:rsid w:val="00394A02"/>
    <w:rsid w:val="003C7B20"/>
    <w:rsid w:val="003D075F"/>
    <w:rsid w:val="003E4565"/>
    <w:rsid w:val="003E748F"/>
    <w:rsid w:val="003E7612"/>
    <w:rsid w:val="00410C31"/>
    <w:rsid w:val="00414423"/>
    <w:rsid w:val="00417048"/>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7450D"/>
    <w:rsid w:val="0058302A"/>
    <w:rsid w:val="005B7338"/>
    <w:rsid w:val="005C02AB"/>
    <w:rsid w:val="005C5FC3"/>
    <w:rsid w:val="005D0F04"/>
    <w:rsid w:val="005D79F5"/>
    <w:rsid w:val="005F12F0"/>
    <w:rsid w:val="005F3273"/>
    <w:rsid w:val="005F34A3"/>
    <w:rsid w:val="005F6E43"/>
    <w:rsid w:val="00610CF2"/>
    <w:rsid w:val="006328DE"/>
    <w:rsid w:val="006353DE"/>
    <w:rsid w:val="006479F1"/>
    <w:rsid w:val="00650BEE"/>
    <w:rsid w:val="006520FA"/>
    <w:rsid w:val="0065377D"/>
    <w:rsid w:val="00666F57"/>
    <w:rsid w:val="006740A7"/>
    <w:rsid w:val="006767D5"/>
    <w:rsid w:val="00691524"/>
    <w:rsid w:val="006A654B"/>
    <w:rsid w:val="006C400F"/>
    <w:rsid w:val="006E2924"/>
    <w:rsid w:val="006E7A26"/>
    <w:rsid w:val="006F2B3D"/>
    <w:rsid w:val="007052CC"/>
    <w:rsid w:val="00731841"/>
    <w:rsid w:val="007319E0"/>
    <w:rsid w:val="007345AA"/>
    <w:rsid w:val="00737B00"/>
    <w:rsid w:val="0075155C"/>
    <w:rsid w:val="00753A05"/>
    <w:rsid w:val="00757193"/>
    <w:rsid w:val="00761190"/>
    <w:rsid w:val="00776537"/>
    <w:rsid w:val="00783A25"/>
    <w:rsid w:val="007877F4"/>
    <w:rsid w:val="007A5F57"/>
    <w:rsid w:val="007C74B9"/>
    <w:rsid w:val="007E1B5E"/>
    <w:rsid w:val="007E6253"/>
    <w:rsid w:val="007F2278"/>
    <w:rsid w:val="00803014"/>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132"/>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C3175"/>
    <w:rsid w:val="00AD4308"/>
    <w:rsid w:val="00AF2A33"/>
    <w:rsid w:val="00B309DD"/>
    <w:rsid w:val="00B36621"/>
    <w:rsid w:val="00B36D64"/>
    <w:rsid w:val="00B41B48"/>
    <w:rsid w:val="00B56194"/>
    <w:rsid w:val="00B60F41"/>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0BC1"/>
    <w:rsid w:val="00C2725D"/>
    <w:rsid w:val="00C42033"/>
    <w:rsid w:val="00C464DD"/>
    <w:rsid w:val="00C62EF9"/>
    <w:rsid w:val="00C76854"/>
    <w:rsid w:val="00C92AE0"/>
    <w:rsid w:val="00CA450F"/>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A51B2"/>
    <w:rsid w:val="00DB0932"/>
    <w:rsid w:val="00DC2506"/>
    <w:rsid w:val="00DC49FA"/>
    <w:rsid w:val="00DD3D6B"/>
    <w:rsid w:val="00DD4467"/>
    <w:rsid w:val="00DD515B"/>
    <w:rsid w:val="00DD61C8"/>
    <w:rsid w:val="00DD772B"/>
    <w:rsid w:val="00E041F4"/>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55E5B"/>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96</TotalTime>
  <Pages>1</Pages>
  <Words>3888</Words>
  <Characters>4045</Characters>
  <Application>Microsoft Office Outlook</Application>
  <DocSecurity>4</DocSecurity>
  <Lines>144</Lines>
  <Paragraphs>80</Paragraphs>
  <ScaleCrop>false</ScaleCrop>
  <Company>United Nations</Company>
  <LinksUpToDate>false</LinksUpToDate>
  <CharactersWithSpaces>7853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10</cp:revision>
  <cp:lastPrinted>2010-09-23T08:51:00Z</cp:lastPrinted>
  <dcterms:created xsi:type="dcterms:W3CDTF">2010-09-23T08:35:00Z</dcterms:created>
  <dcterms:modified xsi:type="dcterms:W3CDTF">2010-09-23T10:17:00Z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1048547</vt:lpwstr>
  </property>
  <property fmtid="{D5CDD505-2E9C-101B-9397-08002B2CF9AE}" pid="3" name="Symbol1">
    <vt:lpwstr>CEDAW/C/AUL/CO/7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Hao sl</vt:lpwstr>
  </property>
</Properties>
</file>