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Bdr>
          <w:bottom w:val="single" w:sz="8" w:space="1" w:color="auto"/>
        </w:pBdr>
        <w:tabs>
          <w:tab w:val="left" w:pos="1418"/>
          <w:tab w:val="right" w:pos="9639"/>
        </w:tabs>
        <w:rPr>
          <w:rFonts w:ascii="Arial" w:hAnsi="Arial"/>
        </w:rPr>
      </w:pP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MEX/5</w:t>
      </w:r>
    </w:p>
    <w:p w:rsidR="00000000" w:rsidRDefault="00000000">
      <w:pPr>
        <w:pStyle w:val="Heading1"/>
        <w:spacing w:after="0"/>
        <w:ind w:left="1304"/>
        <w:jc w:val="left"/>
        <w:rPr>
          <w:rFonts w:ascii="Arial" w:hAnsi="Arial"/>
          <w:sz w:val="28"/>
        </w:rPr>
      </w:pPr>
      <w:r>
        <w:rPr>
          <w:rFonts w:ascii="Arial" w:hAnsi="Arial"/>
          <w:caps/>
          <w:noProof/>
          <w:sz w:val="28"/>
        </w:rPr>
        <w:pict>
          <v:shapetype id="_x0000_t202" coordsize="21600,21600" o:spt="202" path="m,l,21600r21600,l21600,xe">
            <v:stroke joinstyle="miter"/>
            <v:path gradientshapeok="t" o:connecttype="rect"/>
          </v:shapetype>
          <v:shape id="_x0000_s1027" type="#_x0000_t202" style="position:absolute;left:0;text-align:left;margin-left:345.5pt;margin-top:2.6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pPr>
                  <w:r>
                    <w:rPr>
                      <w:lang w:val="en-US"/>
                    </w:rPr>
                    <w:t>Distr.: General</w:t>
                  </w:r>
                </w:p>
                <w:p w:rsidR="00000000" w:rsidRDefault="00000000">
                  <w:pPr>
                    <w:spacing w:after="0"/>
                    <w:rPr>
                      <w:lang w:val="en-US"/>
                    </w:rPr>
                  </w:pPr>
                  <w:r>
                    <w:rPr>
                      <w:lang w:val="en-US"/>
                    </w:rPr>
                    <w:t>1 December 2000</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Spanish</w:t>
                  </w:r>
                </w:p>
              </w:txbxContent>
            </v:textbox>
          </v:shape>
        </w:pict>
      </w:r>
      <w:r>
        <w:rPr>
          <w:rFonts w:ascii="Arial" w:hAnsi="Arial"/>
          <w:caps/>
          <w:noProof/>
          <w:sz w:val="28"/>
        </w:rPr>
        <w:pict>
          <v:shape id="_x0000_s1026" type="#_x0000_t202" style="position:absolute;left:0;text-align:left;margin-left:67.45pt;margin-top:3.25pt;width:48.95pt;height:41.85pt;z-index:1;mso-position-horizontal:absolute;mso-position-horizontal-relative:page;mso-position-vertical:absolute;mso-position-vertical-relative:text" o:allowincell="f" strokecolor="white">
            <v:textbox style="mso-next-textbox:#_x0000_s1026" inset="0,0,0,0">
              <w:txbxContent>
                <w:bookmarkStart w:id="0" w:name="_MON_979384112"/>
                <w:bookmarkStart w:id="1" w:name="_MON_1028637953"/>
                <w:bookmarkStart w:id="2" w:name="_MON_1028638124"/>
                <w:bookmarkStart w:id="3" w:name="_MON_1028715977"/>
                <w:bookmarkStart w:id="4" w:name="_MON_1049095268"/>
                <w:bookmarkEnd w:id="0"/>
                <w:bookmarkEnd w:id="1"/>
                <w:bookmarkEnd w:id="2"/>
                <w:bookmarkEnd w:id="3"/>
                <w:bookmarkEnd w:id="4"/>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48.75pt;height:41.25pt" o:ole="" fillcolor="window">
                        <v:imagedata r:id="rId7" o:title=""/>
                      </v:shape>
                      <o:OLEObject Type="Embed" ProgID="Word.Picture.8" ShapeID="_x0000_i1037" DrawAspect="Content" ObjectID="_1395244975" r:id="rId8"/>
                    </w:object>
                  </w:r>
                </w:p>
              </w:txbxContent>
            </v:textbox>
            <w10:wrap anchorx="page"/>
          </v:shape>
        </w:pict>
      </w:r>
      <w:r>
        <w:rPr>
          <w:rFonts w:ascii="Arial" w:hAnsi="Arial"/>
          <w:sz w:val="28"/>
        </w:rPr>
        <w:t>Конвенция о ликвидации</w:t>
      </w:r>
      <w:r>
        <w:rPr>
          <w:rFonts w:ascii="Arial" w:hAnsi="Arial"/>
          <w:sz w:val="28"/>
          <w:lang w:val="en-US"/>
        </w:rPr>
        <w:br/>
      </w:r>
      <w:r>
        <w:rPr>
          <w:rFonts w:ascii="Arial" w:hAnsi="Arial"/>
          <w:sz w:val="28"/>
        </w:rPr>
        <w:t>всех форм дискриминации</w:t>
      </w:r>
      <w:r>
        <w:rPr>
          <w:rFonts w:ascii="Arial" w:hAnsi="Arial"/>
          <w:sz w:val="28"/>
          <w:lang w:val="en-US"/>
        </w:rPr>
        <w:br/>
      </w:r>
      <w:r>
        <w:rPr>
          <w:rFonts w:ascii="Arial" w:hAnsi="Arial"/>
          <w:sz w:val="28"/>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r>
        <w:rPr>
          <w:rStyle w:val="CommentReference"/>
          <w:vanish/>
        </w:rPr>
        <w:commentReference w:id="5"/>
      </w:r>
    </w:p>
    <w:p w:rsidR="00000000" w:rsidRDefault="00000000">
      <w:pPr>
        <w:spacing w:after="1080"/>
        <w:rPr>
          <w:sz w:val="24"/>
          <w:lang w:val="en-US"/>
        </w:rPr>
      </w:pPr>
      <w:r>
        <w:rPr>
          <w:sz w:val="24"/>
        </w:rPr>
        <w:t xml:space="preserve">Комитет по ликвидации дискриминации </w:t>
      </w:r>
      <w:r>
        <w:rPr>
          <w:sz w:val="24"/>
        </w:rPr>
        <w:br/>
        <w:t>в отношении женщин</w:t>
      </w:r>
    </w:p>
    <w:p w:rsidR="00000000" w:rsidRDefault="00000000">
      <w:pPr>
        <w:spacing w:after="680"/>
        <w:jc w:val="center"/>
        <w:rPr>
          <w:sz w:val="28"/>
        </w:rPr>
      </w:pPr>
      <w:r>
        <w:rPr>
          <w:sz w:val="28"/>
        </w:rPr>
        <w:t>Рассмотрение докладов, представленных государствами</w:t>
      </w:r>
      <w:r>
        <w:rPr>
          <w:sz w:val="28"/>
          <w:lang w:val="en-US"/>
        </w:rPr>
        <w:t>-</w:t>
      </w:r>
      <w:r>
        <w:rPr>
          <w:sz w:val="28"/>
        </w:rPr>
        <w:t xml:space="preserve">участниками </w:t>
      </w:r>
      <w:r>
        <w:rPr>
          <w:sz w:val="28"/>
          <w:lang w:val="en-US"/>
        </w:rPr>
        <w:br/>
      </w:r>
      <w:r>
        <w:rPr>
          <w:sz w:val="28"/>
        </w:rPr>
        <w:t>в соответствии со статьей 18 Конвенции о ликвид</w:t>
      </w:r>
      <w:r>
        <w:rPr>
          <w:sz w:val="28"/>
        </w:rPr>
        <w:t>а</w:t>
      </w:r>
      <w:r>
        <w:rPr>
          <w:sz w:val="28"/>
        </w:rPr>
        <w:t xml:space="preserve">ции </w:t>
      </w:r>
      <w:r>
        <w:rPr>
          <w:sz w:val="28"/>
          <w:lang w:val="en-US"/>
        </w:rPr>
        <w:br/>
      </w:r>
      <w:r>
        <w:rPr>
          <w:sz w:val="28"/>
        </w:rPr>
        <w:t>всех форм дискриминации в отношении женщин</w:t>
      </w:r>
    </w:p>
    <w:p w:rsidR="00000000" w:rsidRDefault="00000000">
      <w:pPr>
        <w:spacing w:after="480"/>
        <w:jc w:val="center"/>
        <w:rPr>
          <w:sz w:val="22"/>
          <w:u w:val="single"/>
        </w:rPr>
      </w:pPr>
      <w:r>
        <w:rPr>
          <w:sz w:val="22"/>
          <w:u w:val="single"/>
        </w:rPr>
        <w:t>Пятые периодические доклады государств-участников</w:t>
      </w:r>
    </w:p>
    <w:p w:rsidR="00000000" w:rsidRDefault="00000000">
      <w:pPr>
        <w:jc w:val="center"/>
        <w:rPr>
          <w:b/>
          <w:sz w:val="28"/>
        </w:rPr>
      </w:pPr>
      <w:r>
        <w:rPr>
          <w:b/>
          <w:sz w:val="28"/>
        </w:rPr>
        <w:t>Мексика</w:t>
      </w:r>
      <w:r>
        <w:rPr>
          <w:rStyle w:val="FootnoteReference"/>
          <w:b/>
          <w:sz w:val="28"/>
        </w:rPr>
        <w:footnoteReference w:customMarkFollows="1" w:id="1"/>
        <w:sym w:font="Symbol" w:char="F02A"/>
      </w:r>
    </w:p>
    <w:p w:rsidR="00000000" w:rsidRDefault="00000000"/>
    <w:p w:rsidR="00000000" w:rsidRDefault="00000000"/>
    <w:p w:rsidR="00000000" w:rsidRDefault="00000000"/>
    <w:p w:rsidR="00000000" w:rsidRDefault="00000000">
      <w:pPr>
        <w:sectPr w:rsidR="00000000">
          <w:headerReference w:type="even" r:id="rId10"/>
          <w:headerReference w:type="default" r:id="rId11"/>
          <w:footerReference w:type="even" r:id="rId12"/>
          <w:footerReference w:type="default" r:id="rId13"/>
          <w:footnotePr>
            <w:numStart w:val="4"/>
          </w:footnotePr>
          <w:pgSz w:w="12242" w:h="15842" w:code="1"/>
          <w:pgMar w:top="1247" w:right="1298" w:bottom="1531" w:left="1298" w:header="720" w:footer="851" w:gutter="0"/>
          <w:cols w:space="720"/>
        </w:sectPr>
      </w:pPr>
    </w:p>
    <w:p w:rsidR="00000000" w:rsidRDefault="00000000">
      <w:pPr>
        <w:jc w:val="center"/>
        <w:rPr>
          <w:b/>
        </w:rPr>
      </w:pPr>
    </w:p>
    <w:p w:rsidR="00000000" w:rsidRDefault="00000000">
      <w:pPr>
        <w:jc w:val="center"/>
        <w:rPr>
          <w:b/>
        </w:rPr>
      </w:pPr>
    </w:p>
    <w:p w:rsidR="00000000" w:rsidRDefault="00000000">
      <w:pPr>
        <w:pStyle w:val="Heading9"/>
        <w:rPr>
          <w:sz w:val="24"/>
        </w:rPr>
      </w:pPr>
      <w:r>
        <w:rPr>
          <w:sz w:val="24"/>
        </w:rPr>
        <w:t>Содержание</w:t>
      </w:r>
    </w:p>
    <w:p w:rsidR="00000000" w:rsidRDefault="00000000">
      <w:pPr>
        <w:jc w:val="center"/>
        <w:rPr>
          <w:b/>
        </w:rPr>
      </w:pPr>
    </w:p>
    <w:p w:rsidR="00000000" w:rsidRDefault="00000000">
      <w:pPr>
        <w:jc w:val="right"/>
        <w:rPr>
          <w:i/>
        </w:rPr>
      </w:pPr>
      <w:r>
        <w:rPr>
          <w:i/>
        </w:rPr>
        <w:t>Стр.</w:t>
      </w:r>
    </w:p>
    <w:p w:rsidR="00000000" w:rsidRDefault="00000000">
      <w:pPr>
        <w:tabs>
          <w:tab w:val="clear" w:pos="567"/>
          <w:tab w:val="clear" w:pos="1021"/>
          <w:tab w:val="left" w:leader="dot" w:pos="9072"/>
          <w:tab w:val="right" w:pos="9639"/>
        </w:tabs>
        <w:ind w:right="567"/>
        <w:rPr>
          <w:b/>
        </w:rPr>
      </w:pPr>
      <w:r>
        <w:rPr>
          <w:b/>
        </w:rPr>
        <w:t>Введение</w:t>
      </w:r>
      <w:r>
        <w:tab/>
      </w:r>
      <w:r>
        <w:tab/>
        <w:t>3</w:t>
      </w:r>
    </w:p>
    <w:p w:rsidR="00000000" w:rsidRDefault="00000000">
      <w:pPr>
        <w:tabs>
          <w:tab w:val="clear" w:pos="567"/>
          <w:tab w:val="clear" w:pos="1021"/>
          <w:tab w:val="left" w:leader="dot" w:pos="9072"/>
          <w:tab w:val="right" w:pos="9639"/>
        </w:tabs>
        <w:ind w:right="567"/>
        <w:rPr>
          <w:b/>
        </w:rPr>
      </w:pPr>
      <w:r>
        <w:rPr>
          <w:b/>
        </w:rPr>
        <w:t>Общая демографическая информация</w:t>
      </w:r>
      <w:r>
        <w:tab/>
      </w:r>
      <w:r>
        <w:tab/>
        <w:t>4</w:t>
      </w:r>
    </w:p>
    <w:p w:rsidR="00000000" w:rsidRDefault="00000000">
      <w:pPr>
        <w:tabs>
          <w:tab w:val="clear" w:pos="567"/>
          <w:tab w:val="clear" w:pos="1021"/>
          <w:tab w:val="left" w:leader="dot" w:pos="9072"/>
          <w:tab w:val="right" w:pos="9639"/>
        </w:tabs>
        <w:ind w:right="567"/>
      </w:pPr>
      <w:r>
        <w:rPr>
          <w:b/>
        </w:rPr>
        <w:t xml:space="preserve">Часть </w:t>
      </w:r>
      <w:r>
        <w:rPr>
          <w:b/>
          <w:lang w:val="es-ES"/>
        </w:rPr>
        <w:t>I</w:t>
      </w:r>
      <w:r>
        <w:rPr>
          <w:b/>
          <w:lang w:val="es-ES"/>
        </w:rPr>
        <w:tab/>
      </w:r>
      <w:r>
        <w:rPr>
          <w:lang w:val="es-ES"/>
        </w:rPr>
        <w:tab/>
      </w:r>
      <w:r>
        <w:rPr>
          <w:lang w:val="es-ES"/>
        </w:rPr>
        <w:tab/>
        <w:t>5</w:t>
      </w:r>
    </w:p>
    <w:p w:rsidR="00000000" w:rsidRDefault="00000000">
      <w:pPr>
        <w:tabs>
          <w:tab w:val="clear" w:pos="567"/>
          <w:tab w:val="clear" w:pos="1021"/>
          <w:tab w:val="left" w:leader="dot" w:pos="9072"/>
          <w:tab w:val="right" w:pos="9639"/>
        </w:tabs>
        <w:ind w:left="680" w:right="567" w:hanging="680"/>
      </w:pPr>
      <w:r>
        <w:tab/>
        <w:t>Меры, принятые правительством Мексики в соответствии с рекомендациями</w:t>
      </w:r>
      <w:r>
        <w:rPr>
          <w:color w:val="FF0000"/>
        </w:rPr>
        <w:t xml:space="preserve"> </w:t>
      </w:r>
      <w:r>
        <w:t>Ком</w:t>
      </w:r>
      <w:r>
        <w:t>и</w:t>
      </w:r>
      <w:r>
        <w:t>тета по ликвидации дискриминации в отношении женщин по третьему и четвертому объединенному докладу Мексики</w:t>
      </w:r>
    </w:p>
    <w:p w:rsidR="00000000" w:rsidRDefault="00000000">
      <w:pPr>
        <w:pStyle w:val="Heading7"/>
        <w:tabs>
          <w:tab w:val="clear" w:pos="567"/>
          <w:tab w:val="clear" w:pos="1021"/>
          <w:tab w:val="left" w:leader="dot" w:pos="9072"/>
          <w:tab w:val="right" w:pos="9639"/>
        </w:tabs>
        <w:ind w:right="567"/>
      </w:pPr>
      <w:r>
        <w:t>Часть II</w:t>
      </w:r>
      <w:r>
        <w:rPr>
          <w:b w:val="0"/>
        </w:rPr>
        <w:tab/>
      </w:r>
      <w:r>
        <w:rPr>
          <w:b w:val="0"/>
        </w:rPr>
        <w:tab/>
        <w:t>29</w:t>
      </w:r>
    </w:p>
    <w:p w:rsidR="00000000" w:rsidRDefault="00000000">
      <w:pPr>
        <w:tabs>
          <w:tab w:val="clear" w:pos="567"/>
          <w:tab w:val="clear" w:pos="1021"/>
          <w:tab w:val="left" w:leader="dot" w:pos="9072"/>
          <w:tab w:val="right" w:pos="9639"/>
        </w:tabs>
        <w:ind w:left="680" w:right="567" w:hanging="680"/>
      </w:pPr>
      <w:r>
        <w:tab/>
        <w:t>Принятые меры и успехи, достигнутые в период с февраля 1998 года по октябрь 2000 года, в области применения в Мексике шестнадцати статей Конвенции о л</w:t>
      </w:r>
      <w:r>
        <w:t>и</w:t>
      </w:r>
      <w:r>
        <w:t>квидации всех форм дискриминации в отношении</w:t>
      </w:r>
      <w:r>
        <w:rPr>
          <w:color w:val="FF0000"/>
        </w:rPr>
        <w:t xml:space="preserve"> </w:t>
      </w:r>
      <w:r>
        <w:t>женщин</w:t>
      </w:r>
    </w:p>
    <w:p w:rsidR="00000000" w:rsidRDefault="00000000">
      <w:pPr>
        <w:pStyle w:val="Heading7"/>
        <w:tabs>
          <w:tab w:val="clear" w:pos="567"/>
          <w:tab w:val="clear" w:pos="1021"/>
          <w:tab w:val="left" w:leader="dot" w:pos="9072"/>
          <w:tab w:val="right" w:pos="9639"/>
        </w:tabs>
        <w:ind w:right="567"/>
      </w:pPr>
      <w:r>
        <w:t>Часть III</w:t>
      </w:r>
      <w:r>
        <w:rPr>
          <w:b w:val="0"/>
        </w:rPr>
        <w:tab/>
      </w:r>
      <w:r>
        <w:rPr>
          <w:b w:val="0"/>
        </w:rPr>
        <w:tab/>
        <w:t>142</w:t>
      </w:r>
    </w:p>
    <w:p w:rsidR="00000000" w:rsidRDefault="00000000">
      <w:pPr>
        <w:tabs>
          <w:tab w:val="clear" w:pos="567"/>
          <w:tab w:val="clear" w:pos="1021"/>
          <w:tab w:val="left" w:leader="dot" w:pos="9072"/>
          <w:tab w:val="right" w:pos="9639"/>
        </w:tabs>
        <w:ind w:left="680" w:right="567" w:hanging="680"/>
      </w:pPr>
      <w:r>
        <w:tab/>
        <w:t>Реализация в Мексике Платформы действий, принятой на четвертой Всемирной конф</w:t>
      </w:r>
      <w:r>
        <w:t>е</w:t>
      </w:r>
      <w:r>
        <w:t>ренции по положению женщин, и рекомендации по применению Конвенции, внесенные государственными учреждениями и общественными о</w:t>
      </w:r>
      <w:r>
        <w:t>р</w:t>
      </w:r>
      <w:r>
        <w:t>ганизациями</w:t>
      </w:r>
    </w:p>
    <w:p w:rsidR="00000000" w:rsidRDefault="00000000">
      <w:pPr>
        <w:pStyle w:val="Heading7"/>
        <w:tabs>
          <w:tab w:val="clear" w:pos="567"/>
          <w:tab w:val="clear" w:pos="1021"/>
          <w:tab w:val="left" w:leader="dot" w:pos="9072"/>
          <w:tab w:val="right" w:pos="9639"/>
        </w:tabs>
        <w:ind w:right="567"/>
      </w:pPr>
      <w:r>
        <w:t>Приложение</w:t>
      </w:r>
      <w:r>
        <w:rPr>
          <w:b w:val="0"/>
        </w:rPr>
        <w:tab/>
      </w:r>
      <w:r>
        <w:rPr>
          <w:b w:val="0"/>
        </w:rPr>
        <w:tab/>
        <w:t>159</w:t>
      </w:r>
    </w:p>
    <w:p w:rsidR="00000000" w:rsidRDefault="00000000">
      <w:pPr>
        <w:tabs>
          <w:tab w:val="clear" w:pos="567"/>
          <w:tab w:val="clear" w:pos="1021"/>
          <w:tab w:val="left" w:leader="dot" w:pos="9072"/>
          <w:tab w:val="right" w:pos="9639"/>
        </w:tabs>
        <w:ind w:left="680" w:right="567" w:hanging="680"/>
      </w:pPr>
      <w:r>
        <w:tab/>
        <w:t>Миграция женщин в Соединенные Штаты Америки, 1998–2000 годы</w:t>
      </w:r>
    </w:p>
    <w:p w:rsidR="00000000" w:rsidRDefault="00000000">
      <w:pPr>
        <w:pStyle w:val="Heading1"/>
      </w:pPr>
      <w:r>
        <w:br w:type="page"/>
        <w:t>Введение</w:t>
      </w:r>
    </w:p>
    <w:p w:rsidR="00000000" w:rsidRDefault="00000000">
      <w:pPr>
        <w:tabs>
          <w:tab w:val="clear" w:pos="680"/>
          <w:tab w:val="clear" w:pos="1021"/>
          <w:tab w:val="left" w:pos="454"/>
        </w:tabs>
        <w:spacing w:after="160"/>
      </w:pPr>
      <w:r>
        <w:t>1.</w:t>
      </w:r>
      <w:r>
        <w:tab/>
        <w:t>Мексика ратифицировала Конвенцию о ликвидации всех форм дискриминации в отношении женщин в 1981 году, и в том же году Конвенция вступила в силу.</w:t>
      </w:r>
    </w:p>
    <w:p w:rsidR="00000000" w:rsidRDefault="00000000">
      <w:pPr>
        <w:tabs>
          <w:tab w:val="clear" w:pos="680"/>
          <w:tab w:val="clear" w:pos="1021"/>
          <w:tab w:val="left" w:pos="454"/>
        </w:tabs>
        <w:spacing w:after="160"/>
      </w:pPr>
      <w:r>
        <w:t>2.</w:t>
      </w:r>
      <w:r>
        <w:tab/>
        <w:t>В соответствии с положениями статьи 18 Конвенции в сентя</w:t>
      </w:r>
      <w:r>
        <w:t>б</w:t>
      </w:r>
      <w:r>
        <w:t>ре 1982 года Мексика представила свой первый доклад, который был рассмотрен в 1983 году. Второй доклад рассматр</w:t>
      </w:r>
      <w:r>
        <w:t>и</w:t>
      </w:r>
      <w:r>
        <w:t>вался в 1990 году, а третий был представлен на обсуждение в Комитет экспертов в 1993 году. Однако в последующие два года Комитет не смог рассмотреть этот доклад и обратился к Ме</w:t>
      </w:r>
      <w:r>
        <w:t>к</w:t>
      </w:r>
      <w:r>
        <w:t>сике с просьбой объединить его с четвертым докладом. Таким образом, в 1997 году Мексика представ</w:t>
      </w:r>
      <w:r>
        <w:t>и</w:t>
      </w:r>
      <w:r>
        <w:t>ла текст третьего и четвертого объединенного периодического доклада и давала ответы по н</w:t>
      </w:r>
      <w:r>
        <w:t>е</w:t>
      </w:r>
      <w:r>
        <w:t>му 30 января 1998 года.</w:t>
      </w:r>
    </w:p>
    <w:p w:rsidR="00000000" w:rsidRDefault="00000000">
      <w:pPr>
        <w:tabs>
          <w:tab w:val="clear" w:pos="680"/>
          <w:tab w:val="clear" w:pos="1021"/>
          <w:tab w:val="left" w:pos="454"/>
        </w:tabs>
        <w:spacing w:after="160"/>
      </w:pPr>
      <w:r>
        <w:t>3.</w:t>
      </w:r>
      <w:r>
        <w:tab/>
        <w:t>Согласно периодичности, установленной в Конвенции, пятый период</w:t>
      </w:r>
      <w:r>
        <w:t>и</w:t>
      </w:r>
      <w:r>
        <w:t>ческий доклад должен был быть передан Генеральному секретарю Организации Объ</w:t>
      </w:r>
      <w:r>
        <w:t>е</w:t>
      </w:r>
      <w:r>
        <w:t>диненных Наций в сентябре 1998 года. Но, поскольку прошло совсем немного времени с момента представления объединенного доклада и Мексике предстояло также подгот</w:t>
      </w:r>
      <w:r>
        <w:t>о</w:t>
      </w:r>
      <w:r>
        <w:t>вить отчет о ходе выполнения положений Пекинской декларации и Платформы действий, пр</w:t>
      </w:r>
      <w:r>
        <w:t>и</w:t>
      </w:r>
      <w:r>
        <w:t>нятых на четвертой Всемирной конференции по положению женщин в 1995 году, правител</w:t>
      </w:r>
      <w:r>
        <w:t>ь</w:t>
      </w:r>
      <w:r>
        <w:t>ство Мексики сочло целесообразным вначале закончить отчет, с тем чтобы при подг</w:t>
      </w:r>
      <w:r>
        <w:t>о</w:t>
      </w:r>
      <w:r>
        <w:t>товке доклада иметь возможность собрать более обширные, достоверные и подробные данные о действующих программах и принимаемых мерах по выполнению положений Конве</w:t>
      </w:r>
      <w:r>
        <w:t>н</w:t>
      </w:r>
      <w:r>
        <w:t>ции.</w:t>
      </w:r>
    </w:p>
    <w:p w:rsidR="00000000" w:rsidRDefault="00000000">
      <w:pPr>
        <w:tabs>
          <w:tab w:val="clear" w:pos="680"/>
          <w:tab w:val="clear" w:pos="1021"/>
          <w:tab w:val="left" w:pos="454"/>
        </w:tabs>
        <w:spacing w:after="160"/>
      </w:pPr>
      <w:r>
        <w:t>4.</w:t>
      </w:r>
      <w:r>
        <w:tab/>
        <w:t>В связи с этим представляемый пятый периодический доклад Мексики об осуществлении Конвенции о ликвидации всех форм дискриминации в отношении женщин охват</w:t>
      </w:r>
      <w:r>
        <w:t>ы</w:t>
      </w:r>
      <w:r>
        <w:t>вает отчетный период с февраля 1998 по октябрь 2000 года. Он был подготовлен Министерством иностранных дел и Координацио</w:t>
      </w:r>
      <w:r>
        <w:t>н</w:t>
      </w:r>
      <w:r>
        <w:t>ным комитетом Национальной комиссии по делам женщин на основе информации, предоставленной различными государственными учре</w:t>
      </w:r>
      <w:r>
        <w:t>ж</w:t>
      </w:r>
      <w:r>
        <w:t>дениями для подготовки пятого доклада или докладов о ходе выполнения Национальной программы по улучшению положения женщин. Предварительный</w:t>
      </w:r>
      <w:r>
        <w:rPr>
          <w:color w:val="FF0000"/>
        </w:rPr>
        <w:t xml:space="preserve"> </w:t>
      </w:r>
      <w:r>
        <w:t>вариант текста до</w:t>
      </w:r>
      <w:r>
        <w:t>к</w:t>
      </w:r>
      <w:r>
        <w:t>лада был рассмотрен несколькими неправительственными организациями. Они представили свои замечания и комментарии, которые были внесены в текст доклада, а некоторые из них вошли в часть III настоящего доклада.</w:t>
      </w:r>
    </w:p>
    <w:p w:rsidR="00000000" w:rsidRDefault="00000000">
      <w:pPr>
        <w:tabs>
          <w:tab w:val="clear" w:pos="680"/>
          <w:tab w:val="clear" w:pos="1021"/>
          <w:tab w:val="left" w:pos="454"/>
        </w:tabs>
        <w:spacing w:after="160"/>
      </w:pPr>
      <w:r>
        <w:t>5.</w:t>
      </w:r>
      <w:r>
        <w:tab/>
        <w:t>Пятый периодический доклад Мексики о ходе осуществления положений Конвенции о л</w:t>
      </w:r>
      <w:r>
        <w:t>и</w:t>
      </w:r>
      <w:r>
        <w:t>квидации всех форм дискриминации в отношении женщин включает как данные о программах и мерах, принятых правительством Мексики, так и сведения о совместных пр</w:t>
      </w:r>
      <w:r>
        <w:t>о</w:t>
      </w:r>
      <w:r>
        <w:t>граммах действий государственных учреждений и неправительственных организаций, ре</w:t>
      </w:r>
      <w:r>
        <w:t>а</w:t>
      </w:r>
      <w:r>
        <w:t>лизуемых в рамках Национальной программы по улучшению положения женщин на пер</w:t>
      </w:r>
      <w:r>
        <w:t>и</w:t>
      </w:r>
      <w:r>
        <w:t>од 1995–2000 годов. Доклад содержит также сведения о программах действий и мерах, проводимых мексиканскими неправительственными организациями самостоятел</w:t>
      </w:r>
      <w:r>
        <w:t>ь</w:t>
      </w:r>
      <w:r>
        <w:t>но.</w:t>
      </w:r>
    </w:p>
    <w:p w:rsidR="00000000" w:rsidRDefault="00000000">
      <w:pPr>
        <w:tabs>
          <w:tab w:val="clear" w:pos="680"/>
          <w:tab w:val="clear" w:pos="1021"/>
          <w:tab w:val="left" w:pos="454"/>
        </w:tabs>
        <w:spacing w:after="160"/>
      </w:pPr>
      <w:r>
        <w:t>6.</w:t>
      </w:r>
      <w:r>
        <w:tab/>
        <w:t>Представляемый пятый периодический доклад Мексики</w:t>
      </w:r>
      <w:r>
        <w:rPr>
          <w:color w:val="FF0000"/>
        </w:rPr>
        <w:t xml:space="preserve"> </w:t>
      </w:r>
      <w:r>
        <w:t xml:space="preserve">состоит из трех частей. В части </w:t>
      </w:r>
      <w:r>
        <w:rPr>
          <w:lang w:val="es-ES"/>
        </w:rPr>
        <w:t>I</w:t>
      </w:r>
      <w:r>
        <w:t xml:space="preserve"> представлена информация о мерах, которые были приняты правительством Мексики в соответс</w:t>
      </w:r>
      <w:r>
        <w:t>т</w:t>
      </w:r>
      <w:r>
        <w:t>вии с рекомендациями Комитета по ликвидации дискриминации в отношении женщин по трет</w:t>
      </w:r>
      <w:r>
        <w:t>ь</w:t>
      </w:r>
      <w:r>
        <w:t>ему и четвертому объединенному периодическому докладу Мексики, содержащимися в док</w:t>
      </w:r>
      <w:r>
        <w:t>у</w:t>
      </w:r>
      <w:r>
        <w:t>менте А/53/38/</w:t>
      </w:r>
      <w:r>
        <w:rPr>
          <w:lang w:val="es-ES"/>
        </w:rPr>
        <w:t>Rev.1</w:t>
      </w:r>
      <w:r>
        <w:t>. В каждом случае приводится ссылка на рекомендации или предложения Комитета с указанием номера соответствующего пункта вышеупомянут</w:t>
      </w:r>
      <w:r>
        <w:t>о</w:t>
      </w:r>
      <w:r>
        <w:t>го документа.</w:t>
      </w:r>
    </w:p>
    <w:p w:rsidR="00000000" w:rsidRDefault="00000000">
      <w:pPr>
        <w:tabs>
          <w:tab w:val="clear" w:pos="680"/>
          <w:tab w:val="clear" w:pos="1021"/>
          <w:tab w:val="left" w:pos="454"/>
        </w:tabs>
        <w:spacing w:after="160"/>
      </w:pPr>
      <w:r>
        <w:t>7.</w:t>
      </w:r>
      <w:r>
        <w:tab/>
        <w:t xml:space="preserve">В части </w:t>
      </w:r>
      <w:r>
        <w:rPr>
          <w:lang w:val="es-ES"/>
        </w:rPr>
        <w:t>II</w:t>
      </w:r>
      <w:r>
        <w:t xml:space="preserve"> содержится информация о принятых мерах и успехах, достигнутых  в период между февралем 1998 и октябрем 2000 года, в применении в Ме</w:t>
      </w:r>
      <w:r>
        <w:t>к</w:t>
      </w:r>
      <w:r>
        <w:t>сике шестнадцати статей Конвенции о ликвидации всех форм дискриминации в отношении женщин.</w:t>
      </w:r>
    </w:p>
    <w:p w:rsidR="00000000" w:rsidRDefault="00000000">
      <w:pPr>
        <w:tabs>
          <w:tab w:val="clear" w:pos="680"/>
          <w:tab w:val="clear" w:pos="1021"/>
          <w:tab w:val="left" w:pos="454"/>
        </w:tabs>
        <w:spacing w:after="160"/>
      </w:pPr>
      <w:r>
        <w:t>8.</w:t>
      </w:r>
      <w:r>
        <w:tab/>
        <w:t>В части III содержатся сведения, относящиеся к областям, которым в Пекинской платфо</w:t>
      </w:r>
      <w:r>
        <w:t>р</w:t>
      </w:r>
      <w:r>
        <w:t>ме действий уделяется особое внимание: это вопросы,  касающиеся положения женщин и девочек, а также охраны окружающей среды. Кроме того, в части III представлены те данные о деятельности неправительственных орг</w:t>
      </w:r>
      <w:r>
        <w:t>а</w:t>
      </w:r>
      <w:r>
        <w:t xml:space="preserve">низаций, которые были взяты из Обзорной части доклада Мексики о ходе реализации Платформы действий, принятой на четвертой Всемирной конференции по положению женщин, и которые не вошли в </w:t>
      </w:r>
      <w:r>
        <w:br/>
        <w:t>часть II настоящ</w:t>
      </w:r>
      <w:r>
        <w:t>е</w:t>
      </w:r>
      <w:r>
        <w:t>го доклада, а также рекомендации по применению положений Конвенции, сформулированные госуда</w:t>
      </w:r>
      <w:r>
        <w:t>р</w:t>
      </w:r>
      <w:r>
        <w:t>ственными учреждениями и неправительственными организациями.</w:t>
      </w:r>
    </w:p>
    <w:p w:rsidR="00000000" w:rsidRDefault="00000000">
      <w:pPr>
        <w:tabs>
          <w:tab w:val="clear" w:pos="680"/>
          <w:tab w:val="clear" w:pos="1021"/>
          <w:tab w:val="left" w:pos="454"/>
        </w:tabs>
        <w:spacing w:after="160"/>
      </w:pPr>
      <w:r>
        <w:t>9.</w:t>
      </w:r>
      <w:r>
        <w:tab/>
        <w:t>И наконец, в приложении дается социально-демографическая характеристика мексика</w:t>
      </w:r>
      <w:r>
        <w:t>н</w:t>
      </w:r>
      <w:r>
        <w:t>ских женщин, эмигрировавших в Соединенные Штаты Америки в течение последних двух лет.</w:t>
      </w:r>
    </w:p>
    <w:p w:rsidR="00000000" w:rsidRDefault="00000000">
      <w:pPr>
        <w:pStyle w:val="Heading1"/>
      </w:pPr>
      <w:r>
        <w:t>Общая демографическая информация</w:t>
      </w:r>
    </w:p>
    <w:p w:rsidR="00000000" w:rsidRDefault="00000000">
      <w:pPr>
        <w:tabs>
          <w:tab w:val="clear" w:pos="680"/>
          <w:tab w:val="clear" w:pos="1021"/>
          <w:tab w:val="left" w:pos="454"/>
        </w:tabs>
      </w:pPr>
      <w:r>
        <w:t>10.</w:t>
      </w:r>
      <w:r>
        <w:tab/>
        <w:t>Согласно предварительным данным, полученным в ходе всеобщей пер</w:t>
      </w:r>
      <w:r>
        <w:t>е</w:t>
      </w:r>
      <w:r>
        <w:t>писи населения 2000 года, по состоянию на 14 февраля 2000 года население Мексиканской Республики составляло 97 361 711 человек.</w:t>
      </w:r>
    </w:p>
    <w:p w:rsidR="00000000" w:rsidRDefault="00000000">
      <w:pPr>
        <w:tabs>
          <w:tab w:val="clear" w:pos="680"/>
          <w:tab w:val="clear" w:pos="1021"/>
          <w:tab w:val="left" w:pos="454"/>
        </w:tabs>
      </w:pPr>
      <w:r>
        <w:t>11.</w:t>
      </w:r>
      <w:r>
        <w:tab/>
        <w:t xml:space="preserve">Данные переписей населения 1990 и 2000 годов свидетельствуют о том, что за последнее десятилетие население Мексики увеличилось примерно на 16,1 млн. человек, среднегодовой прирост населения составил </w:t>
      </w:r>
      <w:r>
        <w:br/>
        <w:t>1,9 процента, при этом в период с 1990 по 1995 год он до</w:t>
      </w:r>
      <w:r>
        <w:t>с</w:t>
      </w:r>
      <w:r>
        <w:t>тигал 2,1 процента, а в последние пять лет снизился до 1,6 процента. По численности населения Мексика занимает в настоящее вр</w:t>
      </w:r>
      <w:r>
        <w:t>е</w:t>
      </w:r>
      <w:r>
        <w:t>мя одиннадцатое место в мире.</w:t>
      </w:r>
    </w:p>
    <w:p w:rsidR="00000000" w:rsidRDefault="00000000">
      <w:pPr>
        <w:tabs>
          <w:tab w:val="clear" w:pos="680"/>
          <w:tab w:val="clear" w:pos="1021"/>
          <w:tab w:val="left" w:pos="454"/>
        </w:tabs>
      </w:pPr>
      <w:r>
        <w:t>12.</w:t>
      </w:r>
      <w:r>
        <w:tab/>
        <w:t>В настоящее время 74,7 процента жителей страны проживает в населенных пунктах с численностью населения свыше 2500 человек, то есть являются городскими ж</w:t>
      </w:r>
      <w:r>
        <w:t>и</w:t>
      </w:r>
      <w:r>
        <w:t>телями.</w:t>
      </w:r>
    </w:p>
    <w:p w:rsidR="00000000" w:rsidRDefault="00000000">
      <w:pPr>
        <w:tabs>
          <w:tab w:val="clear" w:pos="680"/>
          <w:tab w:val="clear" w:pos="1021"/>
          <w:tab w:val="left" w:pos="454"/>
        </w:tabs>
      </w:pPr>
      <w:r>
        <w:t>13.</w:t>
      </w:r>
      <w:r>
        <w:tab/>
        <w:t xml:space="preserve">Мужчины составляют 47,4 млн. жителей Мексики, а 50 млн. – женщины; это означает, что на каждые </w:t>
      </w:r>
      <w:r>
        <w:br/>
        <w:t xml:space="preserve">100 женщин приходится 95 мужчин. В 1990 году показатель мужского населения составлял 97 мужчин на </w:t>
      </w:r>
      <w:r>
        <w:br/>
        <w:t>100 женщин. Эти данные позволяют предпол</w:t>
      </w:r>
      <w:r>
        <w:t>о</w:t>
      </w:r>
      <w:r>
        <w:t>жить, что уменьшение показателя мужского населения, то есть числа мужчин на каждые 100 женщин, объясняется, среди пр</w:t>
      </w:r>
      <w:r>
        <w:t>о</w:t>
      </w:r>
      <w:r>
        <w:t>чих факторов, эмиграцией населения – преимущественно мужского – за гран</w:t>
      </w:r>
      <w:r>
        <w:t>и</w:t>
      </w:r>
      <w:r>
        <w:t>цу.</w:t>
      </w:r>
    </w:p>
    <w:p w:rsidR="00000000" w:rsidRDefault="00000000">
      <w:pPr>
        <w:tabs>
          <w:tab w:val="clear" w:pos="680"/>
          <w:tab w:val="clear" w:pos="1021"/>
          <w:tab w:val="left" w:pos="454"/>
        </w:tabs>
      </w:pPr>
      <w:r>
        <w:t>14.</w:t>
      </w:r>
      <w:r>
        <w:tab/>
        <w:t>Женское население в процентном отношении преобладает во всех субъектах Федер</w:t>
      </w:r>
      <w:r>
        <w:t>а</w:t>
      </w:r>
      <w:r>
        <w:t>ции, кроме штатов Кинтана-Роо, Нижняя Калифорния Южная и Нижняя Калифорния.</w:t>
      </w:r>
    </w:p>
    <w:p w:rsidR="00000000" w:rsidRDefault="00000000">
      <w:pPr>
        <w:tabs>
          <w:tab w:val="clear" w:pos="680"/>
          <w:tab w:val="clear" w:pos="1021"/>
          <w:tab w:val="left" w:pos="454"/>
        </w:tabs>
      </w:pPr>
      <w:r>
        <w:t>15.</w:t>
      </w:r>
      <w:r>
        <w:tab/>
        <w:t>К субъектам Федерации с наибольшей разницей между численностью женского и мужского населения относятся штаты Мичоакан, Гуанахуато и федеральный округ; там на к</w:t>
      </w:r>
      <w:r>
        <w:t>а</w:t>
      </w:r>
      <w:r>
        <w:t xml:space="preserve">ждые 100 женщин приходится менее </w:t>
      </w:r>
      <w:r>
        <w:br/>
        <w:t>92 мужчин. Данные показатели объясняются главным образом существующими миграц</w:t>
      </w:r>
      <w:r>
        <w:t>и</w:t>
      </w:r>
      <w:r>
        <w:t>онными потоками, участие в которых мужчин и женщин неодинаково.</w:t>
      </w:r>
    </w:p>
    <w:p w:rsidR="00000000" w:rsidRDefault="00000000">
      <w:pPr>
        <w:pStyle w:val="a"/>
      </w:pPr>
      <w:r>
        <w:br w:type="page"/>
        <w:t xml:space="preserve">Часть </w:t>
      </w:r>
      <w:r>
        <w:rPr>
          <w:lang w:val="es-ES"/>
        </w:rPr>
        <w:t>I</w:t>
      </w:r>
    </w:p>
    <w:p w:rsidR="00000000" w:rsidRDefault="00000000">
      <w:pPr>
        <w:pStyle w:val="a"/>
      </w:pPr>
      <w:r>
        <w:t xml:space="preserve">Меры, принятые правительством Мексики </w:t>
      </w:r>
      <w:r>
        <w:br/>
        <w:t>в соответствии с рекомендациями</w:t>
      </w:r>
      <w:r>
        <w:rPr>
          <w:color w:val="FF0000"/>
        </w:rPr>
        <w:t xml:space="preserve"> </w:t>
      </w:r>
      <w:r>
        <w:t>Ком</w:t>
      </w:r>
      <w:r>
        <w:t>и</w:t>
      </w:r>
      <w:r>
        <w:t xml:space="preserve">тета </w:t>
      </w:r>
      <w:r>
        <w:br/>
        <w:t>по ликвидации дискриминации в отношении женщин</w:t>
      </w:r>
      <w:r>
        <w:rPr>
          <w:color w:val="FF0000"/>
        </w:rPr>
        <w:t xml:space="preserve"> </w:t>
      </w:r>
      <w:r>
        <w:rPr>
          <w:color w:val="FF0000"/>
        </w:rPr>
        <w:br/>
      </w:r>
      <w:r>
        <w:t>по</w:t>
      </w:r>
      <w:r>
        <w:rPr>
          <w:color w:val="FF0000"/>
        </w:rPr>
        <w:t xml:space="preserve"> </w:t>
      </w:r>
      <w:r>
        <w:t>третьему и четвертому объединенному докладу Мексики</w:t>
      </w:r>
    </w:p>
    <w:p w:rsidR="00000000" w:rsidRDefault="00000000">
      <w:pPr>
        <w:pStyle w:val="a0"/>
        <w:spacing w:before="360"/>
      </w:pPr>
      <w:r>
        <w:t>401.</w:t>
      </w:r>
      <w:r>
        <w:tab/>
        <w:t>Комитет призвал женские неправительственные организации и в дальнейшем участв</w:t>
      </w:r>
      <w:r>
        <w:t>о</w:t>
      </w:r>
      <w:r>
        <w:t>вать в работе по осуществлению Конвенции.</w:t>
      </w:r>
    </w:p>
    <w:p w:rsidR="00000000" w:rsidRDefault="00000000">
      <w:pPr>
        <w:tabs>
          <w:tab w:val="clear" w:pos="680"/>
          <w:tab w:val="clear" w:pos="1021"/>
          <w:tab w:val="left" w:pos="454"/>
        </w:tabs>
      </w:pPr>
      <w:r>
        <w:t>16.</w:t>
      </w:r>
      <w:r>
        <w:tab/>
        <w:t>Как было сообщено Комитету по ликвидации дискриминации в отношении женщин, Национальная программа по улучшению положения женщин: союз во имя равенства (ПРОНАМ) на 1995–2000 годы является главным программным документом федерального прав</w:t>
      </w:r>
      <w:r>
        <w:t>и</w:t>
      </w:r>
      <w:r>
        <w:t>тельства, направленным на обеспечение равенства между  мужчинами и же</w:t>
      </w:r>
      <w:r>
        <w:t>н</w:t>
      </w:r>
      <w:r>
        <w:t>щинами, с тем чтобы гарантировать женщинам осуществление в полной мере их основных гражданских прав и свобод.</w:t>
      </w:r>
    </w:p>
    <w:p w:rsidR="00000000" w:rsidRDefault="00000000">
      <w:pPr>
        <w:tabs>
          <w:tab w:val="clear" w:pos="680"/>
          <w:tab w:val="clear" w:pos="1021"/>
          <w:tab w:val="left" w:pos="454"/>
        </w:tabs>
      </w:pPr>
      <w:r>
        <w:t>17.</w:t>
      </w:r>
      <w:r>
        <w:tab/>
        <w:t>ПРОНАМ предусматривает участие неправительственных организаций в реализации программных положений посредством создания Консультативного совета и Социальной инспекции, осуществляющих надзор за выполнением Национальной програ</w:t>
      </w:r>
      <w:r>
        <w:t>м</w:t>
      </w:r>
      <w:r>
        <w:t>мы по улучшению положения женщин на 1995–2000 годы. В эти органы контроля за выполн</w:t>
      </w:r>
      <w:r>
        <w:t>е</w:t>
      </w:r>
      <w:r>
        <w:t>нием Программы входят представители различных слоев общества, включая неправительственные организ</w:t>
      </w:r>
      <w:r>
        <w:t>а</w:t>
      </w:r>
      <w:r>
        <w:t>ции и женские объединения.</w:t>
      </w:r>
    </w:p>
    <w:p w:rsidR="00000000" w:rsidRDefault="00000000">
      <w:pPr>
        <w:tabs>
          <w:tab w:val="clear" w:pos="680"/>
          <w:tab w:val="clear" w:pos="1021"/>
          <w:tab w:val="left" w:pos="454"/>
        </w:tabs>
      </w:pPr>
      <w:r>
        <w:t>18.</w:t>
      </w:r>
      <w:r>
        <w:tab/>
        <w:t>Консультативный совет призван способствовать участию в выполнении ПРОНАМ всех слоев общества и оказывать им всемерное содействие; поощрять совместную деятельность государственных учреждений и общественных, научных и гражданских организаций; поддерживать укрепление женских организаций, а также организаций, действующих в интересах женщин; и контролировать реализацию задач, предусмотренных в Программе.</w:t>
      </w:r>
    </w:p>
    <w:p w:rsidR="00000000" w:rsidRDefault="00000000">
      <w:pPr>
        <w:tabs>
          <w:tab w:val="clear" w:pos="680"/>
          <w:tab w:val="clear" w:pos="1021"/>
          <w:tab w:val="left" w:pos="454"/>
        </w:tabs>
      </w:pPr>
      <w:r>
        <w:t>19.</w:t>
      </w:r>
      <w:r>
        <w:tab/>
        <w:t>Функции Социальной инспекции состоят в следующем: следить за осуществлением ПРОНАМ для обеспечения надлежащей реализации поставле</w:t>
      </w:r>
      <w:r>
        <w:t>н</w:t>
      </w:r>
      <w:r>
        <w:t>ных задач; предлагать меры, позволяющие устранять возможные отклонения в осуществлении различных проектов и контролировать их реализацию; разрабатывать механизмы, способствующие укреплению и обновлению информационных систем тех учреждений, которые примут участие в осуществлении Программы; и содействовать провед</w:t>
      </w:r>
      <w:r>
        <w:t>е</w:t>
      </w:r>
      <w:r>
        <w:t>нию оценки качества услуг, влияющих на оказание помощи женщинам.</w:t>
      </w:r>
    </w:p>
    <w:p w:rsidR="00000000" w:rsidRDefault="00000000">
      <w:pPr>
        <w:tabs>
          <w:tab w:val="clear" w:pos="680"/>
          <w:tab w:val="clear" w:pos="1021"/>
          <w:tab w:val="left" w:pos="454"/>
        </w:tabs>
      </w:pPr>
      <w:r>
        <w:t>20.</w:t>
      </w:r>
      <w:r>
        <w:tab/>
        <w:t>В целях лучшего выполнения возложенных на них задач оба органа – Консультати</w:t>
      </w:r>
      <w:r>
        <w:t>в</w:t>
      </w:r>
      <w:r>
        <w:t>ный совет и Социальная инспекция – ознакомились с содержанием различных международных договоров, участницей которых является Мексика, и прежде всего тех, к</w:t>
      </w:r>
      <w:r>
        <w:t>о</w:t>
      </w:r>
      <w:r>
        <w:t>торые имеют особое значение с точки зрения положения женщин.</w:t>
      </w:r>
    </w:p>
    <w:p w:rsidR="00000000" w:rsidRDefault="00000000">
      <w:pPr>
        <w:tabs>
          <w:tab w:val="clear" w:pos="680"/>
          <w:tab w:val="clear" w:pos="1021"/>
          <w:tab w:val="left" w:pos="454"/>
        </w:tabs>
      </w:pPr>
      <w:r>
        <w:t>21.</w:t>
      </w:r>
      <w:r>
        <w:tab/>
        <w:t>В заключение до сведения Комитета доводится тот факт, что, поскольку изменение положения женщин и рассмотрение данной проблематики на правительственном уровне явл</w:t>
      </w:r>
      <w:r>
        <w:t>я</w:t>
      </w:r>
      <w:r>
        <w:t>ются прежде всего заслугой женского движения (подобно тому, как это произошло во всем остальном мире), государство вынуждено было развивать конструктивное сотрудн</w:t>
      </w:r>
      <w:r>
        <w:t>и</w:t>
      </w:r>
      <w:r>
        <w:t>чество с неправительственными организациями, что дало положительные результаты, особенно в в</w:t>
      </w:r>
      <w:r>
        <w:t>о</w:t>
      </w:r>
      <w:r>
        <w:t>просах борьбы с насилием в отношении женщин. В настоящее время отстранение неправительственных организаций от участия в разработке, осуществлении и оценке политических</w:t>
      </w:r>
      <w:r>
        <w:rPr>
          <w:color w:val="FF0000"/>
        </w:rPr>
        <w:t xml:space="preserve"> </w:t>
      </w:r>
      <w:r>
        <w:t>мер</w:t>
      </w:r>
      <w:r>
        <w:t>о</w:t>
      </w:r>
      <w:r>
        <w:t>приятий, проводимых мексиканским государством, было бы совершенно невозможным и означало бы потерю одного из ценнейших источников практических да</w:t>
      </w:r>
      <w:r>
        <w:t>н</w:t>
      </w:r>
      <w:r>
        <w:t>ных, необходимых для работы на местах.</w:t>
      </w:r>
    </w:p>
    <w:p w:rsidR="00000000" w:rsidRDefault="00000000">
      <w:pPr>
        <w:pStyle w:val="a0"/>
        <w:spacing w:before="0"/>
      </w:pPr>
      <w:r>
        <w:br w:type="page"/>
        <w:t>402. Комитет вынес рекомендацию о том, что, несмотря на централизованную структуру федерального правительства, положения Конституции и Конвенции Белем-ду-Пара дол</w:t>
      </w:r>
      <w:r>
        <w:t>ж</w:t>
      </w:r>
      <w:r>
        <w:t>ны осуществляться по всей стране в целях ускорения процесса реформирования законодательс</w:t>
      </w:r>
      <w:r>
        <w:t>т</w:t>
      </w:r>
      <w:r>
        <w:t>ва во всех штатах, и просил правительство Мексики включить в следующий доклад инфо</w:t>
      </w:r>
      <w:r>
        <w:t>р</w:t>
      </w:r>
      <w:r>
        <w:t>мацию о мерах, принятых в связи с этим.</w:t>
      </w:r>
    </w:p>
    <w:p w:rsidR="00000000" w:rsidRDefault="00000000">
      <w:pPr>
        <w:tabs>
          <w:tab w:val="clear" w:pos="680"/>
          <w:tab w:val="clear" w:pos="1021"/>
          <w:tab w:val="left" w:pos="454"/>
        </w:tabs>
      </w:pPr>
      <w:r>
        <w:t>22.</w:t>
      </w:r>
      <w:r>
        <w:tab/>
        <w:t>В Конституции Мексиканских Соединенных Штатов содержится правовая база законод</w:t>
      </w:r>
      <w:r>
        <w:t>а</w:t>
      </w:r>
      <w:r>
        <w:t>тельной деятельности Национального конгресса, вследствие чего решение многих прав</w:t>
      </w:r>
      <w:r>
        <w:t>о</w:t>
      </w:r>
      <w:r>
        <w:t>вых вопросов находится в компетенции конгрессов штатов. Среди этих вопросов некоторые я</w:t>
      </w:r>
      <w:r>
        <w:t>в</w:t>
      </w:r>
      <w:r>
        <w:t>ляются основополагающими для защиты прав женщин: семейное и гражданское законодательство, а также законодательство в отношении уголовных преступл</w:t>
      </w:r>
      <w:r>
        <w:t>е</w:t>
      </w:r>
      <w:r>
        <w:t>ний, в частности таких, как нанесение телесных повреждений, убийство, похищение, и</w:t>
      </w:r>
      <w:r>
        <w:t>з</w:t>
      </w:r>
      <w:r>
        <w:t>насилование и другие насильственные действия, жертвами которых часто становятся же</w:t>
      </w:r>
      <w:r>
        <w:t>н</w:t>
      </w:r>
      <w:r>
        <w:t>щины.</w:t>
      </w:r>
    </w:p>
    <w:p w:rsidR="00000000" w:rsidRDefault="00000000">
      <w:pPr>
        <w:tabs>
          <w:tab w:val="clear" w:pos="680"/>
          <w:tab w:val="clear" w:pos="1021"/>
          <w:tab w:val="left" w:pos="454"/>
        </w:tabs>
      </w:pPr>
      <w:r>
        <w:t>23.</w:t>
      </w:r>
      <w:r>
        <w:tab/>
        <w:t>Действуя в рамках полномочий, данных ему мексиканским законодательством, 8 марта 1998 года Президент страны обратился с призывом, среди прочего, ускорить процесс прив</w:t>
      </w:r>
      <w:r>
        <w:t>е</w:t>
      </w:r>
      <w:r>
        <w:t>дения законодательства штатов в соответствие с федеральным законодательством, с тем чтобы правовые реформы, проведенные на федеральном уровне, были осуществлены также и на местном уровне. Позднее През</w:t>
      </w:r>
      <w:r>
        <w:t>и</w:t>
      </w:r>
      <w:r>
        <w:t>дент объявил, что федеральное правительство должно созвать совещание с участием правительств штатов в целях содействия скорейшему достижению согласия в области реформирования законодател</w:t>
      </w:r>
      <w:r>
        <w:t>ь</w:t>
      </w:r>
      <w:r>
        <w:t>ства.</w:t>
      </w:r>
    </w:p>
    <w:p w:rsidR="00000000" w:rsidRDefault="00000000">
      <w:pPr>
        <w:tabs>
          <w:tab w:val="clear" w:pos="680"/>
          <w:tab w:val="clear" w:pos="1021"/>
          <w:tab w:val="left" w:pos="454"/>
        </w:tabs>
      </w:pPr>
      <w:r>
        <w:t>24.</w:t>
      </w:r>
      <w:r>
        <w:tab/>
        <w:t>Кроме того, Президент Республики объявил, что ратификация Межамериканской ко</w:t>
      </w:r>
      <w:r>
        <w:t>н</w:t>
      </w:r>
      <w:r>
        <w:t>венции о предотвращении и искоренении насилия в отношении женщин и наказании за него (Конвенция Белем-ду-Пара) явилась одним из главных достижений в ходе осущест</w:t>
      </w:r>
      <w:r>
        <w:t>в</w:t>
      </w:r>
      <w:r>
        <w:t>ления Национальной программы по улучшению положения женщин в период 1998–1999 годов.</w:t>
      </w:r>
    </w:p>
    <w:p w:rsidR="00000000" w:rsidRDefault="00000000">
      <w:pPr>
        <w:tabs>
          <w:tab w:val="clear" w:pos="680"/>
          <w:tab w:val="clear" w:pos="1021"/>
          <w:tab w:val="left" w:pos="454"/>
        </w:tabs>
      </w:pPr>
      <w:r>
        <w:t>25.</w:t>
      </w:r>
      <w:r>
        <w:tab/>
        <w:t>Для достижения поставленных целей Министерство по делам государственного упра</w:t>
      </w:r>
      <w:r>
        <w:t>в</w:t>
      </w:r>
      <w:r>
        <w:t>ления организовало 22 апреля 1998 года рабочую встречу генеральных секретарей правительств штатов и федерального округа, на которой было высказано единодушное мнение о нео</w:t>
      </w:r>
      <w:r>
        <w:t>б</w:t>
      </w:r>
      <w:r>
        <w:t>ходимости детально и тщательно пересмотреть соответствующие правовые нормы кажд</w:t>
      </w:r>
      <w:r>
        <w:t>о</w:t>
      </w:r>
      <w:r>
        <w:t>го из субъектов Федерации, беря за основу документ Национальной комиссии по пр</w:t>
      </w:r>
      <w:r>
        <w:t>а</w:t>
      </w:r>
      <w:r>
        <w:t>вам человека, озаглавленный "Сравнительное исследование федерального законодательства и законод</w:t>
      </w:r>
      <w:r>
        <w:t>а</w:t>
      </w:r>
      <w:r>
        <w:t>тельства штатов в части, относящейся к соблюдению прав женщин и детей, Конвенции о ликвидации всех форм дискриминации в отношении женщин, а также Ко</w:t>
      </w:r>
      <w:r>
        <w:t>н</w:t>
      </w:r>
      <w:r>
        <w:t>венции о правах ребенка". Данное исследование содержит предложения об изменении зак</w:t>
      </w:r>
      <w:r>
        <w:t>о</w:t>
      </w:r>
      <w:r>
        <w:t>нодательства на федеральном и местном уровнях с целью обеспечения полного юридич</w:t>
      </w:r>
      <w:r>
        <w:t>е</w:t>
      </w:r>
      <w:r>
        <w:t>ского равенства между мужчинами и женщинами и эффективной защиты прав детей. Об этом исследовании Комитет был проинформирован во время рассмотрения третьего и четвертого объединенного доклада Мексики.</w:t>
      </w:r>
    </w:p>
    <w:p w:rsidR="00000000" w:rsidRDefault="00000000">
      <w:pPr>
        <w:tabs>
          <w:tab w:val="clear" w:pos="680"/>
          <w:tab w:val="clear" w:pos="1021"/>
          <w:tab w:val="left" w:pos="454"/>
        </w:tabs>
      </w:pPr>
      <w:r>
        <w:t>26.</w:t>
      </w:r>
      <w:r>
        <w:tab/>
        <w:t>В связи с этим в целях содействия указанному процессу Национальная комиссия</w:t>
      </w:r>
      <w:r>
        <w:rPr>
          <w:color w:val="FF0000"/>
        </w:rPr>
        <w:t xml:space="preserve"> </w:t>
      </w:r>
      <w:r>
        <w:t>по д</w:t>
      </w:r>
      <w:r>
        <w:t>е</w:t>
      </w:r>
      <w:r>
        <w:t>лам женщин (НКЖ) организовала семинар под названием "Как создавать законы с учетом гендерных факторов", где при участии законодателей – мужчин и женщин – были рассмо</w:t>
      </w:r>
      <w:r>
        <w:t>т</w:t>
      </w:r>
      <w:r>
        <w:t>рены предложения по изменению законодательства, необходимые для защиты прав же</w:t>
      </w:r>
      <w:r>
        <w:t>н</w:t>
      </w:r>
      <w:r>
        <w:t>щин и девочек.</w:t>
      </w:r>
    </w:p>
    <w:p w:rsidR="00000000" w:rsidRDefault="00000000">
      <w:pPr>
        <w:tabs>
          <w:tab w:val="clear" w:pos="680"/>
          <w:tab w:val="clear" w:pos="1021"/>
          <w:tab w:val="left" w:pos="454"/>
        </w:tabs>
      </w:pPr>
      <w:r>
        <w:t>27.</w:t>
      </w:r>
      <w:r>
        <w:tab/>
        <w:t>С целью ознакомить общественность с содержанием дискуссий, которые велись в Наци</w:t>
      </w:r>
      <w:r>
        <w:t>о</w:t>
      </w:r>
      <w:r>
        <w:t>нальном конгрессе вокруг указанных предложений, НКЖ опубликовала запись этих дискуссий, издав книгу под названием "Больше никогда! Восп</w:t>
      </w:r>
      <w:r>
        <w:t>о</w:t>
      </w:r>
      <w:r>
        <w:t>минания об одном дне парламента" (второе издание этой книги вышло в свет в июле 1998 года).</w:t>
      </w:r>
    </w:p>
    <w:p w:rsidR="00000000" w:rsidRDefault="00000000">
      <w:pPr>
        <w:tabs>
          <w:tab w:val="clear" w:pos="680"/>
          <w:tab w:val="clear" w:pos="1021"/>
          <w:tab w:val="left" w:pos="454"/>
        </w:tabs>
      </w:pPr>
      <w:r>
        <w:t>28.</w:t>
      </w:r>
      <w:r>
        <w:tab/>
        <w:t>Важным шагом стало создание в марте 1998 года – по инициативе комиссий по вопросам гендерного равенства палаты депутатов и сената – парламента женщин, целью которого являлось определить проблематику положения мексиканских женщин для ее последующего ан</w:t>
      </w:r>
      <w:r>
        <w:t>а</w:t>
      </w:r>
      <w:r>
        <w:t>лиза и обсуждения и тем самым способствовать принятию законов, программ и политических мер для защиты интересов женщин, а также упрочению отн</w:t>
      </w:r>
      <w:r>
        <w:t>о</w:t>
      </w:r>
      <w:r>
        <w:t>шений равенства между мужчинами и женщинами и решению проблемы насилия в отношении женщин. Па</w:t>
      </w:r>
      <w:r>
        <w:t>р</w:t>
      </w:r>
      <w:r>
        <w:t>ламент женщин, преобразованный в августе 1998 года в двухпалатную комиссию Национал</w:t>
      </w:r>
      <w:r>
        <w:t>ь</w:t>
      </w:r>
      <w:r>
        <w:t>ного конгресса, проводил свои сессии</w:t>
      </w:r>
      <w:r>
        <w:rPr>
          <w:color w:val="FF0000"/>
        </w:rPr>
        <w:t xml:space="preserve"> </w:t>
      </w:r>
      <w:r>
        <w:t>в марте 1999 года и марте 2000 года.</w:t>
      </w:r>
    </w:p>
    <w:p w:rsidR="00000000" w:rsidRDefault="00000000">
      <w:pPr>
        <w:tabs>
          <w:tab w:val="clear" w:pos="680"/>
          <w:tab w:val="clear" w:pos="1021"/>
          <w:tab w:val="left" w:pos="454"/>
        </w:tabs>
      </w:pPr>
      <w:r>
        <w:t>29.</w:t>
      </w:r>
      <w:r>
        <w:tab/>
        <w:t>Комиссия по вопросам гендерного равенства сената подготовила сборник "Женщины в ме</w:t>
      </w:r>
      <w:r>
        <w:t>к</w:t>
      </w:r>
      <w:r>
        <w:t>сиканском законодательстве", в котором собраны имеющие отношение к положению женщин внутренние нормативные акты и соответствующие международные договоры, подписанные Мексикой. Кроме того, Комиссия провела рабочие встречи с главами федеральных исполн</w:t>
      </w:r>
      <w:r>
        <w:t>и</w:t>
      </w:r>
      <w:r>
        <w:t>тельных органов, ответственных за выполнение программ по улучшению положения женщин. Со своей ст</w:t>
      </w:r>
      <w:r>
        <w:t>о</w:t>
      </w:r>
      <w:r>
        <w:t>роны, Комиссия по вопросам гендерного равенства палаты депутатов одобрила изменения, внесенные в уголовный и гражданский кодексы, каса</w:t>
      </w:r>
      <w:r>
        <w:t>ю</w:t>
      </w:r>
      <w:r>
        <w:t>щиеся насилия в семье; провела анализ бюджета с учетом гендерного подхода; с</w:t>
      </w:r>
      <w:r>
        <w:t>о</w:t>
      </w:r>
      <w:r>
        <w:t>действовала принятию мер, направленных на удовлетворение потребностей женщин. Кроме того, обе комиссии обязались содействовать укреплению в обществе уважения к женщине, уделять особое внимание методам отправления правосудия и принять участие в реформе трудового законодател</w:t>
      </w:r>
      <w:r>
        <w:t>ь</w:t>
      </w:r>
      <w:r>
        <w:t>ства.</w:t>
      </w:r>
    </w:p>
    <w:p w:rsidR="00000000" w:rsidRDefault="00000000">
      <w:pPr>
        <w:tabs>
          <w:tab w:val="clear" w:pos="680"/>
          <w:tab w:val="clear" w:pos="1021"/>
          <w:tab w:val="left" w:pos="454"/>
        </w:tabs>
      </w:pPr>
      <w:r>
        <w:t>30.</w:t>
      </w:r>
      <w:r>
        <w:tab/>
        <w:t>3 декабря 1998 года женщины – депутаты федерального и местных парламе</w:t>
      </w:r>
      <w:r>
        <w:t>н</w:t>
      </w:r>
      <w:r>
        <w:t>тов от всех политических партий договорились способствовать обсуждению и выдвижению иници</w:t>
      </w:r>
      <w:r>
        <w:t>а</w:t>
      </w:r>
      <w:r>
        <w:t>тив по изменению правовых норм субъектов Федерации в части, касающейся насилия в семье и изнасилования.</w:t>
      </w:r>
    </w:p>
    <w:p w:rsidR="00000000" w:rsidRDefault="00000000">
      <w:pPr>
        <w:tabs>
          <w:tab w:val="clear" w:pos="680"/>
          <w:tab w:val="clear" w:pos="1021"/>
          <w:tab w:val="left" w:pos="454"/>
        </w:tabs>
      </w:pPr>
      <w:r>
        <w:t>31.</w:t>
      </w:r>
      <w:r>
        <w:tab/>
        <w:t>Ратификацию Конвенции Белем-ду-Пара правительство Мексики назначило</w:t>
      </w:r>
      <w:r>
        <w:rPr>
          <w:color w:val="FFFF00"/>
        </w:rPr>
        <w:t xml:space="preserve"> </w:t>
      </w:r>
      <w:r>
        <w:t>на 12 н</w:t>
      </w:r>
      <w:r>
        <w:t>о</w:t>
      </w:r>
      <w:r>
        <w:t xml:space="preserve">ября 1998 года. </w:t>
      </w:r>
      <w:r>
        <w:br/>
        <w:t>В этот день Конвенция вступила в силу в Мексике. Постановление о вст</w:t>
      </w:r>
      <w:r>
        <w:t>у</w:t>
      </w:r>
      <w:r>
        <w:t xml:space="preserve">плении Конвенции в силу было опубликовано в "Диарио Офисиаль де ла Федерасьон" ("Официальном бюллетене Федерации") 19 января </w:t>
      </w:r>
      <w:r>
        <w:br/>
        <w:t>1999 года.</w:t>
      </w:r>
    </w:p>
    <w:p w:rsidR="00000000" w:rsidRDefault="00000000">
      <w:pPr>
        <w:pStyle w:val="a0"/>
      </w:pPr>
      <w:r>
        <w:t>403. Комитет рекомендовал продолжать усилия по сокращению масштабов нищеты среди сельских женщин, особенно из числа коренного населения, и действовать в сотрудничес</w:t>
      </w:r>
      <w:r>
        <w:t>т</w:t>
      </w:r>
      <w:r>
        <w:t>ве с неправительственными организациями, уделяя особое внимание поддержке программ в области образования, занятости и здравоохранения, которые могут способствовать инт</w:t>
      </w:r>
      <w:r>
        <w:t>е</w:t>
      </w:r>
      <w:r>
        <w:t>грации женщин в процесс развития как его участников и бенефициаров. Ввиду сравн</w:t>
      </w:r>
      <w:r>
        <w:t>и</w:t>
      </w:r>
      <w:r>
        <w:t>тельно высоких темпов роста мексиканской экономики, о которых он уже говорил, Комитет отм</w:t>
      </w:r>
      <w:r>
        <w:t>е</w:t>
      </w:r>
      <w:r>
        <w:t>тил, что приветствует достигнутые успехи в более справедливом распределении национального б</w:t>
      </w:r>
      <w:r>
        <w:t>о</w:t>
      </w:r>
      <w:r>
        <w:t>гатства среди населения.</w:t>
      </w:r>
    </w:p>
    <w:p w:rsidR="00000000" w:rsidRDefault="00000000">
      <w:pPr>
        <w:tabs>
          <w:tab w:val="clear" w:pos="680"/>
          <w:tab w:val="clear" w:pos="1021"/>
          <w:tab w:val="left" w:pos="454"/>
        </w:tabs>
      </w:pPr>
      <w:r>
        <w:t>32.</w:t>
      </w:r>
      <w:r>
        <w:tab/>
        <w:t>Программы борьбы с нищетой, принятые правительством Мексики, в качестве приоритетного направления предусматривают помощь населению, находящемуся в неблаг</w:t>
      </w:r>
      <w:r>
        <w:t>о</w:t>
      </w:r>
      <w:r>
        <w:t>приятных условиях, особенно проживающему в наиболее экономически и социально о</w:t>
      </w:r>
      <w:r>
        <w:t>т</w:t>
      </w:r>
      <w:r>
        <w:t>сталых регионах.</w:t>
      </w:r>
    </w:p>
    <w:p w:rsidR="00000000" w:rsidRDefault="00000000">
      <w:pPr>
        <w:tabs>
          <w:tab w:val="clear" w:pos="680"/>
          <w:tab w:val="clear" w:pos="1021"/>
          <w:tab w:val="left" w:pos="454"/>
        </w:tabs>
      </w:pPr>
      <w:r>
        <w:t>33.</w:t>
      </w:r>
      <w:r>
        <w:tab/>
        <w:t>Социальную политику в этой области от имени правительства осуществляет Министе</w:t>
      </w:r>
      <w:r>
        <w:t>р</w:t>
      </w:r>
      <w:r>
        <w:t>ство социального развития, которое разрабатывает стратегические планы действий исходя из признания того факта, что жизнь в нищете сказыв</w:t>
      </w:r>
      <w:r>
        <w:t>а</w:t>
      </w:r>
      <w:r>
        <w:t>ется на женщинах и мужчинах по-разному. В связи с этим оказывается содейс</w:t>
      </w:r>
      <w:r>
        <w:t>т</w:t>
      </w:r>
      <w:r>
        <w:t>вие деятельности по созданию новых рабочих мест и лучших условий для осуществления социальных прав и принципа равенства во</w:t>
      </w:r>
      <w:r>
        <w:t>з</w:t>
      </w:r>
      <w:r>
        <w:t>можностей мужчин и женщин и населения различных регионов. Более подробная информ</w:t>
      </w:r>
      <w:r>
        <w:t>а</w:t>
      </w:r>
      <w:r>
        <w:t xml:space="preserve">ция об этой деятельности содержится в части </w:t>
      </w:r>
      <w:r>
        <w:rPr>
          <w:lang w:val="es-ES"/>
        </w:rPr>
        <w:t xml:space="preserve">II </w:t>
      </w:r>
      <w:r>
        <w:t>настоящего доклада.</w:t>
      </w:r>
    </w:p>
    <w:p w:rsidR="00000000" w:rsidRDefault="00000000">
      <w:pPr>
        <w:pStyle w:val="a0"/>
      </w:pPr>
      <w:r>
        <w:t>404. Комитет предложил оценить состояние дел в тех областях, где не ведется борьба с дискриминацией, например в частном секторе, и представить в следующем докладе результаты общей оценки всех инициатив, связанных с антидискриминационными дейс</w:t>
      </w:r>
      <w:r>
        <w:t>т</w:t>
      </w:r>
      <w:r>
        <w:t>виями.</w:t>
      </w:r>
    </w:p>
    <w:p w:rsidR="00000000" w:rsidRDefault="00000000">
      <w:pPr>
        <w:tabs>
          <w:tab w:val="clear" w:pos="680"/>
          <w:tab w:val="clear" w:pos="1021"/>
          <w:tab w:val="left" w:pos="454"/>
        </w:tabs>
      </w:pPr>
      <w:r>
        <w:t>34.</w:t>
      </w:r>
      <w:r>
        <w:tab/>
        <w:t>Данные о действиях, носящих антидискриминационный характер, представлены в ча</w:t>
      </w:r>
      <w:r>
        <w:t>с</w:t>
      </w:r>
      <w:r>
        <w:t>ти</w:t>
      </w:r>
      <w:r>
        <w:rPr>
          <w:lang w:val="es-ES"/>
        </w:rPr>
        <w:t xml:space="preserve"> II </w:t>
      </w:r>
      <w:r>
        <w:t>настоящего доклада.</w:t>
      </w:r>
    </w:p>
    <w:p w:rsidR="00000000" w:rsidRDefault="00000000">
      <w:pPr>
        <w:pStyle w:val="a0"/>
      </w:pPr>
      <w:r>
        <w:t>405. Комитет также предложил включить в следующий доклад больше информации о с</w:t>
      </w:r>
      <w:r>
        <w:t>у</w:t>
      </w:r>
      <w:r>
        <w:t>ществующих механизмах для возбуждения женщинами судебных исков на основании Ко</w:t>
      </w:r>
      <w:r>
        <w:t>н</w:t>
      </w:r>
      <w:r>
        <w:t>венции.</w:t>
      </w:r>
    </w:p>
    <w:p w:rsidR="00000000" w:rsidRDefault="00000000">
      <w:pPr>
        <w:tabs>
          <w:tab w:val="clear" w:pos="680"/>
          <w:tab w:val="clear" w:pos="1021"/>
          <w:tab w:val="left" w:pos="454"/>
        </w:tabs>
      </w:pPr>
      <w:r>
        <w:t>35.</w:t>
      </w:r>
      <w:r>
        <w:tab/>
        <w:t>Как было указано в тексте третьего и четвертого объединенного периодическ</w:t>
      </w:r>
      <w:r>
        <w:t>о</w:t>
      </w:r>
      <w:r>
        <w:t>го доклада, представленного на рассмотрение Комитета, статья 133 Конституции Мексиканских С</w:t>
      </w:r>
      <w:r>
        <w:t>о</w:t>
      </w:r>
      <w:r>
        <w:t>единенных Штатов гласит: "Конституция, вытекающие из нее законы Национального конгресса и все соответствующие договоры, которые заключены и заключаются Президентом Республики с одобр</w:t>
      </w:r>
      <w:r>
        <w:t>е</w:t>
      </w:r>
      <w:r>
        <w:t>ния сената, являются высшим законом всей Федерации. Судьи каждого штата действуют в соответствии с Конституцией, законами и договорами, даже если в конституциях и законах штатов содержатся противоречащие ей пол</w:t>
      </w:r>
      <w:r>
        <w:t>о</w:t>
      </w:r>
      <w:r>
        <w:t>жения".</w:t>
      </w:r>
    </w:p>
    <w:p w:rsidR="00000000" w:rsidRDefault="00000000">
      <w:pPr>
        <w:tabs>
          <w:tab w:val="clear" w:pos="680"/>
          <w:tab w:val="clear" w:pos="1021"/>
          <w:tab w:val="left" w:pos="454"/>
        </w:tabs>
      </w:pPr>
      <w:r>
        <w:t>36.</w:t>
      </w:r>
      <w:r>
        <w:tab/>
        <w:t>В связи с этим комментарий</w:t>
      </w:r>
      <w:r>
        <w:rPr>
          <w:color w:val="FFFF00"/>
        </w:rPr>
        <w:t xml:space="preserve"> </w:t>
      </w:r>
      <w:r>
        <w:rPr>
          <w:lang w:val="es-ES"/>
        </w:rPr>
        <w:t xml:space="preserve">P.LXXVII/99 </w:t>
      </w:r>
      <w:r>
        <w:t xml:space="preserve">Верховного суда Мексики, опубликованный в ноябре 1999 года в томе </w:t>
      </w:r>
      <w:r>
        <w:rPr>
          <w:lang w:val="es-ES"/>
        </w:rPr>
        <w:t>X Бюллетеня судебных постановл</w:t>
      </w:r>
      <w:r>
        <w:rPr>
          <w:lang w:val="es-ES"/>
        </w:rPr>
        <w:t>е</w:t>
      </w:r>
      <w:r>
        <w:rPr>
          <w:lang w:val="es-ES"/>
        </w:rPr>
        <w:t>ний</w:t>
      </w:r>
      <w:r>
        <w:t xml:space="preserve"> </w:t>
      </w:r>
      <w:r>
        <w:rPr>
          <w:lang w:val="es-ES"/>
        </w:rPr>
        <w:t>Федерального семинара судей</w:t>
      </w:r>
      <w:r>
        <w:t>, устанавливает, что в правовом плане международные договоры являются следующ</w:t>
      </w:r>
      <w:r>
        <w:t>и</w:t>
      </w:r>
      <w:r>
        <w:t>ми по важности после Конституции Мексиканских Соединенных Штатов и имеют бóльшую прав</w:t>
      </w:r>
      <w:r>
        <w:t>о</w:t>
      </w:r>
      <w:r>
        <w:t>вую силу, чем федеральное и местное законодательство. Данная трактовка статьи 133 Конституции есть следствие того, что международные договоренности закл</w:t>
      </w:r>
      <w:r>
        <w:t>ю</w:t>
      </w:r>
      <w:r>
        <w:t>чаются от имени государства в целом, и, таким образом, принятые обяз</w:t>
      </w:r>
      <w:r>
        <w:t>а</w:t>
      </w:r>
      <w:r>
        <w:t>тельства возлагаются на органы власти всех уровней; этим объясняется также тот факт, что субъе</w:t>
      </w:r>
      <w:r>
        <w:t>к</w:t>
      </w:r>
      <w:r>
        <w:t>ты Федерации уполномочили Президента Республики в качестве главы государства подписывать международные договоры, а сенат выступает в роли в</w:t>
      </w:r>
      <w:r>
        <w:t>ы</w:t>
      </w:r>
      <w:r>
        <w:t>разителя воли субъектов Федерации.</w:t>
      </w:r>
    </w:p>
    <w:p w:rsidR="00000000" w:rsidRDefault="00000000">
      <w:pPr>
        <w:tabs>
          <w:tab w:val="clear" w:pos="680"/>
          <w:tab w:val="clear" w:pos="1021"/>
          <w:tab w:val="left" w:pos="454"/>
        </w:tabs>
      </w:pPr>
      <w:r>
        <w:t>37.</w:t>
      </w:r>
      <w:r>
        <w:tab/>
        <w:t>В соответствии с положениями Конституции Конвенция о ликвидации всех форм ди</w:t>
      </w:r>
      <w:r>
        <w:t>с</w:t>
      </w:r>
      <w:r>
        <w:t>криминации в отношении женщин, принятая Мексикой 23 марта 1981 года, опубликованная в "Диарио Офисиаль де ла Федерасьон" 12 мая 1981 года и вступившая в силу 3 сентября того же года, является частью высшего закона Федерации и обязательна к исполнению на общ</w:t>
      </w:r>
      <w:r>
        <w:t>е</w:t>
      </w:r>
      <w:r>
        <w:t>государственном уровне.</w:t>
      </w:r>
    </w:p>
    <w:p w:rsidR="00000000" w:rsidRDefault="00000000">
      <w:pPr>
        <w:tabs>
          <w:tab w:val="clear" w:pos="680"/>
          <w:tab w:val="clear" w:pos="1021"/>
          <w:tab w:val="left" w:pos="454"/>
        </w:tabs>
      </w:pPr>
      <w:r>
        <w:t>38.</w:t>
      </w:r>
      <w:r>
        <w:tab/>
        <w:t>С этого времени в Мексике стали разрабатываться – с учетом существующих междунаро</w:t>
      </w:r>
      <w:r>
        <w:t>д</w:t>
      </w:r>
      <w:r>
        <w:t>но-правовых механизмов – законы, регулирующие</w:t>
      </w:r>
      <w:r>
        <w:rPr>
          <w:color w:val="FF0000"/>
        </w:rPr>
        <w:t xml:space="preserve"> </w:t>
      </w:r>
      <w:r>
        <w:t>процедуру возбуждения судебного и</w:t>
      </w:r>
      <w:r>
        <w:t>с</w:t>
      </w:r>
      <w:r>
        <w:t>ка в соответствии с имеющимися процессуальными нормами, в частности женщина может во</w:t>
      </w:r>
      <w:r>
        <w:t>с</w:t>
      </w:r>
      <w:r>
        <w:t>пользоваться правом на апелляцию (ампаро).</w:t>
      </w:r>
    </w:p>
    <w:p w:rsidR="00000000" w:rsidRDefault="00000000">
      <w:pPr>
        <w:tabs>
          <w:tab w:val="clear" w:pos="680"/>
          <w:tab w:val="clear" w:pos="1021"/>
          <w:tab w:val="left" w:pos="454"/>
        </w:tabs>
      </w:pPr>
      <w:r>
        <w:t>39.</w:t>
      </w:r>
      <w:r>
        <w:tab/>
        <w:t>По инициативе федерального правительства в последнее время был у</w:t>
      </w:r>
      <w:r>
        <w:t>с</w:t>
      </w:r>
      <w:r>
        <w:t>корен процесс приведения внутреннего законодательства в соответствие с международными нормами.</w:t>
      </w:r>
    </w:p>
    <w:p w:rsidR="00000000" w:rsidRDefault="00000000">
      <w:pPr>
        <w:tabs>
          <w:tab w:val="clear" w:pos="680"/>
          <w:tab w:val="clear" w:pos="1021"/>
          <w:tab w:val="left" w:pos="454"/>
        </w:tabs>
      </w:pPr>
      <w:r>
        <w:t>40.</w:t>
      </w:r>
      <w:r>
        <w:tab/>
        <w:t>Кроме того, в 1999 году был зарегистрирован случай развода, юридическим основанием для которого послужили положения Конвенции. Дело</w:t>
      </w:r>
      <w:r>
        <w:rPr>
          <w:color w:val="FF0000"/>
        </w:rPr>
        <w:t xml:space="preserve"> </w:t>
      </w:r>
      <w:r>
        <w:t>было решено в пользу женщины, поскольку было принято решение о разделе семейного имущества  в равных долях с учетом т</w:t>
      </w:r>
      <w:r>
        <w:t>о</w:t>
      </w:r>
      <w:r>
        <w:t>го, что домашний труд признан вкладом в создание семейного имущества. Таким образом был создан прецедент, и можно предполагать, что он будет действовать в подо</w:t>
      </w:r>
      <w:r>
        <w:t>б</w:t>
      </w:r>
      <w:r>
        <w:t>ных случаях и далее.</w:t>
      </w:r>
    </w:p>
    <w:p w:rsidR="00000000" w:rsidRDefault="00000000">
      <w:pPr>
        <w:pStyle w:val="a0"/>
      </w:pPr>
      <w:r>
        <w:t>406. Комитет выразил надежду на то, что правительство будет продолжать следить за в</w:t>
      </w:r>
      <w:r>
        <w:t>ы</w:t>
      </w:r>
      <w:r>
        <w:t>полнением положений трудового законодательства на промышленных предприятиях и осуществлять просветительскую деятельность среди работодателей.</w:t>
      </w:r>
    </w:p>
    <w:p w:rsidR="00000000" w:rsidRDefault="00000000">
      <w:pPr>
        <w:tabs>
          <w:tab w:val="clear" w:pos="680"/>
          <w:tab w:val="clear" w:pos="1021"/>
          <w:tab w:val="left" w:pos="454"/>
        </w:tabs>
      </w:pPr>
      <w:r>
        <w:t>41.</w:t>
      </w:r>
      <w:r>
        <w:tab/>
        <w:t>Следует отметить, что помимо мер, которые правительство Мексики пр</w:t>
      </w:r>
      <w:r>
        <w:t>и</w:t>
      </w:r>
      <w:r>
        <w:t>няло в 1998 году с учетом заключительных замечаний Комитета, оно, через посредство Министерства труда и социальн</w:t>
      </w:r>
      <w:r>
        <w:t>о</w:t>
      </w:r>
      <w:r>
        <w:t xml:space="preserve">го обеспечения, продолжало реализацию </w:t>
      </w:r>
      <w:r>
        <w:rPr>
          <w:color w:val="000000"/>
        </w:rPr>
        <w:t>Программы занятости, профессионального обуч</w:t>
      </w:r>
      <w:r>
        <w:rPr>
          <w:color w:val="000000"/>
        </w:rPr>
        <w:t>е</w:t>
      </w:r>
      <w:r>
        <w:rPr>
          <w:color w:val="000000"/>
        </w:rPr>
        <w:t>ния и защиты прав трудящихся</w:t>
      </w:r>
      <w:r>
        <w:t xml:space="preserve"> на период 1995–2000 годов. В рамках этой пр</w:t>
      </w:r>
      <w:r>
        <w:t>о</w:t>
      </w:r>
      <w:r>
        <w:t>граммы осуществляется контроль за выполнением трудового законодательства. Цели пр</w:t>
      </w:r>
      <w:r>
        <w:t>о</w:t>
      </w:r>
      <w:r>
        <w:t xml:space="preserve">граммы – всемерно способствовать защите прав трудящихся – женщин и мужчин, следить за эффективным выполнением законодательства, повышать </w:t>
      </w:r>
      <w:r>
        <w:rPr>
          <w:color w:val="000000"/>
        </w:rPr>
        <w:t>охват и</w:t>
      </w:r>
      <w:r>
        <w:t xml:space="preserve"> ур</w:t>
      </w:r>
      <w:r>
        <w:t>о</w:t>
      </w:r>
      <w:r>
        <w:t>вень программ профессионального обучения и улучшать систему правосудия применительно к данной о</w:t>
      </w:r>
      <w:r>
        <w:t>б</w:t>
      </w:r>
      <w:r>
        <w:t>ласти.</w:t>
      </w:r>
    </w:p>
    <w:p w:rsidR="00000000" w:rsidRDefault="00000000">
      <w:pPr>
        <w:tabs>
          <w:tab w:val="clear" w:pos="680"/>
          <w:tab w:val="clear" w:pos="1021"/>
          <w:tab w:val="left" w:pos="454"/>
        </w:tabs>
      </w:pPr>
      <w:r>
        <w:t>42.</w:t>
      </w:r>
      <w:r>
        <w:tab/>
        <w:t>В отчетный период времени, охватываемый представляемым до</w:t>
      </w:r>
      <w:r>
        <w:t>к</w:t>
      </w:r>
      <w:r>
        <w:t>ладом, действовала специальная инструкция, согласно которой руководство контрольного  органа должно б</w:t>
      </w:r>
      <w:r>
        <w:t>ы</w:t>
      </w:r>
      <w:r>
        <w:t>ло классифицировать всю информацию, связанную с работой женщин на предприятиях. Мин</w:t>
      </w:r>
      <w:r>
        <w:t>и</w:t>
      </w:r>
      <w:r>
        <w:t>стерство труда и социального обеспечения уделяло особое внимание контролю за условиями труда женщин во всех сферах производства, особенно на сборочных предприятиях "макиладора", поскол</w:t>
      </w:r>
      <w:r>
        <w:t>ь</w:t>
      </w:r>
      <w:r>
        <w:t>ку большинство работающих на них составляют женщины.</w:t>
      </w:r>
    </w:p>
    <w:p w:rsidR="00000000" w:rsidRDefault="00000000">
      <w:pPr>
        <w:tabs>
          <w:tab w:val="clear" w:pos="680"/>
          <w:tab w:val="clear" w:pos="1021"/>
          <w:tab w:val="left" w:pos="454"/>
        </w:tabs>
      </w:pPr>
      <w:r>
        <w:t>43.</w:t>
      </w:r>
      <w:r>
        <w:tab/>
        <w:t>С этой целью с 1995 года и по настоящее время Министерство труда и социального обе</w:t>
      </w:r>
      <w:r>
        <w:t>с</w:t>
      </w:r>
      <w:r>
        <w:t>печения осуществляет особый контроль, который позволяет собрать информацию об условиях работы женщин на предприятиях "макиладора", а также об условиях жизни беременных же</w:t>
      </w:r>
      <w:r>
        <w:t>н</w:t>
      </w:r>
      <w:r>
        <w:t>щин и кормящих матерей.</w:t>
      </w:r>
    </w:p>
    <w:p w:rsidR="00000000" w:rsidRDefault="00000000">
      <w:pPr>
        <w:tabs>
          <w:tab w:val="clear" w:pos="680"/>
          <w:tab w:val="clear" w:pos="1021"/>
          <w:tab w:val="left" w:pos="454"/>
        </w:tabs>
      </w:pPr>
      <w:r>
        <w:t>44.</w:t>
      </w:r>
      <w:r>
        <w:tab/>
        <w:t xml:space="preserve">Во время первой </w:t>
      </w:r>
      <w:r>
        <w:rPr>
          <w:color w:val="000000"/>
        </w:rPr>
        <w:t>инспекторской проверки</w:t>
      </w:r>
      <w:r>
        <w:t xml:space="preserve"> в 1995 году в четырех штатах было обследовано </w:t>
      </w:r>
      <w:r>
        <w:br/>
        <w:t>132 государственных предприятия и собраны данные об условиях труда 113 516 труд</w:t>
      </w:r>
      <w:r>
        <w:t>я</w:t>
      </w:r>
      <w:r>
        <w:t>щихся – женщин и мужчин.</w:t>
      </w:r>
    </w:p>
    <w:p w:rsidR="00000000" w:rsidRDefault="00000000">
      <w:pPr>
        <w:tabs>
          <w:tab w:val="clear" w:pos="680"/>
          <w:tab w:val="clear" w:pos="1021"/>
          <w:tab w:val="left" w:pos="454"/>
        </w:tabs>
      </w:pPr>
      <w:r>
        <w:t>45.</w:t>
      </w:r>
      <w:r>
        <w:tab/>
        <w:t xml:space="preserve">В 1999 году было </w:t>
      </w:r>
      <w:r>
        <w:rPr>
          <w:color w:val="000000"/>
        </w:rPr>
        <w:t xml:space="preserve">проверено </w:t>
      </w:r>
      <w:r>
        <w:t>540 государственных предприятий в 12 штатах (Гуанахуато, Дуранго, Керетаро, Коауила, Нижняя Калифорния, Н</w:t>
      </w:r>
      <w:r>
        <w:t>у</w:t>
      </w:r>
      <w:r>
        <w:t>эво-Леон, Сакатекас, Сан-Луис-Потоси, Сонора, Тамаулипас, Халиско и Юк</w:t>
      </w:r>
      <w:r>
        <w:t>а</w:t>
      </w:r>
      <w:r>
        <w:t>тан), на которых работали 289 053 человека, из них 139 813 – женщины (48,37 процента). Из этих женщин 3858 были беременны и 899 – кормящими матерями. Следует подчеркнуть, что в процен</w:t>
      </w:r>
      <w:r>
        <w:t>т</w:t>
      </w:r>
      <w:r>
        <w:t>ном отношении показатель беременных женщин, работающих на предприятиях "макиладора", один из самых высоких на промышленных и иных государственных предприятиях.</w:t>
      </w:r>
    </w:p>
    <w:p w:rsidR="00000000" w:rsidRDefault="00000000">
      <w:pPr>
        <w:tabs>
          <w:tab w:val="clear" w:pos="680"/>
          <w:tab w:val="clear" w:pos="1021"/>
          <w:tab w:val="left" w:pos="454"/>
        </w:tabs>
      </w:pPr>
      <w:r>
        <w:t>46.</w:t>
      </w:r>
      <w:r>
        <w:tab/>
        <w:t>С 1996 года правительство Мексики проводит среди работодателей – же</w:t>
      </w:r>
      <w:r>
        <w:t>н</w:t>
      </w:r>
      <w:r>
        <w:t xml:space="preserve">щин и мужчин – в </w:t>
      </w:r>
      <w:r>
        <w:rPr>
          <w:color w:val="000000"/>
        </w:rPr>
        <w:t>сборочной</w:t>
      </w:r>
      <w:r>
        <w:t xml:space="preserve"> промышленности разъяснительную кампанию, имеющую целью выявление на предпр</w:t>
      </w:r>
      <w:r>
        <w:t>и</w:t>
      </w:r>
      <w:r>
        <w:t>ятиях фактов дискриминации в отношении женщин.</w:t>
      </w:r>
    </w:p>
    <w:p w:rsidR="00000000" w:rsidRDefault="00000000">
      <w:pPr>
        <w:tabs>
          <w:tab w:val="clear" w:pos="680"/>
          <w:tab w:val="clear" w:pos="1021"/>
          <w:tab w:val="left" w:pos="454"/>
        </w:tabs>
      </w:pPr>
      <w:r>
        <w:t>47.</w:t>
      </w:r>
      <w:r>
        <w:tab/>
        <w:t xml:space="preserve">Существуют также механизмы проверки выполнения законодательства предприятиями "макиладора". Среди таких механизмов – </w:t>
      </w:r>
      <w:r>
        <w:rPr>
          <w:color w:val="000000"/>
        </w:rPr>
        <w:t>Соглашение о координации де</w:t>
      </w:r>
      <w:r>
        <w:rPr>
          <w:color w:val="000000"/>
        </w:rPr>
        <w:t>й</w:t>
      </w:r>
      <w:r>
        <w:rPr>
          <w:color w:val="000000"/>
        </w:rPr>
        <w:t>ствий с предприятиями "макиладора"</w:t>
      </w:r>
      <w:r>
        <w:t xml:space="preserve">, подписанное 24 сентября 1999 года Национальным советом предприятий </w:t>
      </w:r>
      <w:r>
        <w:rPr>
          <w:color w:val="000000"/>
        </w:rPr>
        <w:t>"макиладора"</w:t>
      </w:r>
      <w:r>
        <w:t>, работающих на экспорт, и правительс</w:t>
      </w:r>
      <w:r>
        <w:t>т</w:t>
      </w:r>
      <w:r>
        <w:t>вом в лице Министерства труда и социального обеспечения. Данное соглашение обязывает обе стороны совместно разрабатывать механизмы для гарантии улучшения условий труда и производства на сборочных предприятиях страны, входящих в ассоциацию пре</w:t>
      </w:r>
      <w:r>
        <w:t>д</w:t>
      </w:r>
      <w:r>
        <w:t>приятий – участников соглашения; способствовать выполнению норм, регулирующих труд несове</w:t>
      </w:r>
      <w:r>
        <w:t>р</w:t>
      </w:r>
      <w:r>
        <w:t>шеннолетних; содействовать принятию норм, регулирующих труд  женщин в период беременности и кор</w:t>
      </w:r>
      <w:r>
        <w:t>м</w:t>
      </w:r>
      <w:r>
        <w:t>ления.</w:t>
      </w:r>
    </w:p>
    <w:p w:rsidR="00000000" w:rsidRDefault="00000000">
      <w:pPr>
        <w:tabs>
          <w:tab w:val="clear" w:pos="680"/>
          <w:tab w:val="clear" w:pos="1021"/>
          <w:tab w:val="left" w:pos="454"/>
        </w:tabs>
      </w:pPr>
      <w:r>
        <w:t>48.</w:t>
      </w:r>
      <w:r>
        <w:tab/>
        <w:t>Мексиканский институт социального страхования осуществляет меры по координации действий предприятий "макиладора" с неправительственными организациями. Так, следует отметить сотрудничество на общенациональном уровне между Мексиканской ассоциац</w:t>
      </w:r>
      <w:r>
        <w:t>и</w:t>
      </w:r>
      <w:r>
        <w:t>ей предприятий "</w:t>
      </w:r>
      <w:r>
        <w:rPr>
          <w:color w:val="000000"/>
        </w:rPr>
        <w:t xml:space="preserve">макиладора" </w:t>
      </w:r>
      <w:r>
        <w:t>и Объединенным движением пенсионеров, направленное на пр</w:t>
      </w:r>
      <w:r>
        <w:t>и</w:t>
      </w:r>
      <w:r>
        <w:t>нятие комплексных мер по улучшению положения мужчин и женщин, работающих в этом секторе.</w:t>
      </w:r>
    </w:p>
    <w:p w:rsidR="00000000" w:rsidRDefault="00000000">
      <w:pPr>
        <w:tabs>
          <w:tab w:val="clear" w:pos="680"/>
          <w:tab w:val="clear" w:pos="1021"/>
          <w:tab w:val="left" w:pos="454"/>
        </w:tabs>
      </w:pPr>
      <w:r>
        <w:t>49.</w:t>
      </w:r>
      <w:r>
        <w:tab/>
        <w:t>1 июля 1998 года Министерство труда и социального обеспечения создало Главное упра</w:t>
      </w:r>
      <w:r>
        <w:t>в</w:t>
      </w:r>
      <w:r>
        <w:t>ление по вопросам гендерного равенства – административный орган, который осуществляет пр</w:t>
      </w:r>
      <w:r>
        <w:t>о</w:t>
      </w:r>
      <w:r>
        <w:t>светительскую деятельность среди работников и работодателей – как мужчин, так и же</w:t>
      </w:r>
      <w:r>
        <w:t>н</w:t>
      </w:r>
      <w:r>
        <w:t>щин. Среди принятых мер следует выделить широкое распространение</w:t>
      </w:r>
      <w:r>
        <w:rPr>
          <w:color w:val="FFFF00"/>
        </w:rPr>
        <w:t xml:space="preserve"> </w:t>
      </w:r>
      <w:r>
        <w:t>Хартии прав и обязанностей работающих же</w:t>
      </w:r>
      <w:r>
        <w:t>н</w:t>
      </w:r>
      <w:r>
        <w:t>щин, в которой собраны основные положения, содержащиеся в действующем трудовом законодательстве.</w:t>
      </w:r>
    </w:p>
    <w:p w:rsidR="00000000" w:rsidRDefault="00000000">
      <w:pPr>
        <w:tabs>
          <w:tab w:val="clear" w:pos="680"/>
          <w:tab w:val="clear" w:pos="1021"/>
          <w:tab w:val="left" w:pos="454"/>
        </w:tabs>
      </w:pPr>
      <w:r>
        <w:t>50.</w:t>
      </w:r>
      <w:r>
        <w:tab/>
        <w:t>В соответствии со своими функциями Главное управление по вопросам гендерного равенства содействует обеспечению равных возможностей для мужчин и женщин в том, что кас</w:t>
      </w:r>
      <w:r>
        <w:t>а</w:t>
      </w:r>
      <w:r>
        <w:t>ется доступа к труду, и тем самым способствует борьбе с неравенством, а также гарантирует работающим женщинам осуществление их прав и доступ к системе социального обеспеч</w:t>
      </w:r>
      <w:r>
        <w:t>е</w:t>
      </w:r>
      <w:r>
        <w:t>ния. Кроме того, оно следит за выполнением трудового законодательства в целях предо</w:t>
      </w:r>
      <w:r>
        <w:t>т</w:t>
      </w:r>
      <w:r>
        <w:t>вращения дискриминации по признаку расы, пола, возраста, вероисповедания, политич</w:t>
      </w:r>
      <w:r>
        <w:t>е</w:t>
      </w:r>
      <w:r>
        <w:t>ских убеждений или социального положения; ведет разъяснительную работу среди же</w:t>
      </w:r>
      <w:r>
        <w:t>н</w:t>
      </w:r>
      <w:r>
        <w:t>щин, с тем чтобы они могли осуществлять и отстаивать свои права; в целях обеспечения работающим женщинам лучших условий труда способствует проведению исследований по изучению у</w:t>
      </w:r>
      <w:r>
        <w:t>с</w:t>
      </w:r>
      <w:r>
        <w:t>ловий их работы на производственных предприятиях.</w:t>
      </w:r>
    </w:p>
    <w:p w:rsidR="00000000" w:rsidRDefault="00000000">
      <w:pPr>
        <w:tabs>
          <w:tab w:val="clear" w:pos="680"/>
          <w:tab w:val="clear" w:pos="1021"/>
          <w:tab w:val="left" w:pos="454"/>
        </w:tabs>
      </w:pPr>
      <w:r>
        <w:t>51.</w:t>
      </w:r>
      <w:r>
        <w:tab/>
        <w:t>В целях выработки единого подхода к защите прав женщин в области занятости Гла</w:t>
      </w:r>
      <w:r>
        <w:t>в</w:t>
      </w:r>
      <w:r>
        <w:t>ное управление по вопросам гендерного равенства установило тесное сотрудничество с Федеральной прокуратурой по вопросам охраны труда (ПРОФЕДЕТ), с тем чтобы выявить наиболее ра</w:t>
      </w:r>
      <w:r>
        <w:t>с</w:t>
      </w:r>
      <w:r>
        <w:t>пространенные дискриминационные действия в отношении женщин со стороны работод</w:t>
      </w:r>
      <w:r>
        <w:t>а</w:t>
      </w:r>
      <w:r>
        <w:t>телей и разработать единые критерии для поддержки и консультирования женщин, пострадавших от таких дейс</w:t>
      </w:r>
      <w:r>
        <w:t>т</w:t>
      </w:r>
      <w:r>
        <w:t>вий. Центральный аппарат и 40 отделений ПРОФЕДЕТ по всей стране обеспечивают соблюдение и защиту прав раб</w:t>
      </w:r>
      <w:r>
        <w:t>о</w:t>
      </w:r>
      <w:r>
        <w:t>тающих женщин.</w:t>
      </w:r>
    </w:p>
    <w:p w:rsidR="00000000" w:rsidRDefault="00000000">
      <w:pPr>
        <w:tabs>
          <w:tab w:val="clear" w:pos="680"/>
          <w:tab w:val="clear" w:pos="1021"/>
          <w:tab w:val="left" w:pos="454"/>
        </w:tabs>
      </w:pPr>
      <w:r>
        <w:t>52.</w:t>
      </w:r>
      <w:r>
        <w:tab/>
        <w:t>Одной из первых мер, принятых Главным управлением по вопросам гендерного р</w:t>
      </w:r>
      <w:r>
        <w:t>а</w:t>
      </w:r>
      <w:r>
        <w:t>венства, было назначение в каждом из отделений Министерства труда и социального обеспечения в субъектах Федерации отве</w:t>
      </w:r>
      <w:r>
        <w:t>т</w:t>
      </w:r>
      <w:r>
        <w:t>ственного за осуществление программ по обеспечению гендерного равенства, с тем чтобы он рассматривал и направлял в Федерал</w:t>
      </w:r>
      <w:r>
        <w:t>ь</w:t>
      </w:r>
      <w:r>
        <w:t>ную и/или местную прокуратуру по вопросам охраны труда жалобы женщин на дискриминационные действия, на требование пройти тест на бер</w:t>
      </w:r>
      <w:r>
        <w:t>е</w:t>
      </w:r>
      <w:r>
        <w:t>менность, на увольнение по беременности и на сексуальные домогательства на работе. Кр</w:t>
      </w:r>
      <w:r>
        <w:t>о</w:t>
      </w:r>
      <w:r>
        <w:t>ме того, управление создало при Советах штатов по вопросам производства и конкурентоспособности (СЕПРОК) Комиссию по вопросам гендерного равенства, действу</w:t>
      </w:r>
      <w:r>
        <w:t>ю</w:t>
      </w:r>
      <w:r>
        <w:t>щую по всей стране.</w:t>
      </w:r>
    </w:p>
    <w:p w:rsidR="00000000" w:rsidRDefault="00000000">
      <w:pPr>
        <w:tabs>
          <w:tab w:val="clear" w:pos="680"/>
          <w:tab w:val="clear" w:pos="1021"/>
          <w:tab w:val="left" w:pos="454"/>
        </w:tabs>
      </w:pPr>
      <w:r>
        <w:t>53.</w:t>
      </w:r>
      <w:r>
        <w:tab/>
        <w:t>В штате Коауила, который расположен на севере страны и граничит с Соединенными Штатами Америки, в сотрудничестве с МОТ осуществляется экспериментальная</w:t>
      </w:r>
      <w:r>
        <w:rPr>
          <w:color w:val="FF0000"/>
        </w:rPr>
        <w:t xml:space="preserve"> </w:t>
      </w:r>
      <w:r>
        <w:t>программа под назв</w:t>
      </w:r>
      <w:r>
        <w:t>а</w:t>
      </w:r>
      <w:r>
        <w:t>нием "План действий по созданию новых рабочих мест и улучшению условий труда мексиканских женщин", предназначенная для работниц "макиладора", выпускающих экспортную продукцию. Программа имеет сл</w:t>
      </w:r>
      <w:r>
        <w:t>е</w:t>
      </w:r>
      <w:r>
        <w:t>дующие разделы: права трудящихся-женщин; гендерный подход к вопросам социального развития и прогресса; привлечение женщин к руководству; повышение профессиональной квалификации; улучшение подготовки по вопросам безопасности и гигиены труда. К настоящему времени в ходе реализации первого этапа программы охвачено 2500 женщин, работающих на 10 "макиладора", а среди руководителей пре</w:t>
      </w:r>
      <w:r>
        <w:t>д</w:t>
      </w:r>
      <w:r>
        <w:t>приятий, представителей профсоюзов и федеральных и/или местных инспекторов Мин</w:t>
      </w:r>
      <w:r>
        <w:t>и</w:t>
      </w:r>
      <w:r>
        <w:t>стерства труда проводилась просветительская работа по гендерной политике в области з</w:t>
      </w:r>
      <w:r>
        <w:t>а</w:t>
      </w:r>
      <w:r>
        <w:t>нятости.</w:t>
      </w:r>
    </w:p>
    <w:p w:rsidR="00000000" w:rsidRDefault="00000000">
      <w:pPr>
        <w:tabs>
          <w:tab w:val="clear" w:pos="680"/>
          <w:tab w:val="clear" w:pos="1021"/>
          <w:tab w:val="left" w:pos="454"/>
        </w:tabs>
      </w:pPr>
      <w:r>
        <w:t>54.</w:t>
      </w:r>
      <w:r>
        <w:tab/>
        <w:t>Кроме того, для определения реальной социальной цены приема на работу женщин было запланировано исследование "Стоимость труда в разбивке по полу". В связи с этим Министерство труда и социального обеспечения проводит на общенаци</w:t>
      </w:r>
      <w:r>
        <w:t>о</w:t>
      </w:r>
      <w:r>
        <w:t>нальном уровне опросы, целью которых является сбор предложений по внесению изменений в статьи 101 и 107 Закона о соц</w:t>
      </w:r>
      <w:r>
        <w:t>и</w:t>
      </w:r>
      <w:r>
        <w:t>альном страховании, с тем чтобы обеспечить более справедливое распределение между федерал</w:t>
      </w:r>
      <w:r>
        <w:t>ь</w:t>
      </w:r>
      <w:r>
        <w:t>ным правительством, предпринимателями и трудящимися расходов на оплату женщинам отпуска по беременности и родам. К настоящему времени исследование было пр</w:t>
      </w:r>
      <w:r>
        <w:t>о</w:t>
      </w:r>
      <w:r>
        <w:t>ведено в штатах Юкатан, Пуэбла, Веракрус, Кинтана-Роо, Мехико и Агуаскальентес.</w:t>
      </w:r>
    </w:p>
    <w:p w:rsidR="00000000" w:rsidRDefault="00000000">
      <w:pPr>
        <w:tabs>
          <w:tab w:val="clear" w:pos="680"/>
          <w:tab w:val="clear" w:pos="1021"/>
          <w:tab w:val="left" w:pos="454"/>
        </w:tabs>
      </w:pPr>
      <w:r>
        <w:t>55.</w:t>
      </w:r>
      <w:r>
        <w:tab/>
        <w:t>В настоящее время в стадии разработки находится исследование под названием «</w:t>
      </w:r>
      <w:r>
        <w:rPr>
          <w:color w:val="000000"/>
        </w:rPr>
        <w:t>Положение женщин, работающих на предприятиях "макиладора" на севере страны»</w:t>
      </w:r>
      <w:r>
        <w:t>. Эта работа явл</w:t>
      </w:r>
      <w:r>
        <w:t>я</w:t>
      </w:r>
      <w:r>
        <w:t>ется наглядным подтверждением намерения Министерства труда не допускать проявлений дискриминации в отношении женщин, в частности таких, как требование пройти тест на береме</w:t>
      </w:r>
      <w:r>
        <w:t>н</w:t>
      </w:r>
      <w:r>
        <w:t>ность.</w:t>
      </w:r>
    </w:p>
    <w:p w:rsidR="00000000" w:rsidRDefault="00000000">
      <w:pPr>
        <w:pStyle w:val="a0"/>
      </w:pPr>
      <w:r>
        <w:t>407.</w:t>
      </w:r>
      <w:r>
        <w:tab/>
        <w:t>Комитет просил, чтобы Министерство по вопросам аграрной реформы продолжало осуществл</w:t>
      </w:r>
      <w:r>
        <w:t>е</w:t>
      </w:r>
      <w:r>
        <w:t>ние институциональных мер, с тем чтобы убедить ассамблеи крестьянских общин выд</w:t>
      </w:r>
      <w:r>
        <w:t>е</w:t>
      </w:r>
      <w:r>
        <w:t>лить женщинам положенные им участки земли.</w:t>
      </w:r>
    </w:p>
    <w:p w:rsidR="00000000" w:rsidRDefault="00000000">
      <w:pPr>
        <w:tabs>
          <w:tab w:val="clear" w:pos="680"/>
          <w:tab w:val="clear" w:pos="1021"/>
          <w:tab w:val="left" w:pos="454"/>
        </w:tabs>
      </w:pPr>
      <w:r>
        <w:t>56.</w:t>
      </w:r>
      <w:r>
        <w:tab/>
        <w:t>В целях укрепления организации и содействия развитию сельских женщин был подготовлен док</w:t>
      </w:r>
      <w:r>
        <w:t>у</w:t>
      </w:r>
      <w:r>
        <w:t>мент, озаглавленный "</w:t>
      </w:r>
      <w:r>
        <w:rPr>
          <w:color w:val="000000"/>
        </w:rPr>
        <w:t>Положения Закона об аграрной реформе, направленные на укрепление организации и содействие развитию сельских женщин"</w:t>
      </w:r>
      <w:r>
        <w:t>, кот</w:t>
      </w:r>
      <w:r>
        <w:t>о</w:t>
      </w:r>
      <w:r>
        <w:t>рый был опубликован 8 мая 1998 года в "Диарио Офисиаль де ла Федерасьон".</w:t>
      </w:r>
    </w:p>
    <w:p w:rsidR="00000000" w:rsidRDefault="00000000">
      <w:pPr>
        <w:tabs>
          <w:tab w:val="clear" w:pos="680"/>
          <w:tab w:val="clear" w:pos="1021"/>
          <w:tab w:val="left" w:pos="454"/>
        </w:tabs>
      </w:pPr>
      <w:r>
        <w:t>57.</w:t>
      </w:r>
      <w:r>
        <w:tab/>
        <w:t>В данном документе четко регламентируются создание, организация и деятельность агропр</w:t>
      </w:r>
      <w:r>
        <w:t>о</w:t>
      </w:r>
      <w:r>
        <w:t>мышленных объединений сельских женщин. Выполнение его положений находится в в</w:t>
      </w:r>
      <w:r>
        <w:t>е</w:t>
      </w:r>
      <w:r>
        <w:t>дении Министерства по вопросам аграрной реформы.</w:t>
      </w:r>
    </w:p>
    <w:p w:rsidR="00000000" w:rsidRDefault="00000000">
      <w:pPr>
        <w:tabs>
          <w:tab w:val="clear" w:pos="680"/>
          <w:tab w:val="clear" w:pos="1021"/>
          <w:tab w:val="left" w:pos="454"/>
        </w:tabs>
      </w:pPr>
      <w:r>
        <w:t>58.</w:t>
      </w:r>
      <w:r>
        <w:tab/>
        <w:t>Предусмотренные законом агропромышленные объединения женщин могут создават</w:t>
      </w:r>
      <w:r>
        <w:t>ь</w:t>
      </w:r>
      <w:r>
        <w:t>ся женщинами старше 16 лет, которые являются членами крестьянских общин, жен</w:t>
      </w:r>
      <w:r>
        <w:t>а</w:t>
      </w:r>
      <w:r>
        <w:t>ми – зарегистрированными или гражданскими – или женщинами, состоящими в прямом кровном родстве с членами крестьянских общин либо их родственницами по побочной линии до вт</w:t>
      </w:r>
      <w:r>
        <w:t>о</w:t>
      </w:r>
      <w:r>
        <w:t>рого колена.</w:t>
      </w:r>
    </w:p>
    <w:p w:rsidR="00000000" w:rsidRDefault="00000000">
      <w:pPr>
        <w:tabs>
          <w:tab w:val="clear" w:pos="680"/>
          <w:tab w:val="clear" w:pos="1021"/>
          <w:tab w:val="left" w:pos="454"/>
        </w:tabs>
      </w:pPr>
      <w:r>
        <w:t>59.</w:t>
      </w:r>
      <w:r>
        <w:tab/>
        <w:t>Закон предусматривает принятие упреждающих мер во избежание исчезновения сельскохозяйственных объединений и системы крестьянских общин. Закон предписывает выдачу сертификата на земельный участок, если собрание общины выделяет с целью создания соответствующего объединения участок, прилегающий к городским районам. В случаях, когда речь идет о городских пустырях, право на владение участком надлежит пер</w:t>
      </w:r>
      <w:r>
        <w:t>е</w:t>
      </w:r>
      <w:r>
        <w:t>дать объединению.</w:t>
      </w:r>
    </w:p>
    <w:p w:rsidR="00000000" w:rsidRDefault="00000000">
      <w:pPr>
        <w:tabs>
          <w:tab w:val="clear" w:pos="680"/>
          <w:tab w:val="clear" w:pos="1021"/>
          <w:tab w:val="left" w:pos="454"/>
        </w:tabs>
      </w:pPr>
      <w:r>
        <w:t>60.</w:t>
      </w:r>
      <w:r>
        <w:tab/>
        <w:t>Согласно данным Национального сельскохозяйственного реестра, в 1999 году в работе 26 процентов административных советов сельских производственных комп</w:t>
      </w:r>
      <w:r>
        <w:t>а</w:t>
      </w:r>
      <w:r>
        <w:t>ний принимала участие, по крайней мере, одна женщина. На руководящих должностях компаний около 8 процентов женщин з</w:t>
      </w:r>
      <w:r>
        <w:t>а</w:t>
      </w:r>
      <w:r>
        <w:t xml:space="preserve">нимали пост председателя, </w:t>
      </w:r>
      <w:r>
        <w:br/>
        <w:t>13,8 процента – секретаря правления и 15,2 процента – кассира.</w:t>
      </w:r>
    </w:p>
    <w:p w:rsidR="00000000" w:rsidRDefault="00000000">
      <w:pPr>
        <w:pStyle w:val="a0"/>
      </w:pPr>
      <w:r>
        <w:t>408. Комитет рекомендовал правительству оценить целесообразность пересмотра закон</w:t>
      </w:r>
      <w:r>
        <w:t>о</w:t>
      </w:r>
      <w:r>
        <w:t xml:space="preserve">дательства, запрещающего аборты, и предложил подумать о возможности разрешения на применение в стране контрацептива </w:t>
      </w:r>
      <w:r>
        <w:rPr>
          <w:lang w:val="es-ES"/>
        </w:rPr>
        <w:t>RU486,</w:t>
      </w:r>
      <w:r>
        <w:t xml:space="preserve"> отличающегося не только экономичностью, но и простотой в употреблении.</w:t>
      </w:r>
    </w:p>
    <w:p w:rsidR="00000000" w:rsidRDefault="00000000">
      <w:pPr>
        <w:tabs>
          <w:tab w:val="clear" w:pos="680"/>
          <w:tab w:val="clear" w:pos="1021"/>
          <w:tab w:val="left" w:pos="454"/>
        </w:tabs>
      </w:pPr>
      <w:r>
        <w:t>61.</w:t>
      </w:r>
      <w:r>
        <w:tab/>
        <w:t>В Мексике аборты преследуются по закону (кроме случаев, предусмотренных в закон</w:t>
      </w:r>
      <w:r>
        <w:t>о</w:t>
      </w:r>
      <w:r>
        <w:t>дательстве) в соответствии с уголовными кодексами административных единиц госуда</w:t>
      </w:r>
      <w:r>
        <w:t>р</w:t>
      </w:r>
      <w:r>
        <w:t>ства. Однако в уголовных кодексах существуют большие расхождения относительно причин, по которым аборт разрешен. Так, например, во всех 32 уголовных кодексах фед</w:t>
      </w:r>
      <w:r>
        <w:t>е</w:t>
      </w:r>
      <w:r>
        <w:t xml:space="preserve">ральных штатов есть положение, признающее законность аборта в случае, если </w:t>
      </w:r>
      <w:r>
        <w:rPr>
          <w:color w:val="000000"/>
        </w:rPr>
        <w:t xml:space="preserve">он имел место вследствие небрежности или неправомерных действий матери, </w:t>
      </w:r>
      <w:r>
        <w:t>и в случаях, когда беременность является следствием изнасилования. В 29 штатах уголовные кодексы д</w:t>
      </w:r>
      <w:r>
        <w:t>о</w:t>
      </w:r>
      <w:r>
        <w:t>пускают аборт, если беременность угрожает жизни матери. В 12 субъектах Федерации аборт не преследуется по закону, если было установлено, что эмбрион имеет врожденные патологии. В уголовных кодексах 10 штатов аборт не является уголовно наказуемым деянием, если береме</w:t>
      </w:r>
      <w:r>
        <w:t>н</w:t>
      </w:r>
      <w:r>
        <w:t>ность наносит тяжелый ущерб здоровью матери. И наконец, уголовный кодекс только о</w:t>
      </w:r>
      <w:r>
        <w:t>д</w:t>
      </w:r>
      <w:r>
        <w:t>ного штата разрешает аборт по причинам социально-экономического характера, если у м</w:t>
      </w:r>
      <w:r>
        <w:t>а</w:t>
      </w:r>
      <w:r>
        <w:t>тери уже есть трое или более детей.</w:t>
      </w:r>
    </w:p>
    <w:p w:rsidR="00000000" w:rsidRDefault="00000000">
      <w:pPr>
        <w:tabs>
          <w:tab w:val="clear" w:pos="680"/>
          <w:tab w:val="clear" w:pos="1021"/>
          <w:tab w:val="left" w:pos="454"/>
        </w:tabs>
      </w:pPr>
      <w:r>
        <w:t>62.</w:t>
      </w:r>
      <w:r>
        <w:tab/>
        <w:t>В соответствии с рекомендацией, содержащейся в пункте 426 доклада Комитета А/53/38/</w:t>
      </w:r>
      <w:r>
        <w:rPr>
          <w:lang w:val="es-ES"/>
        </w:rPr>
        <w:t>Rev.1</w:t>
      </w:r>
      <w:r>
        <w:t>, в настоящем докладе содержится больше соотве</w:t>
      </w:r>
      <w:r>
        <w:t>т</w:t>
      </w:r>
      <w:r>
        <w:t>ствующей информации, равно как и в части, касающейся применения статьи 12 Конвенции.</w:t>
      </w:r>
    </w:p>
    <w:p w:rsidR="00000000" w:rsidRDefault="00000000">
      <w:pPr>
        <w:tabs>
          <w:tab w:val="clear" w:pos="680"/>
          <w:tab w:val="clear" w:pos="1021"/>
          <w:tab w:val="left" w:pos="454"/>
        </w:tabs>
      </w:pPr>
      <w:r>
        <w:t>63.</w:t>
      </w:r>
      <w:r>
        <w:tab/>
        <w:t>Следует отметить, что использование в Мексике таких фармаколог</w:t>
      </w:r>
      <w:r>
        <w:t>и</w:t>
      </w:r>
      <w:r>
        <w:t>ческих средств прерывания беременности, как</w:t>
      </w:r>
      <w:r>
        <w:rPr>
          <w:color w:val="FF0000"/>
          <w:lang w:val="es-ES"/>
        </w:rPr>
        <w:t xml:space="preserve"> </w:t>
      </w:r>
      <w:r>
        <w:rPr>
          <w:color w:val="000000"/>
          <w:lang w:val="es-ES"/>
        </w:rPr>
        <w:t>антипрогестин Mifepristona (RU486) и простагландин,</w:t>
      </w:r>
      <w:r>
        <w:rPr>
          <w:color w:val="FF0000"/>
          <w:lang w:val="es-ES"/>
        </w:rPr>
        <w:t xml:space="preserve"> </w:t>
      </w:r>
      <w:r>
        <w:t xml:space="preserve">пока не представляется возможным, поскольку </w:t>
      </w:r>
      <w:r>
        <w:rPr>
          <w:color w:val="000000"/>
        </w:rPr>
        <w:t xml:space="preserve">органы сертификации лекарств </w:t>
      </w:r>
      <w:r>
        <w:t>не получали запроса о регистрации данных препар</w:t>
      </w:r>
      <w:r>
        <w:t>а</w:t>
      </w:r>
      <w:r>
        <w:t>тов.</w:t>
      </w:r>
    </w:p>
    <w:p w:rsidR="00000000" w:rsidRDefault="00000000">
      <w:pPr>
        <w:pStyle w:val="a0"/>
      </w:pPr>
      <w:r>
        <w:t>409. Комитет просил включить в следующий доклад информацию о результатах осуществления программ сокращения темпов роста подростковой береме</w:t>
      </w:r>
      <w:r>
        <w:t>н</w:t>
      </w:r>
      <w:r>
        <w:t>ности и ее предотвращения.</w:t>
      </w:r>
    </w:p>
    <w:p w:rsidR="00000000" w:rsidRDefault="00000000">
      <w:pPr>
        <w:tabs>
          <w:tab w:val="clear" w:pos="680"/>
          <w:tab w:val="clear" w:pos="1021"/>
          <w:tab w:val="left" w:pos="454"/>
        </w:tabs>
      </w:pPr>
      <w:r>
        <w:t>64.</w:t>
      </w:r>
      <w:r>
        <w:tab/>
        <w:t>Основные программы по охране репродуктивного здоровья подростков предусматривают как предоставление медицинских услуг, так и осуществление информационной, воспитательной и просветительской деятельности по вопр</w:t>
      </w:r>
      <w:r>
        <w:t>о</w:t>
      </w:r>
      <w:r>
        <w:t>сам сексуальных отношений, планирования размера семьи и регулирования численности нас</w:t>
      </w:r>
      <w:r>
        <w:t>е</w:t>
      </w:r>
      <w:r>
        <w:t>ления.</w:t>
      </w:r>
    </w:p>
    <w:p w:rsidR="00000000" w:rsidRDefault="00000000">
      <w:pPr>
        <w:tabs>
          <w:tab w:val="clear" w:pos="680"/>
          <w:tab w:val="clear" w:pos="1021"/>
          <w:tab w:val="left" w:pos="454"/>
        </w:tabs>
      </w:pPr>
      <w:r>
        <w:t>65.</w:t>
      </w:r>
      <w:r>
        <w:tab/>
        <w:t>Особой задачей органов здравоохранения в этой области является своевременное ознакомление подростков с вопросами сексуального развития, репродукции человека, контраце</w:t>
      </w:r>
      <w:r>
        <w:t>п</w:t>
      </w:r>
      <w:r>
        <w:t>ции и репродуктивного здоровья в целом, с тем чтобы юноши и девушки могли с необходимой степенью независимости и отве</w:t>
      </w:r>
      <w:r>
        <w:t>т</w:t>
      </w:r>
      <w:r>
        <w:t>ственности вступать в безопасные сексуальные контакты, а также отсрочить время рождения первого ребенка и избежать нежелательной б</w:t>
      </w:r>
      <w:r>
        <w:t>е</w:t>
      </w:r>
      <w:r>
        <w:t>ременности.</w:t>
      </w:r>
    </w:p>
    <w:p w:rsidR="00000000" w:rsidRDefault="00000000">
      <w:pPr>
        <w:tabs>
          <w:tab w:val="clear" w:pos="680"/>
          <w:tab w:val="clear" w:pos="1021"/>
          <w:tab w:val="left" w:pos="454"/>
        </w:tabs>
      </w:pPr>
      <w:r>
        <w:t>66.</w:t>
      </w:r>
      <w:r>
        <w:tab/>
        <w:t>Государственные медицинские учреждения, иногда при поддержке неправительственных организаций, проводили активную просветительскую деятельность среди соответс</w:t>
      </w:r>
      <w:r>
        <w:t>т</w:t>
      </w:r>
      <w:r>
        <w:t>вующих служб в целях обеспечения подросткам и молодежи квалифицированной п</w:t>
      </w:r>
      <w:r>
        <w:t>о</w:t>
      </w:r>
      <w:r>
        <w:t>мощи и консультирования по вопросам репродуктивного здоровья.</w:t>
      </w:r>
    </w:p>
    <w:p w:rsidR="00000000" w:rsidRDefault="00000000">
      <w:pPr>
        <w:tabs>
          <w:tab w:val="clear" w:pos="680"/>
          <w:tab w:val="clear" w:pos="1021"/>
          <w:tab w:val="left" w:pos="454"/>
        </w:tabs>
      </w:pPr>
      <w:r>
        <w:t>67.</w:t>
      </w:r>
      <w:r>
        <w:tab/>
      </w:r>
      <w:r>
        <w:rPr>
          <w:color w:val="000000"/>
        </w:rPr>
        <w:t>Главное управление по охране материнства</w:t>
      </w:r>
      <w:r>
        <w:rPr>
          <w:color w:val="FF0000"/>
        </w:rPr>
        <w:t xml:space="preserve"> </w:t>
      </w:r>
      <w:r>
        <w:t>Министерства здравоохран</w:t>
      </w:r>
      <w:r>
        <w:t>е</w:t>
      </w:r>
      <w:r>
        <w:t>ния совместно с различными учреждениями, работающими в этой области, осуществляет Программу о</w:t>
      </w:r>
      <w:r>
        <w:t>х</w:t>
      </w:r>
      <w:r>
        <w:t>раны сексуального и репродуктивного здоровья подростков. Эта государственная программа – первая в мире программа в области здравоохранен</w:t>
      </w:r>
      <w:r>
        <w:t>и</w:t>
      </w:r>
      <w:r>
        <w:t>я, специально рассчитанная на подростков и молодежь, – начала реализовываться в 1994 году. Ее главной целью является выработка комплексного подхода к обеспечению и защите прав подростков на получение информации, образования и медицинских у</w:t>
      </w:r>
      <w:r>
        <w:t>с</w:t>
      </w:r>
      <w:r>
        <w:t>луг, связанных с охраной репродуктивного здоровья, с тем чтобы эта возрастная группа населения с большей ответс</w:t>
      </w:r>
      <w:r>
        <w:t>т</w:t>
      </w:r>
      <w:r>
        <w:t>венностью относилась к вступлению во взрослую жизнь и делала это независимо, осознанно и безопасно для своего здор</w:t>
      </w:r>
      <w:r>
        <w:t>о</w:t>
      </w:r>
      <w:r>
        <w:t>вья.</w:t>
      </w:r>
    </w:p>
    <w:p w:rsidR="00000000" w:rsidRDefault="00000000">
      <w:pPr>
        <w:tabs>
          <w:tab w:val="clear" w:pos="680"/>
          <w:tab w:val="clear" w:pos="1021"/>
          <w:tab w:val="left" w:pos="454"/>
        </w:tabs>
      </w:pPr>
      <w:r>
        <w:t>68.</w:t>
      </w:r>
      <w:r>
        <w:tab/>
        <w:t>Услуги, которые предусмотрены в рамках Программы охраны сексуального и репродуктивного здоровья подростков, предоставляются межведомс</w:t>
      </w:r>
      <w:r>
        <w:t>т</w:t>
      </w:r>
      <w:r>
        <w:t xml:space="preserve">венными группами, в которых участвуют врачи, медицинские сестры, работники социальных служб, а иногда психологи. Комплекс услуг охватывает три направления: </w:t>
      </w:r>
      <w:r>
        <w:br/>
        <w:t>1) репродуктивное здоровье; 2) профилактику заболеваний, передаваемых половым путем, включая заболев</w:t>
      </w:r>
      <w:r>
        <w:t>а</w:t>
      </w:r>
      <w:r>
        <w:t xml:space="preserve">ния, вызванные вирусом приобретенного иммунодефицита и вирусом папилломы человека; и </w:t>
      </w:r>
      <w:r>
        <w:br/>
        <w:t>3) предотвращение различных видов зависимости, таких как табакокурение, алкоголизм, употребление незаконных наркотиков и злоупотребление ими.</w:t>
      </w:r>
    </w:p>
    <w:p w:rsidR="00000000" w:rsidRDefault="00000000">
      <w:pPr>
        <w:tabs>
          <w:tab w:val="clear" w:pos="680"/>
          <w:tab w:val="clear" w:pos="1021"/>
          <w:tab w:val="left" w:pos="454"/>
        </w:tabs>
      </w:pPr>
      <w:r>
        <w:t>69.</w:t>
      </w:r>
      <w:r>
        <w:tab/>
        <w:t>Важным аспектом Программы стали предоставление подросткам квалифицированной помощи и сертификация таких учр</w:t>
      </w:r>
      <w:r>
        <w:t>е</w:t>
      </w:r>
      <w:r>
        <w:t>ждений, как "Больница – друг матери и ребенка", где беременным девочкам-подросткам оказывается помощь в дор</w:t>
      </w:r>
      <w:r>
        <w:t>о</w:t>
      </w:r>
      <w:r>
        <w:t>довой период с учетом соответствующих факторов риска, поощряются практика грудного вскармливания и совместн</w:t>
      </w:r>
      <w:r>
        <w:t>о</w:t>
      </w:r>
      <w:r>
        <w:t>го размещения в одной палате матери и новорожденного.</w:t>
      </w:r>
    </w:p>
    <w:p w:rsidR="00000000" w:rsidRDefault="00000000">
      <w:pPr>
        <w:tabs>
          <w:tab w:val="clear" w:pos="680"/>
          <w:tab w:val="clear" w:pos="1021"/>
          <w:tab w:val="left" w:pos="454"/>
        </w:tabs>
      </w:pPr>
      <w:r>
        <w:t>70.</w:t>
      </w:r>
      <w:r>
        <w:tab/>
        <w:t>В соответствии с Программой охраны сексуального и репродуктивного здоровья подростков на постоянной основе осуществляется кампания по информированию, воспитанию и просвещению населения и одновременно ра</w:t>
      </w:r>
      <w:r>
        <w:t>з</w:t>
      </w:r>
      <w:r>
        <w:t>рабатываются меры по специальной подготовке работников здравоохранения, с тем чтобы они могли предоставлять молодежи соответствующие информ</w:t>
      </w:r>
      <w:r>
        <w:t>а</w:t>
      </w:r>
      <w:r>
        <w:t>цию и услуги. В качестве пособий были сняты видеофильмы на темы "Заболевания, передаваемые половым путем", "Как пользоваться презерват</w:t>
      </w:r>
      <w:r>
        <w:t>и</w:t>
      </w:r>
      <w:r>
        <w:t>вами" и "Нежелательная беременность", изданы плакаты, просветительские брошюры и другие пос</w:t>
      </w:r>
      <w:r>
        <w:t>о</w:t>
      </w:r>
      <w:r>
        <w:t>бия, организованы передвижные стенды.</w:t>
      </w:r>
    </w:p>
    <w:p w:rsidR="00000000" w:rsidRDefault="00000000">
      <w:pPr>
        <w:tabs>
          <w:tab w:val="clear" w:pos="680"/>
          <w:tab w:val="clear" w:pos="1021"/>
          <w:tab w:val="left" w:pos="454"/>
        </w:tabs>
      </w:pPr>
      <w:r>
        <w:t>71.</w:t>
      </w:r>
      <w:r>
        <w:tab/>
        <w:t>Кроме того, в рамках Программы проводятся беседы с родителями и работающим с детьми пе</w:t>
      </w:r>
      <w:r>
        <w:t>р</w:t>
      </w:r>
      <w:r>
        <w:t>соналом по вопросам безопасных сексуальных контактов подростков, предотвращения заболеваний, передаваемых половым путем, и ответственного использов</w:t>
      </w:r>
      <w:r>
        <w:t>а</w:t>
      </w:r>
      <w:r>
        <w:t>ния методов контрацепции, с тем чтобы они могли вести соответствующую воспитательную работу со своими детьми или учениками, как девочками, так и мальчиками.</w:t>
      </w:r>
    </w:p>
    <w:p w:rsidR="00000000" w:rsidRDefault="00000000">
      <w:pPr>
        <w:tabs>
          <w:tab w:val="clear" w:pos="680"/>
          <w:tab w:val="clear" w:pos="1021"/>
          <w:tab w:val="left" w:pos="454"/>
        </w:tabs>
      </w:pPr>
      <w:r>
        <w:t>72.</w:t>
      </w:r>
      <w:r>
        <w:tab/>
        <w:t>Для того чтобы получить данные о ходе выполнения Программы, Министерство здравоохранения провело исследование по итогам первых четырех лет ее действия. Исследование было проведено независимым агентс</w:t>
      </w:r>
      <w:r>
        <w:t>т</w:t>
      </w:r>
      <w:r>
        <w:t xml:space="preserve">вом, </w:t>
      </w:r>
      <w:r>
        <w:rPr>
          <w:color w:val="000000"/>
        </w:rPr>
        <w:t xml:space="preserve">с репрезентативной выборкой, </w:t>
      </w:r>
      <w:r>
        <w:t>в 10 субъектах Федерации. Его результаты пок</w:t>
      </w:r>
      <w:r>
        <w:t>а</w:t>
      </w:r>
      <w:r>
        <w:t>зали, что создание предусмотренных Программой служб способствовало повышению уровня осведомленности подростков, обучающихся в школах, по вопросам сексуального воспитания и репродукции человека; значител</w:t>
      </w:r>
      <w:r>
        <w:t>ь</w:t>
      </w:r>
      <w:r>
        <w:t>но возросло использование противозачаточных средств подростками, имеющими сексуальные контакты; и услуги, предоставляемые в медици</w:t>
      </w:r>
      <w:r>
        <w:t>н</w:t>
      </w:r>
      <w:r>
        <w:t>ских центрах и больницах, были хорошо восприняты населением.</w:t>
      </w:r>
    </w:p>
    <w:p w:rsidR="00000000" w:rsidRDefault="00000000">
      <w:pPr>
        <w:tabs>
          <w:tab w:val="clear" w:pos="680"/>
          <w:tab w:val="clear" w:pos="1021"/>
          <w:tab w:val="left" w:pos="454"/>
        </w:tabs>
      </w:pPr>
      <w:r>
        <w:t>73.</w:t>
      </w:r>
      <w:r>
        <w:tab/>
        <w:t>Среди других мер, принятых учреждениями, входящими в Межведомс</w:t>
      </w:r>
      <w:r>
        <w:t>т</w:t>
      </w:r>
      <w:r>
        <w:t>венную группу по охране репродуктивного здоровья, можно отметить сл</w:t>
      </w:r>
      <w:r>
        <w:t>е</w:t>
      </w:r>
      <w:r>
        <w:t>дующие:</w:t>
      </w:r>
    </w:p>
    <w:p w:rsidR="00000000" w:rsidRDefault="00000000">
      <w:pPr>
        <w:tabs>
          <w:tab w:val="clear" w:pos="680"/>
          <w:tab w:val="clear" w:pos="1021"/>
          <w:tab w:val="left" w:pos="454"/>
        </w:tabs>
      </w:pPr>
      <w:r>
        <w:t>74.</w:t>
      </w:r>
      <w:r>
        <w:tab/>
      </w:r>
      <w:r>
        <w:rPr>
          <w:color w:val="000000"/>
        </w:rPr>
        <w:t>Программа по предотвращению подростковой беременности и комплек</w:t>
      </w:r>
      <w:r>
        <w:rPr>
          <w:color w:val="000000"/>
        </w:rPr>
        <w:t>с</w:t>
      </w:r>
      <w:r>
        <w:rPr>
          <w:color w:val="000000"/>
        </w:rPr>
        <w:t>ной помощи несовершеннолетним матерям</w:t>
      </w:r>
      <w:r>
        <w:t>, разработанная Национальной системой ко</w:t>
      </w:r>
      <w:r>
        <w:t>м</w:t>
      </w:r>
      <w:r>
        <w:t>плексного развития семьи (ДИФ), с тем чтобы информировать подростков об опасности ранней беременности, а беременных девушек-подростков и несовершеннолетних матерей – о различных аспектах материнства и оказывать им п</w:t>
      </w:r>
      <w:r>
        <w:t>о</w:t>
      </w:r>
      <w:r>
        <w:t>мощь в плане повышения их уровня жизни и уровня жизни их детей. Эта программа является частью Программы комплексного развития подростков, в рамках к</w:t>
      </w:r>
      <w:r>
        <w:t>о</w:t>
      </w:r>
      <w:r>
        <w:t>торой были разработаны меры по осуществлению просветительской деятельности среди пе</w:t>
      </w:r>
      <w:r>
        <w:t>р</w:t>
      </w:r>
      <w:r>
        <w:t>сонала, работающего с подростками. В этих целях были изданы пособия, учебные матери</w:t>
      </w:r>
      <w:r>
        <w:t>а</w:t>
      </w:r>
      <w:r>
        <w:t>лы, брошюры и книги, которые распространялись в представительствах ДИФ по всей стране и среди государственных и негосударственных воспитательных учре</w:t>
      </w:r>
      <w:r>
        <w:t>ж</w:t>
      </w:r>
      <w:r>
        <w:t>дений.</w:t>
      </w:r>
    </w:p>
    <w:p w:rsidR="00000000" w:rsidRDefault="00000000">
      <w:pPr>
        <w:tabs>
          <w:tab w:val="clear" w:pos="680"/>
          <w:tab w:val="clear" w:pos="1021"/>
          <w:tab w:val="left" w:pos="454"/>
        </w:tabs>
      </w:pPr>
      <w:r>
        <w:t>75.</w:t>
      </w:r>
      <w:r>
        <w:tab/>
        <w:t>Программа профилактики и комплексной помощи несовершеннолетним матерям была разработана различными специалистами в области медицины, психологии, права, социальной помощи, а также по вопросам сексуальных и семейных отношений, работающими как в ДИФ, так и в Национальном автономном униве</w:t>
      </w:r>
      <w:r>
        <w:t>р</w:t>
      </w:r>
      <w:r>
        <w:t>ситете Мексики (УНАМ), Автономном университете Мехико (УАМ), Ко</w:t>
      </w:r>
      <w:r>
        <w:t>л</w:t>
      </w:r>
      <w:r>
        <w:t>ледже Мехико и других учреждениях.</w:t>
      </w:r>
    </w:p>
    <w:p w:rsidR="00000000" w:rsidRDefault="00000000">
      <w:pPr>
        <w:tabs>
          <w:tab w:val="clear" w:pos="680"/>
          <w:tab w:val="clear" w:pos="1021"/>
          <w:tab w:val="left" w:pos="454"/>
        </w:tabs>
      </w:pPr>
      <w:r>
        <w:t>76.</w:t>
      </w:r>
      <w:r>
        <w:tab/>
        <w:t>Что касается профилактической деятельности, то Программа действует в 229 муниципалитетах 28 штатов страны, где были созданы 713 групп самоп</w:t>
      </w:r>
      <w:r>
        <w:t>о</w:t>
      </w:r>
      <w:r>
        <w:t>мощи, в которых приняли участие более 6500 матерей-подростков и их партн</w:t>
      </w:r>
      <w:r>
        <w:t>е</w:t>
      </w:r>
      <w:r>
        <w:t>ров.</w:t>
      </w:r>
    </w:p>
    <w:p w:rsidR="00000000" w:rsidRDefault="00000000">
      <w:pPr>
        <w:tabs>
          <w:tab w:val="clear" w:pos="680"/>
          <w:tab w:val="clear" w:pos="1021"/>
          <w:tab w:val="left" w:pos="454"/>
        </w:tabs>
      </w:pPr>
      <w:r>
        <w:t>77.</w:t>
      </w:r>
      <w:r>
        <w:tab/>
        <w:t>В отношении деятельности по оказанию помощи следует отметить, что Программа охватывает две группы населения. Первая группа – учащиеся. Это направление Пр</w:t>
      </w:r>
      <w:r>
        <w:t>о</w:t>
      </w:r>
      <w:r>
        <w:t>граммы распространяется на 112 муниципалитетов 19 штатов Мексики, где были созданы 417 групп, оказавших помощь б</w:t>
      </w:r>
      <w:r>
        <w:t>о</w:t>
      </w:r>
      <w:r>
        <w:t>лее чем 17 тыс. молодых людей обоих полов. Вторая группа – молодежь, не посещающая учебные заведения. Применительно к данной группе населения Программа действует в 156 муниципалитетах 17 штатов; помощь в предотвращении нежелательной бер</w:t>
      </w:r>
      <w:r>
        <w:t>е</w:t>
      </w:r>
      <w:r>
        <w:t>менности оказана более чем 14 тыс. подростков обоих полов.</w:t>
      </w:r>
    </w:p>
    <w:p w:rsidR="00000000" w:rsidRDefault="00000000">
      <w:pPr>
        <w:tabs>
          <w:tab w:val="clear" w:pos="680"/>
          <w:tab w:val="clear" w:pos="1021"/>
          <w:tab w:val="left" w:pos="454"/>
        </w:tabs>
      </w:pPr>
      <w:r>
        <w:t>78.</w:t>
      </w:r>
      <w:r>
        <w:tab/>
        <w:t>ДИФ в сотрудничестве с Детским фондом Организации Объединенных Наций (ЮНИСЕФ), НКЖ, Комиссией по правам ч</w:t>
      </w:r>
      <w:r>
        <w:t>е</w:t>
      </w:r>
      <w:r>
        <w:t xml:space="preserve">ловека федерального округа и Национальной комиссией по правам человека разработала </w:t>
      </w:r>
      <w:r>
        <w:rPr>
          <w:color w:val="000000"/>
        </w:rPr>
        <w:t>Юридический справочник для несовершеннолетних матерей и отцов,</w:t>
      </w:r>
      <w:r>
        <w:t xml:space="preserve"> целью к</w:t>
      </w:r>
      <w:r>
        <w:t>о</w:t>
      </w:r>
      <w:r>
        <w:t xml:space="preserve">торого является ознакомление беременных девочек-подростков и их </w:t>
      </w:r>
      <w:r>
        <w:rPr>
          <w:color w:val="000000"/>
        </w:rPr>
        <w:t>партнеров</w:t>
      </w:r>
      <w:r>
        <w:t xml:space="preserve"> с их правами, поскольку действующие законы гарантируют им право на досто</w:t>
      </w:r>
      <w:r>
        <w:t>й</w:t>
      </w:r>
      <w:r>
        <w:t>ную жизнь и уважение окружающих, а также на участие в жизни общества.</w:t>
      </w:r>
    </w:p>
    <w:p w:rsidR="00000000" w:rsidRDefault="00000000">
      <w:pPr>
        <w:tabs>
          <w:tab w:val="clear" w:pos="680"/>
          <w:tab w:val="clear" w:pos="1021"/>
          <w:tab w:val="left" w:pos="454"/>
        </w:tabs>
      </w:pPr>
      <w:r>
        <w:t>79.</w:t>
      </w:r>
      <w:r>
        <w:tab/>
        <w:t>Мексиканский институт социального страхования (</w:t>
      </w:r>
      <w:r>
        <w:rPr>
          <w:color w:val="000000"/>
        </w:rPr>
        <w:t xml:space="preserve">ИМСС) </w:t>
      </w:r>
      <w:r>
        <w:t xml:space="preserve">осуществляет </w:t>
      </w:r>
      <w:r>
        <w:rPr>
          <w:color w:val="000000"/>
        </w:rPr>
        <w:t>Комплексную программу помощи подросткам</w:t>
      </w:r>
      <w:r>
        <w:t>, н</w:t>
      </w:r>
      <w:r>
        <w:t>а</w:t>
      </w:r>
      <w:r>
        <w:t>правленную на обеспечение холистического подхода к подростковой проблематике; основные меры по охране здоровья подростков принимаются с учетом их окружения, биолого-психологических и социальных факторов, к</w:t>
      </w:r>
      <w:r>
        <w:t>о</w:t>
      </w:r>
      <w:r>
        <w:t>торые учитываются также при проведении исследований и подготовке соответствующего персонала. Главной целью программы является улучшение сексуального и репродуктивного здоровья подростков посредством обеспечения для них возможности свободно и ответственно осущест</w:t>
      </w:r>
      <w:r>
        <w:t>в</w:t>
      </w:r>
      <w:r>
        <w:t>лять свои права, особенно в том, что касается предотвращения заболеваний, п</w:t>
      </w:r>
      <w:r>
        <w:t>е</w:t>
      </w:r>
      <w:r>
        <w:t>редаваемых половым путем, ВИЧ/СПИДа и нежелательной беременности.</w:t>
      </w:r>
    </w:p>
    <w:p w:rsidR="00000000" w:rsidRDefault="00000000">
      <w:pPr>
        <w:tabs>
          <w:tab w:val="clear" w:pos="680"/>
          <w:tab w:val="clear" w:pos="1021"/>
          <w:tab w:val="left" w:pos="454"/>
        </w:tabs>
      </w:pPr>
      <w:r>
        <w:t>80.</w:t>
      </w:r>
      <w:r>
        <w:tab/>
        <w:t xml:space="preserve">В рамках программы </w:t>
      </w:r>
      <w:r>
        <w:rPr>
          <w:color w:val="000000"/>
        </w:rPr>
        <w:t xml:space="preserve">ИМСС – </w:t>
      </w:r>
      <w:r>
        <w:t>Солидарность осуществляется модель комплексной помощи подросткам, как мальчикам, так и девочкам, направленная на охрану здоровья этой гру</w:t>
      </w:r>
      <w:r>
        <w:t>п</w:t>
      </w:r>
      <w:r>
        <w:t xml:space="preserve">пы населения, при этом особый упор делается на репродуктивное здоровье, которое понимается как способность отдельного человека и </w:t>
      </w:r>
      <w:r>
        <w:rPr>
          <w:color w:val="000000"/>
        </w:rPr>
        <w:t>семейных</w:t>
      </w:r>
      <w:r>
        <w:t xml:space="preserve"> пар вести нормальную и безопасную сексуальную жизнь и иметь нормальное репродуктивное здоровье. Реализуя Программу просвещения </w:t>
      </w:r>
      <w:r>
        <w:rPr>
          <w:color w:val="000000"/>
        </w:rPr>
        <w:t>подростков из сел</w:t>
      </w:r>
      <w:r>
        <w:rPr>
          <w:color w:val="000000"/>
        </w:rPr>
        <w:t>ь</w:t>
      </w:r>
      <w:r>
        <w:rPr>
          <w:color w:val="000000"/>
        </w:rPr>
        <w:t>ских районов и из числа коренного населения в вопросах сексуального и репродуктивного зд</w:t>
      </w:r>
      <w:r>
        <w:rPr>
          <w:color w:val="000000"/>
        </w:rPr>
        <w:t>о</w:t>
      </w:r>
      <w:r>
        <w:rPr>
          <w:color w:val="000000"/>
        </w:rPr>
        <w:t xml:space="preserve">ровья с использованием спутникового вещания, ИМСС – </w:t>
      </w:r>
      <w:r>
        <w:t>Солидарность стремится способствовать уменьшению случаев ранней беременности и распространения заболев</w:t>
      </w:r>
      <w:r>
        <w:t>а</w:t>
      </w:r>
      <w:r>
        <w:t>ний, передаваемых половым путем, среди подростков-индейцев и сельских подростков в возрасте от 10 до 19 лет. По состоянию на конец 1999 года консул</w:t>
      </w:r>
      <w:r>
        <w:t>ь</w:t>
      </w:r>
      <w:r>
        <w:t>тации по вопросам сексуального и репродуктивного здоровья в рамках этой программы пол</w:t>
      </w:r>
      <w:r>
        <w:t>у</w:t>
      </w:r>
      <w:r>
        <w:t>чили 241 140 подростков.</w:t>
      </w:r>
    </w:p>
    <w:p w:rsidR="00000000" w:rsidRDefault="00000000">
      <w:pPr>
        <w:tabs>
          <w:tab w:val="clear" w:pos="680"/>
          <w:tab w:val="clear" w:pos="1021"/>
          <w:tab w:val="left" w:pos="454"/>
        </w:tabs>
      </w:pPr>
      <w:r>
        <w:t>81.</w:t>
      </w:r>
      <w:r>
        <w:tab/>
        <w:t>В июне 1995 года в средствах массовой информации была начата и продолжает осуществляться по сегодняшний день кампания под девизом "</w:t>
      </w:r>
      <w:r>
        <w:rPr>
          <w:color w:val="000000"/>
        </w:rPr>
        <w:t>Планируй свою жизнь сам!"</w:t>
      </w:r>
      <w:r>
        <w:t>, целью которой является формирование более шир</w:t>
      </w:r>
      <w:r>
        <w:t>о</w:t>
      </w:r>
      <w:r>
        <w:t>кого подхода к вопросам планирования семьи с основным упором на создание программы собственной жизни, жизни с партнером и семейной жизни, причем центральным элементом этой пр</w:t>
      </w:r>
      <w:r>
        <w:t>о</w:t>
      </w:r>
      <w:r>
        <w:t>граммы должно быть качество жизни. В целом кампания направлена на то, чтобы выработать у подростков установку на б</w:t>
      </w:r>
      <w:r>
        <w:t>о</w:t>
      </w:r>
      <w:r>
        <w:t>лее позднее вступление в брак и рождение первого ребенка, а также на то, чтобы увеличить интервалы между рождениями детей. Кроме того, она способствует обеспечению гендерного равенства, улучшению взаимопоним</w:t>
      </w:r>
      <w:r>
        <w:t>а</w:t>
      </w:r>
      <w:r>
        <w:t>ния между сексуальными партнерами, росту потребности в информации и консультациях, более широкому и</w:t>
      </w:r>
      <w:r>
        <w:t>с</w:t>
      </w:r>
      <w:r>
        <w:t>пользованию юношами противозачаточных средств и более активному участию юношей в принятии решений относительно рождения ребенка, а в дальнейшем – его во</w:t>
      </w:r>
      <w:r>
        <w:t>с</w:t>
      </w:r>
      <w:r>
        <w:t>питания.</w:t>
      </w:r>
    </w:p>
    <w:p w:rsidR="00000000" w:rsidRDefault="00000000">
      <w:pPr>
        <w:tabs>
          <w:tab w:val="clear" w:pos="680"/>
          <w:tab w:val="clear" w:pos="1021"/>
          <w:tab w:val="left" w:pos="454"/>
        </w:tabs>
      </w:pPr>
      <w:r>
        <w:t>82.</w:t>
      </w:r>
      <w:r>
        <w:tab/>
        <w:t>В тех же целях создаются телефонные линии для информационной и ко</w:t>
      </w:r>
      <w:r>
        <w:t>н</w:t>
      </w:r>
      <w:r>
        <w:t xml:space="preserve">сультативной помощи подросткам. Начиная с 1994 года реализуется программа </w:t>
      </w:r>
      <w:r>
        <w:rPr>
          <w:color w:val="000000"/>
        </w:rPr>
        <w:t>"Молодые – молодым"</w:t>
      </w:r>
      <w:r>
        <w:t>, цель которой – создать центр информации, консульт</w:t>
      </w:r>
      <w:r>
        <w:t>а</w:t>
      </w:r>
      <w:r>
        <w:t xml:space="preserve">ций и </w:t>
      </w:r>
      <w:r>
        <w:rPr>
          <w:color w:val="000000"/>
        </w:rPr>
        <w:t>дискуссий</w:t>
      </w:r>
      <w:r>
        <w:t>, предназначенный для юношей и девушек, который орие</w:t>
      </w:r>
      <w:r>
        <w:t>н</w:t>
      </w:r>
      <w:r>
        <w:t>тирует их, направляя за помощью к общественным и частным организациям или к социальным службам, занимающимся решением вопросов да</w:t>
      </w:r>
      <w:r>
        <w:t>н</w:t>
      </w:r>
      <w:r>
        <w:t xml:space="preserve">ной группы населения. Эта телефонная служба, действующая в </w:t>
      </w:r>
      <w:r>
        <w:rPr>
          <w:color w:val="000000"/>
        </w:rPr>
        <w:t xml:space="preserve">столичном округе </w:t>
      </w:r>
      <w:r>
        <w:t>Мехико в рамках программы ЛОКАТЕЛЬ в сотрудничестве с Национальной системой комплексного развития семьи (ДИФ) и генеральным секретариатом Национального совета по народонаселению (КОНАПО), была внедрена еще в нескольких штатах Мексики с учетом большого количества полученных зво</w:t>
      </w:r>
      <w:r>
        <w:t>н</w:t>
      </w:r>
      <w:r>
        <w:t xml:space="preserve">ков (более </w:t>
      </w:r>
      <w:r>
        <w:br/>
        <w:t>200 тыс. с момента создания) и того, сколь полезной она оказалась для множества подростков, родителей и учителей.</w:t>
      </w:r>
    </w:p>
    <w:p w:rsidR="00000000" w:rsidRDefault="00000000">
      <w:pPr>
        <w:tabs>
          <w:tab w:val="clear" w:pos="680"/>
          <w:tab w:val="clear" w:pos="1021"/>
          <w:tab w:val="left" w:pos="454"/>
        </w:tabs>
      </w:pPr>
      <w:r>
        <w:t>83.</w:t>
      </w:r>
      <w:r>
        <w:tab/>
        <w:t>Кроме того, были разработаны проекты охраны репродуктивного здор</w:t>
      </w:r>
      <w:r>
        <w:t>о</w:t>
      </w:r>
      <w:r>
        <w:t>вья подростков, реализуемые советами по народонаселению штатов Чьяпас, Оахака, Идальго, Герреро и П</w:t>
      </w:r>
      <w:r>
        <w:t>у</w:t>
      </w:r>
      <w:r>
        <w:t xml:space="preserve">эбла, путем создания  и финансирования в рамках </w:t>
      </w:r>
      <w:r>
        <w:rPr>
          <w:color w:val="000000"/>
        </w:rPr>
        <w:t>государственной</w:t>
      </w:r>
      <w:r>
        <w:t xml:space="preserve"> программы, рассчита</w:t>
      </w:r>
      <w:r>
        <w:t>н</w:t>
      </w:r>
      <w:r>
        <w:t>ной на период 1997–2001 годов, центров комплексной помощи подросткам по вопросам репр</w:t>
      </w:r>
      <w:r>
        <w:t>о</w:t>
      </w:r>
      <w:r>
        <w:t>дуктивного здоровья. Средства, полученные в ходе многостороннего сотрудничества, пер</w:t>
      </w:r>
      <w:r>
        <w:t>е</w:t>
      </w:r>
      <w:r>
        <w:t>числяются в указанные пять штатов.</w:t>
      </w:r>
    </w:p>
    <w:p w:rsidR="00000000" w:rsidRDefault="00000000">
      <w:pPr>
        <w:tabs>
          <w:tab w:val="clear" w:pos="680"/>
          <w:tab w:val="clear" w:pos="1021"/>
          <w:tab w:val="left" w:pos="454"/>
        </w:tabs>
      </w:pPr>
      <w:r>
        <w:t>84.</w:t>
      </w:r>
      <w:r>
        <w:tab/>
        <w:t>В середине 1999 года НКЖ и ЮНИСЕФ провели опрос среди подростков относительно их представлений об общественных ценностях и нормах поведения. Целью этой работы было исследовать, каково отношение юношей и девушек к таким вопросам, как беременность, материнство, отцовство и чувство собственного достоинства. В х</w:t>
      </w:r>
      <w:r>
        <w:t>о</w:t>
      </w:r>
      <w:r>
        <w:t xml:space="preserve">де исследования был опрошен 1581 человек в возрасте от 12 до 19 лет – 753 юноши и </w:t>
      </w:r>
      <w:r>
        <w:br/>
        <w:t xml:space="preserve">828 девушек. Данные опроса показали, среди прочего, что школа является одним из главных источников получения информации по вопросам сексуальных отношений. В ходе опроса респонденты – юноши и </w:t>
      </w:r>
      <w:r>
        <w:br/>
        <w:t>девушки – предложили, чтобы помимо инфо</w:t>
      </w:r>
      <w:r>
        <w:t>р</w:t>
      </w:r>
      <w:r>
        <w:t>мации, касающейся репродуктивного здоровья, в школьную программу были включены в</w:t>
      </w:r>
      <w:r>
        <w:t>о</w:t>
      </w:r>
      <w:r>
        <w:t xml:space="preserve">просы отношений с партнером. Опрос выявил, что юноши и девушки </w:t>
      </w:r>
      <w:r>
        <w:rPr>
          <w:color w:val="000000"/>
        </w:rPr>
        <w:t>ощущают недостаток общения с родителями и поним</w:t>
      </w:r>
      <w:r>
        <w:rPr>
          <w:color w:val="000000"/>
        </w:rPr>
        <w:t>а</w:t>
      </w:r>
      <w:r>
        <w:rPr>
          <w:color w:val="000000"/>
        </w:rPr>
        <w:t>ния с их стороны</w:t>
      </w:r>
      <w:r>
        <w:t>.</w:t>
      </w:r>
    </w:p>
    <w:p w:rsidR="00000000" w:rsidRDefault="00000000">
      <w:pPr>
        <w:tabs>
          <w:tab w:val="clear" w:pos="680"/>
          <w:tab w:val="clear" w:pos="1021"/>
          <w:tab w:val="left" w:pos="454"/>
        </w:tabs>
      </w:pPr>
      <w:r>
        <w:t>85.</w:t>
      </w:r>
      <w:r>
        <w:tab/>
        <w:t>Министерство просвещения приступило к организации соответствующих кратких курсов и семинаров в системе средней школы. Существуют специальные пособия по воспитанию школьников, предназначенные для учителей. В государственные образовательные программы, предназначенные для взрослых, также включаются вопросы, связанные с охраной репродуктивного здоровья, сексуальными отнош</w:t>
      </w:r>
      <w:r>
        <w:t>е</w:t>
      </w:r>
      <w:r>
        <w:t>ниями и планированием размера семьи.</w:t>
      </w:r>
    </w:p>
    <w:p w:rsidR="00000000" w:rsidRDefault="00000000">
      <w:pPr>
        <w:tabs>
          <w:tab w:val="clear" w:pos="680"/>
          <w:tab w:val="clear" w:pos="1021"/>
          <w:tab w:val="left" w:pos="454"/>
        </w:tabs>
      </w:pPr>
      <w:r>
        <w:t>86.</w:t>
      </w:r>
      <w:r>
        <w:tab/>
        <w:t xml:space="preserve">В Мексике существуют различные неправительственные организации, реализующие программы по охране репродуктивного здоровья подростков. Среди наиболее масштабных следует выделить программу </w:t>
      </w:r>
      <w:r>
        <w:rPr>
          <w:color w:val="000000"/>
        </w:rPr>
        <w:t>Мексиканского фонда планирования размера семьи (МЕКСФАМ</w:t>
      </w:r>
      <w:r>
        <w:t>) под названием "</w:t>
      </w:r>
      <w:r>
        <w:rPr>
          <w:color w:val="000000"/>
        </w:rPr>
        <w:t>Программа для молодых"</w:t>
      </w:r>
      <w:r>
        <w:t>, учрежденную в 1987 году и предусма</w:t>
      </w:r>
      <w:r>
        <w:t>т</w:t>
      </w:r>
      <w:r>
        <w:t>ривающую осуществление воспитательной и просветительской деятельности путем подг</w:t>
      </w:r>
      <w:r>
        <w:t>о</w:t>
      </w:r>
      <w:r>
        <w:t xml:space="preserve">товки молодых </w:t>
      </w:r>
      <w:r>
        <w:rPr>
          <w:color w:val="000000"/>
        </w:rPr>
        <w:t>активистов</w:t>
      </w:r>
      <w:r>
        <w:t xml:space="preserve"> из числа добровольцев, а также оказание медицинской п</w:t>
      </w:r>
      <w:r>
        <w:t>о</w:t>
      </w:r>
      <w:r>
        <w:t>мощи в учреждениях здравоохранения.</w:t>
      </w:r>
    </w:p>
    <w:p w:rsidR="00000000" w:rsidRDefault="00000000">
      <w:pPr>
        <w:tabs>
          <w:tab w:val="clear" w:pos="680"/>
          <w:tab w:val="clear" w:pos="1021"/>
          <w:tab w:val="left" w:pos="454"/>
        </w:tabs>
      </w:pPr>
      <w:r>
        <w:t>87.</w:t>
      </w:r>
      <w:r>
        <w:tab/>
        <w:t>В результате осуществления мер, направленных на регулирование размера семьи, за п</w:t>
      </w:r>
      <w:r>
        <w:t>о</w:t>
      </w:r>
      <w:r>
        <w:t>следние 20 лет значительно увеличилось использование противозачаточных средств среди подростков. Согласно данным различных социально-демографических опросов, проведенных в стране, в 1976 году только 14,2 процента и в 1987 году 30 процентов от общего числа подростков обоих полов, начавших вести сексуальную жизнь, пользов</w:t>
      </w:r>
      <w:r>
        <w:t>а</w:t>
      </w:r>
      <w:r>
        <w:t>лись контрацептивами в целях регулирования деторождения. По данным Национального опроса по динамике прироста населения в 1997 году, этот показ</w:t>
      </w:r>
      <w:r>
        <w:t>а</w:t>
      </w:r>
      <w:r>
        <w:t>тель среди девушек в возрасте от 15 до 19 лет, состоящих в браке, вырос до 44,9 процента. Женщины в возрасте от 20 до 24 лет, состоящие в браке, также стали больше пользоваться противозачаточными средств</w:t>
      </w:r>
      <w:r>
        <w:t>а</w:t>
      </w:r>
      <w:r>
        <w:t>ми.</w:t>
      </w:r>
    </w:p>
    <w:p w:rsidR="00000000" w:rsidRDefault="00000000">
      <w:pPr>
        <w:tabs>
          <w:tab w:val="clear" w:pos="680"/>
          <w:tab w:val="clear" w:pos="1021"/>
          <w:tab w:val="left" w:pos="454"/>
        </w:tabs>
      </w:pPr>
      <w:r>
        <w:t>88.</w:t>
      </w:r>
      <w:r>
        <w:tab/>
        <w:t>Кроме того, возросшее применение противозачаточных средств привело к тому, что в течение последних пяти лет снизился годовой показатель количес</w:t>
      </w:r>
      <w:r>
        <w:t>т</w:t>
      </w:r>
      <w:r>
        <w:t>ва деторождений среди девушек-подростков, несмотря на общий рост подросткового населения страны. В результате коэффициент фертильности этой группы населения также уменьшился. В случае, если бы сохранились коэфф</w:t>
      </w:r>
      <w:r>
        <w:t>и</w:t>
      </w:r>
      <w:r>
        <w:t xml:space="preserve">циенты фертильности, отмеченные в 70-х годах, в </w:t>
      </w:r>
      <w:r>
        <w:br/>
        <w:t>1999 году было бы свыше 1 млн. деторождений у женщин моложе 20 лет вместо реально зарегистрирова</w:t>
      </w:r>
      <w:r>
        <w:t>н</w:t>
      </w:r>
      <w:r>
        <w:t>ных 372 тыс. Однако эти показатели все еще остаются высокими, и, следовательно, службы здравоохранения должны продолжать свою политику в отношении данной группы насел</w:t>
      </w:r>
      <w:r>
        <w:t>е</w:t>
      </w:r>
      <w:r>
        <w:t>ния.</w:t>
      </w:r>
    </w:p>
    <w:p w:rsidR="00000000" w:rsidRDefault="00000000">
      <w:pPr>
        <w:pStyle w:val="a0"/>
      </w:pPr>
      <w:r>
        <w:t>410. Комитет рекомендовал организовать курсы по ознакомлению медицинского персонала с правами женщин, особенно с их правом на свободный выбор средств контрацепции без какого-либо принуждения.</w:t>
      </w:r>
    </w:p>
    <w:p w:rsidR="00000000" w:rsidRDefault="00000000">
      <w:pPr>
        <w:tabs>
          <w:tab w:val="clear" w:pos="680"/>
          <w:tab w:val="clear" w:pos="1021"/>
          <w:tab w:val="left" w:pos="454"/>
        </w:tabs>
      </w:pPr>
      <w:r>
        <w:t>89.</w:t>
      </w:r>
      <w:r>
        <w:tab/>
        <w:t>Как было отмечено в предыдущих докладах, статья 4 Конституции гарантирует всем гражданам, мужчинам и женщинам, право на свободное, ответственное и обоснованное решение относительно числа детей и и</w:t>
      </w:r>
      <w:r>
        <w:t>н</w:t>
      </w:r>
      <w:r>
        <w:t xml:space="preserve">тервалов между их рождениями; это право закреплено также в </w:t>
      </w:r>
      <w:r>
        <w:rPr>
          <w:color w:val="000000"/>
        </w:rPr>
        <w:t>конкре</w:t>
      </w:r>
      <w:r>
        <w:rPr>
          <w:color w:val="000000"/>
        </w:rPr>
        <w:t>т</w:t>
      </w:r>
      <w:r>
        <w:rPr>
          <w:color w:val="000000"/>
        </w:rPr>
        <w:t>ных</w:t>
      </w:r>
      <w:r>
        <w:t xml:space="preserve"> законах и постановлениях органов власти.</w:t>
      </w:r>
    </w:p>
    <w:p w:rsidR="00000000" w:rsidRDefault="00000000">
      <w:pPr>
        <w:tabs>
          <w:tab w:val="clear" w:pos="680"/>
          <w:tab w:val="clear" w:pos="1021"/>
          <w:tab w:val="left" w:pos="454"/>
        </w:tabs>
      </w:pPr>
      <w:r>
        <w:t>90.</w:t>
      </w:r>
      <w:r>
        <w:tab/>
        <w:t>Принятое в Мексике Положение о работе служб планирования размера семьи подробно определяет, какие меры следует принимать таким службам для обеспечения свободного и обоснованного выбора средств контрацепции. С этой целью в действующих положениях предусмо</w:t>
      </w:r>
      <w:r>
        <w:t>т</w:t>
      </w:r>
      <w:r>
        <w:t>рено, что соответствующие службы должны вести разъяснительную работу среди населения относительно способов регулирования размера семьи (вкл</w:t>
      </w:r>
      <w:r>
        <w:t>ю</w:t>
      </w:r>
      <w:r>
        <w:t>чая естественные способы) и относительно механизмов действия, порядка применения и возможных побочных эффектов. Лица, пользующиеся противоз</w:t>
      </w:r>
      <w:r>
        <w:t>а</w:t>
      </w:r>
      <w:r>
        <w:t>чаточными средствами, имеют право обращаться за дополнительной информацией к ответственным с</w:t>
      </w:r>
      <w:r>
        <w:t>о</w:t>
      </w:r>
      <w:r>
        <w:t>трудникам служб планирования размера семьи и получать от них ясные и исчерпывающие ответы. Кроме т</w:t>
      </w:r>
      <w:r>
        <w:t>о</w:t>
      </w:r>
      <w:r>
        <w:t>го, в случае выбора средства постоянной контрацепции (блокирование проходимости маточных труб, или вазэктомия) все соответствующие у</w:t>
      </w:r>
      <w:r>
        <w:t>ч</w:t>
      </w:r>
      <w:r>
        <w:t>реждения и службы обязаны предварительно испросить письменное согласие на применение данного сре</w:t>
      </w:r>
      <w:r>
        <w:t>д</w:t>
      </w:r>
      <w:r>
        <w:t>ства.</w:t>
      </w:r>
    </w:p>
    <w:p w:rsidR="00000000" w:rsidRDefault="00000000">
      <w:pPr>
        <w:tabs>
          <w:tab w:val="clear" w:pos="680"/>
          <w:tab w:val="clear" w:pos="1021"/>
          <w:tab w:val="left" w:pos="454"/>
        </w:tabs>
      </w:pPr>
      <w:r>
        <w:t>91.</w:t>
      </w:r>
      <w:r>
        <w:tab/>
        <w:t>После публикации Положения</w:t>
      </w:r>
      <w:r>
        <w:rPr>
          <w:color w:val="FFFF00"/>
        </w:rPr>
        <w:t xml:space="preserve"> </w:t>
      </w:r>
      <w:r>
        <w:t>все государственные учреждения национального и регионального уровня и уровня штатов начали проводить семинары, направленные на просвещение населения относительно норм, дейс</w:t>
      </w:r>
      <w:r>
        <w:t>т</w:t>
      </w:r>
      <w:r>
        <w:t>вующих в этой области. С того времени и Положение неоднократно переи</w:t>
      </w:r>
      <w:r>
        <w:t>з</w:t>
      </w:r>
      <w:r>
        <w:t>давалось, и его экземпляры имеются повсюду в стране.</w:t>
      </w:r>
    </w:p>
    <w:p w:rsidR="00000000" w:rsidRDefault="00000000">
      <w:pPr>
        <w:tabs>
          <w:tab w:val="clear" w:pos="680"/>
          <w:tab w:val="clear" w:pos="1021"/>
          <w:tab w:val="left" w:pos="454"/>
        </w:tabs>
      </w:pPr>
      <w:r>
        <w:t>92.</w:t>
      </w:r>
      <w:r>
        <w:tab/>
        <w:t>В целях создания постоянно действующих организаций, которые обеспечили бы женщинам возможность свободного и обоснованного выбора в вопр</w:t>
      </w:r>
      <w:r>
        <w:t>о</w:t>
      </w:r>
      <w:r>
        <w:t>сах деторождения, КОНАПО координирует свои действия с органами здр</w:t>
      </w:r>
      <w:r>
        <w:t>а</w:t>
      </w:r>
      <w:r>
        <w:t>воохранения, с тем чтобы во всех клиниках и других медицинских учреждениях женщинам предоставлялись самая полная информация о средствах контраце</w:t>
      </w:r>
      <w:r>
        <w:t>п</w:t>
      </w:r>
      <w:r>
        <w:t>ции и компетентная консультационная помощь, благодаря чему женщины мо</w:t>
      </w:r>
      <w:r>
        <w:t>г</w:t>
      </w:r>
      <w:r>
        <w:t>ли бы без какого-либо принуждения выбирать наиболее подходящие для них средства контрацепции.</w:t>
      </w:r>
    </w:p>
    <w:p w:rsidR="00000000" w:rsidRDefault="00000000">
      <w:pPr>
        <w:tabs>
          <w:tab w:val="clear" w:pos="680"/>
          <w:tab w:val="clear" w:pos="1021"/>
          <w:tab w:val="left" w:pos="454"/>
        </w:tabs>
      </w:pPr>
      <w:r>
        <w:t>93.</w:t>
      </w:r>
      <w:r>
        <w:tab/>
        <w:t>Кроме того, в целях улучшения контактов между представителями служб и заинтересованными лицами, а также совершенствования процесса предоставления информ</w:t>
      </w:r>
      <w:r>
        <w:t>а</w:t>
      </w:r>
      <w:r>
        <w:t xml:space="preserve">ции, консультаций и </w:t>
      </w:r>
      <w:r>
        <w:rPr>
          <w:color w:val="000000"/>
        </w:rPr>
        <w:t>достижения сознательного согласия граждан на использование контр</w:t>
      </w:r>
      <w:r>
        <w:rPr>
          <w:color w:val="000000"/>
        </w:rPr>
        <w:t>а</w:t>
      </w:r>
      <w:r>
        <w:rPr>
          <w:color w:val="000000"/>
        </w:rPr>
        <w:t>цептивов</w:t>
      </w:r>
      <w:r>
        <w:t xml:space="preserve"> генеральный секретариат КОНАПО совместно с органами здравоохранения разр</w:t>
      </w:r>
      <w:r>
        <w:t>а</w:t>
      </w:r>
      <w:r>
        <w:t>ботал и распространил два плаката (каждый тиражом более 500 тыс. экземпляров), проп</w:t>
      </w:r>
      <w:r>
        <w:t>а</w:t>
      </w:r>
      <w:r>
        <w:t>гандирующих использование средств контрацепции на основе свободного выбора и напом</w:t>
      </w:r>
      <w:r>
        <w:t>и</w:t>
      </w:r>
      <w:r>
        <w:t>нающих о правах людей, пользующихся медицинскими услугами в данной области. Кроме того, был снят видеофильм по той же тематике, предназначенный для показа в залах ожид</w:t>
      </w:r>
      <w:r>
        <w:t>а</w:t>
      </w:r>
      <w:r>
        <w:t>ния.</w:t>
      </w:r>
    </w:p>
    <w:p w:rsidR="00000000" w:rsidRDefault="00000000">
      <w:pPr>
        <w:tabs>
          <w:tab w:val="clear" w:pos="680"/>
          <w:tab w:val="clear" w:pos="1021"/>
          <w:tab w:val="left" w:pos="454"/>
        </w:tabs>
      </w:pPr>
      <w:r>
        <w:t>94.</w:t>
      </w:r>
      <w:r>
        <w:tab/>
        <w:t>В целях обеспечения соблюдения прав человека, воспитания определе</w:t>
      </w:r>
      <w:r>
        <w:t>н</w:t>
      </w:r>
      <w:r>
        <w:t xml:space="preserve">ной культуры в данной области и ознакомления с этими правами работников общественных служб здравоохранения Институт социального обеспечения и социальных услуг для государственных служащих (ИСССТЭ) в сотрудничестве с Институтом </w:t>
      </w:r>
      <w:r>
        <w:rPr>
          <w:color w:val="000000"/>
        </w:rPr>
        <w:t>государственного управления</w:t>
      </w:r>
      <w:r>
        <w:t xml:space="preserve"> (ИНАП) организовал в 1999 году с</w:t>
      </w:r>
      <w:r>
        <w:t>е</w:t>
      </w:r>
      <w:r>
        <w:t>минар под названием "</w:t>
      </w:r>
      <w:r>
        <w:rPr>
          <w:color w:val="000000"/>
        </w:rPr>
        <w:t>Права человека и право на охрану здоровья"</w:t>
      </w:r>
      <w:r>
        <w:t>, предназначенный для сотрудников медицинских учреждений Большого Мехико. В его раб</w:t>
      </w:r>
      <w:r>
        <w:t>о</w:t>
      </w:r>
      <w:r>
        <w:t>те приняли участие 692 медицинских работника. Кроме того, был проведен ряд опросов с ц</w:t>
      </w:r>
      <w:r>
        <w:t>е</w:t>
      </w:r>
      <w:r>
        <w:t>лью определить, существует ли необходимость вести разъяснительную работу по данной т</w:t>
      </w:r>
      <w:r>
        <w:t>е</w:t>
      </w:r>
      <w:r>
        <w:t>матике среди медперсонала; в результате опросов был пол</w:t>
      </w:r>
      <w:r>
        <w:t>у</w:t>
      </w:r>
      <w:r>
        <w:t>чен утвердительный ответ.</w:t>
      </w:r>
    </w:p>
    <w:p w:rsidR="00000000" w:rsidRDefault="00000000">
      <w:pPr>
        <w:tabs>
          <w:tab w:val="clear" w:pos="680"/>
          <w:tab w:val="clear" w:pos="1021"/>
          <w:tab w:val="left" w:pos="454"/>
        </w:tabs>
      </w:pPr>
      <w:r>
        <w:t>95.</w:t>
      </w:r>
      <w:r>
        <w:tab/>
        <w:t>В заключение нельзя не отметить тот факт, что, хотя Комитет и осведомлен о поступавших жалобах на назначение врачами средств контрацепции без согласия пациентов, все эти жал</w:t>
      </w:r>
      <w:r>
        <w:t>о</w:t>
      </w:r>
      <w:r>
        <w:t>бы были поданы до 1997 года и рассмотрены такими организациями, как Национальная коми</w:t>
      </w:r>
      <w:r>
        <w:t>с</w:t>
      </w:r>
      <w:r>
        <w:t xml:space="preserve">сия </w:t>
      </w:r>
      <w:r>
        <w:rPr>
          <w:color w:val="000000"/>
        </w:rPr>
        <w:t>по медицинскому арбитражу</w:t>
      </w:r>
      <w:r>
        <w:t>. Кроме того, существуют правовая основа по защите инт</w:t>
      </w:r>
      <w:r>
        <w:t>е</w:t>
      </w:r>
      <w:r>
        <w:t>ресов тех, кто пользуется средствами контрацепции, и положения, предусматривающие а</w:t>
      </w:r>
      <w:r>
        <w:t>д</w:t>
      </w:r>
      <w:r>
        <w:t>министративную и даже уголовную ответственность для медицинских служб в случае применения средств контрацепции без согл</w:t>
      </w:r>
      <w:r>
        <w:t>а</w:t>
      </w:r>
      <w:r>
        <w:t>сия человека.</w:t>
      </w:r>
    </w:p>
    <w:p w:rsidR="00000000" w:rsidRDefault="00000000">
      <w:pPr>
        <w:tabs>
          <w:tab w:val="clear" w:pos="680"/>
          <w:tab w:val="clear" w:pos="1021"/>
          <w:tab w:val="left" w:pos="454"/>
        </w:tabs>
        <w:jc w:val="both"/>
        <w:rPr>
          <w:lang w:val="en-US"/>
        </w:rPr>
      </w:pPr>
      <w:r>
        <w:t>96.</w:t>
      </w:r>
      <w:r>
        <w:tab/>
        <w:t>Главное управление по защите прав человека Генеральной прокуратуры Мексики (ПГР) организовало для работающих в прокуратуре судебно-медицинских экспертов семинары по ознакомлению с правами заключенных в общем конте</w:t>
      </w:r>
      <w:r>
        <w:t>к</w:t>
      </w:r>
      <w:r>
        <w:t xml:space="preserve">сте прав человека. На семинарах особое внимание было уделено праву женщин – заключенных или </w:t>
      </w:r>
      <w:r>
        <w:rPr>
          <w:color w:val="000000"/>
        </w:rPr>
        <w:t>находящихся под следствием</w:t>
      </w:r>
      <w:r>
        <w:t xml:space="preserve"> – на то, чтобы во время м</w:t>
      </w:r>
      <w:r>
        <w:t>е</w:t>
      </w:r>
      <w:r>
        <w:t>дицинского обследования их осматривала и опрашивала медицинский эксперт – женщина. В случае если это невозможно, осматривающий врач обязан потреб</w:t>
      </w:r>
      <w:r>
        <w:t>о</w:t>
      </w:r>
      <w:r>
        <w:t>вать присутствия свидетеля-женщины, которая должна сообщить свое имя, должность и п</w:t>
      </w:r>
      <w:r>
        <w:t>о</w:t>
      </w:r>
      <w:r>
        <w:t>ставить подпись в протоколе медицинского осмотра. На семинарах также было подтвержд</w:t>
      </w:r>
      <w:r>
        <w:t>е</w:t>
      </w:r>
      <w:r>
        <w:t>но право женщины на так называемое "</w:t>
      </w:r>
      <w:r>
        <w:rPr>
          <w:color w:val="000000"/>
        </w:rPr>
        <w:t>согласие на проведение осмотра</w:t>
      </w:r>
      <w:r>
        <w:t>", которое она дает перед медицинским обследованием. В соответствии с этим правом женщина может отказат</w:t>
      </w:r>
      <w:r>
        <w:t>ь</w:t>
      </w:r>
      <w:r>
        <w:t>ся от обследования по каким-либо причинам. Подобный отказ, во всех без исключения сл</w:t>
      </w:r>
      <w:r>
        <w:t>у</w:t>
      </w:r>
      <w:r>
        <w:t>чаях, должен фиксироваться в письменной форме с указанием имени и за подписью женщ</w:t>
      </w:r>
      <w:r>
        <w:t>и</w:t>
      </w:r>
      <w:r>
        <w:t xml:space="preserve">ны; вместо подписи может ставиться отпечаток пальца. Официальные или особо </w:t>
      </w:r>
      <w:r>
        <w:rPr>
          <w:color w:val="000000"/>
        </w:rPr>
        <w:t>уполном</w:t>
      </w:r>
      <w:r>
        <w:rPr>
          <w:color w:val="000000"/>
        </w:rPr>
        <w:t>о</w:t>
      </w:r>
      <w:r>
        <w:rPr>
          <w:color w:val="000000"/>
        </w:rPr>
        <w:t xml:space="preserve">ченные </w:t>
      </w:r>
      <w:r>
        <w:t>судебно-медицинские эксперты должны предст</w:t>
      </w:r>
      <w:r>
        <w:t>а</w:t>
      </w:r>
      <w:r>
        <w:t>вить докладную записку с указанием причины, по которой женщина отказалась от медицинск</w:t>
      </w:r>
      <w:r>
        <w:t>о</w:t>
      </w:r>
      <w:r>
        <w:t>го обследования и опроса.</w:t>
      </w:r>
    </w:p>
    <w:p w:rsidR="00000000" w:rsidRDefault="00000000">
      <w:pPr>
        <w:pStyle w:val="a0"/>
      </w:pPr>
      <w:r>
        <w:t>411. Комитет просил правительство продолжать усилия в целях принятия во всех штатах национального зак</w:t>
      </w:r>
      <w:r>
        <w:t>о</w:t>
      </w:r>
      <w:r>
        <w:t>на о борьбе со всеми формами насилия в отношении женщин, увязывая федеральные законы с национальными и включив в этот документ положения о н</w:t>
      </w:r>
      <w:r>
        <w:t>а</w:t>
      </w:r>
      <w:r>
        <w:t>силии в семье.</w:t>
      </w:r>
    </w:p>
    <w:p w:rsidR="00000000" w:rsidRDefault="00000000">
      <w:pPr>
        <w:tabs>
          <w:tab w:val="clear" w:pos="567"/>
          <w:tab w:val="left" w:pos="426"/>
        </w:tabs>
      </w:pPr>
      <w:r>
        <w:t>97.</w:t>
      </w:r>
      <w:r>
        <w:tab/>
        <w:t>Мексиканское законодательство не предусматривает принятия на национальном уровне закона о нас</w:t>
      </w:r>
      <w:r>
        <w:t>и</w:t>
      </w:r>
      <w:r>
        <w:t>лии в отношении отдельных лиц, включая насилие в отношении женщин и насилие в семье, так как разработка подобных законов обычно является прерогативой местных органов власти. Поэтому от федерального прав</w:t>
      </w:r>
      <w:r>
        <w:t>и</w:t>
      </w:r>
      <w:r>
        <w:t>тельства исходила инициатива пересмотра законодательства штатов, чтобы привести его в соответствие с теми изменениями, которые были приняты на федеральном уровне. Кроме того, федеральный Уголовный кодекс предусматривает наказание за насильственные действия в отношении женщин и за акты насилия в семье и дает определение супружескому н</w:t>
      </w:r>
      <w:r>
        <w:t>а</w:t>
      </w:r>
      <w:r>
        <w:t>силию.</w:t>
      </w:r>
    </w:p>
    <w:p w:rsidR="00000000" w:rsidRDefault="00000000">
      <w:pPr>
        <w:pStyle w:val="Heading3"/>
      </w:pPr>
      <w:r>
        <w:t>Законодательство штатов о насилии в семье</w:t>
      </w:r>
    </w:p>
    <w:p w:rsidR="00000000" w:rsidRDefault="00000000">
      <w:pPr>
        <w:tabs>
          <w:tab w:val="clear" w:pos="567"/>
          <w:tab w:val="left" w:pos="426"/>
        </w:tabs>
      </w:pPr>
      <w:r>
        <w:t>98.</w:t>
      </w:r>
      <w:r>
        <w:tab/>
        <w:t xml:space="preserve">Первый законопроект в отношении насилия в семье был представлен в 1996 году в федеральном округе. Принятый на его основе Закон  о социальной помощи и предотвращении насилия в семье вступил в силу в </w:t>
      </w:r>
      <w:r>
        <w:rPr>
          <w:lang w:val="en-US"/>
        </w:rPr>
        <w:br/>
      </w:r>
      <w:r>
        <w:t>1997 году. В настоящее время в 22 штатах страны в той или иной степени осуществлены законодательные реформы в этой области.</w:t>
      </w:r>
    </w:p>
    <w:p w:rsidR="00000000" w:rsidRDefault="00000000">
      <w:pPr>
        <w:tabs>
          <w:tab w:val="clear" w:pos="567"/>
          <w:tab w:val="left" w:pos="426"/>
        </w:tabs>
      </w:pPr>
      <w:r>
        <w:t>99.</w:t>
      </w:r>
      <w:r>
        <w:tab/>
        <w:t>До июня 2000 года сообщили о принятии законов о социальной помощи и предотвращении насилия в семье следующие штаты: Веракрус, Герреро, Гуанахуато, Дуранго, Керетаро, Кинтана-Роо, Коауила, Колима, Сан-Луис-Потоси, Сонора, Табаско, Тамаулипас, федеральный округ и Чьяпас.</w:t>
      </w:r>
    </w:p>
    <w:p w:rsidR="00000000" w:rsidRDefault="00000000">
      <w:r>
        <w:t>100.</w:t>
      </w:r>
      <w:r>
        <w:tab/>
        <w:t>Веракрус, Герреро, Дуранго, Идальго, Коауила, Мичоакан, Нижняя Калифорния, Нижняя Калифорния Южная, Нуэво-Леон, Оахака, Пуэбла, Сан-Луис-Потоси, Табаско, Тамаулипас, федеральный округ и Халиско сообщают также, что соответствующие изменения были внесены и в другие правовые установления, такие как Гражданский кодекс, Уголовный кодекс, Гражданский процессуальный кодекс, Уголовно-процессуальный к</w:t>
      </w:r>
      <w:r>
        <w:t>о</w:t>
      </w:r>
      <w:r>
        <w:t>декс, Кодекс социальной з</w:t>
      </w:r>
      <w:r>
        <w:t>а</w:t>
      </w:r>
      <w:r>
        <w:t>щиты, Процессуальный кодекс социальной защиты и т. д.</w:t>
      </w:r>
    </w:p>
    <w:p w:rsidR="00000000" w:rsidRDefault="00000000">
      <w:r>
        <w:t>101.</w:t>
      </w:r>
      <w:r>
        <w:tab/>
        <w:t>До июня 2000 года в восьми штатах (Агуаскальентесе, Морелосе, Нижней Калифорнии, Нуэво-Леоне, Сакатекасе, Тласкале, Халиско и Чиуауа) были выдвинуты законодательные инициативы или разработаны з</w:t>
      </w:r>
      <w:r>
        <w:t>а</w:t>
      </w:r>
      <w:r>
        <w:t xml:space="preserve">конопроекты по социальной помощи и предотвращению насилия в семье, а еще в 14 штатах (Агуаскальентесе, Герреро, Гуанахуато, Керетаро, Мехико, Морелосе, Наярите, Нижней Калифорнии, </w:t>
      </w:r>
      <w:r>
        <w:br/>
        <w:t>Нуэво-Леоне, Синалоа, С</w:t>
      </w:r>
      <w:r>
        <w:t>о</w:t>
      </w:r>
      <w:r>
        <w:t>норе, Халиско, Чиуауа и Юкатане) имелись проекты изменения иных правовых норм.</w:t>
      </w:r>
    </w:p>
    <w:p w:rsidR="00000000" w:rsidRDefault="00000000">
      <w:r>
        <w:t>102.</w:t>
      </w:r>
      <w:r>
        <w:tab/>
        <w:t xml:space="preserve">Следует отметить, что вслед за изменением статьи 343 </w:t>
      </w:r>
      <w:r>
        <w:rPr>
          <w:lang w:val="en-US"/>
        </w:rPr>
        <w:t>bis</w:t>
      </w:r>
      <w:r>
        <w:t xml:space="preserve"> Уголовного кодекса и в законодательстве федерального округа и в федеральном законодательстве определение насилия в семье было расширено, с тем чтобы классифицировать его как уголовно наказуемое независимо от того, было ли оно совершено повторно или нет и было ли оно совершено лицами, проживающими вместе с жер</w:t>
      </w:r>
      <w:r>
        <w:t>т</w:t>
      </w:r>
      <w:r>
        <w:t>вой или нет.</w:t>
      </w:r>
    </w:p>
    <w:p w:rsidR="00000000" w:rsidRDefault="00000000">
      <w:r>
        <w:t>103.</w:t>
      </w:r>
      <w:r>
        <w:tab/>
        <w:t xml:space="preserve">Более детальная информация содержится в части </w:t>
      </w:r>
      <w:r>
        <w:rPr>
          <w:lang w:val="en-US"/>
        </w:rPr>
        <w:t>II</w:t>
      </w:r>
      <w:r>
        <w:t xml:space="preserve"> данного доклада в разделе о статье 6.</w:t>
      </w:r>
    </w:p>
    <w:p w:rsidR="00000000" w:rsidRDefault="00000000">
      <w:pPr>
        <w:pStyle w:val="a0"/>
        <w:spacing w:before="0" w:after="200"/>
      </w:pPr>
      <w:r>
        <w:br w:type="page"/>
        <w:t>412. Комитет просил правительство рассмотреть возможность осуществления долгосрочного комплексного плана борьбы с насилием, в котором могли бы предусматриваться меры юридического характера, обучение р</w:t>
      </w:r>
      <w:r>
        <w:t>а</w:t>
      </w:r>
      <w:r>
        <w:t>ботников судебной системы, правоохранительных органов и сферы здравоохранения, информирование женщин об их правах и о положениях Конвенции и совершенствование услуг по реабилитации пострадавших.</w:t>
      </w:r>
    </w:p>
    <w:p w:rsidR="00000000" w:rsidRDefault="00000000">
      <w:pPr>
        <w:spacing w:after="200"/>
      </w:pPr>
      <w:r>
        <w:t>104.</w:t>
      </w:r>
      <w:r>
        <w:tab/>
        <w:t>8 марта 1998 года Президент Республики предложил разработать национальную программу по борьбе с насилием в семье, в которой особое внимание уделялось бы положению индейских женщин и девочек, часто становящихся жертвами насилия в семье.</w:t>
      </w:r>
    </w:p>
    <w:p w:rsidR="00000000" w:rsidRDefault="00000000">
      <w:pPr>
        <w:spacing w:after="200"/>
      </w:pPr>
      <w:r>
        <w:t>105.</w:t>
      </w:r>
      <w:r>
        <w:tab/>
        <w:t xml:space="preserve">По рекомендации НКЖ и с целью решения проблем, связанных с насилием в семье, Министерство по делам государственного управления, ПГР и ДИФ выработали Национальную программу по борьбе с насилием в семье на 1999–2000 годы, которая была обнародована указанным выше Министерством 3 марта 1999 года. Более подробная информация содержится в части </w:t>
      </w:r>
      <w:r>
        <w:rPr>
          <w:lang w:val="es-ES_tradnl"/>
        </w:rPr>
        <w:t>II</w:t>
      </w:r>
      <w:r>
        <w:t xml:space="preserve"> данного доклада.</w:t>
      </w:r>
    </w:p>
    <w:p w:rsidR="00000000" w:rsidRDefault="00000000">
      <w:pPr>
        <w:spacing w:after="200"/>
      </w:pPr>
      <w:r>
        <w:t>106.</w:t>
      </w:r>
      <w:r>
        <w:tab/>
        <w:t>По вопросу подготовки кадров для борьбы с насилием в семье в докладе сообщается, что тема насилия в отношении женщин подробно освещается в курсе по правам человека, являющемся составной частью пр</w:t>
      </w:r>
      <w:r>
        <w:t>о</w:t>
      </w:r>
      <w:r>
        <w:t>граммы подготовки сотрудников Федеральной судебной полиции и следователей по преступлениям, охват</w:t>
      </w:r>
      <w:r>
        <w:t>ы</w:t>
      </w:r>
      <w:r>
        <w:t>ваемым федеральным законодательством. В данном курсе рассматриваются следующие проблемы: вопрос прав женщин в национальном законодательстве (аспекты гражданского, уголовного и трудового права); женщина и насилие в семье (характерные особенности явления, причины, типология, способы профилактики); междун</w:t>
      </w:r>
      <w:r>
        <w:t>а</w:t>
      </w:r>
      <w:r>
        <w:t>родно-правовые механизмы защиты прав  женщин (Конвенция о ликвидации всех форм дискриминации в о</w:t>
      </w:r>
      <w:r>
        <w:t>т</w:t>
      </w:r>
      <w:r>
        <w:t>ношении женщин); практические меры по применению международных и национальных правовых норм в о</w:t>
      </w:r>
      <w:r>
        <w:t>б</w:t>
      </w:r>
      <w:r>
        <w:t>ласти защиты женщин теми сотрудниками, в чьи обязанности входит исполнение законов, направленных на борьбу с насилием в семье. Учебное пособие по данной тематике было переиздано в 1998 и в 1999 годах.</w:t>
      </w:r>
    </w:p>
    <w:p w:rsidR="00000000" w:rsidRDefault="00000000">
      <w:pPr>
        <w:spacing w:after="200"/>
      </w:pPr>
      <w:r>
        <w:t>107.</w:t>
      </w:r>
      <w:r>
        <w:tab/>
        <w:t>Дополнительно организованы периодические курсы повышения квалификации, на которых операти</w:t>
      </w:r>
      <w:r>
        <w:t>в</w:t>
      </w:r>
      <w:r>
        <w:t>ные сотрудники Федеральной судебной полиции получают информацию о правах женщин, включая такие а</w:t>
      </w:r>
      <w:r>
        <w:t>с</w:t>
      </w:r>
      <w:r>
        <w:t>пекты, как насилие в семье, а также о положениях Конвенции.</w:t>
      </w:r>
    </w:p>
    <w:p w:rsidR="00000000" w:rsidRDefault="00000000">
      <w:pPr>
        <w:pStyle w:val="a0"/>
        <w:spacing w:after="200"/>
      </w:pPr>
      <w:r>
        <w:t>413. Комитет рекомендовал принимать строгие меры к лицам, совершающим насилие в отношении женщин, и расширять возможности женщин для обращения в органы правос</w:t>
      </w:r>
      <w:r>
        <w:t>у</w:t>
      </w:r>
      <w:r>
        <w:t>дия.</w:t>
      </w:r>
    </w:p>
    <w:p w:rsidR="00000000" w:rsidRDefault="00000000">
      <w:pPr>
        <w:spacing w:after="200"/>
      </w:pPr>
      <w:r>
        <w:t>108.</w:t>
      </w:r>
      <w:r>
        <w:tab/>
        <w:t>Параллельно с законодательными мерами в области борьбы с насилием в отношении женщин и насил</w:t>
      </w:r>
      <w:r>
        <w:t>и</w:t>
      </w:r>
      <w:r>
        <w:t xml:space="preserve">ем в семье, о которых более подробно говорится в части </w:t>
      </w:r>
      <w:r>
        <w:rPr>
          <w:lang w:val="en-US"/>
        </w:rPr>
        <w:t>II</w:t>
      </w:r>
      <w:r>
        <w:t xml:space="preserve"> данного доклада, был произведен значительный п</w:t>
      </w:r>
      <w:r>
        <w:t>е</w:t>
      </w:r>
      <w:r>
        <w:t>ресмотр законов, регулирующих защиту детей, и было предусмотрено уголовное наказание за некоторые фо</w:t>
      </w:r>
      <w:r>
        <w:t>р</w:t>
      </w:r>
      <w:r>
        <w:t>мы насилия в отношении детей, в том числе за вовлечение детей в проституцию и использование детей при производстве порнографической продукции. В результате пересмотра были внесены изменения в статью 4 Ко</w:t>
      </w:r>
      <w:r>
        <w:t>н</w:t>
      </w:r>
      <w:r>
        <w:t>ституции, новая редакция которой была опубликована в "Диарио Офисиаль де ла Федерасьон" 7 апреля 2000 года; был принят Закон о защите прав детей и подростков, опубликованный в "Диарио Офисиаль" 29 мая 2000 года; были также внесены изменения в разделы федеральных Уголовного и Уголовно-процессуального коде</w:t>
      </w:r>
      <w:r>
        <w:t>к</w:t>
      </w:r>
      <w:r>
        <w:t>сов, касающиеся растления несовершеннолетних и недееспособных лиц, использования несовершеннолетних при производстве порнографической продукции и вовлечения несовершеннолетних в проституцию (обо всех этих изменениях говорилось в "Диарио Офисиаль" от 4 января 2000 года); и были внесены изменения в Закон о борьбе с организованной преступностью, о чем также была соответствующая публикация в "Диарио Офисиаль" от 12 июня 2000 года.</w:t>
      </w:r>
    </w:p>
    <w:p w:rsidR="00000000" w:rsidRDefault="00000000">
      <w:pPr>
        <w:pStyle w:val="a0"/>
        <w:spacing w:after="200"/>
      </w:pPr>
      <w:r>
        <w:t>414. Комитет рекомендовал правительству определить, намерено ли оно легализовать проституцию, и сообщить в его следующем докладе, обсуждалась ли эта тема общественностью. Комитет предупредил, что в случае лег</w:t>
      </w:r>
      <w:r>
        <w:t>а</w:t>
      </w:r>
      <w:r>
        <w:t>лизации проституции проститутки не должны подвергаться дискриминации, а сводники и сутенеры должны наказываться.</w:t>
      </w:r>
    </w:p>
    <w:p w:rsidR="00000000" w:rsidRDefault="00000000">
      <w:pPr>
        <w:spacing w:after="200"/>
      </w:pPr>
      <w:r>
        <w:t>109.</w:t>
      </w:r>
      <w:r>
        <w:tab/>
        <w:t>Данная рекомендация Комитета после рассмотрения им третьего и четвертого объединенного доклада была доведена до сведения Комиссии по правам человека федерального округа, но до настоящего времени к</w:t>
      </w:r>
      <w:r>
        <w:t>а</w:t>
      </w:r>
      <w:r>
        <w:t>ких-либо серьезных изменений ситуации не наблюдается.</w:t>
      </w:r>
    </w:p>
    <w:p w:rsidR="00000000" w:rsidRDefault="00000000">
      <w:pPr>
        <w:pStyle w:val="a0"/>
      </w:pPr>
      <w:r>
        <w:t>415. Комитет рекомендовал внести изменения в положения, касающиеся наказания правонарушителей, и во</w:t>
      </w:r>
      <w:r>
        <w:t>з</w:t>
      </w:r>
      <w:r>
        <w:t>ложить на государство обеспечение  исполнения таких наказаний. Он также рекомендовал проводить просвет</w:t>
      </w:r>
      <w:r>
        <w:t>и</w:t>
      </w:r>
      <w:r>
        <w:t>тельские кампании по этому вопросу для неправительс</w:t>
      </w:r>
      <w:r>
        <w:t>т</w:t>
      </w:r>
      <w:r>
        <w:t>венных организаций и законодателей.</w:t>
      </w:r>
    </w:p>
    <w:p w:rsidR="00000000" w:rsidRDefault="00000000">
      <w:r>
        <w:t>110.</w:t>
      </w:r>
      <w:r>
        <w:tab/>
        <w:t xml:space="preserve">В статье 265 </w:t>
      </w:r>
      <w:r>
        <w:rPr>
          <w:lang w:val="en-US"/>
        </w:rPr>
        <w:t>bis</w:t>
      </w:r>
      <w:r>
        <w:t xml:space="preserve"> федерального Уголовного кодекса определяются основные виды насилия в отношении супруг и сожительниц и устанавливается наказание за данное преступление в виде лишения свободы на срок от 8 до 14 лет.</w:t>
      </w:r>
    </w:p>
    <w:p w:rsidR="00000000" w:rsidRDefault="00000000">
      <w:r>
        <w:t>111.</w:t>
      </w:r>
      <w:r>
        <w:tab/>
        <w:t>В качестве составной части разъяснительной работы НКЖ организовала семинары по гендерной пол</w:t>
      </w:r>
      <w:r>
        <w:t>и</w:t>
      </w:r>
      <w:r>
        <w:t>тике для представителей неправительственных организаций, таких как МЕКСФАМ, одновременно перенимая опыт этих организаций и их вклад в разработку полит</w:t>
      </w:r>
      <w:r>
        <w:t>и</w:t>
      </w:r>
      <w:r>
        <w:t>ки в данной области.</w:t>
      </w:r>
    </w:p>
    <w:p w:rsidR="00000000" w:rsidRDefault="00000000">
      <w:r>
        <w:t>112.</w:t>
      </w:r>
      <w:r>
        <w:tab/>
        <w:t>Совместно с неправительственными организациями НКЖ разработала и осуществила такие кампании, как "Внимание, женщины!" и "Внимание, девочки!", которые были призваны просветить население в вопросах дискр</w:t>
      </w:r>
      <w:r>
        <w:t>и</w:t>
      </w:r>
      <w:r>
        <w:t>минации по признаку пола.</w:t>
      </w:r>
    </w:p>
    <w:p w:rsidR="00000000" w:rsidRDefault="00000000">
      <w:r>
        <w:t>113.</w:t>
      </w:r>
      <w:r>
        <w:tab/>
        <w:t>Среди прочих разъяснительных мероприятий можно отметить следующие:</w:t>
      </w:r>
    </w:p>
    <w:p w:rsidR="00000000" w:rsidRDefault="00000000">
      <w:pPr>
        <w:tabs>
          <w:tab w:val="clear" w:pos="680"/>
          <w:tab w:val="clear" w:pos="1021"/>
          <w:tab w:val="left" w:pos="284"/>
        </w:tabs>
        <w:ind w:left="567" w:hanging="567"/>
      </w:pPr>
      <w:r>
        <w:tab/>
      </w:r>
      <w:r>
        <w:sym w:font="Symbol" w:char="F0B7"/>
      </w:r>
      <w:r>
        <w:tab/>
        <w:t>Программу создания телефонной линии для женщин (экспериментальный проект, осуществляемый в штате Сан-Луис-Потоси). Проект финансируется ЮНИСЕФ и фондом "Семилья" Межамериканской коми</w:t>
      </w:r>
      <w:r>
        <w:t>с</w:t>
      </w:r>
      <w:r>
        <w:t>сии женщин (МКЖ/ОАГ). В настоящее время выполняется первый этап Программы.</w:t>
      </w:r>
    </w:p>
    <w:p w:rsidR="00000000" w:rsidRDefault="00000000">
      <w:pPr>
        <w:tabs>
          <w:tab w:val="clear" w:pos="680"/>
          <w:tab w:val="clear" w:pos="1021"/>
          <w:tab w:val="left" w:pos="284"/>
        </w:tabs>
        <w:ind w:left="567" w:hanging="567"/>
      </w:pPr>
      <w:r>
        <w:tab/>
      </w:r>
      <w:r>
        <w:sym w:font="Symbol" w:char="F0B7"/>
      </w:r>
      <w:r>
        <w:tab/>
        <w:t>Дни юридического просвещения по радио, посвященные правам человека, коллектива и гражда</w:t>
      </w:r>
      <w:r>
        <w:t>н</w:t>
      </w:r>
      <w:r>
        <w:t>ским правам индейских женщин. Дни были организованы Национальным институтом по проблемам коренного населения (ИНИ) и имеют целью распространить знания об указанных правах и привить уважение этих прав. Одна из главных тем Дней – проблема насилия в семье.</w:t>
      </w:r>
    </w:p>
    <w:p w:rsidR="00000000" w:rsidRDefault="00000000">
      <w:pPr>
        <w:tabs>
          <w:tab w:val="clear" w:pos="680"/>
          <w:tab w:val="clear" w:pos="1021"/>
          <w:tab w:val="left" w:pos="284"/>
        </w:tabs>
        <w:ind w:left="567" w:hanging="567"/>
      </w:pPr>
      <w:r>
        <w:tab/>
      </w:r>
      <w:r>
        <w:sym w:font="Symbol" w:char="F0B7"/>
      </w:r>
      <w:r>
        <w:tab/>
        <w:t xml:space="preserve">Кампанию против жестокого обращения с детьми в Центральной Америке и Мексике под девизом: </w:t>
      </w:r>
      <w:r>
        <w:br/>
        <w:t>"Нет – побоям, которые унижают, и словам, которые ранят. Да – воспитанию с любовью". НКЖ входит в Ме</w:t>
      </w:r>
      <w:r>
        <w:t>к</w:t>
      </w:r>
      <w:r>
        <w:t>сиканский комитет по проведению этой кампании, цель которой – убедить общество в том, что хорошее обр</w:t>
      </w:r>
      <w:r>
        <w:t>а</w:t>
      </w:r>
      <w:r>
        <w:t>щение с детьми – наилучший способ воспитывать их и общаться с н</w:t>
      </w:r>
      <w:r>
        <w:t>и</w:t>
      </w:r>
      <w:r>
        <w:t>ми.</w:t>
      </w:r>
    </w:p>
    <w:p w:rsidR="00000000" w:rsidRDefault="00000000">
      <w:pPr>
        <w:tabs>
          <w:tab w:val="clear" w:pos="680"/>
          <w:tab w:val="clear" w:pos="1021"/>
          <w:tab w:val="left" w:pos="284"/>
        </w:tabs>
        <w:ind w:left="567" w:hanging="567"/>
      </w:pPr>
      <w:r>
        <w:tab/>
      </w:r>
      <w:r>
        <w:sym w:font="Symbol" w:char="F0B7"/>
      </w:r>
      <w:r>
        <w:tab/>
        <w:t>Кампанию "Жизнь без насилия – наше право"</w:t>
      </w:r>
      <w:r>
        <w:rPr>
          <w:i/>
        </w:rPr>
        <w:t>.</w:t>
      </w:r>
      <w:r>
        <w:t xml:space="preserve"> Она была задумана и начала осуществляться в связи с </w:t>
      </w:r>
      <w:r>
        <w:br/>
        <w:t>50-летием принятия Всеобщей декларации прав человека. Основная цель кампании – разъяснять населению права женщин и детей, которые живут в обстановке насилия, и заставить общество задуматься над тяжелыми последствиями и социальной ценой насилия как в семье, так и вне ее. Задачей кампании было также распр</w:t>
      </w:r>
      <w:r>
        <w:t>о</w:t>
      </w:r>
      <w:r>
        <w:t>странение информации об уже существующих  законах, касающихся насилия в семье; в тех штатах, где такого законодательства нет, была проведена работа с целью объяснить необход</w:t>
      </w:r>
      <w:r>
        <w:t>и</w:t>
      </w:r>
      <w:r>
        <w:t>мость принятия таких законов.</w:t>
      </w:r>
    </w:p>
    <w:p w:rsidR="00000000" w:rsidRDefault="00000000">
      <w:pPr>
        <w:pStyle w:val="a0"/>
      </w:pPr>
      <w:r>
        <w:t>416. Комитет предложил принимать строгие меры к нанимателям, допускающим дискриминацию беременных женщин при приеме на работу, оказывать поддержку пострадавшим женщинам и недвусмысленно заявить о том, что подобная форма дискриминации недопу</w:t>
      </w:r>
      <w:r>
        <w:t>с</w:t>
      </w:r>
      <w:r>
        <w:t>тима.</w:t>
      </w:r>
    </w:p>
    <w:p w:rsidR="00000000" w:rsidRDefault="00000000">
      <w:r>
        <w:t>114.</w:t>
      </w:r>
      <w:r>
        <w:tab/>
        <w:t>Как было отмечено в предыдущих докладах, в статье 123  Конституции Мексиканских Соединенных Штатов дается определение понятия "право на труд" и закрепляется это право. В той же статье (подпункт А пункта 5) провозглашается, что материнство дает преимущество в том, что касается прав работающих женщин в послеродовой период и в период кормления грудью. В подпункте В с) пункта 9 признается право работающих женщин на государственную поддержку материнства, в частности на медицинское обслуживание, включая у</w:t>
      </w:r>
      <w:r>
        <w:t>с</w:t>
      </w:r>
      <w:r>
        <w:t>луги акушерки, получение лекарств, помощь в период кормления грудью и предоставление мест в детских у</w:t>
      </w:r>
      <w:r>
        <w:t>ч</w:t>
      </w:r>
      <w:r>
        <w:t>режден</w:t>
      </w:r>
      <w:r>
        <w:t>и</w:t>
      </w:r>
      <w:r>
        <w:t>ях.</w:t>
      </w:r>
    </w:p>
    <w:p w:rsidR="00000000" w:rsidRDefault="00000000">
      <w:r>
        <w:t>115.</w:t>
      </w:r>
      <w:r>
        <w:tab/>
        <w:t>В Федеральном законе о труде охрана материнства гарантирована в разделе 5 "Женский труд" (статьи 164–172). Кроме права на отпуск в дородовой и послеродовой период в пункте 5 статьи 170 помимо прочего предусмотрено, что женщина в этот период должна получать зарплату в полном объеме. Кроме того, согласно пункту 6 указанной статьи, женщине гарантируется право возвращения на то же рабочее место, которое она з</w:t>
      </w:r>
      <w:r>
        <w:t>а</w:t>
      </w:r>
      <w:r>
        <w:t>нимала до ухода в отпуск по беременности и родам.</w:t>
      </w:r>
    </w:p>
    <w:p w:rsidR="00000000" w:rsidRDefault="00000000">
      <w:r>
        <w:t>116.</w:t>
      </w:r>
      <w:r>
        <w:tab/>
        <w:t>В порядке проверки соблюдения указанных трудовых норм Главное управление Федеральной инспе</w:t>
      </w:r>
      <w:r>
        <w:t>к</w:t>
      </w:r>
      <w:r>
        <w:t>ции труда провело 43 545 инспекций на предприятиях, находящихся в федеральной собственности, в ходе кот</w:t>
      </w:r>
      <w:r>
        <w:t>о</w:t>
      </w:r>
      <w:r>
        <w:t>рых было выявлено, что беременные женщины не заняты на работах, создающих угрозу их здоровью.</w:t>
      </w:r>
    </w:p>
    <w:p w:rsidR="00000000" w:rsidRDefault="00000000">
      <w:r>
        <w:t>117.</w:t>
      </w:r>
      <w:r>
        <w:tab/>
        <w:t>В мексиканском законодательстве (статья 47 Федерального закона о труде) четко сформулированы причины, по которым могут быть прекращены трудовые отношения и которые не влекут за собой ответстве</w:t>
      </w:r>
      <w:r>
        <w:t>н</w:t>
      </w:r>
      <w:r>
        <w:t>ности работодателя, причем беременность не называется среди поводов для увольнения. Отсюда можно сделать вывод о том, что при совершении работодателем такого рода действий это будет квалифицироваться не только как факт дискриминации работающей женщины, но и как прямое нар</w:t>
      </w:r>
      <w:r>
        <w:t>у</w:t>
      </w:r>
      <w:r>
        <w:t>шение закона.</w:t>
      </w:r>
    </w:p>
    <w:p w:rsidR="00000000" w:rsidRDefault="00000000">
      <w:r>
        <w:t>118.</w:t>
      </w:r>
      <w:r>
        <w:tab/>
        <w:t>Если подобный факт имел место, пострадавшая имеет возможность и законодательные основания обр</w:t>
      </w:r>
      <w:r>
        <w:t>а</w:t>
      </w:r>
      <w:r>
        <w:t>титься в федеральный или местный отраслевой суд по трудовым спорам с иском на работодателя по поводу немотивированного увольнения. Дополнительно пострадавшая может рассчитывать на бесплатную юридич</w:t>
      </w:r>
      <w:r>
        <w:t>е</w:t>
      </w:r>
      <w:r>
        <w:t>скую помощь и представительство в суде до и в ходе судебного процесса со стороны Федеральной или местной прокуратуры по охране труда (более 45 процентов дел, которые ведет Федеральная прокуратура по охране тр</w:t>
      </w:r>
      <w:r>
        <w:t>у</w:t>
      </w:r>
      <w:r>
        <w:t>да, – дела работающих женщин). После того как суд установит факт незаконного увольнения и будет принято постановление, подтверждающее правоту истца, работница сразу же может вернуться на свое рабочее место или получить соответствующую материальную компенсацию согласно ее исковому заявлению. В любом из перечисленных случаев она должна получить сумму, соответствующую заработной плате за срок с момента увольнения до выполнения работодателем постановления суда. При вынесении судом решения не в пользу истца оно может быть обжаловано путем подачи апелляции в Окружной суд в течение 15 рабочих дней, считая со дня, следующего после уведомления лица о постановлении суда. Если федеральный суд удовлетворил апе</w:t>
      </w:r>
      <w:r>
        <w:t>л</w:t>
      </w:r>
      <w:r>
        <w:t>ляцию, то суд первой инстанции должен изменить свое постановление, с тем чтобы оно соответствовало реш</w:t>
      </w:r>
      <w:r>
        <w:t>е</w:t>
      </w:r>
      <w:r>
        <w:t>нию суда более высокой инстанции.</w:t>
      </w:r>
    </w:p>
    <w:p w:rsidR="00000000" w:rsidRDefault="00000000">
      <w:r>
        <w:t>119.</w:t>
      </w:r>
      <w:r>
        <w:tab/>
        <w:t>В то же время, следуя рекомендации Комитета в связи с рассмотрением третьего и четвертого объед</w:t>
      </w:r>
      <w:r>
        <w:t>и</w:t>
      </w:r>
      <w:r>
        <w:t>ненного доклада, Национальная комиссия по правам человека предложила в 1996 году внести изменения в м</w:t>
      </w:r>
      <w:r>
        <w:t>е</w:t>
      </w:r>
      <w:r>
        <w:t xml:space="preserve">стное и федеральное законодательство с целью приведения его в соответствие с Конвенцией о ликвидации всех форм дискриминации в отношении женщин. В частности, было предложено изменить часть </w:t>
      </w:r>
      <w:r>
        <w:rPr>
          <w:lang w:val="en-US"/>
        </w:rPr>
        <w:t>I</w:t>
      </w:r>
      <w:r>
        <w:t xml:space="preserve"> статьи 123 Фед</w:t>
      </w:r>
      <w:r>
        <w:t>е</w:t>
      </w:r>
      <w:r>
        <w:t>рального закона о труде, добавив к имеющемуся положению, согласно которому "работодателю запрещено о</w:t>
      </w:r>
      <w:r>
        <w:t>т</w:t>
      </w:r>
      <w:r>
        <w:t>казывать в приеме на работу лицам по причине их возраста, пола…", слова "гражданского состояния или бер</w:t>
      </w:r>
      <w:r>
        <w:t>е</w:t>
      </w:r>
      <w:r>
        <w:t>менности".</w:t>
      </w:r>
    </w:p>
    <w:p w:rsidR="00000000" w:rsidRDefault="00000000">
      <w:r>
        <w:t>120.</w:t>
      </w:r>
      <w:r>
        <w:tab/>
        <w:t>30 сентября 1999 года в "Диарио Офисиаль де ла Федерасьон" был опубликован декрет, на основании которого аннулируются, вносятся поправки и добавления в положения Уголовного кодекса федерального окр</w:t>
      </w:r>
      <w:r>
        <w:t>у</w:t>
      </w:r>
      <w:r>
        <w:t>га в части общей юрисдикции и для всей Республики в части федеральной юрисдикции; среди этих полож</w:t>
      </w:r>
      <w:r>
        <w:t>е</w:t>
      </w:r>
      <w:r>
        <w:t xml:space="preserve">ний в настоящее время имеется одно (глава 17 </w:t>
      </w:r>
      <w:r>
        <w:rPr>
          <w:lang w:val="en-US"/>
        </w:rPr>
        <w:t>bis</w:t>
      </w:r>
      <w:r>
        <w:t xml:space="preserve"> "О преступлениях против человеческого достоинства", часть</w:t>
      </w:r>
      <w:r>
        <w:rPr>
          <w:lang w:val="es-ES_tradnl"/>
        </w:rPr>
        <w:t xml:space="preserve"> IV</w:t>
      </w:r>
      <w:r>
        <w:t xml:space="preserve"> статьи 281 </w:t>
      </w:r>
      <w:r>
        <w:rPr>
          <w:lang w:val="en-US"/>
        </w:rPr>
        <w:t>bis</w:t>
      </w:r>
      <w:r>
        <w:t>), устанавливающее, что за ограничение или нарушение трудовых прав под предлогом возра</w:t>
      </w:r>
      <w:r>
        <w:t>с</w:t>
      </w:r>
      <w:r>
        <w:t>та, пола, наличия беременности, социального положения, расового происхождения, языка, религии, идеологии, сексуальной ориентации, цвета кожи, национальности, социального происхождения или положения, работы или профессии, экономического положения, физического состояния, инвалидности или состояния здоровья гражданина предусмотрено наказание от одного до трех лет тюремного заключения или штраф в размере м</w:t>
      </w:r>
      <w:r>
        <w:t>и</w:t>
      </w:r>
      <w:r>
        <w:t>нимальной оплаты от 50 до 200 рабочих дней</w:t>
      </w:r>
      <w:r>
        <w:rPr>
          <w:color w:val="000000"/>
        </w:rPr>
        <w:t xml:space="preserve">, </w:t>
      </w:r>
      <w:r>
        <w:t>а также от 25 до 100 дней исправительных работ.</w:t>
      </w:r>
    </w:p>
    <w:p w:rsidR="00000000" w:rsidRDefault="00000000">
      <w:r>
        <w:t>121.</w:t>
      </w:r>
      <w:r>
        <w:tab/>
        <w:t>Женщины-парламентарии, входящие в состав соответствующих парламентских комиссий по гендерн</w:t>
      </w:r>
      <w:r>
        <w:t>о</w:t>
      </w:r>
      <w:r>
        <w:t>му равенству, также поставили вопрос о необходимости внести изменения в федеральное трудовое законод</w:t>
      </w:r>
      <w:r>
        <w:t>а</w:t>
      </w:r>
      <w:r>
        <w:t>тельство, которые устранили бы дискриминацию по признаку наличия беременности и способствовали бы т</w:t>
      </w:r>
      <w:r>
        <w:t>о</w:t>
      </w:r>
      <w:r>
        <w:t>му, чтобы женщины имели равные с мужчинами возможности получения работы на длительный срок, а также равные возможности професси</w:t>
      </w:r>
      <w:r>
        <w:t>о</w:t>
      </w:r>
      <w:r>
        <w:t>нального роста.</w:t>
      </w:r>
    </w:p>
    <w:p w:rsidR="00000000" w:rsidRDefault="00000000">
      <w:r>
        <w:t>122.</w:t>
      </w:r>
      <w:r>
        <w:tab/>
        <w:t>По инициативе Министерства труда и социального обеспечения НКЖ представила предложения по и</w:t>
      </w:r>
      <w:r>
        <w:t>з</w:t>
      </w:r>
      <w:r>
        <w:t>менениям Федерального закона о труде и приступила к разработке комплекса предложений по изменениям и дополнениям к Федеральному закону о труде, направленных на установление гендерного равенства в сфере трудовых о</w:t>
      </w:r>
      <w:r>
        <w:t>т</w:t>
      </w:r>
      <w:r>
        <w:t>ношений.</w:t>
      </w:r>
    </w:p>
    <w:p w:rsidR="00000000" w:rsidRDefault="00000000">
      <w:pPr>
        <w:rPr>
          <w:lang w:val="en-US"/>
        </w:rPr>
      </w:pPr>
      <w:r>
        <w:t>123.</w:t>
      </w:r>
      <w:r>
        <w:tab/>
        <w:t>Различные фракции палаты депутатов Конгресса через Комиссию по гендерному равенству обязались участвовать в реформировании трудового законодательства, помимо прочего, с целью запретить тестирование на беременность при подписании трудового соглашения. Дискуссии уже начались и будут продолжаться в п</w:t>
      </w:r>
      <w:r>
        <w:t>е</w:t>
      </w:r>
      <w:r>
        <w:t>риод нынешней легислатуры</w:t>
      </w:r>
      <w:r>
        <w:rPr>
          <w:lang w:val="en-US"/>
        </w:rPr>
        <w:t>.</w:t>
      </w:r>
    </w:p>
    <w:p w:rsidR="00000000" w:rsidRDefault="00000000">
      <w:r>
        <w:t>124.</w:t>
      </w:r>
      <w:r>
        <w:tab/>
        <w:t>Женщины – предприниматели Юкатана через Главное управление по гендерному равенству Министе</w:t>
      </w:r>
      <w:r>
        <w:t>р</w:t>
      </w:r>
      <w:r>
        <w:t>ства труда и социального обеспечения способствовали проведению общенациональной дискуссии, которая, как отмечалось в пункте 55, была проведена дополнительно в штатах Пуэбла, Веракрус, Кинтана-Роо, Мехико и Агуаскальентес с целью сбора предложений по изменению статей 101–107 Закона о социальном обеспеч</w:t>
      </w:r>
      <w:r>
        <w:t>е</w:t>
      </w:r>
      <w:r>
        <w:t>нии.</w:t>
      </w:r>
    </w:p>
    <w:p w:rsidR="00000000" w:rsidRDefault="00000000">
      <w:pPr>
        <w:pStyle w:val="a0"/>
      </w:pPr>
      <w:r>
        <w:t>417. Комитет просил представить в следующем докладе правительства информацию о доступных женщинам процедурах апелляции и о том, страдают ли женщины в результате развода с разделом имущества, несмотря на свой вклад в благосостояние семьи.</w:t>
      </w:r>
    </w:p>
    <w:p w:rsidR="00000000" w:rsidRDefault="00000000">
      <w:r>
        <w:t>125.</w:t>
      </w:r>
      <w:r>
        <w:tab/>
        <w:t>Гражданским законодательством Мексики установлено, что брак должен заключаться на условиях об</w:t>
      </w:r>
      <w:r>
        <w:t>ъ</w:t>
      </w:r>
      <w:r>
        <w:t>единения имущества или раздельного владения им. В бракоразводных процессах, будь то при добровольных и вынужденных разводах, наибольшие трудности для судьи по семейным делам представляют случаи совместн</w:t>
      </w:r>
      <w:r>
        <w:t>о</w:t>
      </w:r>
      <w:r>
        <w:t>го владения имуществом.</w:t>
      </w:r>
    </w:p>
    <w:p w:rsidR="00000000" w:rsidRDefault="00000000">
      <w:r>
        <w:t>126.</w:t>
      </w:r>
      <w:r>
        <w:tab/>
        <w:t>Брачный союз регулируется соответствующим брачным договором между будущими супругами, кот</w:t>
      </w:r>
      <w:r>
        <w:t>о</w:t>
      </w:r>
      <w:r>
        <w:t>рый они заключают для установления имущественного режима супружества и регулирования распоряжения имуществом.</w:t>
      </w:r>
    </w:p>
    <w:p w:rsidR="00000000" w:rsidRDefault="00000000">
      <w:r>
        <w:t>127.</w:t>
      </w:r>
      <w:r>
        <w:tab/>
        <w:t>В части</w:t>
      </w:r>
      <w:r>
        <w:rPr>
          <w:lang w:val="es-ES_tradnl"/>
        </w:rPr>
        <w:t xml:space="preserve"> II</w:t>
      </w:r>
      <w:r>
        <w:t xml:space="preserve"> настоящего доклада представлены подробные данные о законодательных актах, предусма</w:t>
      </w:r>
      <w:r>
        <w:t>т</w:t>
      </w:r>
      <w:r>
        <w:t>ривающих защиту имущества женщины в браке.</w:t>
      </w:r>
    </w:p>
    <w:p w:rsidR="00000000" w:rsidRDefault="00000000">
      <w:pPr>
        <w:pStyle w:val="a0"/>
      </w:pPr>
      <w:r>
        <w:t>418. Комитет просил представить в следующем докладе правительства информацию о женщинах, эмигриру</w:t>
      </w:r>
      <w:r>
        <w:t>ю</w:t>
      </w:r>
      <w:r>
        <w:t>щих за рубеж, о том, куда именно они выезжают, и о том, регулируется ли миграционный процесс каким-либо учреждением.</w:t>
      </w:r>
    </w:p>
    <w:p w:rsidR="00000000" w:rsidRDefault="00000000">
      <w:r>
        <w:t>128.</w:t>
      </w:r>
      <w:r>
        <w:tab/>
        <w:t>Женщины-мигранты превратились в еще одну социально незащищенную группу населения, ибо к ге</w:t>
      </w:r>
      <w:r>
        <w:t>н</w:t>
      </w:r>
      <w:r>
        <w:t>дерному фактору и социальному, юридическому и политическому неравенству добавляется и положение м</w:t>
      </w:r>
      <w:r>
        <w:t>и</w:t>
      </w:r>
      <w:r>
        <w:t>гранта.</w:t>
      </w:r>
    </w:p>
    <w:p w:rsidR="00000000" w:rsidRDefault="00000000">
      <w:r>
        <w:t>129.</w:t>
      </w:r>
      <w:r>
        <w:tab/>
        <w:t>Национальная комиссия по правам человека совместно с Межамериканской ассоциацией прессы без границ (ИАП), Мексиканской ассоциацией борьбы с насилием в отношении женщин (КОВАК), Национальным институтом по проблемам миграции и Управлением Верховного комиссара Организации Объединенных Наций по делам беженцев провела предварительные семинары на тему "Права человека и сексуальное насилие в о</w:t>
      </w:r>
      <w:r>
        <w:t>т</w:t>
      </w:r>
      <w:r>
        <w:t>ношении  женщин-мигрантов" для персонала, занимающегося консультированием по этой проблематике и ок</w:t>
      </w:r>
      <w:r>
        <w:t>а</w:t>
      </w:r>
      <w:r>
        <w:t>занием помощи, а также для организаций, защищающих права человека и работающих с этими слоями насел</w:t>
      </w:r>
      <w:r>
        <w:t>е</w:t>
      </w:r>
      <w:r>
        <w:t>ния.</w:t>
      </w:r>
    </w:p>
    <w:p w:rsidR="00000000" w:rsidRDefault="00000000">
      <w:r>
        <w:t>130.</w:t>
      </w:r>
      <w:r>
        <w:tab/>
        <w:t>В 1999 году было также опубликовано "Исследование нарушений прав мексиканских женщин, эмигр</w:t>
      </w:r>
      <w:r>
        <w:t>и</w:t>
      </w:r>
      <w:r>
        <w:t>рующих в Соединенные Штаты Америки".</w:t>
      </w:r>
    </w:p>
    <w:p w:rsidR="00000000" w:rsidRDefault="00000000">
      <w:r>
        <w:t>131.</w:t>
      </w:r>
      <w:r>
        <w:tab/>
        <w:t>В приложении к этому докладу представлена более детальная информация о социально-демографической ситуации среди мексиканских женщин, эмигрировавших за границу, главным образом в С</w:t>
      </w:r>
      <w:r>
        <w:t>о</w:t>
      </w:r>
      <w:r>
        <w:t>единенные Штаты Америки, куда в основном направляется миграционный поток из Мексики.</w:t>
      </w:r>
    </w:p>
    <w:p w:rsidR="00000000" w:rsidRDefault="00000000">
      <w:pPr>
        <w:pStyle w:val="a0"/>
      </w:pPr>
      <w:r>
        <w:t>419. Комитет просил включить в следующий доклад сравнительные данные о пенсионном обеспечении мужчин и женщин с точки зрения доступности для них пенсии и ее мин</w:t>
      </w:r>
      <w:r>
        <w:t>и</w:t>
      </w:r>
      <w:r>
        <w:t>мального размера.</w:t>
      </w:r>
    </w:p>
    <w:p w:rsidR="00000000" w:rsidRDefault="00000000">
      <w:r>
        <w:t>132.</w:t>
      </w:r>
      <w:r>
        <w:tab/>
        <w:t>Под социальным обеспечением имеется в виду доступ населения к таким правам, как получение пенсий по старости или инвалидности и в связи с потерей кормил</w:t>
      </w:r>
      <w:r>
        <w:t>ь</w:t>
      </w:r>
      <w:r>
        <w:t>ца.</w:t>
      </w:r>
    </w:p>
    <w:p w:rsidR="00000000" w:rsidRDefault="00000000">
      <w:r>
        <w:t>133.</w:t>
      </w:r>
      <w:r>
        <w:tab/>
        <w:t>Средний размер пенсии по инвалидности эквивалентен средней сумме, выплачиваемой ежемесячно органами социального обеспечения лицам, получа</w:t>
      </w:r>
      <w:r>
        <w:t>ю</w:t>
      </w:r>
      <w:r>
        <w:t>щим эту пенсию.</w:t>
      </w:r>
    </w:p>
    <w:p w:rsidR="00000000" w:rsidRDefault="00000000">
      <w:r>
        <w:t>134.</w:t>
      </w:r>
      <w:r>
        <w:tab/>
        <w:t>Что касается пенсий, предусмотренных Законом о социальном обеспечении, то здесь не существует никаких различий по признаку пола, так как в целом требования в отношении получения пенсии одинаковы, равно как и минимальная сумма пенсии.</w:t>
      </w:r>
    </w:p>
    <w:p w:rsidR="00000000" w:rsidRDefault="00000000">
      <w:r>
        <w:t>135.</w:t>
      </w:r>
      <w:r>
        <w:tab/>
        <w:t>Единственные отмеченные различия относительно выплат страхователям заключаются в следующем:</w:t>
      </w:r>
    </w:p>
    <w:p w:rsidR="00000000" w:rsidRDefault="00000000">
      <w:pPr>
        <w:tabs>
          <w:tab w:val="left" w:pos="284"/>
        </w:tabs>
        <w:ind w:left="567" w:hanging="283"/>
      </w:pPr>
      <w:r>
        <w:t>1.</w:t>
      </w:r>
      <w:r>
        <w:tab/>
        <w:t>Вдова страхователя должна подтвердить свой брачный союз либо, в случае гражданского брака, с</w:t>
      </w:r>
      <w:r>
        <w:t>о</w:t>
      </w:r>
      <w:r>
        <w:t>вместное проживание в течение минимального периода продолжительностью в пять лет, непосредственно предшествовавшего смерти страхователя, для получения права на пенсию по вдовству (статья 130 Закона о с</w:t>
      </w:r>
      <w:r>
        <w:t>о</w:t>
      </w:r>
      <w:r>
        <w:t>циальном обеспечении). Вдовец или гражданский супруг застрахованной, в свою очередь, должен подтвердить, что материально зависел от уме</w:t>
      </w:r>
      <w:r>
        <w:t>р</w:t>
      </w:r>
      <w:r>
        <w:t>шей.</w:t>
      </w:r>
    </w:p>
    <w:p w:rsidR="00000000" w:rsidRDefault="00000000">
      <w:pPr>
        <w:tabs>
          <w:tab w:val="left" w:pos="284"/>
        </w:tabs>
        <w:ind w:left="567" w:hanging="283"/>
      </w:pPr>
      <w:r>
        <w:t>2.</w:t>
      </w:r>
      <w:r>
        <w:tab/>
        <w:t>Супруга, зарегистрированная или гражданская, пенсионера имеет право на семейное пособие по статье о семейном иждивении, эквивалентное 15 процентам от размера пенсии. Супруг, зарегистрированный или гр</w:t>
      </w:r>
      <w:r>
        <w:t>а</w:t>
      </w:r>
      <w:r>
        <w:t>жданский, пенсионерки не имеет права на это пособие.</w:t>
      </w:r>
    </w:p>
    <w:p w:rsidR="00000000" w:rsidRDefault="00000000">
      <w:r>
        <w:t>136.</w:t>
      </w:r>
      <w:r>
        <w:tab/>
        <w:t>В соответствии с информацией Национального института статистики, географии и информатики (ИНЕГИ) группе пенсионеров по старости и безработице выплачиваются суммы большего размера, чем другим категориям пенсионеров. Однако в этом случае сумма выплат мужчинам немного выше, чем женщинам, в ра</w:t>
      </w:r>
      <w:r>
        <w:t>з</w:t>
      </w:r>
      <w:r>
        <w:t>личных возрастных группах. Величина средней пенсии по старости и инвалидности в 1994 году достигла 1,24 минимальной месячной зар</w:t>
      </w:r>
      <w:r>
        <w:t>а</w:t>
      </w:r>
      <w:r>
        <w:t>ботной платы.</w:t>
      </w:r>
    </w:p>
    <w:p w:rsidR="00000000" w:rsidRDefault="00000000">
      <w:r>
        <w:t>137.</w:t>
      </w:r>
      <w:r>
        <w:tab/>
        <w:t>99,7 процента лиц, входящих в группу получающих пенсию в связи с потерей кормильца, составляют женщины. При этом женщины получают пенсию, немного превышающую сумму, которую в аналогичном сл</w:t>
      </w:r>
      <w:r>
        <w:t>у</w:t>
      </w:r>
      <w:r>
        <w:t>чае получают мужчины. Величина средней пенсии составила в декабре 1994 года 0,91 минимальной месячной заработной платы. Из общего количества пенсий, получаемых женщинами, 67,5 процента предоставляются в связи с потерей кормильца.</w:t>
      </w:r>
    </w:p>
    <w:p w:rsidR="00000000" w:rsidRDefault="00000000">
      <w:r>
        <w:t>138.</w:t>
      </w:r>
      <w:r>
        <w:tab/>
        <w:t>Что касается пенсий по инвалидности, то число получающих их мужчин более чем в шесть раз прев</w:t>
      </w:r>
      <w:r>
        <w:t>ы</w:t>
      </w:r>
      <w:r>
        <w:t>шает число женщин. Этот факт объясняется тем, что мужчины в большей мере подвержены несчастным случ</w:t>
      </w:r>
      <w:r>
        <w:t>а</w:t>
      </w:r>
      <w:r>
        <w:t>ям как на работе, так и вне ее. В целом отмечается, что средняя величина пенсии, выплачиваемой по инвали</w:t>
      </w:r>
      <w:r>
        <w:t>д</w:t>
      </w:r>
      <w:r>
        <w:t>ности мужчинам, немного превышает пенсии, получаемые женщинами во всех во</w:t>
      </w:r>
      <w:r>
        <w:t>з</w:t>
      </w:r>
      <w:r>
        <w:t>растных группах.</w:t>
      </w:r>
    </w:p>
    <w:p w:rsidR="00000000" w:rsidRDefault="00000000">
      <w:pPr>
        <w:pStyle w:val="a0"/>
      </w:pPr>
      <w:r>
        <w:t>420. Комитет просил сообщить в следующем докладе о том, есть ли в Уголовном кодексе статья, предусматр</w:t>
      </w:r>
      <w:r>
        <w:t>и</w:t>
      </w:r>
      <w:r>
        <w:t>вающая преследование за гомосексуализм.</w:t>
      </w:r>
    </w:p>
    <w:p w:rsidR="00000000" w:rsidRDefault="00000000">
      <w:r>
        <w:t>139.</w:t>
      </w:r>
      <w:r>
        <w:tab/>
        <w:t>В Мексике не существует законодательства, ущемляющего гомосексуалистов или поддерживающего проявления гомофобии. Не существует какого-либо положения, предусматривающего наказание за гомосексу</w:t>
      </w:r>
      <w:r>
        <w:t>а</w:t>
      </w:r>
      <w:r>
        <w:t>лизм.</w:t>
      </w:r>
    </w:p>
    <w:p w:rsidR="00000000" w:rsidRDefault="00000000">
      <w:r>
        <w:t>140.</w:t>
      </w:r>
      <w:r>
        <w:tab/>
        <w:t>После внесения изменений в статью 2 Гражданского кодекса федерального округа, приводящих этот кодекс в соответствие с федеральным сводом законов и опубликованных в "Гасета Офисиаль" федерального округа 25 мая текущего года, данная статья гласит: "Мужчины и женщины обладают равной правоспособн</w:t>
      </w:r>
      <w:r>
        <w:t>о</w:t>
      </w:r>
      <w:r>
        <w:t>стью. Ни одному лицу не может быть отказано в помощи или пособии, на которые оно имеет право, на основ</w:t>
      </w:r>
      <w:r>
        <w:t>а</w:t>
      </w:r>
      <w:r>
        <w:t>нии возраста или пола данного лица, наличия беременности, гражданского состояния, расовой принадлежности, языка, религии, идеологии, сексуальной ориентации, цвета кожи, национальности, социального происхождения или положения, работы или профессии, экономического положения, физического состояния, инвалидности или состояния здоровья, а также и в осуществлении какого-либо из его прав, незав</w:t>
      </w:r>
      <w:r>
        <w:t>и</w:t>
      </w:r>
      <w:r>
        <w:t>симо от их характера".</w:t>
      </w:r>
    </w:p>
    <w:p w:rsidR="00000000" w:rsidRDefault="00000000">
      <w:pPr>
        <w:pStyle w:val="a0"/>
      </w:pPr>
      <w:r>
        <w:t>421. Комитет просил предоставить информацию о женщинах, руководящих сельскими предприятиями, и о пр</w:t>
      </w:r>
      <w:r>
        <w:t>о</w:t>
      </w:r>
      <w:r>
        <w:t>граммах улучшения экономического положения сельских женщ</w:t>
      </w:r>
      <w:r>
        <w:t>и</w:t>
      </w:r>
      <w:r>
        <w:t>н.</w:t>
      </w:r>
    </w:p>
    <w:p w:rsidR="00000000" w:rsidRDefault="00000000">
      <w:r>
        <w:t>141.</w:t>
      </w:r>
      <w:r>
        <w:tab/>
        <w:t>Правительство Мексики продолжило осуществление различных программ помощи сельским женщ</w:t>
      </w:r>
      <w:r>
        <w:t>и</w:t>
      </w:r>
      <w:r>
        <w:t>нам, в особенности  женщинам, возглавляющим сельскохозяйственные предприятия. Описание мер, осущест</w:t>
      </w:r>
      <w:r>
        <w:t>в</w:t>
      </w:r>
      <w:r>
        <w:t>ленных в этой области, включено в раздел об осуществлении статьи 14 Конвенции.</w:t>
      </w:r>
    </w:p>
    <w:p w:rsidR="00000000" w:rsidRDefault="00000000">
      <w:pPr>
        <w:pStyle w:val="a0"/>
      </w:pPr>
      <w:r>
        <w:t>422. Комитет рекомендовал разработать программы ознакомления с положениями Конвенции и правами же</w:t>
      </w:r>
      <w:r>
        <w:t>н</w:t>
      </w:r>
      <w:r>
        <w:t>щин – судей и адвокатов, работников судебных и правоохранительных органов, в сферу компетенции которых входит правоприменение, а также увеличить число работников-женщин в органах правосудия и среди сотру</w:t>
      </w:r>
      <w:r>
        <w:t>д</w:t>
      </w:r>
      <w:r>
        <w:t>ников правоохранительных органов.</w:t>
      </w:r>
    </w:p>
    <w:p w:rsidR="00000000" w:rsidRDefault="00000000">
      <w:r>
        <w:t>142.</w:t>
      </w:r>
      <w:r>
        <w:tab/>
        <w:t>Были проведены различного рода мероприятия по повышению уровня профессиональной подготовки в области защиты прав женщин среди работников системы правосудия. Из последних событий подобного рода можно отметить Национальный коллоквиум по применению Конвенции о ликвидации всех форм дискримин</w:t>
      </w:r>
      <w:r>
        <w:t>а</w:t>
      </w:r>
      <w:r>
        <w:t>ции в отношении женщин и Конвенции о правах ребенка и роли судебных органов в этом процессе, организ</w:t>
      </w:r>
      <w:r>
        <w:t>о</w:t>
      </w:r>
      <w:r>
        <w:t>ванный Министерством иностранных дел и Национальной комиссией по делам женщин при содействии Фонда Орг</w:t>
      </w:r>
      <w:r>
        <w:t>а</w:t>
      </w:r>
      <w:r>
        <w:t xml:space="preserve">низации Объединенных Наций для развития в интересах женщин (ЮНИФЕМ), Детского фонда Организации Объединенных Наций (ЮНИСЕФ) и Экономической комиссии для Латинской Америки и Карибского бассейна (ЭКЛАК) в декабре 1999 года. На этом коллоквиуме была сделана попытка создать механизм мониторинга и расширения применения Конвенции в практике отправления правосудия. На основе полученного опыта в марте 2000 года был проведен семинар о применимости международных договоров при отправлении правосудия в штате Керетаро, организованный председателем Верховного суда этого штата для работников Верховного суда и Коллегии судей штата с целью углубления теоретических и практических знаний участников относительно содержания международных договоров в области прав женщин и детей, равно как и других договоренностей в области семейного права. В части </w:t>
      </w:r>
      <w:r>
        <w:rPr>
          <w:lang w:val="es-ES_tradnl"/>
        </w:rPr>
        <w:t xml:space="preserve">II </w:t>
      </w:r>
      <w:r>
        <w:t>настоящего доклада содержится более детальная информация о проведе</w:t>
      </w:r>
      <w:r>
        <w:t>н</w:t>
      </w:r>
      <w:r>
        <w:t>ных мероприятиях.</w:t>
      </w:r>
    </w:p>
    <w:p w:rsidR="00000000" w:rsidRDefault="00000000">
      <w:r>
        <w:t>143.</w:t>
      </w:r>
      <w:r>
        <w:tab/>
        <w:t>Кроме семинаров, упоминавшихся в предыдущих пунктах, которые были организованы для действу</w:t>
      </w:r>
      <w:r>
        <w:t>ю</w:t>
      </w:r>
      <w:r>
        <w:t>щих сотрудников и кандидатов на должности в Федеральной судебной полиции, а также для судебно-медицинских экспертов, работающих в полиции, Генеральной прокуратурой Республики при согласовании с Национальной комиссией по правам человека был организован семинар на тему "Гендерные вопросы и права человека", предназначенный для служащих прокуратуры. Данный семинар был посвящен общим гендерным вопросам и соблюдению прав женщины в системе прав</w:t>
      </w:r>
      <w:r>
        <w:t>о</w:t>
      </w:r>
      <w:r>
        <w:t>судия.</w:t>
      </w:r>
    </w:p>
    <w:p w:rsidR="00000000" w:rsidRDefault="00000000">
      <w:r>
        <w:t>144.</w:t>
      </w:r>
      <w:r>
        <w:tab/>
        <w:t xml:space="preserve">На </w:t>
      </w:r>
      <w:r>
        <w:rPr>
          <w:lang w:val="en-US"/>
        </w:rPr>
        <w:t>Web</w:t>
      </w:r>
      <w:r>
        <w:t>-сайте Генеральной прокуратуры в разделе, относящемся к Главному управлению по защите прав человека, можно получить основную информацию по теме насилия в семье, а также по основным межд</w:t>
      </w:r>
      <w:r>
        <w:t>у</w:t>
      </w:r>
      <w:r>
        <w:t>народным инструментам в отношении осуществления правосудия, таким как Конвенция о ликвидации всех форм дискриминации женщин.</w:t>
      </w:r>
    </w:p>
    <w:p w:rsidR="00000000" w:rsidRDefault="00000000">
      <w:r>
        <w:t>145.</w:t>
      </w:r>
      <w:r>
        <w:tab/>
        <w:t>Министерство труда и социального обеспечения через Главное управление по вопросам гендерного равенства организовало профессиональную подготовку по вопросам борьбы с сексуальными домогательствами всего штата служащих Федеральной прокуратуры по охране труда, а также провело семинар по проблеме ге</w:t>
      </w:r>
      <w:r>
        <w:t>н</w:t>
      </w:r>
      <w:r>
        <w:t>дерного равенства с целью включения этой темы в работу с</w:t>
      </w:r>
      <w:r>
        <w:t>о</w:t>
      </w:r>
      <w:r>
        <w:t>трудников справочных служб.</w:t>
      </w:r>
    </w:p>
    <w:p w:rsidR="00000000" w:rsidRDefault="00000000">
      <w:pPr>
        <w:pStyle w:val="a0"/>
      </w:pPr>
      <w:r>
        <w:t>423. Комитет предложил развернуть просветительскую кампанию для ознакомления женщин с содержанием Конвенции, уделив особое внимание их экономическим, политическим, гражда</w:t>
      </w:r>
      <w:r>
        <w:t>н</w:t>
      </w:r>
      <w:r>
        <w:t>ским и культурным правам.</w:t>
      </w:r>
    </w:p>
    <w:p w:rsidR="00000000" w:rsidRDefault="00000000">
      <w:r>
        <w:t>146.</w:t>
      </w:r>
      <w:r>
        <w:tab/>
        <w:t>По случаю 20-й годовщины Конвенции о ликвидации всех форм дискриминации в отношении женщин 21 июля 1999 года был проведен семинар на тему о международных механизмах защиты прав женщины, орг</w:t>
      </w:r>
      <w:r>
        <w:t>а</w:t>
      </w:r>
      <w:r>
        <w:t>низованный Министерством иностранных дел при участии Национальной комиссии по делам женщин и ЮНИФЕМ. В семинаре приняли участие женщины-сенаторы, депутаты и представители неправительственных организаций. Его задачей было познакомить участников с программами и успехами в области защиты прав женщин и детей, а также призвать женщин-законодателей учитывать в своей раб</w:t>
      </w:r>
      <w:r>
        <w:t>о</w:t>
      </w:r>
      <w:r>
        <w:t>те гендерные факторы.</w:t>
      </w:r>
    </w:p>
    <w:p w:rsidR="00000000" w:rsidRDefault="00000000">
      <w:r>
        <w:t>147.</w:t>
      </w:r>
      <w:r>
        <w:tab/>
        <w:t>21 декабря 1998 года была представлена Национальная программа развития и упрочения прав человека, объединяющая ресурсы и усилия различных ведомств и способствующая усилению роли гражданского общес</w:t>
      </w:r>
      <w:r>
        <w:t>т</w:t>
      </w:r>
      <w:r>
        <w:t>ва и общественных организаций. Эта программа отвечает обязательствам, взятым на себя правительством Ме</w:t>
      </w:r>
      <w:r>
        <w:t>к</w:t>
      </w:r>
      <w:r>
        <w:t>сики в отношении Венской декларации и плана действий, в пункте 71 которой рекомендуется, "чтобы каждое государство рассмотрело вопрос о целесообразности разработки национального плана действий" для улучш</w:t>
      </w:r>
      <w:r>
        <w:t>е</w:t>
      </w:r>
      <w:r>
        <w:t>ния защиты прав челов</w:t>
      </w:r>
      <w:r>
        <w:t>е</w:t>
      </w:r>
      <w:r>
        <w:t>ка.</w:t>
      </w:r>
    </w:p>
    <w:p w:rsidR="00000000" w:rsidRDefault="00000000">
      <w:r>
        <w:t>148.</w:t>
      </w:r>
      <w:r>
        <w:tab/>
        <w:t>Основной целью Программы является содействие повышению культуры соблюдения прав человека, для чего необходимо укреплять организационные механизмы и покончить с безнаказанностью сотрудников прав</w:t>
      </w:r>
      <w:r>
        <w:t>о</w:t>
      </w:r>
      <w:r>
        <w:t>охранительных органов. Программа также намечает действия, призванные защищать права женщин и доб</w:t>
      </w:r>
      <w:r>
        <w:t>и</w:t>
      </w:r>
      <w:r>
        <w:t>ваться того, чтобы различные учреждения применяли в своей работе генде</w:t>
      </w:r>
      <w:r>
        <w:t>р</w:t>
      </w:r>
      <w:r>
        <w:t>ный подход.</w:t>
      </w:r>
    </w:p>
    <w:p w:rsidR="00000000" w:rsidRDefault="00000000">
      <w:r>
        <w:t>149.</w:t>
      </w:r>
      <w:r>
        <w:tab/>
        <w:t>Первая оценка Национальной программы Контрольным комитетом, осуществленная в январе этого г</w:t>
      </w:r>
      <w:r>
        <w:t>о</w:t>
      </w:r>
      <w:r>
        <w:t>да, отражает позитивные результаты, в частности, в сфере распространения информации о правах человека и в професси</w:t>
      </w:r>
      <w:r>
        <w:t>о</w:t>
      </w:r>
      <w:r>
        <w:t>нальной подготовке.</w:t>
      </w:r>
    </w:p>
    <w:p w:rsidR="00000000" w:rsidRDefault="00000000">
      <w:r>
        <w:t>150.</w:t>
      </w:r>
      <w:r>
        <w:tab/>
      </w:r>
      <w:r>
        <w:rPr>
          <w:color w:val="000000"/>
        </w:rPr>
        <w:t>Национальная комиссия по правам человека</w:t>
      </w:r>
      <w:r>
        <w:rPr>
          <w:color w:val="000000"/>
          <w:lang w:val="es-ES"/>
        </w:rPr>
        <w:t xml:space="preserve"> </w:t>
      </w:r>
      <w:r>
        <w:t>продолжает издавать и активно распространять печатную и аудиовизуальную информацию об экономических, социальных, культурных, политических и гражданских пр</w:t>
      </w:r>
      <w:r>
        <w:t>а</w:t>
      </w:r>
      <w:r>
        <w:t>вах женщин. С 1998 года по сентябрь 2000 года Координационный совет Программы по делам женщин, детей и с</w:t>
      </w:r>
      <w:r>
        <w:t>е</w:t>
      </w:r>
      <w:r>
        <w:t>мьи распространил в 318 организациях 57 тыс. проспектов и других печатных материалов, а также 200 виде</w:t>
      </w:r>
      <w:r>
        <w:t>о</w:t>
      </w:r>
      <w:r>
        <w:t>кассет; среди них – пособия "Права человека женщин" и "Что такое насилие в семье и как ему противостоять", которые распространяются по всей стране с помощью правительственных и неправительственных организаций, учебных заведений и комиссий по правам человека штатов. Были также созданы десять информационных бл</w:t>
      </w:r>
      <w:r>
        <w:t>о</w:t>
      </w:r>
      <w:r>
        <w:t>ков о правах женщин, которые передавались по внутреннему радио различных организаций и были распростр</w:t>
      </w:r>
      <w:r>
        <w:t>а</w:t>
      </w:r>
      <w:r>
        <w:t>нены по университетам штатов с помощью Национальной ассоциации университетов и высших учебных зав</w:t>
      </w:r>
      <w:r>
        <w:t>е</w:t>
      </w:r>
      <w:r>
        <w:t>дений (АНУИЭС). Кроме того, был разработан проект кампании на радио, цель которой – распространить и</w:t>
      </w:r>
      <w:r>
        <w:t>н</w:t>
      </w:r>
      <w:r>
        <w:t>формацию о специальной Программе защиты прав женщин, нацеленной на решение гендерных проблем. На радио и телевидении были организованы 24 передачи по данной тематике.</w:t>
      </w:r>
    </w:p>
    <w:p w:rsidR="00000000" w:rsidRDefault="00000000">
      <w:r>
        <w:t>151.</w:t>
      </w:r>
      <w:r>
        <w:tab/>
      </w:r>
      <w:r>
        <w:rPr>
          <w:color w:val="000000"/>
        </w:rPr>
        <w:t>Национальная комиссия по правам человека</w:t>
      </w:r>
      <w:r>
        <w:rPr>
          <w:color w:val="000000"/>
          <w:lang w:val="es-ES"/>
        </w:rPr>
        <w:t xml:space="preserve"> </w:t>
      </w:r>
      <w:r>
        <w:rPr>
          <w:lang w:val="es-ES"/>
        </w:rPr>
        <w:t>издал</w:t>
      </w:r>
      <w:r>
        <w:t>а</w:t>
      </w:r>
      <w:r>
        <w:rPr>
          <w:lang w:val="es-ES"/>
        </w:rPr>
        <w:t xml:space="preserve"> несколько сборников международн</w:t>
      </w:r>
      <w:r>
        <w:t>о-</w:t>
      </w:r>
      <w:r>
        <w:rPr>
          <w:lang w:val="es-ES"/>
        </w:rPr>
        <w:t xml:space="preserve">правовых </w:t>
      </w:r>
      <w:r>
        <w:t>д</w:t>
      </w:r>
      <w:r>
        <w:t>о</w:t>
      </w:r>
      <w:r>
        <w:t>кументов</w:t>
      </w:r>
      <w:r>
        <w:rPr>
          <w:lang w:val="es-ES"/>
        </w:rPr>
        <w:t xml:space="preserve">, </w:t>
      </w:r>
      <w:r>
        <w:t>ратифицированных мексиканским парламентом</w:t>
      </w:r>
      <w:r>
        <w:rPr>
          <w:lang w:val="es-ES"/>
        </w:rPr>
        <w:t xml:space="preserve">, </w:t>
      </w:r>
      <w:r>
        <w:t xml:space="preserve">куда вошли и те, в которых </w:t>
      </w:r>
      <w:r>
        <w:rPr>
          <w:lang w:val="es-ES"/>
        </w:rPr>
        <w:t>защищают</w:t>
      </w:r>
      <w:r>
        <w:t>ся</w:t>
      </w:r>
      <w:r>
        <w:rPr>
          <w:lang w:val="es-ES"/>
        </w:rPr>
        <w:t xml:space="preserve"> права женщин. Продолжается распространение </w:t>
      </w:r>
      <w:r>
        <w:t xml:space="preserve">результатов </w:t>
      </w:r>
      <w:r>
        <w:rPr>
          <w:lang w:val="es-ES"/>
        </w:rPr>
        <w:t xml:space="preserve">сравнительного анализа местного и федерального законодательства и международных норм, имеющих отношение к правам женщин и детей, </w:t>
      </w:r>
      <w:r>
        <w:t>который также</w:t>
      </w:r>
      <w:r>
        <w:rPr>
          <w:lang w:val="es-ES"/>
        </w:rPr>
        <w:t xml:space="preserve"> включает </w:t>
      </w:r>
      <w:r>
        <w:t>предложения</w:t>
      </w:r>
      <w:r>
        <w:rPr>
          <w:lang w:val="es-ES"/>
        </w:rPr>
        <w:t xml:space="preserve"> по </w:t>
      </w:r>
      <w:r>
        <w:t>из</w:t>
      </w:r>
      <w:r>
        <w:rPr>
          <w:lang w:val="es-ES"/>
        </w:rPr>
        <w:t>ме</w:t>
      </w:r>
      <w:r>
        <w:t>нению</w:t>
      </w:r>
      <w:r>
        <w:rPr>
          <w:lang w:val="es-ES"/>
        </w:rPr>
        <w:t xml:space="preserve"> законодательства </w:t>
      </w:r>
      <w:r>
        <w:t xml:space="preserve">в области </w:t>
      </w:r>
      <w:r>
        <w:rPr>
          <w:lang w:val="es-ES"/>
        </w:rPr>
        <w:t>борьб</w:t>
      </w:r>
      <w:r>
        <w:t>ы</w:t>
      </w:r>
      <w:r>
        <w:rPr>
          <w:lang w:val="es-ES"/>
        </w:rPr>
        <w:t xml:space="preserve"> с дискриминацией</w:t>
      </w:r>
      <w:r>
        <w:t xml:space="preserve"> в отношении </w:t>
      </w:r>
      <w:r>
        <w:rPr>
          <w:lang w:val="es-ES"/>
        </w:rPr>
        <w:t xml:space="preserve">женщин и по установлению </w:t>
      </w:r>
      <w:r>
        <w:t>юр</w:t>
      </w:r>
      <w:r>
        <w:t>и</w:t>
      </w:r>
      <w:r>
        <w:t>дического</w:t>
      </w:r>
      <w:r>
        <w:rPr>
          <w:lang w:val="es-ES"/>
        </w:rPr>
        <w:t xml:space="preserve"> равенства </w:t>
      </w:r>
      <w:r>
        <w:t>мужчин и женщин в системе правосудия</w:t>
      </w:r>
      <w:r>
        <w:rPr>
          <w:lang w:val="es-ES"/>
        </w:rPr>
        <w:t>.</w:t>
      </w:r>
    </w:p>
    <w:p w:rsidR="00000000" w:rsidRDefault="00000000">
      <w:r>
        <w:rPr>
          <w:lang w:val="es-ES"/>
        </w:rPr>
        <w:t>152.</w:t>
      </w:r>
      <w:r>
        <w:tab/>
      </w:r>
      <w:r>
        <w:rPr>
          <w:lang w:val="es-ES"/>
        </w:rPr>
        <w:t xml:space="preserve">Следует отметить, что с 1993 года Координационный совет Программы по делам женщин, детей и семьи Национальной комиссии по правам человека </w:t>
      </w:r>
      <w:r>
        <w:t xml:space="preserve">входит в </w:t>
      </w:r>
      <w:r>
        <w:rPr>
          <w:lang w:val="es-ES"/>
        </w:rPr>
        <w:t>организаци</w:t>
      </w:r>
      <w:r>
        <w:t>ю</w:t>
      </w:r>
      <w:r>
        <w:rPr>
          <w:lang w:val="es-ES"/>
        </w:rPr>
        <w:t xml:space="preserve"> "Сеть поддержки женщин и детей, чьи права были нарушены" для оказания юридической помощи </w:t>
      </w:r>
      <w:r>
        <w:t xml:space="preserve">в </w:t>
      </w:r>
      <w:r>
        <w:rPr>
          <w:lang w:val="es-ES"/>
        </w:rPr>
        <w:t xml:space="preserve">случаях, которые не входят в компетенцию Комиссии, но требуют </w:t>
      </w:r>
      <w:r>
        <w:t xml:space="preserve">своего </w:t>
      </w:r>
      <w:r>
        <w:rPr>
          <w:lang w:val="es-ES"/>
        </w:rPr>
        <w:t xml:space="preserve">разрешения </w:t>
      </w:r>
      <w:r>
        <w:t xml:space="preserve">в рамках </w:t>
      </w:r>
      <w:r>
        <w:rPr>
          <w:lang w:val="es-ES"/>
        </w:rPr>
        <w:t xml:space="preserve">защиты прав человека. </w:t>
      </w:r>
      <w:r>
        <w:t xml:space="preserve">В настоящее время </w:t>
      </w:r>
      <w:r>
        <w:rPr>
          <w:lang w:val="es-ES"/>
        </w:rPr>
        <w:t xml:space="preserve">в сеть входят </w:t>
      </w:r>
      <w:r>
        <w:rPr>
          <w:lang w:val="es-ES"/>
        </w:rPr>
        <w:br/>
        <w:t xml:space="preserve">268 организаций </w:t>
      </w:r>
      <w:r>
        <w:t>(</w:t>
      </w:r>
      <w:r>
        <w:rPr>
          <w:lang w:val="es-ES"/>
        </w:rPr>
        <w:t>159 правительственных, 77 неправительственных</w:t>
      </w:r>
      <w:r>
        <w:t>)</w:t>
      </w:r>
      <w:r>
        <w:rPr>
          <w:lang w:val="es-ES"/>
        </w:rPr>
        <w:t xml:space="preserve"> и 32 </w:t>
      </w:r>
      <w:r>
        <w:t>к</w:t>
      </w:r>
      <w:r>
        <w:rPr>
          <w:lang w:val="es-ES"/>
        </w:rPr>
        <w:t>омиссии</w:t>
      </w:r>
      <w:r>
        <w:t xml:space="preserve"> </w:t>
      </w:r>
      <w:r>
        <w:rPr>
          <w:lang w:val="es-ES"/>
        </w:rPr>
        <w:t>по правам ч</w:t>
      </w:r>
      <w:r>
        <w:t>е</w:t>
      </w:r>
      <w:r>
        <w:rPr>
          <w:lang w:val="es-ES"/>
        </w:rPr>
        <w:t>ловека</w:t>
      </w:r>
      <w:r>
        <w:t xml:space="preserve"> штатов</w:t>
      </w:r>
      <w:r>
        <w:rPr>
          <w:lang w:val="es-ES"/>
        </w:rPr>
        <w:t>.</w:t>
      </w:r>
    </w:p>
    <w:p w:rsidR="00000000" w:rsidRDefault="00000000">
      <w:r>
        <w:rPr>
          <w:lang w:val="es-ES"/>
        </w:rPr>
        <w:br w:type="page"/>
        <w:t>153.</w:t>
      </w:r>
      <w:r>
        <w:tab/>
      </w:r>
      <w:r>
        <w:rPr>
          <w:lang w:val="es-ES"/>
        </w:rPr>
        <w:t xml:space="preserve">В связи с празднованием Международного женского дня Национальная комиссия по </w:t>
      </w:r>
      <w:r>
        <w:t>п</w:t>
      </w:r>
      <w:r>
        <w:rPr>
          <w:lang w:val="es-ES"/>
        </w:rPr>
        <w:t>равам человека в марте 1998 года организовала цикл конференций о необходимости уча</w:t>
      </w:r>
      <w:r>
        <w:t>с</w:t>
      </w:r>
      <w:r>
        <w:rPr>
          <w:lang w:val="es-ES"/>
        </w:rPr>
        <w:t xml:space="preserve">тия женщин во всех </w:t>
      </w:r>
      <w:r>
        <w:t>сфера</w:t>
      </w:r>
      <w:r>
        <w:rPr>
          <w:lang w:val="es-ES"/>
        </w:rPr>
        <w:t>х деятельности: закон</w:t>
      </w:r>
      <w:r>
        <w:t>о</w:t>
      </w:r>
      <w:r>
        <w:rPr>
          <w:lang w:val="es-ES"/>
        </w:rPr>
        <w:t xml:space="preserve">дательной, социальной, экономической, политической и научной; в марте 2000 года в рамках </w:t>
      </w:r>
      <w:r>
        <w:t>ц</w:t>
      </w:r>
      <w:r>
        <w:rPr>
          <w:lang w:val="es-ES"/>
        </w:rPr>
        <w:t xml:space="preserve">икла лекций и </w:t>
      </w:r>
      <w:r>
        <w:t>"</w:t>
      </w:r>
      <w:r>
        <w:rPr>
          <w:lang w:val="es-ES"/>
        </w:rPr>
        <w:t>круглых столов</w:t>
      </w:r>
      <w:r>
        <w:t>"</w:t>
      </w:r>
      <w:r>
        <w:rPr>
          <w:lang w:val="es-ES"/>
        </w:rPr>
        <w:t xml:space="preserve"> </w:t>
      </w:r>
      <w:r>
        <w:t>на</w:t>
      </w:r>
      <w:r>
        <w:rPr>
          <w:lang w:val="es-ES"/>
        </w:rPr>
        <w:t xml:space="preserve"> тем</w:t>
      </w:r>
      <w:r>
        <w:t>у</w:t>
      </w:r>
      <w:r>
        <w:rPr>
          <w:lang w:val="es-ES"/>
        </w:rPr>
        <w:t xml:space="preserve"> "Предотвращение насилия, помощь социально </w:t>
      </w:r>
      <w:r>
        <w:t>незащище</w:t>
      </w:r>
      <w:r>
        <w:t>н</w:t>
      </w:r>
      <w:r>
        <w:t>ным</w:t>
      </w:r>
      <w:r>
        <w:rPr>
          <w:lang w:val="es-ES"/>
        </w:rPr>
        <w:t xml:space="preserve"> группам и права человека" </w:t>
      </w:r>
      <w:r>
        <w:t xml:space="preserve">в течение </w:t>
      </w:r>
      <w:r>
        <w:rPr>
          <w:lang w:val="es-ES"/>
        </w:rPr>
        <w:t>месяц</w:t>
      </w:r>
      <w:r>
        <w:t>а</w:t>
      </w:r>
      <w:r>
        <w:rPr>
          <w:lang w:val="es-ES"/>
        </w:rPr>
        <w:t xml:space="preserve"> </w:t>
      </w:r>
      <w:r>
        <w:t xml:space="preserve">обсуждался </w:t>
      </w:r>
      <w:r>
        <w:rPr>
          <w:lang w:val="es-ES"/>
        </w:rPr>
        <w:t>вопрос прав женщин. Также было пр</w:t>
      </w:r>
      <w:r>
        <w:t xml:space="preserve">оведено </w:t>
      </w:r>
      <w:r>
        <w:br/>
      </w:r>
      <w:r>
        <w:rPr>
          <w:lang w:val="es-ES"/>
        </w:rPr>
        <w:t xml:space="preserve">165 </w:t>
      </w:r>
      <w:r>
        <w:t>научных</w:t>
      </w:r>
      <w:r>
        <w:rPr>
          <w:lang w:val="es-ES"/>
        </w:rPr>
        <w:t>, социальных и культурных мероприяти</w:t>
      </w:r>
      <w:r>
        <w:t>й</w:t>
      </w:r>
      <w:r>
        <w:rPr>
          <w:lang w:val="es-ES"/>
        </w:rPr>
        <w:t xml:space="preserve"> и прочитан</w:t>
      </w:r>
      <w:r>
        <w:t>о</w:t>
      </w:r>
      <w:r>
        <w:rPr>
          <w:lang w:val="es-ES"/>
        </w:rPr>
        <w:t xml:space="preserve"> 57 лекций по темам здравоохранения, насилия, гендерн</w:t>
      </w:r>
      <w:r>
        <w:t xml:space="preserve">ых проблем </w:t>
      </w:r>
      <w:r>
        <w:rPr>
          <w:lang w:val="es-ES"/>
        </w:rPr>
        <w:t>и прав человек</w:t>
      </w:r>
      <w:r>
        <w:t>а</w:t>
      </w:r>
      <w:r>
        <w:rPr>
          <w:lang w:val="es-ES"/>
        </w:rPr>
        <w:t xml:space="preserve">, которые были организованы правительственными и неправительственными организациями, учебными </w:t>
      </w:r>
      <w:r>
        <w:t>заведен</w:t>
      </w:r>
      <w:r>
        <w:rPr>
          <w:lang w:val="es-ES"/>
        </w:rPr>
        <w:t xml:space="preserve">иями, международными  и </w:t>
      </w:r>
      <w:r>
        <w:t>благотворительными о</w:t>
      </w:r>
      <w:r>
        <w:t>р</w:t>
      </w:r>
      <w:r>
        <w:t>ганизациями</w:t>
      </w:r>
      <w:r>
        <w:rPr>
          <w:lang w:val="es-ES"/>
        </w:rPr>
        <w:t>.</w:t>
      </w:r>
    </w:p>
    <w:p w:rsidR="00000000" w:rsidRDefault="00000000">
      <w:r>
        <w:rPr>
          <w:lang w:val="es-ES"/>
        </w:rPr>
        <w:t>154.</w:t>
      </w:r>
      <w:r>
        <w:tab/>
      </w:r>
      <w:r>
        <w:rPr>
          <w:lang w:val="es-ES"/>
        </w:rPr>
        <w:t xml:space="preserve">Комиссия по правам человека </w:t>
      </w:r>
      <w:r>
        <w:t>ф</w:t>
      </w:r>
      <w:r>
        <w:rPr>
          <w:lang w:val="es-ES"/>
        </w:rPr>
        <w:t xml:space="preserve">едерального округа </w:t>
      </w:r>
      <w:r>
        <w:t>осуществляла мероприятия по пропаганде прав женщин и совместно с неправительственной организацией "Тысячелетие женщин" опубликовала буклет "Же</w:t>
      </w:r>
      <w:r>
        <w:t>н</w:t>
      </w:r>
      <w:r>
        <w:t>щина, права человека – твои права. Знай их и пользуйся ими!". Данная комиссия выпустила большое количество печатных материалов (плакатов, книг, пособий, буклетов и листовок). Она также начала проведение серии с</w:t>
      </w:r>
      <w:r>
        <w:t>е</w:t>
      </w:r>
      <w:r>
        <w:t>минаров по изучению Конвенции о ликвидации всех форм дискриминации в отношении женщин, предназн</w:t>
      </w:r>
      <w:r>
        <w:t>а</w:t>
      </w:r>
      <w:r>
        <w:t>ченных для государственных служащих и неправител</w:t>
      </w:r>
      <w:r>
        <w:t>ь</w:t>
      </w:r>
      <w:r>
        <w:t>ственных организаций.</w:t>
      </w:r>
    </w:p>
    <w:p w:rsidR="00000000" w:rsidRDefault="00000000">
      <w:r>
        <w:t>155.</w:t>
      </w:r>
      <w:r>
        <w:tab/>
        <w:t>Министерство труда и социального обеспечения через Главное управление по вопросам гендерного равенства на постоянной основе проводит Национальную кампанию по созданию равных возможностей и борьбы с дискриминацией в трудовых отношениях, с тем чтобы женщины были осведомлены о св</w:t>
      </w:r>
      <w:r>
        <w:t>о</w:t>
      </w:r>
      <w:r>
        <w:t>их правах и могли требовать их соблюдения в трудовой сфере. С 1998 года по настоящее время был распр</w:t>
      </w:r>
      <w:r>
        <w:t>о</w:t>
      </w:r>
      <w:r>
        <w:t>странен 1 млн. экземпляров Хартии трудовых прав женщин</w:t>
      </w:r>
      <w:r>
        <w:rPr>
          <w:i/>
        </w:rPr>
        <w:t xml:space="preserve"> </w:t>
      </w:r>
      <w:r>
        <w:t>среди работниц сельского хозяйства, женщин из числа коренного населения, совершеннолетних и несовершеннолетних, среди молодежи и инвалидов; спец</w:t>
      </w:r>
      <w:r>
        <w:t>и</w:t>
      </w:r>
      <w:r>
        <w:t xml:space="preserve">ально для слепых документ был отпечатан с использованием шрифта Брайля. В рамках этой кампании Хартия была переведена на язык майя, и с ней можно ознакомиться на </w:t>
      </w:r>
      <w:r>
        <w:rPr>
          <w:lang w:val="en-US"/>
        </w:rPr>
        <w:t>Web</w:t>
      </w:r>
      <w:r>
        <w:t>-сайте. На радиостанциях, вещающих на национальном уровне в официально выделенное Институтом радиовещания, телевидения и кинематографии время было дополнительно организовано семь ознакомительных передач на тему гендерного равенства, пре</w:t>
      </w:r>
      <w:r>
        <w:t>д</w:t>
      </w:r>
      <w:r>
        <w:t>назначенных для лиц следующих категорий: инвалидов, сельскохозяйственных рабочих и всего взрослого населения страны.</w:t>
      </w:r>
    </w:p>
    <w:p w:rsidR="00000000" w:rsidRDefault="00000000">
      <w:r>
        <w:t>156.</w:t>
      </w:r>
      <w:r>
        <w:tab/>
        <w:t>Министерство просвещения включило в распределяемые бесплатно учебники тексты на гендерную т</w:t>
      </w:r>
      <w:r>
        <w:t>е</w:t>
      </w:r>
      <w:r>
        <w:t>матику.</w:t>
      </w:r>
    </w:p>
    <w:p w:rsidR="00000000" w:rsidRDefault="00000000">
      <w:r>
        <w:t>157.</w:t>
      </w:r>
      <w:r>
        <w:tab/>
        <w:t>Генеральная прокуратура Республики организует семинары по правам женщин, предназначенные для руководителей и сотрудников этого ведомства. Семинары проводятся в рамках курсов, в ходе которых помимо экологических вопросов и проблем этики применительно к работе государственных органов углубленно из</w:t>
      </w:r>
      <w:r>
        <w:t>у</w:t>
      </w:r>
      <w:r>
        <w:t>чаются также и проблемы людей из групп риска: пожилых, инвалидов, детей, пациентов больниц и женщин, находящихся в зависимом положении. В тематику семинаров о правах женщин входит ознакомление с осно</w:t>
      </w:r>
      <w:r>
        <w:t>в</w:t>
      </w:r>
      <w:r>
        <w:t>ными концепциями в области прав человека, государственным законодательством по защите женщин, с соде</w:t>
      </w:r>
      <w:r>
        <w:t>р</w:t>
      </w:r>
      <w:r>
        <w:t>жанием Конвенции о ликвидации всех форм дискриминации в отношении женщин, с экономическими, соц</w:t>
      </w:r>
      <w:r>
        <w:t>и</w:t>
      </w:r>
      <w:r>
        <w:t>альными, политическими, гражданскими и культурными правами женщин, а также с информацией об орган</w:t>
      </w:r>
      <w:r>
        <w:t>и</w:t>
      </w:r>
      <w:r>
        <w:t>зациях и учреждениях, которые призваны помогать женщинам в ситуациях риска. Работа семинаров строится также на рассмотрении конкретных случаев, представленных участниками в процессе работы. Участники сем</w:t>
      </w:r>
      <w:r>
        <w:t>и</w:t>
      </w:r>
      <w:r>
        <w:t xml:space="preserve">наров используют специально разработанный учебник "Права женщин". Также были подготовлены </w:t>
      </w:r>
      <w:r>
        <w:rPr>
          <w:lang w:val="es-ES"/>
        </w:rPr>
        <w:t xml:space="preserve">проспекты </w:t>
      </w:r>
      <w:r>
        <w:t xml:space="preserve">о правах женщин и о насилии в семье, которые были распространены среди персонала прокуратуры. Хотя большинство посетителей семинара – женщины, число мужчин в каждой группе из </w:t>
      </w:r>
      <w:r>
        <w:br/>
        <w:t>15 человек увеличилось с 3 до 4. В рамках семинаров обсуждаются различные кинофильмы, а также проводятся конференции, что позвол</w:t>
      </w:r>
      <w:r>
        <w:t>я</w:t>
      </w:r>
      <w:r>
        <w:t xml:space="preserve">ет закрепить пройденный материал. </w:t>
      </w:r>
      <w:r>
        <w:rPr>
          <w:lang w:val="es-ES"/>
        </w:rPr>
        <w:t>Генпрокуратура</w:t>
      </w:r>
      <w:r>
        <w:t xml:space="preserve"> проводит и другие семинары по темам, связанным с же</w:t>
      </w:r>
      <w:r>
        <w:t>н</w:t>
      </w:r>
      <w:r>
        <w:t>щинами, такие как "Права семьи" и "Права детей". Этот последний посещают сотрудники Центра детского во</w:t>
      </w:r>
      <w:r>
        <w:t>с</w:t>
      </w:r>
      <w:r>
        <w:t>питания при Г</w:t>
      </w:r>
      <w:r>
        <w:rPr>
          <w:lang w:val="es-ES"/>
        </w:rPr>
        <w:t>енпрокуратур</w:t>
      </w:r>
      <w:r>
        <w:t>е, большинство среди которых – женщины.</w:t>
      </w:r>
    </w:p>
    <w:p w:rsidR="00000000" w:rsidRDefault="00000000">
      <w:pPr>
        <w:pStyle w:val="a0"/>
        <w:spacing w:before="0"/>
      </w:pPr>
      <w:r>
        <w:br w:type="page"/>
        <w:t>424. Комитет заявил, что он приветствовал бы регулярное включение в будущие доклады соответствующих статистических данных в целях содействия предметному диалогу о фактическом положении женщин, и выр</w:t>
      </w:r>
      <w:r>
        <w:t>а</w:t>
      </w:r>
      <w:r>
        <w:t>зил желание ознакомиться с данными об использовании информационной системы, которая внедряется в н</w:t>
      </w:r>
      <w:r>
        <w:t>а</w:t>
      </w:r>
      <w:r>
        <w:t>стоящее время.</w:t>
      </w:r>
    </w:p>
    <w:p w:rsidR="00000000" w:rsidRDefault="00000000">
      <w:r>
        <w:t>158.</w:t>
      </w:r>
      <w:r>
        <w:tab/>
        <w:t>Национальный институт статистики, географии и информатики (ИНЕГИ) разработал большую пр</w:t>
      </w:r>
      <w:r>
        <w:t>о</w:t>
      </w:r>
      <w:r>
        <w:t>грамму по сбору и обработке статистических данных с учетом гендерных факторов, которая обеспечивает п</w:t>
      </w:r>
      <w:r>
        <w:t>е</w:t>
      </w:r>
      <w:r>
        <w:t xml:space="preserve">риодическую, своевременную и охватывающую максимальное количество тем информацию. Каждое 8 марта ИНЕГИ доводит до сведения мексиканского общества широкий спектр показателей, описывающих положение мексиканских женщин по сравнению с положением мужчин. На данный момент ИНЕГИ выпустил </w:t>
      </w:r>
      <w:r>
        <w:br/>
        <w:t>20 публик</w:t>
      </w:r>
      <w:r>
        <w:t>а</w:t>
      </w:r>
      <w:r>
        <w:t>ций по проблемам гендерных взаимоотношений и взаимосвязи между разными поколениями.</w:t>
      </w:r>
    </w:p>
    <w:p w:rsidR="00000000" w:rsidRDefault="00000000">
      <w:r>
        <w:t>159.</w:t>
      </w:r>
      <w:r>
        <w:tab/>
        <w:t>В рамках сотрудничества ИНЕГИ с НКЖ была дополнительно разработана Система данных для мон</w:t>
      </w:r>
      <w:r>
        <w:t>и</w:t>
      </w:r>
      <w:r>
        <w:t>торинга положения мексиканских женщин, которая является одним из важных инструментов, позволяющих удовлетворить спрос на информацию у различных групп мексиканского общества, включая государственных служащих, занимающихся женской проблематикой и вопросами улучшения положения мексиканской женщ</w:t>
      </w:r>
      <w:r>
        <w:t>и</w:t>
      </w:r>
      <w:r>
        <w:t>ны. Цель Системы – предоставление данных в демографической, социальной, образовательной, экономической и политической областях, которые содействовали бы осуществлению Национальной программы по улучшению положения женщин.</w:t>
      </w:r>
    </w:p>
    <w:p w:rsidR="00000000" w:rsidRDefault="00000000">
      <w:r>
        <w:t>160.</w:t>
      </w:r>
      <w:r>
        <w:tab/>
        <w:t>Функционирование указанной системы началось с организации пяти отраслевых семинаров для разъя</w:t>
      </w:r>
      <w:r>
        <w:t>с</w:t>
      </w:r>
      <w:r>
        <w:t>нения понятия "гендерный подход" как потребителям статистической информации и читателям информацио</w:t>
      </w:r>
      <w:r>
        <w:t>н</w:t>
      </w:r>
      <w:r>
        <w:t>ных бюллетеней, так и специалистам-статистикам: "Семинар по гендерному подходу к статистической инфо</w:t>
      </w:r>
      <w:r>
        <w:t>р</w:t>
      </w:r>
      <w:r>
        <w:t>мации в сфере образования", "Отраслевой семинар по статистике и показателям труда и гендерный подход", "Отраслевой семинар по статистике и показателям политической активности", "Принятие решений и отнош</w:t>
      </w:r>
      <w:r>
        <w:t>е</w:t>
      </w:r>
      <w:r>
        <w:t>ния полов", "Отраслевой семинар по статистике и показателям в здравоохранении и гендерный подход", "С</w:t>
      </w:r>
      <w:r>
        <w:t>е</w:t>
      </w:r>
      <w:r>
        <w:t>минар по статистике и расчетам показателей при исследовании положения семьи и жилья с учетом гендерных факторов".</w:t>
      </w:r>
    </w:p>
    <w:p w:rsidR="00000000" w:rsidRDefault="00000000">
      <w:r>
        <w:t>161.</w:t>
      </w:r>
      <w:r>
        <w:tab/>
        <w:t>Эти семинары дали возможность потребителям статистических данных и статистикам обменяться и</w:t>
      </w:r>
      <w:r>
        <w:t>н</w:t>
      </w:r>
      <w:r>
        <w:t>формацией об источниках данных и показателях, не получивших пока широкого применения; участники сем</w:t>
      </w:r>
      <w:r>
        <w:t>и</w:t>
      </w:r>
      <w:r>
        <w:t>наров также смогли ознакомиться с последними научными разработками, позволяющими по-новому произв</w:t>
      </w:r>
      <w:r>
        <w:t>о</w:t>
      </w:r>
      <w:r>
        <w:t>дить статистические расчеты. Кроме того, на всех семинарах были представлены важные, но до сих пор не публиковавшиеся данные, которые позволили получить новые показатели о полож</w:t>
      </w:r>
      <w:r>
        <w:t>е</w:t>
      </w:r>
      <w:r>
        <w:t>нии женщин.</w:t>
      </w:r>
    </w:p>
    <w:p w:rsidR="00000000" w:rsidRDefault="00000000">
      <w:r>
        <w:t>162.</w:t>
      </w:r>
      <w:r>
        <w:tab/>
        <w:t>По результатам пяти семинаров были разработаны соответствующие документы, каждый из которых служит руководством для пользователей и комментарием для статистиков.</w:t>
      </w:r>
    </w:p>
    <w:p w:rsidR="00000000" w:rsidRDefault="00000000">
      <w:r>
        <w:t>163.</w:t>
      </w:r>
      <w:r>
        <w:tab/>
        <w:t xml:space="preserve">С предварительными результатами работы Системы можно ознакомится на </w:t>
      </w:r>
      <w:r>
        <w:rPr>
          <w:lang w:val="es-ES_tradnl"/>
        </w:rPr>
        <w:t>Web</w:t>
      </w:r>
      <w:r>
        <w:t xml:space="preserve">-сайте ИНЕГИ </w:t>
      </w:r>
      <w:hyperlink r:id="rId14" w:history="1">
        <w:r>
          <w:rPr>
            <w:lang w:val="en-US"/>
          </w:rPr>
          <w:t>www</w:t>
        </w:r>
        <w:r>
          <w:t>.</w:t>
        </w:r>
        <w:r>
          <w:rPr>
            <w:lang w:val="en-US"/>
          </w:rPr>
          <w:t>inegi</w:t>
        </w:r>
        <w:r>
          <w:t>.</w:t>
        </w:r>
        <w:r>
          <w:rPr>
            <w:lang w:val="en-US"/>
          </w:rPr>
          <w:t>gob</w:t>
        </w:r>
        <w:r>
          <w:t>.</w:t>
        </w:r>
        <w:r>
          <w:rPr>
            <w:lang w:val="en-US"/>
          </w:rPr>
          <w:t>mx</w:t>
        </w:r>
      </w:hyperlink>
      <w:r>
        <w:t>. Одним из последних материалов, размещенных на сайте, стал Национальный опрос по д</w:t>
      </w:r>
      <w:r>
        <w:t>и</w:t>
      </w:r>
      <w:r>
        <w:t>намике народонаселения 1997 года.</w:t>
      </w:r>
    </w:p>
    <w:p w:rsidR="00000000" w:rsidRDefault="00000000">
      <w:r>
        <w:t>164.</w:t>
      </w:r>
      <w:r>
        <w:tab/>
        <w:t>На семинарах пользователей информацией были рассмотрены данные двенадцатой Переписи населения и жилого фонда 2000 года, с тем чтобы с учетом гендерных факторов продолжить подготовительную работу по подготовке восьмой Сельскохозяйственной переписи 2001 года, в результате которой должны быть получены необходимые данные об этом важном секторе. Таким образом, в следующем году Мексика завершит так наз</w:t>
      </w:r>
      <w:r>
        <w:t>ы</w:t>
      </w:r>
      <w:r>
        <w:t>ваемый Статистический цикл-2000, в который входят Экономическая перепись 1999 года (ее предварительные данные уже публиковались), двенадцатая Перепись населения и жилого фонда 2000 года и восьмая Сельск</w:t>
      </w:r>
      <w:r>
        <w:t>о</w:t>
      </w:r>
      <w:r>
        <w:t>хозяйственная перепись 2001 года.</w:t>
      </w:r>
    </w:p>
    <w:p w:rsidR="00000000" w:rsidRDefault="00000000">
      <w:r>
        <w:t>165.</w:t>
      </w:r>
      <w:r>
        <w:tab/>
        <w:t>Важно отметить также сбор, обработку и анализ данных Национального опроса о трудовой деятельн</w:t>
      </w:r>
      <w:r>
        <w:t>о</w:t>
      </w:r>
      <w:r>
        <w:t>сти, трудовом вкладе и распределении времени населения, проведенного в 1996 году, в ходе которого была и</w:t>
      </w:r>
      <w:r>
        <w:t>с</w:t>
      </w:r>
      <w:r>
        <w:t>пользована организационная структура Национального опроса о доходах и расходах семей с целью получения информации о работе и распределении времени членов семьи, а также о вкладе в семейный бюджет членов с</w:t>
      </w:r>
      <w:r>
        <w:t>е</w:t>
      </w:r>
      <w:r>
        <w:t>мьи, имеющих собственный доход. В 1998 году была заново собрана информация о распределении времени населения.</w:t>
      </w:r>
    </w:p>
    <w:p w:rsidR="00000000" w:rsidRDefault="00000000">
      <w:r>
        <w:t>166.</w:t>
      </w:r>
      <w:r>
        <w:tab/>
        <w:t>Для того чтобы максимально актуализировать информацию, ИНЕГИ предоставил пользователям базы данных различных опросов, которые проводятся в семьях, что позволяет ввести значительное количество н</w:t>
      </w:r>
      <w:r>
        <w:t>о</w:t>
      </w:r>
      <w:r>
        <w:t>вых показателей с использованием гендерного подхода. Это также позволяет получить модели опросов для анализа положения определенных слоев населения: молодежи, пожилых, женщин, занятых в различных отра</w:t>
      </w:r>
      <w:r>
        <w:t>с</w:t>
      </w:r>
      <w:r>
        <w:t>лях, и детей. Эти модели опросов позволяют проводить детальные исследования социально-демографической ситуации.</w:t>
      </w:r>
    </w:p>
    <w:p w:rsidR="00000000" w:rsidRDefault="00000000">
      <w:pPr>
        <w:pStyle w:val="a0"/>
      </w:pPr>
      <w:r>
        <w:t>425. Комитет рекомендовал правительству Мексики уделять первоочередное внимание обеспечению прав чел</w:t>
      </w:r>
      <w:r>
        <w:t>о</w:t>
      </w:r>
      <w:r>
        <w:t>века применительно к женщинам, включая представительниц коренного населения, в районах конфликта, ос</w:t>
      </w:r>
      <w:r>
        <w:t>о</w:t>
      </w:r>
      <w:r>
        <w:t>бенно в тех местах, где действуют полицейские и подраздел</w:t>
      </w:r>
      <w:r>
        <w:t>е</w:t>
      </w:r>
      <w:r>
        <w:t>ния вооруженных сил.</w:t>
      </w:r>
    </w:p>
    <w:p w:rsidR="00000000" w:rsidRDefault="00000000">
      <w:r>
        <w:t>167.</w:t>
      </w:r>
      <w:r>
        <w:tab/>
        <w:t>В течение 1999 года Конгресс штата Чьяпас внес важные изменения в конституцию штата, в раздел о правах коренного населения, в том числе гарантии равенства и защиты индейских женщин. В дальнейшем был принят Закон о правах и культуре коренного населения штата, в котором есть отдельная глава, регулирующая соблюдение прав индейских женщин и детей и призванная гарантировать им свободу в принятии решений как самостоятельным гражданам, членам семей и членам общины, несмотря на традиции и нравы, ущемляющие права человека.</w:t>
      </w:r>
    </w:p>
    <w:p w:rsidR="00000000" w:rsidRDefault="00000000">
      <w:r>
        <w:t>168.</w:t>
      </w:r>
      <w:r>
        <w:tab/>
        <w:t>Национальная комиссия по правам человека проводила занятия по правам человека, в том числе и по правам женщин, с 2 тыс. военнослужащих. Совместно с Национальным институтом коренного населения, к</w:t>
      </w:r>
      <w:r>
        <w:t>о</w:t>
      </w:r>
      <w:r>
        <w:t>миссиями штатов по правам человека и организацией "Международная амнистия" Комиссия также провела с</w:t>
      </w:r>
      <w:r>
        <w:t>е</w:t>
      </w:r>
      <w:r>
        <w:t>минары на темы "Права индейских женщин и детей" и "Индейская женщина, насилие и правосудие" в штатах Чьяпас, Мехико, Идальго и Пуэбла.</w:t>
      </w:r>
    </w:p>
    <w:p w:rsidR="00000000" w:rsidRDefault="00000000">
      <w:r>
        <w:t>169.</w:t>
      </w:r>
      <w:r>
        <w:tab/>
      </w:r>
      <w:r>
        <w:rPr>
          <w:lang w:val="es-ES"/>
        </w:rPr>
        <w:t>Генеральная прокуратура</w:t>
      </w:r>
      <w:r>
        <w:t xml:space="preserve"> учредила Специальную прокуратуру по делам коренного населения, главной задачей которой является оказание консультационной помощи сотрудникам прокуратур Федерации, следоват</w:t>
      </w:r>
      <w:r>
        <w:t>е</w:t>
      </w:r>
      <w:r>
        <w:t>лям и оперативным работникам в рассмотрении и ведении дел, с тем чтобы, обращаясь в эту прокуратуру, они могли получать необходимую поддержку для обеспечения быстрого и эффективного реагирования и строгого надзора за соблюдением прав индейцев, задержанных или находящихся под следствием. Также Прокуратура провела мероприятия по оказанию юридической помощи  индейцам, замешанным в уголовных преступлениях, и их родственникам, в большинстве своем женщинам. Прокуратура также проводит семинары на тему "Права коренного населения" в разных общинах, в которых большинство составляют женщины.</w:t>
      </w:r>
    </w:p>
    <w:p w:rsidR="00000000" w:rsidRDefault="00000000">
      <w:r>
        <w:t>170.</w:t>
      </w:r>
      <w:r>
        <w:tab/>
        <w:t>Кроме того, Генеральная прокуратура через Главное управление по защите прав человека вводит тему прав социально незащищенных групп, в которые входят индейцы и женщины, в содержание курсов повышения квалификации кадров полиции. Аналогичные занятия проводятся и с кандидатами на службу в Федеральной судебной полиции, а также с будущими следователями по уголовным преступлениям, которые в рамках пр</w:t>
      </w:r>
      <w:r>
        <w:t>о</w:t>
      </w:r>
      <w:r>
        <w:t>фессионального обучения проходят подготовку по правам человека, коренного населения и женщин.</w:t>
      </w:r>
    </w:p>
    <w:p w:rsidR="00000000" w:rsidRDefault="00000000">
      <w:r>
        <w:t>171.</w:t>
      </w:r>
      <w:r>
        <w:tab/>
        <w:t>Совместно с Международным комитетом Красного Креста Генеральная прокуратура провела семинары по международному гуманитарному праву. Эти семинары были предназначены для полицейских (комиссаров и заместителей комиссаров) и министерских работников, зан</w:t>
      </w:r>
      <w:r>
        <w:t>и</w:t>
      </w:r>
      <w:r>
        <w:t>мающих должности инструкторов.</w:t>
      </w:r>
    </w:p>
    <w:p w:rsidR="00000000" w:rsidRDefault="00000000">
      <w:pPr>
        <w:pStyle w:val="a0"/>
      </w:pPr>
      <w:r>
        <w:t>426. Комитет рекомендовал пересмотреть соответствующее законодательство во всех штатах страны, с тем чт</w:t>
      </w:r>
      <w:r>
        <w:t>о</w:t>
      </w:r>
      <w:r>
        <w:t>бы при необходимости женщины могли незамедлительно воспользоваться правом на доступный аборт.</w:t>
      </w:r>
    </w:p>
    <w:p w:rsidR="00000000" w:rsidRDefault="00000000">
      <w:r>
        <w:t>172.</w:t>
      </w:r>
      <w:r>
        <w:tab/>
        <w:t>В качестве дополнения к ответу на рекомендацию, которая содержится в пункте 408 документа А/53/38/</w:t>
      </w:r>
      <w:r>
        <w:rPr>
          <w:lang w:val="en-US"/>
        </w:rPr>
        <w:t>Rev</w:t>
      </w:r>
      <w:r>
        <w:t>.1, и в соответствии со статьей 12 Конвенции определяется, что каждый штат имеет право разраб</w:t>
      </w:r>
      <w:r>
        <w:t>а</w:t>
      </w:r>
      <w:r>
        <w:t>тывать или изменять свой Уголовный кодекс, в том числе и ту его  часть, где речь идет о наказании за аборт или о его законности.</w:t>
      </w:r>
    </w:p>
    <w:p w:rsidR="00000000" w:rsidRDefault="00000000">
      <w:pPr>
        <w:spacing w:after="220"/>
      </w:pPr>
      <w:r>
        <w:t>173.</w:t>
      </w:r>
      <w:r>
        <w:tab/>
        <w:t>Мексиканское законодательство защищает право на жизнь "плода в утробе матери на любом сроке бер</w:t>
      </w:r>
      <w:r>
        <w:t>е</w:t>
      </w:r>
      <w:r>
        <w:t>менности" и объявляет аборт преступлением. Тем не менее при определенных условиях и в некоторых обсто</w:t>
      </w:r>
      <w:r>
        <w:t>я</w:t>
      </w:r>
      <w:r>
        <w:t>тельствах искусственное прерывание беременности не рассматривается как преступление. В настоящее время в уголовных кодексах большинства штатов Республики аборт не считается преступлением в следующих случ</w:t>
      </w:r>
      <w:r>
        <w:t>а</w:t>
      </w:r>
      <w:r>
        <w:t>ях:</w:t>
      </w:r>
    </w:p>
    <w:p w:rsidR="00000000" w:rsidRDefault="00000000">
      <w:pPr>
        <w:tabs>
          <w:tab w:val="left" w:pos="284"/>
        </w:tabs>
        <w:spacing w:after="220"/>
        <w:ind w:left="567" w:hanging="567"/>
      </w:pPr>
      <w:r>
        <w:tab/>
      </w:r>
      <w:r>
        <w:sym w:font="Symbol" w:char="F0B7"/>
      </w:r>
      <w:r>
        <w:tab/>
        <w:t>если женщина забеременела в результате насилия;</w:t>
      </w:r>
    </w:p>
    <w:p w:rsidR="00000000" w:rsidRDefault="00000000">
      <w:pPr>
        <w:tabs>
          <w:tab w:val="left" w:pos="284"/>
        </w:tabs>
        <w:spacing w:after="220"/>
        <w:ind w:left="567" w:hanging="567"/>
      </w:pPr>
      <w:r>
        <w:tab/>
      </w:r>
      <w:r>
        <w:sym w:font="Symbol" w:char="F0B7"/>
      </w:r>
      <w:r>
        <w:tab/>
        <w:t>если он необходим для спасения жизни матери;</w:t>
      </w:r>
    </w:p>
    <w:p w:rsidR="00000000" w:rsidRDefault="00000000">
      <w:pPr>
        <w:tabs>
          <w:tab w:val="left" w:pos="284"/>
        </w:tabs>
        <w:spacing w:after="220"/>
        <w:ind w:left="567" w:hanging="567"/>
      </w:pPr>
      <w:r>
        <w:tab/>
      </w:r>
      <w:r>
        <w:sym w:font="Symbol" w:char="F0B7"/>
      </w:r>
      <w:r>
        <w:tab/>
        <w:t>если он является вынужденной мерой вследствие неосторожного поведения женщины.</w:t>
      </w:r>
    </w:p>
    <w:p w:rsidR="00000000" w:rsidRDefault="00000000">
      <w:pPr>
        <w:tabs>
          <w:tab w:val="left" w:pos="284"/>
        </w:tabs>
        <w:spacing w:after="220"/>
        <w:ind w:left="567" w:hanging="567"/>
      </w:pPr>
      <w:r>
        <w:t>174.</w:t>
      </w:r>
      <w:r>
        <w:tab/>
        <w:t>Как отмечалось выше, в некоторых штатах аборт не считается преступлением в следу</w:t>
      </w:r>
      <w:r>
        <w:t>ю</w:t>
      </w:r>
      <w:r>
        <w:t>щих случаях:</w:t>
      </w:r>
    </w:p>
    <w:p w:rsidR="00000000" w:rsidRDefault="00000000">
      <w:pPr>
        <w:tabs>
          <w:tab w:val="left" w:pos="284"/>
        </w:tabs>
        <w:spacing w:after="220"/>
        <w:ind w:left="567" w:hanging="567"/>
      </w:pPr>
      <w:r>
        <w:tab/>
      </w:r>
      <w:r>
        <w:sym w:font="Symbol" w:char="F0B7"/>
      </w:r>
      <w:r>
        <w:tab/>
        <w:t xml:space="preserve">если эмбрион имеет врожденные патологии; </w:t>
      </w:r>
    </w:p>
    <w:p w:rsidR="00000000" w:rsidRDefault="00000000">
      <w:pPr>
        <w:tabs>
          <w:tab w:val="left" w:pos="284"/>
        </w:tabs>
        <w:spacing w:after="220"/>
        <w:ind w:left="567" w:hanging="567"/>
      </w:pPr>
      <w:r>
        <w:tab/>
      </w:r>
      <w:r>
        <w:sym w:font="Symbol" w:char="F0B7"/>
      </w:r>
      <w:r>
        <w:tab/>
        <w:t>если роды угрожают здоровью женщины;</w:t>
      </w:r>
    </w:p>
    <w:p w:rsidR="00000000" w:rsidRDefault="00000000">
      <w:pPr>
        <w:tabs>
          <w:tab w:val="left" w:pos="284"/>
        </w:tabs>
        <w:spacing w:after="220"/>
        <w:ind w:left="567" w:hanging="567"/>
      </w:pPr>
      <w:r>
        <w:tab/>
      </w:r>
      <w:r>
        <w:sym w:font="Symbol" w:char="F0B7"/>
      </w:r>
      <w:r>
        <w:tab/>
        <w:t>если беременность является результатом искусственного оплодотворения, проведенного без согл</w:t>
      </w:r>
      <w:r>
        <w:t>а</w:t>
      </w:r>
      <w:r>
        <w:t>сия женщины; и</w:t>
      </w:r>
    </w:p>
    <w:p w:rsidR="00000000" w:rsidRDefault="00000000">
      <w:pPr>
        <w:tabs>
          <w:tab w:val="left" w:pos="284"/>
        </w:tabs>
        <w:spacing w:after="220"/>
        <w:ind w:left="567" w:hanging="567"/>
      </w:pPr>
      <w:r>
        <w:tab/>
      </w:r>
      <w:r>
        <w:sym w:font="Symbol" w:char="F0B7"/>
      </w:r>
      <w:r>
        <w:tab/>
        <w:t>если у женщины уже есть трое детей и она не имеет социальных и экономических условий для с</w:t>
      </w:r>
      <w:r>
        <w:t>о</w:t>
      </w:r>
      <w:r>
        <w:t>держания четвертого ребенка.</w:t>
      </w:r>
    </w:p>
    <w:p w:rsidR="00000000" w:rsidRDefault="00000000">
      <w:pPr>
        <w:spacing w:after="220"/>
      </w:pPr>
      <w:r>
        <w:t>175.</w:t>
      </w:r>
      <w:r>
        <w:tab/>
        <w:t>За охватываемый докладом период некоторые законодательные собрания пересмотрели местное зак</w:t>
      </w:r>
      <w:r>
        <w:t>о</w:t>
      </w:r>
      <w:r>
        <w:t>нодательство и определили случаи, когда аборт не карается законом, как, например, в Юкатане, в то время как в других штатах, например в Гуанахуато, в 2000 году был одобрен проект измененного Уголовного кодекса, в кот</w:t>
      </w:r>
      <w:r>
        <w:t>о</w:t>
      </w:r>
      <w:r>
        <w:t>ром факт изнасилования более не рассматривается как основание считать аборт ненаказуемым. Эти изменения не были приняты, так как прав</w:t>
      </w:r>
      <w:r>
        <w:t>и</w:t>
      </w:r>
      <w:r>
        <w:t>тельство штата наложило на них вето.</w:t>
      </w:r>
    </w:p>
    <w:p w:rsidR="00000000" w:rsidRDefault="00000000">
      <w:pPr>
        <w:spacing w:after="220"/>
      </w:pPr>
      <w:r>
        <w:rPr>
          <w:lang w:val="es-ES"/>
        </w:rPr>
        <w:t>176</w:t>
      </w:r>
      <w:r>
        <w:t>.</w:t>
      </w:r>
      <w:r>
        <w:tab/>
        <w:t>24 августа 2000 года в "Гасета Офисиаль дель Дистрито Федераль" был опубликован Декрет, согласно которому различные статьи Уголовного кодекса федерал</w:t>
      </w:r>
      <w:r>
        <w:t>ь</w:t>
      </w:r>
      <w:r>
        <w:t xml:space="preserve">ного округа (статьи 332, 333 и 334) и Уголовно-процессуального кодекса федерального округа (статья 131 </w:t>
      </w:r>
      <w:r>
        <w:rPr>
          <w:lang w:val="en-US"/>
        </w:rPr>
        <w:t>bis</w:t>
      </w:r>
      <w:r>
        <w:t>), имеющие отношение к наказуемости за аборт, были пересмотрены и дополнены, с тем чтобы расширить круг причин, разрешающих искусственное прерывание беременности. В Декрете содержатся следующие полож</w:t>
      </w:r>
      <w:r>
        <w:t>е</w:t>
      </w:r>
      <w:r>
        <w:t>ния:</w:t>
      </w:r>
    </w:p>
    <w:p w:rsidR="00000000" w:rsidRDefault="00000000">
      <w:pPr>
        <w:tabs>
          <w:tab w:val="left" w:pos="284"/>
        </w:tabs>
        <w:spacing w:after="220"/>
        <w:ind w:left="284"/>
        <w:rPr>
          <w:i/>
        </w:rPr>
      </w:pPr>
      <w:r>
        <w:rPr>
          <w:i/>
        </w:rPr>
        <w:t>"Статья первая. Статьи 332, 333 и 334 Уголовного кодекса федерального округа изменяются и формулир</w:t>
      </w:r>
      <w:r>
        <w:rPr>
          <w:i/>
        </w:rPr>
        <w:t>у</w:t>
      </w:r>
      <w:r>
        <w:rPr>
          <w:i/>
        </w:rPr>
        <w:t>ются следующим образом:</w:t>
      </w:r>
    </w:p>
    <w:p w:rsidR="00000000" w:rsidRDefault="00000000">
      <w:pPr>
        <w:tabs>
          <w:tab w:val="left" w:pos="284"/>
        </w:tabs>
        <w:spacing w:after="220"/>
        <w:ind w:left="284"/>
        <w:rPr>
          <w:i/>
        </w:rPr>
      </w:pPr>
      <w:r>
        <w:rPr>
          <w:i/>
        </w:rPr>
        <w:t>Статья 332. Наказание от одного года до трех лет лишения свободы применяется к женщине, которая до</w:t>
      </w:r>
      <w:r>
        <w:rPr>
          <w:i/>
        </w:rPr>
        <w:t>б</w:t>
      </w:r>
      <w:r>
        <w:rPr>
          <w:i/>
        </w:rPr>
        <w:t>ровольно совершает аборт или дает согласие на аборт.</w:t>
      </w:r>
    </w:p>
    <w:p w:rsidR="00000000" w:rsidRDefault="00000000">
      <w:pPr>
        <w:tabs>
          <w:tab w:val="left" w:pos="284"/>
        </w:tabs>
        <w:spacing w:after="220"/>
        <w:ind w:left="284"/>
        <w:rPr>
          <w:i/>
        </w:rPr>
      </w:pPr>
      <w:r>
        <w:rPr>
          <w:i/>
        </w:rPr>
        <w:t>Статья 333. Аборт считается преступлением только после его совершения.</w:t>
      </w:r>
    </w:p>
    <w:p w:rsidR="00000000" w:rsidRDefault="00000000">
      <w:pPr>
        <w:tabs>
          <w:tab w:val="left" w:pos="284"/>
        </w:tabs>
        <w:spacing w:after="220"/>
        <w:ind w:left="284"/>
        <w:rPr>
          <w:i/>
        </w:rPr>
      </w:pPr>
      <w:r>
        <w:rPr>
          <w:i/>
        </w:rPr>
        <w:t>Статья 334. Санкции не применяются:</w:t>
      </w:r>
    </w:p>
    <w:p w:rsidR="00000000" w:rsidRDefault="00000000">
      <w:pPr>
        <w:tabs>
          <w:tab w:val="clear" w:pos="680"/>
          <w:tab w:val="left" w:pos="284"/>
          <w:tab w:val="left" w:pos="851"/>
        </w:tabs>
        <w:spacing w:after="220"/>
        <w:ind w:left="851" w:hanging="567"/>
        <w:rPr>
          <w:i/>
        </w:rPr>
      </w:pPr>
      <w:r>
        <w:rPr>
          <w:i/>
          <w:lang w:val="en-US"/>
        </w:rPr>
        <w:tab/>
        <w:t>I</w:t>
      </w:r>
      <w:r>
        <w:rPr>
          <w:i/>
        </w:rPr>
        <w:t>.</w:t>
      </w:r>
      <w:r>
        <w:rPr>
          <w:i/>
        </w:rPr>
        <w:tab/>
        <w:t>если беременность явилась результатом изнасилования;</w:t>
      </w:r>
    </w:p>
    <w:p w:rsidR="00000000" w:rsidRDefault="00000000">
      <w:pPr>
        <w:tabs>
          <w:tab w:val="clear" w:pos="680"/>
          <w:tab w:val="left" w:pos="284"/>
          <w:tab w:val="left" w:pos="851"/>
        </w:tabs>
        <w:spacing w:after="220"/>
        <w:ind w:left="851" w:hanging="567"/>
        <w:rPr>
          <w:i/>
        </w:rPr>
      </w:pPr>
      <w:r>
        <w:rPr>
          <w:i/>
          <w:lang w:val="en-US"/>
        </w:rPr>
        <w:tab/>
        <w:t>II</w:t>
      </w:r>
      <w:r>
        <w:rPr>
          <w:i/>
        </w:rPr>
        <w:t>.</w:t>
      </w:r>
      <w:r>
        <w:rPr>
          <w:i/>
        </w:rPr>
        <w:tab/>
        <w:t>если продолжение беременности представляет серьезную угрозу для здоровья матери, что опред</w:t>
      </w:r>
      <w:r>
        <w:rPr>
          <w:i/>
        </w:rPr>
        <w:t>е</w:t>
      </w:r>
      <w:r>
        <w:rPr>
          <w:i/>
        </w:rPr>
        <w:t>ляет лечащий врач после консультации с другим врачом, в тех случаях, когда подобная консультация возмо</w:t>
      </w:r>
      <w:r>
        <w:rPr>
          <w:i/>
        </w:rPr>
        <w:t>ж</w:t>
      </w:r>
      <w:r>
        <w:rPr>
          <w:i/>
        </w:rPr>
        <w:t>на и не ведет к опасному для здоровья женщины промедлению;</w:t>
      </w:r>
    </w:p>
    <w:p w:rsidR="00000000" w:rsidRDefault="00000000">
      <w:pPr>
        <w:tabs>
          <w:tab w:val="clear" w:pos="680"/>
          <w:tab w:val="left" w:pos="284"/>
          <w:tab w:val="left" w:pos="851"/>
        </w:tabs>
        <w:spacing w:after="220"/>
        <w:ind w:left="851" w:hanging="567"/>
        <w:rPr>
          <w:i/>
          <w:u w:val="single"/>
        </w:rPr>
      </w:pPr>
      <w:r>
        <w:rPr>
          <w:i/>
          <w:lang w:val="en-US"/>
        </w:rPr>
        <w:tab/>
        <w:t>III</w:t>
      </w:r>
      <w:r>
        <w:rPr>
          <w:i/>
        </w:rPr>
        <w:t>.</w:t>
      </w:r>
      <w:r>
        <w:rPr>
          <w:i/>
        </w:rPr>
        <w:tab/>
        <w:t>если, по мнению двух врачей-специалистов, существуют достаточно веские доказательства ген</w:t>
      </w:r>
      <w:r>
        <w:rPr>
          <w:i/>
        </w:rPr>
        <w:t>е</w:t>
      </w:r>
      <w:r>
        <w:rPr>
          <w:i/>
        </w:rPr>
        <w:t>тических или врожденных отклонений в развитии плода, влекущих за собой физические или умственные уро</w:t>
      </w:r>
      <w:r>
        <w:rPr>
          <w:i/>
        </w:rPr>
        <w:t>д</w:t>
      </w:r>
      <w:r>
        <w:rPr>
          <w:i/>
        </w:rPr>
        <w:t>ства, и если сама мать не возражает против аборта;</w:t>
      </w:r>
    </w:p>
    <w:p w:rsidR="00000000" w:rsidRDefault="00000000">
      <w:pPr>
        <w:tabs>
          <w:tab w:val="clear" w:pos="680"/>
          <w:tab w:val="left" w:pos="284"/>
          <w:tab w:val="left" w:pos="851"/>
        </w:tabs>
        <w:ind w:left="851" w:hanging="567"/>
        <w:rPr>
          <w:i/>
        </w:rPr>
      </w:pPr>
      <w:r>
        <w:rPr>
          <w:i/>
        </w:rPr>
        <w:tab/>
      </w:r>
      <w:r>
        <w:rPr>
          <w:i/>
          <w:lang w:val="en-US"/>
        </w:rPr>
        <w:t>IV</w:t>
      </w:r>
      <w:r>
        <w:rPr>
          <w:i/>
        </w:rPr>
        <w:t>.</w:t>
      </w:r>
      <w:r>
        <w:rPr>
          <w:i/>
        </w:rPr>
        <w:tab/>
        <w:t xml:space="preserve">если </w:t>
      </w:r>
      <w:r>
        <w:rPr>
          <w:i/>
          <w:lang w:val="en-US"/>
        </w:rPr>
        <w:t>он</w:t>
      </w:r>
      <w:r>
        <w:rPr>
          <w:i/>
        </w:rPr>
        <w:t xml:space="preserve"> является вынужденной мерой вследствие неосторожного поведения беременной женщ</w:t>
      </w:r>
      <w:r>
        <w:rPr>
          <w:i/>
        </w:rPr>
        <w:t>и</w:t>
      </w:r>
      <w:r>
        <w:rPr>
          <w:i/>
        </w:rPr>
        <w:t>ны.</w:t>
      </w:r>
    </w:p>
    <w:p w:rsidR="00000000" w:rsidRDefault="00000000">
      <w:pPr>
        <w:tabs>
          <w:tab w:val="left" w:pos="284"/>
        </w:tabs>
        <w:ind w:left="284"/>
        <w:rPr>
          <w:i/>
        </w:rPr>
      </w:pPr>
      <w:r>
        <w:rPr>
          <w:i/>
        </w:rPr>
        <w:t xml:space="preserve">Статья вторая. В статью 131 </w:t>
      </w:r>
      <w:r>
        <w:rPr>
          <w:i/>
          <w:lang w:val="en-US"/>
        </w:rPr>
        <w:t>bis</w:t>
      </w:r>
      <w:r>
        <w:rPr>
          <w:i/>
        </w:rPr>
        <w:t xml:space="preserve"> Уголовно-процессуального кодекса вносятся дополнения, и она формулир</w:t>
      </w:r>
      <w:r>
        <w:rPr>
          <w:i/>
        </w:rPr>
        <w:t>у</w:t>
      </w:r>
      <w:r>
        <w:rPr>
          <w:i/>
        </w:rPr>
        <w:t>ется следующим образом:</w:t>
      </w:r>
    </w:p>
    <w:p w:rsidR="00000000" w:rsidRDefault="00000000">
      <w:pPr>
        <w:tabs>
          <w:tab w:val="left" w:pos="284"/>
        </w:tabs>
        <w:ind w:left="284"/>
        <w:rPr>
          <w:i/>
        </w:rPr>
      </w:pPr>
      <w:r>
        <w:rPr>
          <w:i/>
        </w:rPr>
        <w:t xml:space="preserve">Статья 131 </w:t>
      </w:r>
      <w:r>
        <w:rPr>
          <w:i/>
          <w:lang w:val="en-US"/>
        </w:rPr>
        <w:t>bis</w:t>
      </w:r>
      <w:r>
        <w:rPr>
          <w:i/>
        </w:rPr>
        <w:t xml:space="preserve">. Прокуратура в соответствии с частью </w:t>
      </w:r>
      <w:r>
        <w:rPr>
          <w:i/>
          <w:lang w:val="en-US"/>
        </w:rPr>
        <w:t>I</w:t>
      </w:r>
      <w:r>
        <w:rPr>
          <w:i/>
        </w:rPr>
        <w:t xml:space="preserve"> статьи 334 Уголовного кодекса должна в течение 24 часов принять решение о прерывании беременности при следующих обстоятельс</w:t>
      </w:r>
      <w:r>
        <w:rPr>
          <w:i/>
        </w:rPr>
        <w:t>т</w:t>
      </w:r>
      <w:r>
        <w:rPr>
          <w:i/>
        </w:rPr>
        <w:t>вах:</w:t>
      </w:r>
    </w:p>
    <w:p w:rsidR="00000000" w:rsidRDefault="00000000">
      <w:pPr>
        <w:tabs>
          <w:tab w:val="clear" w:pos="680"/>
          <w:tab w:val="left" w:pos="284"/>
          <w:tab w:val="left" w:pos="851"/>
        </w:tabs>
        <w:ind w:left="851" w:hanging="567"/>
        <w:rPr>
          <w:i/>
        </w:rPr>
      </w:pPr>
      <w:r>
        <w:rPr>
          <w:i/>
        </w:rPr>
        <w:tab/>
      </w:r>
      <w:r>
        <w:rPr>
          <w:i/>
          <w:lang w:val="en-US"/>
        </w:rPr>
        <w:t>I</w:t>
      </w:r>
      <w:r>
        <w:rPr>
          <w:i/>
        </w:rPr>
        <w:t>.</w:t>
      </w:r>
      <w:r>
        <w:rPr>
          <w:i/>
        </w:rPr>
        <w:tab/>
        <w:t>если подано заявление об изнасиловании;</w:t>
      </w:r>
    </w:p>
    <w:p w:rsidR="00000000" w:rsidRDefault="00000000">
      <w:pPr>
        <w:tabs>
          <w:tab w:val="clear" w:pos="680"/>
          <w:tab w:val="left" w:pos="284"/>
          <w:tab w:val="left" w:pos="851"/>
        </w:tabs>
        <w:ind w:left="851" w:hanging="567"/>
        <w:rPr>
          <w:i/>
        </w:rPr>
      </w:pPr>
      <w:r>
        <w:rPr>
          <w:i/>
        </w:rPr>
        <w:tab/>
      </w:r>
      <w:r>
        <w:rPr>
          <w:i/>
          <w:lang w:val="en-US"/>
        </w:rPr>
        <w:t>II</w:t>
      </w:r>
      <w:r>
        <w:rPr>
          <w:i/>
        </w:rPr>
        <w:t>.</w:t>
      </w:r>
      <w:r>
        <w:rPr>
          <w:i/>
        </w:rPr>
        <w:tab/>
        <w:t>если жертва изнасилования сообщает о своей беременности;</w:t>
      </w:r>
    </w:p>
    <w:p w:rsidR="00000000" w:rsidRDefault="00000000">
      <w:pPr>
        <w:tabs>
          <w:tab w:val="clear" w:pos="680"/>
          <w:tab w:val="left" w:pos="284"/>
          <w:tab w:val="left" w:pos="851"/>
        </w:tabs>
        <w:ind w:left="851" w:hanging="567"/>
        <w:rPr>
          <w:i/>
        </w:rPr>
      </w:pPr>
      <w:r>
        <w:rPr>
          <w:i/>
        </w:rPr>
        <w:tab/>
      </w:r>
      <w:r>
        <w:rPr>
          <w:i/>
          <w:lang w:val="en-US"/>
        </w:rPr>
        <w:t>III</w:t>
      </w:r>
      <w:r>
        <w:rPr>
          <w:i/>
        </w:rPr>
        <w:t>.</w:t>
      </w:r>
      <w:r>
        <w:rPr>
          <w:i/>
        </w:rPr>
        <w:tab/>
        <w:t>если факт беременности подтверждается каким-либо медицинским учреждением, государстве</w:t>
      </w:r>
      <w:r>
        <w:rPr>
          <w:i/>
        </w:rPr>
        <w:t>н</w:t>
      </w:r>
      <w:r>
        <w:rPr>
          <w:i/>
        </w:rPr>
        <w:t>ным или частным;</w:t>
      </w:r>
    </w:p>
    <w:p w:rsidR="00000000" w:rsidRDefault="00000000">
      <w:pPr>
        <w:tabs>
          <w:tab w:val="clear" w:pos="680"/>
          <w:tab w:val="left" w:pos="284"/>
          <w:tab w:val="left" w:pos="851"/>
        </w:tabs>
        <w:ind w:left="851" w:hanging="567"/>
        <w:rPr>
          <w:i/>
        </w:rPr>
      </w:pPr>
      <w:r>
        <w:rPr>
          <w:i/>
        </w:rPr>
        <w:tab/>
      </w:r>
      <w:r>
        <w:rPr>
          <w:i/>
          <w:lang w:val="en-US"/>
        </w:rPr>
        <w:t>IV</w:t>
      </w:r>
      <w:r>
        <w:rPr>
          <w:i/>
        </w:rPr>
        <w:t>.</w:t>
      </w:r>
      <w:r>
        <w:rPr>
          <w:i/>
        </w:rPr>
        <w:tab/>
        <w:t>если имеются признаки, позволяющие прокуратуре предполагать, что беременность явилась сле</w:t>
      </w:r>
      <w:r>
        <w:rPr>
          <w:i/>
        </w:rPr>
        <w:t>д</w:t>
      </w:r>
      <w:r>
        <w:rPr>
          <w:i/>
        </w:rPr>
        <w:t>ствием изнасилования; и</w:t>
      </w:r>
    </w:p>
    <w:p w:rsidR="00000000" w:rsidRDefault="00000000">
      <w:pPr>
        <w:tabs>
          <w:tab w:val="clear" w:pos="680"/>
          <w:tab w:val="left" w:pos="284"/>
          <w:tab w:val="left" w:pos="851"/>
        </w:tabs>
        <w:ind w:left="851" w:hanging="567"/>
        <w:rPr>
          <w:i/>
        </w:rPr>
      </w:pPr>
      <w:r>
        <w:rPr>
          <w:i/>
        </w:rPr>
        <w:tab/>
      </w:r>
      <w:r>
        <w:rPr>
          <w:i/>
          <w:lang w:val="en-US"/>
        </w:rPr>
        <w:t>V</w:t>
      </w:r>
      <w:r>
        <w:rPr>
          <w:i/>
        </w:rPr>
        <w:t>.</w:t>
      </w:r>
      <w:r>
        <w:rPr>
          <w:i/>
        </w:rPr>
        <w:tab/>
        <w:t>если имеется заявление беременной женщины.</w:t>
      </w:r>
    </w:p>
    <w:p w:rsidR="00000000" w:rsidRDefault="00000000">
      <w:r>
        <w:t>177.</w:t>
      </w:r>
      <w:r>
        <w:tab/>
        <w:t xml:space="preserve">25 сентября 2000 года группа законодателей из Партии национального действия и Экологической партии подали протест в Верховный суд в  связи с неконституционностью статей 334 Уголовного кодекса и 131 </w:t>
      </w:r>
      <w:r>
        <w:rPr>
          <w:lang w:val="en-US"/>
        </w:rPr>
        <w:t>bis</w:t>
      </w:r>
      <w:r>
        <w:t xml:space="preserve"> Уголовно-процессуального кодекса, так как внесенные в них изменения противоречат статьям 1, 4, 5, 14, 16, 21, 22, 49 и 133 Конституции Республики.</w:t>
      </w:r>
    </w:p>
    <w:p w:rsidR="00000000" w:rsidRDefault="00000000">
      <w:r>
        <w:t>178.</w:t>
      </w:r>
      <w:r>
        <w:tab/>
        <w:t>Поскольку законодатели высказывают самые разные мнения по поводу упомянутых изменений, есть опасение, что в ближайшее время внесенные измен</w:t>
      </w:r>
      <w:r>
        <w:t>е</w:t>
      </w:r>
      <w:r>
        <w:t>ния могут быть отменены.</w:t>
      </w:r>
    </w:p>
    <w:p w:rsidR="00000000" w:rsidRDefault="00000000">
      <w:pPr>
        <w:pStyle w:val="a0"/>
      </w:pPr>
      <w:r>
        <w:t>427. Комитет просил принять меры для широкого распространения в Мексике этих заключительных замечаний, с тем чтобы мексиканский народ, и в частности руководители государственных учреждений и политические деятели, мог ознакомиться с мерами, принимаемыми в целях обеспечения равноправия женщин, и дальне</w:t>
      </w:r>
      <w:r>
        <w:t>й</w:t>
      </w:r>
      <w:r>
        <w:t>шими шагами в этом направлении. Комитет также просил правительство продолжать широкое распростран</w:t>
      </w:r>
      <w:r>
        <w:t>е</w:t>
      </w:r>
      <w:r>
        <w:t>ние, в частности среди женских и правозащитных организаций, текстов Конвенции, общих рекомендаций К</w:t>
      </w:r>
      <w:r>
        <w:t>о</w:t>
      </w:r>
      <w:r>
        <w:t>митета, Пекинской декларации и Пла</w:t>
      </w:r>
      <w:r>
        <w:t>т</w:t>
      </w:r>
      <w:r>
        <w:t>формы действий.</w:t>
      </w:r>
    </w:p>
    <w:p w:rsidR="00000000" w:rsidRDefault="00000000">
      <w:r>
        <w:t>179.</w:t>
      </w:r>
      <w:r>
        <w:tab/>
        <w:t>27 февраля 1998 года Министерство иностранных дел и Генеральный координационный комитет Н</w:t>
      </w:r>
      <w:r>
        <w:t>а</w:t>
      </w:r>
      <w:r>
        <w:t>циональной комиссии по делам женщин созвали рабочее совещание, чтобы проинформировать различные пр</w:t>
      </w:r>
      <w:r>
        <w:t>а</w:t>
      </w:r>
      <w:r>
        <w:t>вительственные и неправительственные организации о фактах, изложенных в третьем и четвертом объединенном докладе правительства Мексики, представленном Комитету по ликвидации дискриминации в отношении же</w:t>
      </w:r>
      <w:r>
        <w:t>н</w:t>
      </w:r>
      <w:r>
        <w:t>щин 30 января 1998 года, и о его рекомендациях. Замечания и рекомендации участников были использованы в качестве дополнительных инструментов в процессе осуществления положений Ко</w:t>
      </w:r>
      <w:r>
        <w:t>н</w:t>
      </w:r>
      <w:r>
        <w:t>венции.</w:t>
      </w:r>
    </w:p>
    <w:p w:rsidR="00000000" w:rsidRDefault="00000000">
      <w:pPr>
        <w:tabs>
          <w:tab w:val="clear" w:pos="680"/>
          <w:tab w:val="clear" w:pos="1021"/>
          <w:tab w:val="left" w:pos="454"/>
        </w:tabs>
        <w:jc w:val="both"/>
        <w:rPr>
          <w:lang w:val="en-US"/>
        </w:rPr>
      </w:pPr>
    </w:p>
    <w:p w:rsidR="00000000" w:rsidRDefault="00000000">
      <w:pPr>
        <w:pStyle w:val="a"/>
      </w:pPr>
      <w:r>
        <w:rPr>
          <w:caps/>
          <w:lang w:val="en-US"/>
        </w:rPr>
        <w:br w:type="page"/>
      </w:r>
      <w:r>
        <w:t xml:space="preserve">Часть </w:t>
      </w:r>
      <w:r>
        <w:rPr>
          <w:lang w:val="en-US"/>
        </w:rPr>
        <w:t>II</w:t>
      </w:r>
    </w:p>
    <w:p w:rsidR="00000000" w:rsidRDefault="00000000">
      <w:pPr>
        <w:pStyle w:val="a"/>
      </w:pPr>
      <w:r>
        <w:t xml:space="preserve">Принятые меры и успехи, достигнутые в период </w:t>
      </w:r>
      <w:r>
        <w:br/>
        <w:t xml:space="preserve">с февраля 1998 года по октябрь 2000 года, в области применения </w:t>
      </w:r>
      <w:r>
        <w:br/>
        <w:t>в Мексике ш</w:t>
      </w:r>
      <w:r>
        <w:t>е</w:t>
      </w:r>
      <w:r>
        <w:t xml:space="preserve">стнадцати статей Конвенции о ликвидации </w:t>
      </w:r>
      <w:r>
        <w:br/>
        <w:t>всех форм дискриминации в отношении женщин</w:t>
      </w:r>
    </w:p>
    <w:p w:rsidR="00000000" w:rsidRDefault="00000000">
      <w:pPr>
        <w:pStyle w:val="Heading1"/>
        <w:spacing w:before="360"/>
      </w:pPr>
      <w:r>
        <w:t>СТАТЬИ 1 и 2</w:t>
      </w:r>
    </w:p>
    <w:p w:rsidR="00000000" w:rsidRDefault="00000000">
      <w:pPr>
        <w:tabs>
          <w:tab w:val="clear" w:pos="680"/>
        </w:tabs>
      </w:pPr>
      <w:r>
        <w:t>180.</w:t>
      </w:r>
      <w:r>
        <w:tab/>
        <w:t>В отчетный период в ходе конституционных реформ и законодательной деятельности были разработ</w:t>
      </w:r>
      <w:r>
        <w:t>а</w:t>
      </w:r>
      <w:r>
        <w:t>ны новые нормативные акты по различным аспектам положения женщин. Следует отметить, что принятие н</w:t>
      </w:r>
      <w:r>
        <w:t>о</w:t>
      </w:r>
      <w:r>
        <w:t>вых нормативных актов в целом не изменило приоритетов, заявленных в предыдущих докладах, а именно ор</w:t>
      </w:r>
      <w:r>
        <w:t>и</w:t>
      </w:r>
      <w:r>
        <w:t>ентацию на провозглашенное в Конституции Мексиканских Соединенных Штатов равенство мужчин и женщин перед законом.</w:t>
      </w:r>
    </w:p>
    <w:p w:rsidR="00000000" w:rsidRDefault="00000000">
      <w:pPr>
        <w:tabs>
          <w:tab w:val="clear" w:pos="680"/>
        </w:tabs>
      </w:pPr>
      <w:r>
        <w:t>181.</w:t>
      </w:r>
      <w:r>
        <w:tab/>
        <w:t>Кроме того, в данный период были созданы активно действующие организации, задачей которых явл</w:t>
      </w:r>
      <w:r>
        <w:t>я</w:t>
      </w:r>
      <w:r>
        <w:t>ется анализ положения женщин в федеральных и местных законодательных органах. Так, были созданы коми</w:t>
      </w:r>
      <w:r>
        <w:t>с</w:t>
      </w:r>
      <w:r>
        <w:t>сии по вопросам гендерного равенства, а также двухпалатная комиссия Национального конгресса, учредившая Парламент женщин Мексики. В функции данного Парламента входят разработка, обсуждение и пропаганда законопроектов, содействующих ликвидации всех форм дискриминации по гендерному признаку, а также ра</w:t>
      </w:r>
      <w:r>
        <w:t>з</w:t>
      </w:r>
      <w:r>
        <w:t>работка правительственной политики в целях обеспечения равенства мужчин и женщин, соблюдения прав женщин и проведения в жизнь программ, улучшающих их положение.</w:t>
      </w:r>
    </w:p>
    <w:p w:rsidR="00000000" w:rsidRDefault="00000000">
      <w:pPr>
        <w:tabs>
          <w:tab w:val="clear" w:pos="680"/>
        </w:tabs>
      </w:pPr>
      <w:r>
        <w:t>182.</w:t>
      </w:r>
      <w:r>
        <w:tab/>
        <w:t>Ниже дается общий обзор основных нововведений и законодательных инициатив последнего времени, направленных на улучшение положения женщин. В случаях, когда необходимо создание четкого представл</w:t>
      </w:r>
      <w:r>
        <w:t>е</w:t>
      </w:r>
      <w:r>
        <w:t>ния о реализации требований определенных статей Конвенции, содержание актов излагается более по</w:t>
      </w:r>
      <w:r>
        <w:t>д</w:t>
      </w:r>
      <w:r>
        <w:t>робно.</w:t>
      </w:r>
    </w:p>
    <w:p w:rsidR="00000000" w:rsidRDefault="00000000">
      <w:pPr>
        <w:pStyle w:val="Heading3"/>
      </w:pPr>
      <w:r>
        <w:t>Укрепление комиссий по правам человека</w:t>
      </w:r>
    </w:p>
    <w:p w:rsidR="00000000" w:rsidRDefault="00000000">
      <w:pPr>
        <w:tabs>
          <w:tab w:val="clear" w:pos="680"/>
        </w:tabs>
      </w:pPr>
      <w:r>
        <w:t>183.</w:t>
      </w:r>
      <w:r>
        <w:tab/>
        <w:t>В 1999 году с целью обеспечения независимости Национальной комиссии по правам человека была изменена статья 102 Конституции Мексики. В результате данная Комиссия обрела статус юридического лица, ей был выделен отдельный бюджет и инфраструктура, необходимые для осуществления надлежащей деятел</w:t>
      </w:r>
      <w:r>
        <w:t>ь</w:t>
      </w:r>
      <w:r>
        <w:t>ности. Согласно новому положению председатель Комиссии должен избираться парламентом на пятилетний срок из трех кандидатов и может быть пер</w:t>
      </w:r>
      <w:r>
        <w:t>е</w:t>
      </w:r>
      <w:r>
        <w:t>избран только один раз.</w:t>
      </w:r>
    </w:p>
    <w:p w:rsidR="00000000" w:rsidRDefault="00000000">
      <w:pPr>
        <w:tabs>
          <w:tab w:val="clear" w:pos="680"/>
        </w:tabs>
      </w:pPr>
      <w:r>
        <w:t>184.</w:t>
      </w:r>
      <w:r>
        <w:tab/>
        <w:t>К настоящему моменту в ходе обеспечения независимости комиссий по правам человека от государс</w:t>
      </w:r>
      <w:r>
        <w:t>т</w:t>
      </w:r>
      <w:r>
        <w:t>венных учреждений местными законодательными органами было избрано одиннадцать руководителей данных комиссий.</w:t>
      </w:r>
    </w:p>
    <w:p w:rsidR="00000000" w:rsidRDefault="00000000">
      <w:pPr>
        <w:tabs>
          <w:tab w:val="clear" w:pos="680"/>
        </w:tabs>
      </w:pPr>
      <w:r>
        <w:t>185.</w:t>
      </w:r>
      <w:r>
        <w:tab/>
        <w:t>Комиссии по правам человека рассматривают заявления о нарушении прав личности и выносят свои рекомендации в зависимости от степени нарушения. Данные рекомендации, обязательные к исполнению вл</w:t>
      </w:r>
      <w:r>
        <w:t>а</w:t>
      </w:r>
      <w:r>
        <w:t>стями, предполагают ряд санкций по отношению к государственным служащим: от объявления выговора до увольнения со службы и привлечения к уголовной ответственности. Комиссии по правам человека в своей де</w:t>
      </w:r>
      <w:r>
        <w:t>я</w:t>
      </w:r>
      <w:r>
        <w:t>тельности обращают особое внимание на такие наименее защищенные социальные группы, как коренное население, женщ</w:t>
      </w:r>
      <w:r>
        <w:t>и</w:t>
      </w:r>
      <w:r>
        <w:t>ны и дети.</w:t>
      </w:r>
    </w:p>
    <w:p w:rsidR="00000000" w:rsidRDefault="00000000">
      <w:pPr>
        <w:tabs>
          <w:tab w:val="clear" w:pos="680"/>
        </w:tabs>
      </w:pPr>
      <w:r>
        <w:t>186.</w:t>
      </w:r>
      <w:r>
        <w:tab/>
        <w:t>Проявляя особое внимание к проблемам  защиты прав женщин и детей, Национальная комиссия по правам человека разработала ряд положений нормативных актов, направленных на защиту прав упомянутых социальных групп. Принятые за это время нормативные акты учитывают не только гендерный фактор, но и принцип приоритета прав детей.</w:t>
      </w:r>
    </w:p>
    <w:p w:rsidR="00000000" w:rsidRDefault="00000000">
      <w:pPr>
        <w:pStyle w:val="Heading3"/>
        <w:spacing w:before="0" w:after="180"/>
      </w:pPr>
      <w:r>
        <w:br w:type="page"/>
        <w:t>Достижения в разработке законодательства, косвенно связанного с положением женщин</w:t>
      </w:r>
    </w:p>
    <w:p w:rsidR="00000000" w:rsidRDefault="00000000">
      <w:pPr>
        <w:tabs>
          <w:tab w:val="clear" w:pos="680"/>
        </w:tabs>
        <w:spacing w:after="180"/>
      </w:pPr>
      <w:r>
        <w:t>187.</w:t>
      </w:r>
      <w:r>
        <w:tab/>
        <w:t>Принята поправка к Закону о земле под названием "Об организации и совершенствовании положения женщин, проживающих в сельской местности" (опубликована в "Диарио Офисиаль" 8 мая 1998 года).</w:t>
      </w:r>
    </w:p>
    <w:p w:rsidR="00000000" w:rsidRDefault="00000000">
      <w:pPr>
        <w:tabs>
          <w:tab w:val="clear" w:pos="680"/>
        </w:tabs>
        <w:spacing w:after="180"/>
      </w:pPr>
      <w:r>
        <w:t>188.</w:t>
      </w:r>
      <w:r>
        <w:tab/>
        <w:t>6 марта 1998 года в "Диарио Офисиаль" опубликован Декрет, которым вводится специальная Карта здоровья женщины, основной целью которой является содействие профилактике  и лечению рака шейки матки и рака груди.</w:t>
      </w:r>
    </w:p>
    <w:p w:rsidR="00000000" w:rsidRDefault="00000000">
      <w:pPr>
        <w:tabs>
          <w:tab w:val="clear" w:pos="680"/>
        </w:tabs>
        <w:spacing w:after="180"/>
      </w:pPr>
      <w:r>
        <w:t>189.</w:t>
      </w:r>
      <w:r>
        <w:tab/>
        <w:t>В декабре 1999 года руководство Института социального обеспечения и социальных услуг для госуда</w:t>
      </w:r>
      <w:r>
        <w:t>р</w:t>
      </w:r>
      <w:r>
        <w:t>ственных служащих (ИСССТЭ) одобрило изменение статьи 6 Устава учреждений по уходу за детьми и разв</w:t>
      </w:r>
      <w:r>
        <w:t>и</w:t>
      </w:r>
      <w:r>
        <w:t>тию личности ребенка, произведенное с целью устранить ограничения на возможность для работающего му</w:t>
      </w:r>
      <w:r>
        <w:t>ж</w:t>
      </w:r>
      <w:r>
        <w:t>чины, состоящего во втором – зарегистрированном или гражданском – браке и взявшего на себя законные об</w:t>
      </w:r>
      <w:r>
        <w:t>я</w:t>
      </w:r>
      <w:r>
        <w:t>зательства по воспитанию своих детей, устроить детей в детское учреждение. В результате дети данной кат</w:t>
      </w:r>
      <w:r>
        <w:t>е</w:t>
      </w:r>
      <w:r>
        <w:t>гории граждан получили возможность пользоваться указанным видом услуг независимо от семейного пол</w:t>
      </w:r>
      <w:r>
        <w:t>о</w:t>
      </w:r>
      <w:r>
        <w:t>жения их родителей. Эта мера является определенным шагом вперед в ликвидации дискриминации по полов</w:t>
      </w:r>
      <w:r>
        <w:t>о</w:t>
      </w:r>
      <w:r>
        <w:t>му признаку, объектом которой являлся в данном случае мужчина – служащий государстве</w:t>
      </w:r>
      <w:r>
        <w:t>н</w:t>
      </w:r>
      <w:r>
        <w:t>ного сектора.</w:t>
      </w:r>
    </w:p>
    <w:p w:rsidR="00000000" w:rsidRDefault="00000000">
      <w:pPr>
        <w:tabs>
          <w:tab w:val="clear" w:pos="680"/>
        </w:tabs>
        <w:spacing w:after="180"/>
      </w:pPr>
      <w:r>
        <w:t>190.</w:t>
      </w:r>
      <w:r>
        <w:tab/>
        <w:t>Также были разработаны и опубликованы в "Диарио Офисиаль" следующие нормативные акты по в</w:t>
      </w:r>
      <w:r>
        <w:t>о</w:t>
      </w:r>
      <w:r>
        <w:t>просам здравоохранения, которыми устанавливаются определенные принципы и процедуры предоставления услуг по охране здоровья:</w:t>
      </w:r>
    </w:p>
    <w:p w:rsidR="00000000" w:rsidRDefault="00000000">
      <w:pPr>
        <w:tabs>
          <w:tab w:val="clear" w:pos="680"/>
          <w:tab w:val="left" w:pos="284"/>
        </w:tabs>
        <w:spacing w:after="180"/>
        <w:ind w:left="284" w:hanging="284"/>
      </w:pPr>
      <w:r>
        <w:sym w:font="Symbol" w:char="F0B7"/>
      </w:r>
      <w:r>
        <w:tab/>
        <w:t>6 марта 1998 года в "Диарио Офисиаль" было опубликовано постановление правительства Мексики "О профилактике и лечении рака шейки матки" – документ, который был разработан органами здравоохранения в координации с неправительственными организациями в результате пересмотра предыдущего постановления по данному вопросу.</w:t>
      </w:r>
    </w:p>
    <w:p w:rsidR="00000000" w:rsidRDefault="00000000">
      <w:pPr>
        <w:tabs>
          <w:tab w:val="clear" w:pos="680"/>
          <w:tab w:val="left" w:pos="284"/>
        </w:tabs>
        <w:spacing w:after="180"/>
        <w:ind w:left="284" w:hanging="284"/>
      </w:pPr>
      <w:r>
        <w:sym w:font="Symbol" w:char="F0B7"/>
      </w:r>
      <w:r>
        <w:tab/>
        <w:t>20 октября 1999 года в "Диарио Офисиаль" был опубликован проект постановления правительства Мексики (</w:t>
      </w:r>
      <w:r>
        <w:rPr>
          <w:lang w:val="en-US"/>
        </w:rPr>
        <w:t>NOM</w:t>
      </w:r>
      <w:r>
        <w:t>-190-</w:t>
      </w:r>
      <w:r>
        <w:rPr>
          <w:lang w:val="en-US"/>
        </w:rPr>
        <w:t>SSA</w:t>
      </w:r>
      <w:r>
        <w:t>1-1999) "О предоставлении медицинских услуг. Принципы предоставления врачебной помощи в случае насилия в семье", представляющий собой обобщение рекомендаций, данных Министерством здравоохранения большому кругу правительственных и неправительственных организаций в дополнение к ук</w:t>
      </w:r>
      <w:r>
        <w:t>а</w:t>
      </w:r>
      <w:r>
        <w:t>занному нормативному акту. После пересмотра и внесения изменений в проект постановление правительства Мексики было опубликовано в "Диарио Офисиаль" от 8 марта 2000 года. Данный нормативный акт предусма</w:t>
      </w:r>
      <w:r>
        <w:t>т</w:t>
      </w:r>
      <w:r>
        <w:t>ривает среди прочих мер обязательный порядок уведомления Прокуратуры о случаях насилия в семье для тех государственных, общественных и частных учреждений, которые предоставляли медицинскую помощь пац</w:t>
      </w:r>
      <w:r>
        <w:t>и</w:t>
      </w:r>
      <w:r>
        <w:t>ентам, ста</w:t>
      </w:r>
      <w:r>
        <w:t>в</w:t>
      </w:r>
      <w:r>
        <w:t>шим жертвами подобных случаев.</w:t>
      </w:r>
    </w:p>
    <w:p w:rsidR="00000000" w:rsidRDefault="00000000">
      <w:pPr>
        <w:tabs>
          <w:tab w:val="clear" w:pos="680"/>
          <w:tab w:val="left" w:pos="284"/>
        </w:tabs>
        <w:spacing w:after="180"/>
        <w:ind w:left="284" w:hanging="284"/>
      </w:pPr>
      <w:r>
        <w:sym w:font="Symbol" w:char="F0B7"/>
      </w:r>
      <w:r>
        <w:tab/>
        <w:t>15 декабря 1999 года в "Диарио Офисиаль" было опубликовано постановление, которым устанавлив</w:t>
      </w:r>
      <w:r>
        <w:t>а</w:t>
      </w:r>
      <w:r>
        <w:t>ется перечень веществ, полностью или частично запрещенных к использованию в производстве парфюмерии и косметики. Постановлением регламентируется использование более 500 химических, натуральных и красящих веществ, являющихся токсичными или вредными для зд</w:t>
      </w:r>
      <w:r>
        <w:t>о</w:t>
      </w:r>
      <w:r>
        <w:t>ровья.</w:t>
      </w:r>
    </w:p>
    <w:p w:rsidR="00000000" w:rsidRDefault="00000000">
      <w:pPr>
        <w:tabs>
          <w:tab w:val="clear" w:pos="680"/>
          <w:tab w:val="left" w:pos="284"/>
        </w:tabs>
        <w:spacing w:after="180"/>
        <w:ind w:left="284" w:hanging="284"/>
      </w:pPr>
      <w:r>
        <w:sym w:font="Symbol" w:char="F0B7"/>
      </w:r>
      <w:r>
        <w:tab/>
        <w:t>17 ноября 1999 года в "Диарио Офисиаль" было опубликовано постановление правительства Мексики (</w:t>
      </w:r>
      <w:r>
        <w:rPr>
          <w:lang w:val="en-US"/>
        </w:rPr>
        <w:t>NOM</w:t>
      </w:r>
      <w:r>
        <w:t>-167-</w:t>
      </w:r>
      <w:r>
        <w:rPr>
          <w:lang w:val="en-US"/>
        </w:rPr>
        <w:t>SSA</w:t>
      </w:r>
      <w:r>
        <w:t>-1887) "О социальном обеспечении несовершеннолетних и лиц пожилого возраста". Данный нормативный акт определяет процедуры унификации политики, принципов и критериев предоставления услуг и проведения мероприятий в области социального обеспечения детей и пожилых людей, применяемые в гос</w:t>
      </w:r>
      <w:r>
        <w:t>у</w:t>
      </w:r>
      <w:r>
        <w:t>дарственном и частном секторе согласно положениям Национальной системы здравоохранения.</w:t>
      </w:r>
    </w:p>
    <w:p w:rsidR="00000000" w:rsidRDefault="00000000">
      <w:pPr>
        <w:tabs>
          <w:tab w:val="clear" w:pos="680"/>
          <w:tab w:val="left" w:pos="284"/>
        </w:tabs>
        <w:spacing w:after="180"/>
        <w:ind w:left="284" w:hanging="284"/>
      </w:pPr>
      <w:r>
        <w:sym w:font="Symbol" w:char="F0B7"/>
      </w:r>
      <w:r>
        <w:tab/>
        <w:t>19 ноября 1999 года в "Диарио Офисиаль" было опубликовано постановление правительства Мексики (</w:t>
      </w:r>
      <w:r>
        <w:rPr>
          <w:lang w:val="en-US"/>
        </w:rPr>
        <w:t>NOM</w:t>
      </w:r>
      <w:r>
        <w:t>-169-</w:t>
      </w:r>
      <w:r>
        <w:rPr>
          <w:lang w:val="en-US"/>
        </w:rPr>
        <w:t>SSA</w:t>
      </w:r>
      <w:r>
        <w:t>1-1998) "О предоставлении социальной продовольственной помощи группам риска и социально незащищенным группам населения". Основной целью данного нормативного акта является установление при</w:t>
      </w:r>
      <w:r>
        <w:t>н</w:t>
      </w:r>
      <w:r>
        <w:t>ципов оказания социальной помощи продуктами питания группам риска и социально незащищенным группам, в частности детям, пожилым людям и семьям, социально-экономическое положение которых ставит их на грань риска.</w:t>
      </w:r>
    </w:p>
    <w:p w:rsidR="00000000" w:rsidRDefault="00000000">
      <w:pPr>
        <w:tabs>
          <w:tab w:val="clear" w:pos="680"/>
          <w:tab w:val="left" w:pos="284"/>
        </w:tabs>
        <w:spacing w:after="180"/>
        <w:ind w:left="284" w:hanging="284"/>
      </w:pPr>
      <w:r>
        <w:sym w:font="Symbol" w:char="F0B7"/>
      </w:r>
      <w:r>
        <w:tab/>
        <w:t>19 ноября 1999 года в "Диарио Офисиаль" было опубликовано постановление правительства Мексики (</w:t>
      </w:r>
      <w:r>
        <w:rPr>
          <w:lang w:val="en-US"/>
        </w:rPr>
        <w:t>NOM</w:t>
      </w:r>
      <w:r>
        <w:t>-173-</w:t>
      </w:r>
      <w:r>
        <w:rPr>
          <w:lang w:val="en-US"/>
        </w:rPr>
        <w:t>SSA</w:t>
      </w:r>
      <w:r>
        <w:t>1-1998), в котором определены правила комплексного обслуживания инвалидов.</w:t>
      </w:r>
    </w:p>
    <w:p w:rsidR="00000000" w:rsidRDefault="00000000">
      <w:pPr>
        <w:tabs>
          <w:tab w:val="clear" w:pos="680"/>
        </w:tabs>
      </w:pPr>
      <w:r>
        <w:t>191.</w:t>
      </w:r>
      <w:r>
        <w:tab/>
        <w:t>15 декабря 1999 года объединенные комиссии по вопросам гендерного равенства, социальному страх</w:t>
      </w:r>
      <w:r>
        <w:t>о</w:t>
      </w:r>
      <w:r>
        <w:t>ванию и изучению законодательства при сенате приняли Декрет "Об изменении пункта 1 и отмене пункта 5 статьи 24 Закона об Институте социального обеспечения и социальных услуг для государственных служащих" с целью соблюдения юридического равенства трудящейся-женщины и трудящегося-мужчины, в результате ч</w:t>
      </w:r>
      <w:r>
        <w:t>е</w:t>
      </w:r>
      <w:r>
        <w:t>го на лицо, состоящее с женщиной в зарегистрированном или гражданском браке, распространяются принципы охраны здоровья, предусмотренные указанным Законом. 29 апреля 2000 года палата депутатов также одобрила данный Декрет.</w:t>
      </w:r>
    </w:p>
    <w:p w:rsidR="00000000" w:rsidRDefault="00000000">
      <w:r>
        <w:t>192.</w:t>
      </w:r>
      <w:r>
        <w:tab/>
        <w:t>Статья 24 Декрета гласит: "В случае болезни право на получение услуг, указанных в пункте 1 пред</w:t>
      </w:r>
      <w:r>
        <w:t>ы</w:t>
      </w:r>
      <w:r>
        <w:t>дущей статьи, также имеют ниже перечисленные родственники служащего или пенсионера: муж или жена, а в случае их отсутствия – мужчина или женщина, с которым данное лицо проживало в течение пяти лет до боле</w:t>
      </w:r>
      <w:r>
        <w:t>з</w:t>
      </w:r>
      <w:r>
        <w:t>ни или от которого имело детей, при условии, что указанные лица не состоят в ином браке. Если служащий или служащая, пенсионер или пенсионерка состоит в отношениях сожительства с несколькими лицами, то ни один из них не имеет права на получение данного вида услуг". Таким образом, никто и ничто не может нарушить законные права женщин, включая право на равенство с мужчиной и право на юридическую защиту семьи, и преодолевается неравенство между мужчинами и женщинами в данной сфере.</w:t>
      </w:r>
    </w:p>
    <w:p w:rsidR="00000000" w:rsidRDefault="00000000">
      <w:pPr>
        <w:tabs>
          <w:tab w:val="clear" w:pos="680"/>
        </w:tabs>
      </w:pPr>
      <w:r>
        <w:t>193.</w:t>
      </w:r>
      <w:r>
        <w:tab/>
        <w:t xml:space="preserve">В связи с этим ИСССТЭ, выполняя решение руководства, опубликованное в "Диарио Офисиаль" </w:t>
      </w:r>
      <w:r>
        <w:br/>
        <w:t>29 д</w:t>
      </w:r>
      <w:r>
        <w:t>е</w:t>
      </w:r>
      <w:r>
        <w:t>кабря 1999 года, учредил Комиссию ИСССТЭ по кадровым вопросам, основной задачей которой является у</w:t>
      </w:r>
      <w:r>
        <w:t>с</w:t>
      </w:r>
      <w:r>
        <w:t>тановление равных требований к мужчинам и женщинам при назначении на должности среднего звена, а также повышение профессиональной квалификации государственных служащих, работающих в указанном Инстит</w:t>
      </w:r>
      <w:r>
        <w:t>у</w:t>
      </w:r>
      <w:r>
        <w:t>те.</w:t>
      </w:r>
    </w:p>
    <w:p w:rsidR="00000000" w:rsidRDefault="00000000">
      <w:pPr>
        <w:tabs>
          <w:tab w:val="clear" w:pos="680"/>
        </w:tabs>
      </w:pPr>
      <w:r>
        <w:t>194.</w:t>
      </w:r>
      <w:r>
        <w:tab/>
        <w:t>25 мая 2000 года в "Гасета Офисиаль" был опубликован декрет, в соответствии с которым отменяются, изменяются и дополняются различные положения Гражданского кодекса федерального округа в общей части и в вопросах общефедерального характера и Гражданско-процессуального кодекса федерального округа; при этом особое внимание уделяется проведению в жизнь ге</w:t>
      </w:r>
      <w:r>
        <w:t>н</w:t>
      </w:r>
      <w:r>
        <w:t>дерного подхода.</w:t>
      </w:r>
    </w:p>
    <w:p w:rsidR="00000000" w:rsidRDefault="00000000">
      <w:pPr>
        <w:pStyle w:val="Heading3"/>
      </w:pPr>
      <w:r>
        <w:t>Защита девочек</w:t>
      </w:r>
    </w:p>
    <w:p w:rsidR="00000000" w:rsidRDefault="00000000">
      <w:pPr>
        <w:tabs>
          <w:tab w:val="clear" w:pos="680"/>
        </w:tabs>
      </w:pPr>
      <w:r>
        <w:t>195.</w:t>
      </w:r>
      <w:r>
        <w:tab/>
        <w:t>15 декабря 1999 года палата депутатов Национального конгресса единогласно одобрила законодател</w:t>
      </w:r>
      <w:r>
        <w:t>ь</w:t>
      </w:r>
      <w:r>
        <w:t>ную инициативу по изменению Конституции Мексиканских Соединенных Штатов, в связи с чем в статью 4 Конституции был добавлен последний пункт, текст которого был одобрен сенатом 10 декабря того же года, что позволило закрепить в Конституции права детей во исполнение обязательств правительства Мексики, выт</w:t>
      </w:r>
      <w:r>
        <w:t>е</w:t>
      </w:r>
      <w:r>
        <w:t>кающих из ратификации международных соглашений, касающихся благосостояния детей и подростков.</w:t>
      </w:r>
    </w:p>
    <w:p w:rsidR="00000000" w:rsidRDefault="00000000">
      <w:pPr>
        <w:tabs>
          <w:tab w:val="clear" w:pos="680"/>
        </w:tabs>
      </w:pPr>
      <w:r>
        <w:t>196.</w:t>
      </w:r>
      <w:r>
        <w:tab/>
        <w:t>Данной инициативе предшествовало изучение в общенациональном масштабе общественного мнения относительно соблюдения прав детей, осуществленное на основе региональных законодательных форумов, проведенных в мае и июне 1996 года.</w:t>
      </w:r>
    </w:p>
    <w:p w:rsidR="00000000" w:rsidRDefault="00000000">
      <w:pPr>
        <w:tabs>
          <w:tab w:val="clear" w:pos="680"/>
        </w:tabs>
      </w:pPr>
      <w:r>
        <w:t>197.</w:t>
      </w:r>
      <w:r>
        <w:tab/>
        <w:t xml:space="preserve">В 1998 году данная инициатива была доработана в сенате Республики, а затем в палате депутатов. </w:t>
      </w:r>
      <w:r>
        <w:br/>
        <w:t>В результате окончательный текст дополнения был одобрен в следующей реда</w:t>
      </w:r>
      <w:r>
        <w:t>к</w:t>
      </w:r>
      <w:r>
        <w:t>ции:</w:t>
      </w:r>
    </w:p>
    <w:p w:rsidR="00000000" w:rsidRDefault="00000000">
      <w:pPr>
        <w:tabs>
          <w:tab w:val="clear" w:pos="680"/>
          <w:tab w:val="left" w:pos="284"/>
        </w:tabs>
        <w:ind w:left="284"/>
        <w:rPr>
          <w:i/>
        </w:rPr>
      </w:pPr>
      <w:r>
        <w:rPr>
          <w:i/>
        </w:rPr>
        <w:t>"Статья 4</w:t>
      </w:r>
      <w:r>
        <w:rPr>
          <w:i/>
          <w:vertAlign w:val="superscript"/>
        </w:rPr>
        <w:t>0</w:t>
      </w:r>
    </w:p>
    <w:p w:rsidR="00000000" w:rsidRDefault="00000000">
      <w:pPr>
        <w:tabs>
          <w:tab w:val="clear" w:pos="680"/>
          <w:tab w:val="left" w:pos="284"/>
        </w:tabs>
        <w:ind w:left="284"/>
        <w:rPr>
          <w:i/>
        </w:rPr>
      </w:pPr>
      <w:r>
        <w:rPr>
          <w:i/>
        </w:rPr>
        <w:t>…Дети обоих полов имеют право на удовлетворение своих потребностей в питании, здравоохранении, образ</w:t>
      </w:r>
      <w:r>
        <w:rPr>
          <w:i/>
        </w:rPr>
        <w:t>о</w:t>
      </w:r>
      <w:r>
        <w:rPr>
          <w:i/>
        </w:rPr>
        <w:t>вании и досуге, направленных на всест</w:t>
      </w:r>
      <w:r>
        <w:rPr>
          <w:i/>
        </w:rPr>
        <w:t>о</w:t>
      </w:r>
      <w:r>
        <w:rPr>
          <w:i/>
        </w:rPr>
        <w:t>роннее развитие детей.</w:t>
      </w:r>
    </w:p>
    <w:p w:rsidR="00000000" w:rsidRDefault="00000000">
      <w:pPr>
        <w:pStyle w:val="BodyTextIndent"/>
      </w:pPr>
      <w:r>
        <w:t>Родители, опекуны и попечители обязаны содействовать соблюдению вышеуказанных прав. Государство об</w:t>
      </w:r>
      <w:r>
        <w:t>я</w:t>
      </w:r>
      <w:r>
        <w:t>зуется принять все необходимые меры для обеспечения должного уважения  к детям и полного осуществления их прав. Правительство предоставит возможности частным лицам для соде</w:t>
      </w:r>
      <w:r>
        <w:t>й</w:t>
      </w:r>
      <w:r>
        <w:t>ствия защите прав детей".</w:t>
      </w:r>
    </w:p>
    <w:p w:rsidR="00000000" w:rsidRDefault="00000000">
      <w:pPr>
        <w:tabs>
          <w:tab w:val="clear" w:pos="680"/>
        </w:tabs>
      </w:pPr>
      <w:r>
        <w:t>198.</w:t>
      </w:r>
      <w:r>
        <w:tab/>
        <w:t>В связи с тем что речь идет об изменении Конституции, в соответствии со статьей 135 Конституции Мексики, помимо одобрения Конгрессом требуется одобрение данного изменения большинством законод</w:t>
      </w:r>
      <w:r>
        <w:t>а</w:t>
      </w:r>
      <w:r>
        <w:t>тельных органов штатов, в связи с чем необходимо было обсуждение поправки указанными органами власти. Поэтому 7 апреля 2000 года предложенное дополнение было опубл</w:t>
      </w:r>
      <w:r>
        <w:t>и</w:t>
      </w:r>
      <w:r>
        <w:t>ковано в "Диарио Офисиаль".</w:t>
      </w:r>
    </w:p>
    <w:p w:rsidR="00000000" w:rsidRDefault="00000000">
      <w:pPr>
        <w:tabs>
          <w:tab w:val="clear" w:pos="680"/>
        </w:tabs>
      </w:pPr>
      <w:r>
        <w:t>199.</w:t>
      </w:r>
      <w:r>
        <w:tab/>
        <w:t xml:space="preserve">В соответствии с требованиями закона, предъявляемыми при изменении Конституции, в апреле </w:t>
      </w:r>
      <w:r>
        <w:br/>
        <w:t>2000 года был подготовлен и принят проект Закона о редакции статьи 4 Конституции, призванной гарантировать здоровое развитие детей обоих полов. Закон "О защите прав детей и подростков" обязывает государство, пр</w:t>
      </w:r>
      <w:r>
        <w:t>а</w:t>
      </w:r>
      <w:r>
        <w:t xml:space="preserve">вительства штатов и муниципалитеты, каждую семью и общество в целом следить за всесторонним развитием несовершеннолетних лиц. Данный Закон был опубликован в "Диарио Офисиаль" </w:t>
      </w:r>
      <w:r>
        <w:br/>
        <w:t>29 мая 2000 года.</w:t>
      </w:r>
    </w:p>
    <w:p w:rsidR="00000000" w:rsidRDefault="00000000">
      <w:pPr>
        <w:tabs>
          <w:tab w:val="clear" w:pos="680"/>
        </w:tabs>
      </w:pPr>
      <w:r>
        <w:t>200.</w:t>
      </w:r>
      <w:r>
        <w:tab/>
        <w:t>Основными положениями Закона являются следующие:</w:t>
      </w:r>
    </w:p>
    <w:p w:rsidR="00000000" w:rsidRDefault="00000000">
      <w:pPr>
        <w:tabs>
          <w:tab w:val="clear" w:pos="680"/>
          <w:tab w:val="left" w:pos="284"/>
        </w:tabs>
        <w:ind w:left="568" w:hanging="284"/>
      </w:pPr>
      <w:r>
        <w:sym w:font="Symbol" w:char="F0B7"/>
      </w:r>
      <w:r>
        <w:tab/>
        <w:t>Дети обоих полов имеют преимущественное право на обслуживание, право не подвергаться какой бы то ни было дискриминации, право на защиту своей свободы, право не подвергаться насилию и сексуальной эксплуатации, право быть самостоятельной личностью и право доступа к образованию без каких-либо огран</w:t>
      </w:r>
      <w:r>
        <w:t>и</w:t>
      </w:r>
      <w:r>
        <w:t>чений.</w:t>
      </w:r>
    </w:p>
    <w:p w:rsidR="00000000" w:rsidRDefault="00000000">
      <w:pPr>
        <w:tabs>
          <w:tab w:val="clear" w:pos="680"/>
          <w:tab w:val="left" w:pos="284"/>
        </w:tabs>
        <w:ind w:left="568" w:hanging="284"/>
      </w:pPr>
      <w:r>
        <w:sym w:font="Symbol" w:char="F0B7"/>
      </w:r>
      <w:r>
        <w:tab/>
        <w:t>Закон устанавливает равные права для детей обоих полов, не имеющих семьи.</w:t>
      </w:r>
    </w:p>
    <w:p w:rsidR="00000000" w:rsidRDefault="00000000">
      <w:pPr>
        <w:tabs>
          <w:tab w:val="clear" w:pos="680"/>
          <w:tab w:val="left" w:pos="284"/>
        </w:tabs>
        <w:ind w:left="568" w:hanging="284"/>
      </w:pPr>
      <w:r>
        <w:sym w:font="Symbol" w:char="F0B7"/>
      </w:r>
      <w:r>
        <w:tab/>
        <w:t>Закон провозглашает необходимость разработки общегосударственной политики социального партне</w:t>
      </w:r>
      <w:r>
        <w:t>р</w:t>
      </w:r>
      <w:r>
        <w:t>ства.</w:t>
      </w:r>
    </w:p>
    <w:p w:rsidR="00000000" w:rsidRDefault="00000000">
      <w:pPr>
        <w:pStyle w:val="BodyTextIndent2"/>
      </w:pPr>
      <w:r>
        <w:sym w:font="Symbol" w:char="F0B7"/>
      </w:r>
      <w:r>
        <w:tab/>
        <w:t>Закон обязывает членов семей, соседей, врачей, государственных служащих или любое лицо заявить о любом действии, нарушающем права детей обоих полов, особенно об актах насилия.</w:t>
      </w:r>
    </w:p>
    <w:p w:rsidR="00000000" w:rsidRDefault="00000000">
      <w:pPr>
        <w:tabs>
          <w:tab w:val="clear" w:pos="680"/>
          <w:tab w:val="left" w:pos="284"/>
        </w:tabs>
        <w:ind w:left="568" w:hanging="284"/>
      </w:pPr>
      <w:r>
        <w:sym w:font="Symbol" w:char="F0B7"/>
      </w:r>
      <w:r>
        <w:tab/>
        <w:t>Закон возлагает на государство функцию защиты детей обоих полов, не имеющих семьи.</w:t>
      </w:r>
    </w:p>
    <w:p w:rsidR="00000000" w:rsidRDefault="00000000">
      <w:pPr>
        <w:pStyle w:val="5"/>
        <w:tabs>
          <w:tab w:val="left" w:pos="284"/>
        </w:tabs>
        <w:ind w:left="568"/>
      </w:pPr>
      <w:r>
        <w:sym w:font="Symbol" w:char="F0B7"/>
      </w:r>
      <w:r>
        <w:tab/>
        <w:t>Закон вводит понятие "замещающая семья" в тех случаях, когда ребенок теряет биологическую семью. Государство должно подыскать ребенку семью, которая бы о нем заботилась, и разработать программы, кот</w:t>
      </w:r>
      <w:r>
        <w:t>о</w:t>
      </w:r>
      <w:r>
        <w:t>рые позволили бы предотвратить потерю ребенком семьи по причине отсутс</w:t>
      </w:r>
      <w:r>
        <w:t>т</w:t>
      </w:r>
      <w:r>
        <w:t>вия средств на его содержание.</w:t>
      </w:r>
    </w:p>
    <w:p w:rsidR="00000000" w:rsidRDefault="00000000">
      <w:pPr>
        <w:tabs>
          <w:tab w:val="clear" w:pos="680"/>
          <w:tab w:val="left" w:pos="284"/>
        </w:tabs>
        <w:ind w:left="568" w:hanging="284"/>
      </w:pPr>
      <w:r>
        <w:sym w:font="Symbol" w:char="F0B7"/>
      </w:r>
      <w:r>
        <w:tab/>
        <w:t>Закон гарантирует право детей обоих полов играть, рассуждать, высказывать свое мнение и отдыхать. Закон устанавливает необходимость проведения специальных судебных процессов в отношении детей, нар</w:t>
      </w:r>
      <w:r>
        <w:t>у</w:t>
      </w:r>
      <w:r>
        <w:t>шивших закон или ставших соучастниками тяжких преступлений. Закон также обязывает общество и госуда</w:t>
      </w:r>
      <w:r>
        <w:t>р</w:t>
      </w:r>
      <w:r>
        <w:t>ство гарантировать особые права д</w:t>
      </w:r>
      <w:r>
        <w:t>е</w:t>
      </w:r>
      <w:r>
        <w:t>тей-инвалидов.</w:t>
      </w:r>
    </w:p>
    <w:p w:rsidR="00000000" w:rsidRDefault="00000000">
      <w:pPr>
        <w:tabs>
          <w:tab w:val="clear" w:pos="680"/>
        </w:tabs>
      </w:pPr>
      <w:r>
        <w:t>201.</w:t>
      </w:r>
      <w:r>
        <w:tab/>
        <w:t>Конвенция № 182 Международной организации труда о запрещении и немедленных мерах по искор</w:t>
      </w:r>
      <w:r>
        <w:t>е</w:t>
      </w:r>
      <w:r>
        <w:t>нению наихудших форм детского труда, ратифицированная Мексикой в марте 2000 года, представляет собой важный шаг в защите работающих детей. Главная цель данного соглашения заключается в искоренении упом</w:t>
      </w:r>
      <w:r>
        <w:t>я</w:t>
      </w:r>
      <w:r>
        <w:t>нутых форм детского труда, которые не могут быть допущены нигде и ни при каких обстоятельс</w:t>
      </w:r>
      <w:r>
        <w:t>т</w:t>
      </w:r>
      <w:r>
        <w:t>вах.</w:t>
      </w:r>
    </w:p>
    <w:p w:rsidR="00000000" w:rsidRDefault="00000000">
      <w:pPr>
        <w:pStyle w:val="Heading3"/>
      </w:pPr>
      <w:r>
        <w:t>Трудовые отношения</w:t>
      </w:r>
    </w:p>
    <w:p w:rsidR="00000000" w:rsidRDefault="00000000">
      <w:pPr>
        <w:tabs>
          <w:tab w:val="clear" w:pos="680"/>
        </w:tabs>
      </w:pPr>
      <w:r>
        <w:t>202.</w:t>
      </w:r>
      <w:r>
        <w:tab/>
        <w:t>С целью расширения спектра занятости, защиты прав работающих женщин, а также повышения их профессионального уровня были внесены проекты законов, отражающие приоритеты и запросы мексиканских женщин. Дебаты по этим вопросам в Конгрессе будут продолж</w:t>
      </w:r>
      <w:r>
        <w:t>е</w:t>
      </w:r>
      <w:r>
        <w:t>ны.</w:t>
      </w:r>
    </w:p>
    <w:p w:rsidR="00000000" w:rsidRDefault="00000000">
      <w:pPr>
        <w:pStyle w:val="Heading3"/>
      </w:pPr>
      <w:r>
        <w:t>Международные соглашения</w:t>
      </w:r>
    </w:p>
    <w:p w:rsidR="00000000" w:rsidRDefault="00000000">
      <w:pPr>
        <w:tabs>
          <w:tab w:val="clear" w:pos="680"/>
        </w:tabs>
      </w:pPr>
      <w:r>
        <w:t>203.</w:t>
      </w:r>
      <w:r>
        <w:tab/>
        <w:t>Соблюдение и защита прав человека, и в частности прав женщины, являлись приоритетной задачей во всей многообразной деятельности мексиканского правительства, воплотившейся в законодательстве Мексики и в национальных программах развития. В соответствии с данной позицией Мексика неуклонно выполняла вз</w:t>
      </w:r>
      <w:r>
        <w:t>я</w:t>
      </w:r>
      <w:r>
        <w:t>тые на себя долгосрочные, юридически взаимосвязанные обязательства, вытекающие из подписания и ратиф</w:t>
      </w:r>
      <w:r>
        <w:t>и</w:t>
      </w:r>
      <w:r>
        <w:t>кации ряда междунаро</w:t>
      </w:r>
      <w:r>
        <w:t>д</w:t>
      </w:r>
      <w:r>
        <w:t>ных соглашений.</w:t>
      </w:r>
    </w:p>
    <w:p w:rsidR="00000000" w:rsidRDefault="00000000">
      <w:pPr>
        <w:tabs>
          <w:tab w:val="clear" w:pos="680"/>
        </w:tabs>
      </w:pPr>
      <w:r>
        <w:t>204.</w:t>
      </w:r>
      <w:r>
        <w:tab/>
        <w:t>17 октября 1997 года была учреждена Межведомственная комиссия по выполнению международных обязательств Мексики по защите прав человека. Комиссия включает представителей различных органов фед</w:t>
      </w:r>
      <w:r>
        <w:t>е</w:t>
      </w:r>
      <w:r>
        <w:t>рального правительства; ее основной функцией является разработка рекомендаций относительно мер, напра</w:t>
      </w:r>
      <w:r>
        <w:t>в</w:t>
      </w:r>
      <w:r>
        <w:t>ленных на выполнение принятых Мексикой междунаро</w:t>
      </w:r>
      <w:r>
        <w:t>д</w:t>
      </w:r>
      <w:r>
        <w:t>ных обязательств в области прав человека.</w:t>
      </w:r>
    </w:p>
    <w:p w:rsidR="00000000" w:rsidRDefault="00000000">
      <w:pPr>
        <w:tabs>
          <w:tab w:val="clear" w:pos="680"/>
        </w:tabs>
      </w:pPr>
      <w:r>
        <w:t>205.</w:t>
      </w:r>
      <w:r>
        <w:tab/>
        <w:t>Данная Комиссия изучает международные соглашения, к которым Мексика еще не присоединилась, с точки зрения возможности и необходимости их подписания и ратификации. В соответствии с рекомендациями Межведомственной комиссии в последние годы правительство Мексики предприняло серьезные усилия в да</w:t>
      </w:r>
      <w:r>
        <w:t>н</w:t>
      </w:r>
      <w:r>
        <w:t>ной области, о чем можно судить по следу</w:t>
      </w:r>
      <w:r>
        <w:t>ю</w:t>
      </w:r>
      <w:r>
        <w:t>щим фактам:</w:t>
      </w:r>
    </w:p>
    <w:p w:rsidR="00000000" w:rsidRDefault="00000000">
      <w:pPr>
        <w:tabs>
          <w:tab w:val="clear" w:pos="680"/>
        </w:tabs>
      </w:pPr>
      <w:r>
        <w:t>206.</w:t>
      </w:r>
      <w:r>
        <w:tab/>
        <w:t>1 сентября 1998 года в "Диарио Офисиаль" был опубликован Декрет, придающий силу закона дополн</w:t>
      </w:r>
      <w:r>
        <w:t>и</w:t>
      </w:r>
      <w:r>
        <w:t>тельному Протоколу к Американской конвенции по правам человека в экономической, социальной и культу</w:t>
      </w:r>
      <w:r>
        <w:t>р</w:t>
      </w:r>
      <w:r>
        <w:t>ной областях – так называемому Сан-Сальвадорскому протоколу, – ставшему тем самым частью мексиканского законодательства.</w:t>
      </w:r>
    </w:p>
    <w:p w:rsidR="00000000" w:rsidRDefault="00000000">
      <w:pPr>
        <w:tabs>
          <w:tab w:val="clear" w:pos="680"/>
        </w:tabs>
      </w:pPr>
      <w:r>
        <w:t>207.</w:t>
      </w:r>
      <w:r>
        <w:tab/>
        <w:t>12 ноября 1998 года правительство Мексики депонировало ратификационную грамоту Межамерика</w:t>
      </w:r>
      <w:r>
        <w:t>н</w:t>
      </w:r>
      <w:r>
        <w:t>ской конвенции о предотвращении и искоренении насилия в отношении женщин и наказании за него (Конве</w:t>
      </w:r>
      <w:r>
        <w:t>н</w:t>
      </w:r>
      <w:r>
        <w:t>ции Белем-ду-Пара).</w:t>
      </w:r>
    </w:p>
    <w:p w:rsidR="00000000" w:rsidRDefault="00000000">
      <w:pPr>
        <w:tabs>
          <w:tab w:val="clear" w:pos="680"/>
        </w:tabs>
      </w:pPr>
      <w:r>
        <w:t>208.</w:t>
      </w:r>
      <w:r>
        <w:tab/>
        <w:t>8 декабря 1998 года в "Диарио Офисиаль" был опубликован Декрет, которым сенат Республики принял официальное заявление о признании полномочий Межамериканского суда по правам человека. 16 декабря р</w:t>
      </w:r>
      <w:r>
        <w:t>а</w:t>
      </w:r>
      <w:r>
        <w:t>тификационный документ был представлен Генеральному секретарю Организации американских государств (ОАГ).</w:t>
      </w:r>
    </w:p>
    <w:p w:rsidR="00000000" w:rsidRDefault="00000000">
      <w:pPr>
        <w:tabs>
          <w:tab w:val="clear" w:pos="680"/>
        </w:tabs>
      </w:pPr>
      <w:r>
        <w:t>209.</w:t>
      </w:r>
      <w:r>
        <w:tab/>
        <w:t>9 марта 1999 года правительство Мексики ратифицировало Международную конвенцию о защите прав всех трудящихся-мигрантов и членов их семей, принятую в Нью-Йорке 18 д</w:t>
      </w:r>
      <w:r>
        <w:t>е</w:t>
      </w:r>
      <w:r>
        <w:t>кабря 1990 года.</w:t>
      </w:r>
    </w:p>
    <w:p w:rsidR="00000000" w:rsidRDefault="00000000">
      <w:pPr>
        <w:tabs>
          <w:tab w:val="clear" w:pos="680"/>
        </w:tabs>
      </w:pPr>
      <w:r>
        <w:t>210.</w:t>
      </w:r>
      <w:r>
        <w:tab/>
        <w:t>10 декабря 1999 года правительство Мексики подписало Факультативный протокол в дополнение к Конвенции о ликвидации любых форм дискриминации в отношении женщин.</w:t>
      </w:r>
    </w:p>
    <w:p w:rsidR="00000000" w:rsidRDefault="00000000">
      <w:pPr>
        <w:tabs>
          <w:tab w:val="clear" w:pos="680"/>
        </w:tabs>
      </w:pPr>
      <w:r>
        <w:t>211.</w:t>
      </w:r>
      <w:r>
        <w:tab/>
        <w:t>7 июня 2000 года правительство Мексики представило в Секретариат Организации Объединенных Наций в Нью-Йорке документ о присоединении Мексики к Конвенции 1951 года о статусе беженцев, Прот</w:t>
      </w:r>
      <w:r>
        <w:t>о</w:t>
      </w:r>
      <w:r>
        <w:t xml:space="preserve">колу </w:t>
      </w:r>
      <w:r>
        <w:br/>
        <w:t>1967 года о статусе беженцев и Конвенции 1954 года о стат</w:t>
      </w:r>
      <w:r>
        <w:t>у</w:t>
      </w:r>
      <w:r>
        <w:t>се апатридов.</w:t>
      </w:r>
    </w:p>
    <w:p w:rsidR="00000000" w:rsidRDefault="00000000">
      <w:pPr>
        <w:tabs>
          <w:tab w:val="clear" w:pos="680"/>
        </w:tabs>
      </w:pPr>
      <w:r>
        <w:t>212.</w:t>
      </w:r>
      <w:r>
        <w:tab/>
        <w:t>27 марта 2000 года правительство Мексики проинформировало Секретариат Организации америка</w:t>
      </w:r>
      <w:r>
        <w:t>н</w:t>
      </w:r>
      <w:r>
        <w:t>ских государств о принятом решении отказаться от оговорки к Конвенции о гражданстве женщин от 1933 года, внесенной в момент ее подписания. Упомянутая оговорка гласила, что "правительство Мексики оставляет за собой право не применять данную Конвенцию в случаях, противоречащих статье 20 Закона о гражданстве и натурализации, согласно которой иностранка, выходящая замуж за мексиканца, натурализуется по закону при условии, что она проживает или намерена проживать в пределах национальной те</w:t>
      </w:r>
      <w:r>
        <w:t>р</w:t>
      </w:r>
      <w:r>
        <w:t>ритории".</w:t>
      </w:r>
    </w:p>
    <w:p w:rsidR="00000000" w:rsidRDefault="00000000">
      <w:pPr>
        <w:tabs>
          <w:tab w:val="clear" w:pos="680"/>
        </w:tabs>
      </w:pPr>
      <w:r>
        <w:t>213.</w:t>
      </w:r>
      <w:r>
        <w:tab/>
        <w:t>7 сентября 2000 года правительство Мексики подписало Устав Международного уголовного суда, пр</w:t>
      </w:r>
      <w:r>
        <w:t>и</w:t>
      </w:r>
      <w:r>
        <w:t>нятый в Риме (Италия) 17 июля 1998 года.</w:t>
      </w:r>
    </w:p>
    <w:p w:rsidR="00000000" w:rsidRDefault="00000000">
      <w:pPr>
        <w:tabs>
          <w:tab w:val="clear" w:pos="680"/>
        </w:tabs>
      </w:pPr>
      <w:r>
        <w:t>214.</w:t>
      </w:r>
      <w:r>
        <w:tab/>
        <w:t>В этот же день Мексика подписала Факультативные протоколы в дополнение к Конвенции о правах ребенка, касающиеся участия детей в вооруженных конфликтах, торговли детьми, детской проституции и и</w:t>
      </w:r>
      <w:r>
        <w:t>с</w:t>
      </w:r>
      <w:r>
        <w:t>пользования детей в порногр</w:t>
      </w:r>
      <w:r>
        <w:t>а</w:t>
      </w:r>
      <w:r>
        <w:t>фии.</w:t>
      </w:r>
    </w:p>
    <w:p w:rsidR="00000000" w:rsidRDefault="00000000">
      <w:pPr>
        <w:tabs>
          <w:tab w:val="clear" w:pos="680"/>
        </w:tabs>
      </w:pPr>
      <w:r>
        <w:t>215.</w:t>
      </w:r>
      <w:r>
        <w:tab/>
        <w:t>Мексика представила в Секретариат Организации Объединенных Наций  документ о принятии попра</w:t>
      </w:r>
      <w:r>
        <w:t>в</w:t>
      </w:r>
      <w:r>
        <w:t>ки к статье 43(2) Конвенции о правах ребенка; поправка вступила в силу 28 июня 2000 года.</w:t>
      </w:r>
    </w:p>
    <w:p w:rsidR="00000000" w:rsidRDefault="00000000">
      <w:pPr>
        <w:pStyle w:val="Heading2"/>
      </w:pPr>
      <w:r>
        <w:br w:type="page"/>
        <w:t>СТАТЬЯ 3</w:t>
      </w:r>
    </w:p>
    <w:p w:rsidR="00000000" w:rsidRDefault="00000000">
      <w:pPr>
        <w:pStyle w:val="Heading3"/>
        <w:spacing w:before="120"/>
      </w:pPr>
      <w:r>
        <w:t xml:space="preserve">Достижения в создании организаций, призванных способствовать улучшению положения женщин </w:t>
      </w:r>
    </w:p>
    <w:p w:rsidR="00000000" w:rsidRDefault="00000000">
      <w:pPr>
        <w:tabs>
          <w:tab w:val="clear" w:pos="680"/>
        </w:tabs>
      </w:pPr>
      <w:r>
        <w:t>216.</w:t>
      </w:r>
      <w:r>
        <w:tab/>
        <w:t>31 августа 1998 года правительство укрепило сектор, отвечающий за положение женщин, посредством создания Национальной комиссии по делам женщин (НКЖ), в компетенцию которой входит разработка пол</w:t>
      </w:r>
      <w:r>
        <w:t>и</w:t>
      </w:r>
      <w:r>
        <w:t>тики, направлений и критериев интеграции, выполнение решений правительства, исследования, надзор, оценка и контроль за проведением Национальной программы по улучшению положения женщин: союз во имя раве</w:t>
      </w:r>
      <w:r>
        <w:t>н</w:t>
      </w:r>
      <w:r>
        <w:t>ства на 1995–2000 годы (ПРОНАМ) и за ее выполнением федеральными органами и другими государственн</w:t>
      </w:r>
      <w:r>
        <w:t>ы</w:t>
      </w:r>
      <w:r>
        <w:t>ми учре</w:t>
      </w:r>
      <w:r>
        <w:t>ж</w:t>
      </w:r>
      <w:r>
        <w:t>дениями.</w:t>
      </w:r>
    </w:p>
    <w:p w:rsidR="00000000" w:rsidRDefault="00000000">
      <w:pPr>
        <w:tabs>
          <w:tab w:val="clear" w:pos="680"/>
        </w:tabs>
      </w:pPr>
      <w:r>
        <w:t>217.</w:t>
      </w:r>
      <w:r>
        <w:tab/>
        <w:t>Национальная комиссия состоит из Межведомственного совета, учрежденного в апреле 1999 года, и Генерального координационного совета.</w:t>
      </w:r>
    </w:p>
    <w:p w:rsidR="00000000" w:rsidRDefault="00000000">
      <w:pPr>
        <w:tabs>
          <w:tab w:val="clear" w:pos="680"/>
        </w:tabs>
      </w:pPr>
      <w:r>
        <w:t>218.</w:t>
      </w:r>
      <w:r>
        <w:tab/>
        <w:t>Межминистерский совет представляет собой консультативный орган, осуществляющий надзор за в</w:t>
      </w:r>
      <w:r>
        <w:t>ы</w:t>
      </w:r>
      <w:r>
        <w:t>полнением Национальной программы по улучшению положения женщин (ПРОНАМ). Совет состоит из пре</w:t>
      </w:r>
      <w:r>
        <w:t>д</w:t>
      </w:r>
      <w:r>
        <w:t>ставителей Министерства внутренних дел, Министерства иностранных дел, Министерства финансов и госуда</w:t>
      </w:r>
      <w:r>
        <w:t>р</w:t>
      </w:r>
      <w:r>
        <w:t>ственного кредита, Министерства социального развития, Министерства по охране окружающей среды, Мин</w:t>
      </w:r>
      <w:r>
        <w:t>и</w:t>
      </w:r>
      <w:r>
        <w:t>стерства природных ресурсов и рыболовства, Министерства торговли и промышленного развития, Министе</w:t>
      </w:r>
      <w:r>
        <w:t>р</w:t>
      </w:r>
      <w:r>
        <w:t>ства земледелия, животноводства и сельского развития, Счетной палаты и Министерства развития администр</w:t>
      </w:r>
      <w:r>
        <w:t>а</w:t>
      </w:r>
      <w:r>
        <w:t>тивных округов, Министерства образования, Министерства здравоохранения и Министерства труда и социал</w:t>
      </w:r>
      <w:r>
        <w:t>ь</w:t>
      </w:r>
      <w:r>
        <w:t>ного обеспечения, а также представителей Мексиканского института социального страхования, Института с</w:t>
      </w:r>
      <w:r>
        <w:t>о</w:t>
      </w:r>
      <w:r>
        <w:t>циального обеспечения и социальных услуг для государственных служащих, Национального института статистики, ге</w:t>
      </w:r>
      <w:r>
        <w:t>о</w:t>
      </w:r>
      <w:r>
        <w:t>графии и информатики и Национальной системы комплексного развития с</w:t>
      </w:r>
      <w:r>
        <w:t>е</w:t>
      </w:r>
      <w:r>
        <w:t>мьи.</w:t>
      </w:r>
    </w:p>
    <w:p w:rsidR="00000000" w:rsidRDefault="00000000">
      <w:pPr>
        <w:tabs>
          <w:tab w:val="clear" w:pos="680"/>
        </w:tabs>
      </w:pPr>
      <w:r>
        <w:t>219.</w:t>
      </w:r>
      <w:r>
        <w:tab/>
        <w:t>Генеральный координационный комитет Национальной комиссии по делам женщин является админ</w:t>
      </w:r>
      <w:r>
        <w:t>и</w:t>
      </w:r>
      <w:r>
        <w:t>стративным органом, созданным при участии Министерства внутренних дел, который заменяет собой сущес</w:t>
      </w:r>
      <w:r>
        <w:t>т</w:t>
      </w:r>
      <w:r>
        <w:t>вовавший ранее Координационный комитет Национальной программы по улучшению положения женщин (ПРОНАМ). На Генеральный координационный комитет возложена задача правового представительства Н</w:t>
      </w:r>
      <w:r>
        <w:t>а</w:t>
      </w:r>
      <w:r>
        <w:t>циональной комиссии, а также сл</w:t>
      </w:r>
      <w:r>
        <w:t>е</w:t>
      </w:r>
      <w:r>
        <w:t>дующие функции:</w:t>
      </w:r>
    </w:p>
    <w:p w:rsidR="00000000" w:rsidRDefault="00000000">
      <w:pPr>
        <w:tabs>
          <w:tab w:val="clear" w:pos="680"/>
          <w:tab w:val="left" w:pos="284"/>
        </w:tabs>
        <w:ind w:left="567" w:hanging="567"/>
      </w:pPr>
      <w:r>
        <w:tab/>
      </w:r>
      <w:r>
        <w:sym w:font="Symbol" w:char="F0B7"/>
      </w:r>
      <w:r>
        <w:tab/>
        <w:t>правовое представительство Национальной комиссии по делам женщин по всем вопросам, за и</w:t>
      </w:r>
      <w:r>
        <w:t>с</w:t>
      </w:r>
      <w:r>
        <w:t>ключением вопросов, входящих в компетенцию Межведомственного совета, – при условии, что последний б</w:t>
      </w:r>
      <w:r>
        <w:t>у</w:t>
      </w:r>
      <w:r>
        <w:t>дет представлен возглавляющим его государственным служащим или его уполномоченным;</w:t>
      </w:r>
    </w:p>
    <w:p w:rsidR="00000000" w:rsidRDefault="00000000">
      <w:pPr>
        <w:tabs>
          <w:tab w:val="clear" w:pos="680"/>
          <w:tab w:val="left" w:pos="284"/>
        </w:tabs>
        <w:ind w:left="567" w:hanging="567"/>
      </w:pPr>
      <w:r>
        <w:tab/>
      </w:r>
      <w:r>
        <w:sym w:font="Symbol" w:char="F0B7"/>
      </w:r>
      <w:r>
        <w:tab/>
        <w:t>разработка планов и программ действий, руководство органами, оценка работы комиссии и подг</w:t>
      </w:r>
      <w:r>
        <w:t>о</w:t>
      </w:r>
      <w:r>
        <w:t>товка соответствующих периодических докл</w:t>
      </w:r>
      <w:r>
        <w:t>а</w:t>
      </w:r>
      <w:r>
        <w:t>дов;</w:t>
      </w:r>
    </w:p>
    <w:p w:rsidR="00000000" w:rsidRDefault="00000000">
      <w:pPr>
        <w:pStyle w:val="BodyTextIndent3"/>
      </w:pPr>
      <w:r>
        <w:tab/>
      </w:r>
      <w:r>
        <w:sym w:font="Symbol" w:char="F0B7"/>
      </w:r>
      <w:r>
        <w:tab/>
        <w:t>разработка предложений по политике, концепции и критериям интеграции, надзора, оценки и ко</w:t>
      </w:r>
      <w:r>
        <w:t>н</w:t>
      </w:r>
      <w:r>
        <w:t>троля за проведением Национальной программы по улучшению положения женщин;</w:t>
      </w:r>
    </w:p>
    <w:p w:rsidR="00000000" w:rsidRDefault="00000000">
      <w:pPr>
        <w:tabs>
          <w:tab w:val="clear" w:pos="680"/>
          <w:tab w:val="left" w:pos="284"/>
        </w:tabs>
        <w:ind w:left="567" w:hanging="567"/>
      </w:pPr>
      <w:r>
        <w:tab/>
      </w:r>
      <w:r>
        <w:sym w:font="Symbol" w:char="F0B7"/>
      </w:r>
      <w:r>
        <w:tab/>
        <w:t>координация усилий с органами федеральной администрации в плане достижения равенства п</w:t>
      </w:r>
      <w:r>
        <w:t>о</w:t>
      </w:r>
      <w:r>
        <w:t>лов, а также в политике, проводимой в рамках Национальной программы по улучшению положения женщин и, в частности, в разработке соответствующих программ, а также механизмов, способствующих осуществлению данных программ указанными органами;</w:t>
      </w:r>
    </w:p>
    <w:p w:rsidR="00000000" w:rsidRDefault="00000000">
      <w:pPr>
        <w:tabs>
          <w:tab w:val="clear" w:pos="680"/>
          <w:tab w:val="left" w:pos="284"/>
        </w:tabs>
        <w:ind w:left="567" w:hanging="567"/>
      </w:pPr>
      <w:r>
        <w:tab/>
      </w:r>
      <w:r>
        <w:sym w:font="Symbol" w:char="F0B7"/>
      </w:r>
      <w:r>
        <w:tab/>
        <w:t>создание совместно с субъектами Федерации и муниципалитетами механизмов координации в ц</w:t>
      </w:r>
      <w:r>
        <w:t>е</w:t>
      </w:r>
      <w:r>
        <w:t>лях осуществления Национальной программы по улучшению положения женщин в сферах их компетенции и в соответствии с положениями их законодательства;</w:t>
      </w:r>
    </w:p>
    <w:p w:rsidR="00000000" w:rsidRDefault="00000000">
      <w:pPr>
        <w:tabs>
          <w:tab w:val="clear" w:pos="680"/>
          <w:tab w:val="left" w:pos="284"/>
        </w:tabs>
        <w:ind w:left="567" w:hanging="567"/>
      </w:pPr>
      <w:r>
        <w:tab/>
      </w:r>
      <w:r>
        <w:sym w:font="Symbol" w:char="F0B7"/>
      </w:r>
      <w:r>
        <w:tab/>
        <w:t>согласование с политическими, экономическими и общественными организациями, а также с заи</w:t>
      </w:r>
      <w:r>
        <w:t>н</w:t>
      </w:r>
      <w:r>
        <w:t>тересованными лицами мероприятий, способствующих достижению целей и задач Национальной программы по улучшению пол</w:t>
      </w:r>
      <w:r>
        <w:t>о</w:t>
      </w:r>
      <w:r>
        <w:t>жения женщин;</w:t>
      </w:r>
    </w:p>
    <w:p w:rsidR="00000000" w:rsidRDefault="00000000">
      <w:pPr>
        <w:tabs>
          <w:tab w:val="clear" w:pos="680"/>
          <w:tab w:val="left" w:pos="284"/>
        </w:tabs>
        <w:ind w:left="567" w:hanging="567"/>
      </w:pPr>
      <w:r>
        <w:tab/>
      </w:r>
      <w:r>
        <w:sym w:font="Symbol" w:char="F0B7"/>
      </w:r>
      <w:r>
        <w:tab/>
        <w:t>установление контактов с органами федерального конгресса, конгрессов штатов и Законодательной ассамблеи федерального округа в целях содействия осуществлению необходимых изменений в законодательс</w:t>
      </w:r>
      <w:r>
        <w:t>т</w:t>
      </w:r>
      <w:r>
        <w:t>ве;</w:t>
      </w:r>
    </w:p>
    <w:p w:rsidR="00000000" w:rsidRDefault="00000000">
      <w:pPr>
        <w:tabs>
          <w:tab w:val="clear" w:pos="680"/>
          <w:tab w:val="left" w:pos="284"/>
        </w:tabs>
        <w:ind w:left="567" w:hanging="567"/>
      </w:pPr>
      <w:r>
        <w:tab/>
      </w:r>
      <w:r>
        <w:sym w:font="Symbol" w:char="F0B7"/>
      </w:r>
      <w:r>
        <w:tab/>
        <w:t>заключение соглашений о сотрудничестве с представительными независимыми организациями эк</w:t>
      </w:r>
      <w:r>
        <w:t>о</w:t>
      </w:r>
      <w:r>
        <w:t>номического и социального характера, а также с физическими лицами по вопросам, находящимся в компете</w:t>
      </w:r>
      <w:r>
        <w:t>н</w:t>
      </w:r>
      <w:r>
        <w:t>ции Генерального координационного комитета, в соответствии с де</w:t>
      </w:r>
      <w:r>
        <w:t>й</w:t>
      </w:r>
      <w:r>
        <w:t>ствующим законодательством;</w:t>
      </w:r>
    </w:p>
    <w:p w:rsidR="00000000" w:rsidRDefault="00000000">
      <w:pPr>
        <w:tabs>
          <w:tab w:val="clear" w:pos="680"/>
          <w:tab w:val="left" w:pos="284"/>
        </w:tabs>
        <w:ind w:left="567" w:hanging="567"/>
      </w:pPr>
      <w:r>
        <w:tab/>
      </w:r>
      <w:r>
        <w:sym w:font="Symbol" w:char="F0B7"/>
      </w:r>
      <w:r>
        <w:tab/>
        <w:t>представление в рамках Национальной системы планирования периодических отчетов с оценкой действий, предпринятых в плане выполнения Национальной программы по улу</w:t>
      </w:r>
      <w:r>
        <w:t>ч</w:t>
      </w:r>
      <w:r>
        <w:t>шению положения женщин;</w:t>
      </w:r>
    </w:p>
    <w:p w:rsidR="00000000" w:rsidRDefault="00000000">
      <w:pPr>
        <w:tabs>
          <w:tab w:val="clear" w:pos="680"/>
          <w:tab w:val="left" w:pos="284"/>
        </w:tabs>
        <w:ind w:left="567" w:hanging="567"/>
      </w:pPr>
      <w:r>
        <w:tab/>
      </w:r>
      <w:r>
        <w:sym w:font="Symbol" w:char="F0B7"/>
      </w:r>
      <w:r>
        <w:tab/>
        <w:t>представление министру внутренних дел через заместителя министра, отвечающего за вопросы, касающиеся населения и миграционных служб, проектов организационной структуры, бюджета и плана дейс</w:t>
      </w:r>
      <w:r>
        <w:t>т</w:t>
      </w:r>
      <w:r>
        <w:t>вий Генерального координационного комитета, подбор кадров и руководство их работой в соответствии с де</w:t>
      </w:r>
      <w:r>
        <w:t>й</w:t>
      </w:r>
      <w:r>
        <w:t>ствующими правовыми нормами и положени</w:t>
      </w:r>
      <w:r>
        <w:t>я</w:t>
      </w:r>
      <w:r>
        <w:t>ми.</w:t>
      </w:r>
    </w:p>
    <w:p w:rsidR="00000000" w:rsidRDefault="00000000">
      <w:pPr>
        <w:tabs>
          <w:tab w:val="clear" w:pos="680"/>
        </w:tabs>
      </w:pPr>
      <w:r>
        <w:t>220.</w:t>
      </w:r>
      <w:r>
        <w:tab/>
        <w:t>Наряду с вышеизложенным в рамках Национальной программы по улучшению положения женщин продолжают действовать Общественная инспекция и Консультативный совет.</w:t>
      </w:r>
    </w:p>
    <w:p w:rsidR="00000000" w:rsidRDefault="00000000">
      <w:pPr>
        <w:pStyle w:val="Heading3"/>
      </w:pPr>
      <w:r>
        <w:t>Межведомственные мероприятия органов федерального правительства</w:t>
      </w:r>
    </w:p>
    <w:p w:rsidR="00000000" w:rsidRDefault="00000000">
      <w:pPr>
        <w:tabs>
          <w:tab w:val="clear" w:pos="680"/>
        </w:tabs>
      </w:pPr>
      <w:r>
        <w:t>221.</w:t>
      </w:r>
      <w:r>
        <w:tab/>
        <w:t>13 ноября 1998 года в "Диарио Офисиаль" был опубликован декрет, изменяющий положение о Мин</w:t>
      </w:r>
      <w:r>
        <w:t>и</w:t>
      </w:r>
      <w:r>
        <w:t>стерстве иностранных дел. Статья 6, пункт 20 устанавливает еще одну функцию руководителя данного ведо</w:t>
      </w:r>
      <w:r>
        <w:t>м</w:t>
      </w:r>
      <w:r>
        <w:t>ства: "Принимать решения о необходимых соответствующих действиях в целях применения Национальной программы по улучшению положения женщин в сфере внешней политики и выполнения международных об</w:t>
      </w:r>
      <w:r>
        <w:t>я</w:t>
      </w:r>
      <w:r>
        <w:t>зательств Мексики в вопросах гендерного равенства во взаимодействии с Министерством внутренних дел и подв</w:t>
      </w:r>
      <w:r>
        <w:t>е</w:t>
      </w:r>
      <w:r>
        <w:t>домственными ему органами". В оперативном порядке данную функцию с 1994 года исполнял Координацио</w:t>
      </w:r>
      <w:r>
        <w:t>н</w:t>
      </w:r>
      <w:r>
        <w:t>ный совет по международным вопросам, касающимся женщин, что позволило всесторонне изучить вопрос продвижения женщин по службе не только в системе Организации Объединенных Наций, но и на форумах Межамериканской системы, АПЕК и ОЭСР, среди прочих.</w:t>
      </w:r>
    </w:p>
    <w:p w:rsidR="00000000" w:rsidRDefault="00000000">
      <w:pPr>
        <w:tabs>
          <w:tab w:val="clear" w:pos="680"/>
        </w:tabs>
      </w:pPr>
      <w:r>
        <w:t>222.</w:t>
      </w:r>
      <w:r>
        <w:tab/>
        <w:t>Учреждение Генерального координационного комитета в рамках Национальной комиссии по делам женщин и функционирование Координационного совета по международным вопросам, касающимся женщин, позволили правител</w:t>
      </w:r>
      <w:r>
        <w:t>ь</w:t>
      </w:r>
      <w:r>
        <w:t>ству Мексики занимать последовательную позицию в вопросах положения женщин как во внутренней, так и во внешней политике Мексики.</w:t>
      </w:r>
    </w:p>
    <w:p w:rsidR="00000000" w:rsidRDefault="00000000">
      <w:pPr>
        <w:tabs>
          <w:tab w:val="clear" w:pos="680"/>
        </w:tabs>
      </w:pPr>
      <w:r>
        <w:t>223.</w:t>
      </w:r>
      <w:r>
        <w:tab/>
        <w:t>В марте 1998 года Министерство иностранных дел решило включить Программу по улучшению пол</w:t>
      </w:r>
      <w:r>
        <w:t>о</w:t>
      </w:r>
      <w:r>
        <w:t>жения женщин Министерства иностранных дел в список стратегических целей Национальной программы по улучшению положения женщин: союз во имя равенства на 1995–2000 годы (ПРОНАМ), являющейся обяз</w:t>
      </w:r>
      <w:r>
        <w:t>а</w:t>
      </w:r>
      <w:r>
        <w:t>тельной для исполнения всеми органами федерального правител</w:t>
      </w:r>
      <w:r>
        <w:t>ь</w:t>
      </w:r>
      <w:r>
        <w:t>ства.</w:t>
      </w:r>
    </w:p>
    <w:p w:rsidR="00000000" w:rsidRDefault="00000000">
      <w:pPr>
        <w:tabs>
          <w:tab w:val="clear" w:pos="680"/>
        </w:tabs>
      </w:pPr>
      <w:r>
        <w:t>224.</w:t>
      </w:r>
      <w:r>
        <w:tab/>
        <w:t>Применение Программы по улучшению положения женщин Министерства иностранных дел включает следующие стратегические направления:</w:t>
      </w:r>
    </w:p>
    <w:p w:rsidR="00000000" w:rsidRDefault="00000000">
      <w:pPr>
        <w:tabs>
          <w:tab w:val="clear" w:pos="680"/>
          <w:tab w:val="left" w:pos="284"/>
        </w:tabs>
        <w:ind w:left="567" w:hanging="567"/>
      </w:pPr>
      <w:r>
        <w:tab/>
      </w:r>
      <w:r>
        <w:rPr>
          <w:lang w:val="en-US"/>
        </w:rPr>
        <w:t>I</w:t>
      </w:r>
      <w:r>
        <w:t>.</w:t>
      </w:r>
      <w:r>
        <w:tab/>
        <w:t>Включение целей и стратегий Национальной программы по улучшению положения женщин в зад</w:t>
      </w:r>
      <w:r>
        <w:t>а</w:t>
      </w:r>
      <w:r>
        <w:t>чи и основные направления внешней политики Ме</w:t>
      </w:r>
      <w:r>
        <w:t>к</w:t>
      </w:r>
      <w:r>
        <w:t>сики.</w:t>
      </w:r>
    </w:p>
    <w:p w:rsidR="00000000" w:rsidRDefault="00000000">
      <w:pPr>
        <w:tabs>
          <w:tab w:val="clear" w:pos="680"/>
          <w:tab w:val="left" w:pos="284"/>
        </w:tabs>
        <w:ind w:left="567" w:hanging="567"/>
      </w:pPr>
      <w:r>
        <w:tab/>
      </w:r>
      <w:r>
        <w:rPr>
          <w:lang w:val="en-US"/>
        </w:rPr>
        <w:t>II</w:t>
      </w:r>
      <w:r>
        <w:t>.</w:t>
      </w:r>
      <w:r>
        <w:tab/>
        <w:t>Принятие мер по улучшению положения женщин как в Министерстве иностранных дел, так и в мексиканских заграничных учреждениях в сфере образования, повышения квалификации, здравоохранения, труда и семейных обязанностей, прав женщин, участия в принятии решений, борьбы с насилием и статистич</w:t>
      </w:r>
      <w:r>
        <w:t>е</w:t>
      </w:r>
      <w:r>
        <w:t>ских показателей.</w:t>
      </w:r>
    </w:p>
    <w:p w:rsidR="00000000" w:rsidRDefault="00000000">
      <w:pPr>
        <w:tabs>
          <w:tab w:val="clear" w:pos="680"/>
        </w:tabs>
        <w:spacing w:line="235" w:lineRule="auto"/>
      </w:pPr>
      <w:r>
        <w:t>225.</w:t>
      </w:r>
      <w:r>
        <w:tab/>
        <w:t>В июне 1998 года в "Диарио Офисиаль" было опубликовано внутреннее положение по Министерству труда и социального обеспечения. В статье 2 данного положения, перечисляющей административные органы, входящие в Министерство, данный список дополнен Главным управлением по вопросам гендерного равенства. На этот орган возложено проведение следующих подпрограмм, направленных на содействие признанию же</w:t>
      </w:r>
      <w:r>
        <w:t>н</w:t>
      </w:r>
      <w:r>
        <w:t>ского труда: распространение и защита трудовых прав женщины, гендерные стратегии, создание рабочих мест и проблемы управл</w:t>
      </w:r>
      <w:r>
        <w:t>е</w:t>
      </w:r>
      <w:r>
        <w:t>ния.</w:t>
      </w:r>
    </w:p>
    <w:p w:rsidR="00000000" w:rsidRDefault="00000000">
      <w:pPr>
        <w:tabs>
          <w:tab w:val="clear" w:pos="680"/>
        </w:tabs>
        <w:spacing w:line="235" w:lineRule="auto"/>
      </w:pPr>
      <w:r>
        <w:t>226.</w:t>
      </w:r>
      <w:r>
        <w:tab/>
        <w:t>В дополнение к этому остаются функциональными две структуры министерского уровня, также соср</w:t>
      </w:r>
      <w:r>
        <w:t>е</w:t>
      </w:r>
      <w:r>
        <w:t>доточенные на проблемах женщин: Главное управление репродуктивного здоровья Министерства здравоохр</w:t>
      </w:r>
      <w:r>
        <w:t>а</w:t>
      </w:r>
      <w:r>
        <w:t>нения и административный орган, на который возложено осуществление Программы по улучшению положения женщины в сельской местности, выдвинутой Министерствами сельского хозяйства, животноводства и сельск</w:t>
      </w:r>
      <w:r>
        <w:t>о</w:t>
      </w:r>
      <w:r>
        <w:t>го развития. В структуре Министерства социального развития также имеется Управление по вопросам генде</w:t>
      </w:r>
      <w:r>
        <w:t>р</w:t>
      </w:r>
      <w:r>
        <w:t>ного равенства, которое проводит программы, учитывающие данную проблематику. Министерство по охране окружающей среды, природных ресурсов и рыболовства также создало Управление по вопросам гендерного равенства и защиты окружающей среды, находящееся в подчинении Генерального управления пл</w:t>
      </w:r>
      <w:r>
        <w:t>а</w:t>
      </w:r>
      <w:r>
        <w:t>нирования.</w:t>
      </w:r>
    </w:p>
    <w:p w:rsidR="00000000" w:rsidRDefault="00000000">
      <w:pPr>
        <w:tabs>
          <w:tab w:val="clear" w:pos="680"/>
        </w:tabs>
        <w:spacing w:line="235" w:lineRule="auto"/>
      </w:pPr>
      <w:r>
        <w:t>227.</w:t>
      </w:r>
      <w:r>
        <w:tab/>
        <w:t>В системе органов федеральной администрации также можно отметить создание Технического секрет</w:t>
      </w:r>
      <w:r>
        <w:t>а</w:t>
      </w:r>
      <w:r>
        <w:t>риата Главного управления по вопросам гендерного равенства при Институте социального обеспечения и соц</w:t>
      </w:r>
      <w:r>
        <w:t>и</w:t>
      </w:r>
      <w:r>
        <w:t>альных услуг для государственных служащих (ИСССТЭ).</w:t>
      </w:r>
    </w:p>
    <w:p w:rsidR="00000000" w:rsidRDefault="00000000">
      <w:pPr>
        <w:pStyle w:val="Heading3"/>
        <w:spacing w:line="235" w:lineRule="auto"/>
      </w:pPr>
      <w:r>
        <w:t>Организационные структуры на уровне штатов</w:t>
      </w:r>
    </w:p>
    <w:p w:rsidR="00000000" w:rsidRDefault="00000000">
      <w:pPr>
        <w:tabs>
          <w:tab w:val="clear" w:pos="680"/>
        </w:tabs>
        <w:spacing w:line="235" w:lineRule="auto"/>
      </w:pPr>
      <w:r>
        <w:t>228.</w:t>
      </w:r>
      <w:r>
        <w:tab/>
        <w:t>В результате разработки и применения Национальной программы по улучшению положения женщин к маю 2000 года были образованы бюро по делам женщин при правительствах 28 субъектов Федерации. Из них бюро штата Герреро, существующее с 1987 года, имеет статус министерства; федеральный округ и 12 штатов имеют институты по делам женщин – это Нижняя Калифорния Южная, Колима, Гуанахуато, Мичоакан, Пуэбла, Кинтана-Роо, Синалоа, Сонора, Тамаулипас, Тласкала, Юкатан и Сакатекас. В 10 штатах были созданы коо</w:t>
      </w:r>
      <w:r>
        <w:t>р</w:t>
      </w:r>
      <w:r>
        <w:t>динационные центры и управления по делам женщин – это штаты Кампече, Коауила, Чьяпас, Морелос, Нуэво-Леон, Оахака, Керетаро, Сан-Луис-Потоси, Табаско и Веракрус. В штатах Агуаскальентес, Нижняя  Калифо</w:t>
      </w:r>
      <w:r>
        <w:t>р</w:t>
      </w:r>
      <w:r>
        <w:t>ния и Халиско эти организации действуют через соответствующие советы штатов по вопросам народонасел</w:t>
      </w:r>
      <w:r>
        <w:t>е</w:t>
      </w:r>
      <w:r>
        <w:t>ния, а штат Идальго рассматривает возможность созд</w:t>
      </w:r>
      <w:r>
        <w:t>а</w:t>
      </w:r>
      <w:r>
        <w:t>ния такого совета.</w:t>
      </w:r>
    </w:p>
    <w:p w:rsidR="00000000" w:rsidRDefault="00000000">
      <w:pPr>
        <w:tabs>
          <w:tab w:val="clear" w:pos="680"/>
        </w:tabs>
        <w:spacing w:line="235" w:lineRule="auto"/>
      </w:pPr>
      <w:r>
        <w:t>229.</w:t>
      </w:r>
      <w:r>
        <w:tab/>
        <w:t>В оставшихся четырех штатах (Чиуауа, Дуранго, Мехико и Наярит) создание такого рода органов стоит в повестке дня.</w:t>
      </w:r>
    </w:p>
    <w:p w:rsidR="00000000" w:rsidRDefault="00000000">
      <w:pPr>
        <w:tabs>
          <w:tab w:val="clear" w:pos="680"/>
        </w:tabs>
        <w:spacing w:line="235" w:lineRule="auto"/>
      </w:pPr>
      <w:r>
        <w:t>230.</w:t>
      </w:r>
      <w:r>
        <w:tab/>
        <w:t>В целях координирования деятельности ПРОНАМ были проведены шесть национальных заседаний в рамках кампании "Взаимодействия штатов" и два тематических заседания "Взаимодействия штатов": о гос</w:t>
      </w:r>
      <w:r>
        <w:t>у</w:t>
      </w:r>
      <w:r>
        <w:t>дарственных способах поддержки женщины на селе и о методологии Программы социально-экономических и гендерных исследований (</w:t>
      </w:r>
      <w:r>
        <w:rPr>
          <w:lang w:val="en-US"/>
        </w:rPr>
        <w:t>A</w:t>
      </w:r>
      <w:r>
        <w:t>С</w:t>
      </w:r>
      <w:r>
        <w:rPr>
          <w:lang w:val="en-US"/>
        </w:rPr>
        <w:t>E</w:t>
      </w:r>
      <w:r>
        <w:t>Г).</w:t>
      </w:r>
    </w:p>
    <w:p w:rsidR="00000000" w:rsidRDefault="00000000">
      <w:pPr>
        <w:pStyle w:val="Heading3"/>
        <w:spacing w:line="235" w:lineRule="auto"/>
      </w:pPr>
      <w:r>
        <w:t>Законодательные механизмы</w:t>
      </w:r>
    </w:p>
    <w:p w:rsidR="00000000" w:rsidRDefault="00000000">
      <w:pPr>
        <w:tabs>
          <w:tab w:val="clear" w:pos="680"/>
        </w:tabs>
        <w:spacing w:line="235" w:lineRule="auto"/>
      </w:pPr>
      <w:r>
        <w:t>231.</w:t>
      </w:r>
      <w:r>
        <w:tab/>
        <w:t>В рамках парламента можно отметить создание комиссий по гендерному равенству в обеих палатах Национального конгресса и в Ассамблее представителей федерального округа, а также предложение об учре</w:t>
      </w:r>
      <w:r>
        <w:t>ж</w:t>
      </w:r>
      <w:r>
        <w:t>дении таковых в законодател</w:t>
      </w:r>
      <w:r>
        <w:t>ь</w:t>
      </w:r>
      <w:r>
        <w:t>ных органах всех штатов.</w:t>
      </w:r>
    </w:p>
    <w:p w:rsidR="00000000" w:rsidRDefault="00000000">
      <w:pPr>
        <w:pStyle w:val="Heading3"/>
        <w:spacing w:line="235" w:lineRule="auto"/>
      </w:pPr>
      <w:r>
        <w:t>Участие неправительственных организаций</w:t>
      </w:r>
    </w:p>
    <w:p w:rsidR="00000000" w:rsidRDefault="00000000">
      <w:pPr>
        <w:tabs>
          <w:tab w:val="clear" w:pos="680"/>
        </w:tabs>
        <w:spacing w:line="235" w:lineRule="auto"/>
      </w:pPr>
      <w:r>
        <w:t>232.</w:t>
      </w:r>
      <w:r>
        <w:tab/>
        <w:t>Для успешного проведения Национальной программы по улучшению положения женщин и соответс</w:t>
      </w:r>
      <w:r>
        <w:t>т</w:t>
      </w:r>
      <w:r>
        <w:t>вующих проектов Генеральный координационный комитет Национальной комиссии по делам женщин укрепил свои связи с общественными организациями по широкому кругу вопросов, включающему как проведение ко</w:t>
      </w:r>
      <w:r>
        <w:t>н</w:t>
      </w:r>
      <w:r>
        <w:t>сультаций, так и мероприятия по повышению квалификации, осущест</w:t>
      </w:r>
      <w:r>
        <w:t>в</w:t>
      </w:r>
      <w:r>
        <w:t>лению надзора и оценке.</w:t>
      </w:r>
    </w:p>
    <w:p w:rsidR="00000000" w:rsidRDefault="00000000">
      <w:pPr>
        <w:tabs>
          <w:tab w:val="clear" w:pos="680"/>
        </w:tabs>
      </w:pPr>
      <w:r>
        <w:t>233.</w:t>
      </w:r>
      <w:r>
        <w:tab/>
        <w:t>Другие программы и механизмы, касающиеся проблемы положения женщин, также включали участие неправительственных организаций в процессе реализации их программ, проведения консультаций в целях о</w:t>
      </w:r>
      <w:r>
        <w:t>п</w:t>
      </w:r>
      <w:r>
        <w:t>ределения специфической направленности таких организаций, как Консультативный совет Национальной пр</w:t>
      </w:r>
      <w:r>
        <w:t>о</w:t>
      </w:r>
      <w:r>
        <w:t>граммы по борьбе с насилием в семье (ПРОНАВИ), Национальная межведомственная комиссия по выработке программы действий в целях борьбы с сексуальной эксплуатацией детей в коммерческих целях, Национальный координационный комитет Национальной программы по увеличению и улучшению качества рабочих мест для женщин в Мексике, Программа комплексного повышения качества и модернизации (СИМО/СТПС); Рабочая группа по проблеме гендерного равенства гражданского консультативного совета Министерства социального развития (СЕДЕСОЛ) и Национальная система технического содействия учреждениям и органам поддержки женщин, проживающих в сельской местности. Семинар в целях определения основных методологических н</w:t>
      </w:r>
      <w:r>
        <w:t>а</w:t>
      </w:r>
      <w:r>
        <w:t>правлений для учета гендерных факторов в государственной политике, проведение которого возложено на Н</w:t>
      </w:r>
      <w:r>
        <w:t>а</w:t>
      </w:r>
      <w:r>
        <w:t>циональную комиссию по делам женщин, имеет трехстороннюю схему участия, включающую неправительс</w:t>
      </w:r>
      <w:r>
        <w:t>т</w:t>
      </w:r>
      <w:r>
        <w:t>венные организации, выступающие от Мексики в кампании "Всемирный Банк в помощь же</w:t>
      </w:r>
      <w:r>
        <w:t>н</w:t>
      </w:r>
      <w:r>
        <w:t>щинам".</w:t>
      </w:r>
    </w:p>
    <w:p w:rsidR="00000000" w:rsidRDefault="00000000">
      <w:pPr>
        <w:tabs>
          <w:tab w:val="clear" w:pos="680"/>
        </w:tabs>
        <w:rPr>
          <w:highlight w:val="yellow"/>
        </w:rPr>
      </w:pPr>
      <w:r>
        <w:t>234.</w:t>
      </w:r>
      <w:r>
        <w:tab/>
        <w:t>Необходимо также отметить важность действий организованного гражданского общества, которое вм</w:t>
      </w:r>
      <w:r>
        <w:t>е</w:t>
      </w:r>
      <w:r>
        <w:t>сте с государственными и частными учреждениями осуществили задачу создания теоретической, статистич</w:t>
      </w:r>
      <w:r>
        <w:t>е</w:t>
      </w:r>
      <w:r>
        <w:t>ской и исследовательской баз. В результате этих совместных действий были заложены основы, впоследствии использованные в сфере законотворчества с целью разработки новых и усовершенствованных законов, эффе</w:t>
      </w:r>
      <w:r>
        <w:t>к</w:t>
      </w:r>
      <w:r>
        <w:t>тивно защищающих и охраняющих права женщин. Среди этих организаций особо выделяются Многосторонняя группа в защиту жертв насилия, Мексиканский институт исследования семьи и населения (ИМИФАП), Инст</w:t>
      </w:r>
      <w:r>
        <w:t>и</w:t>
      </w:r>
      <w:r>
        <w:t>тут всестороннего развития женщин (ФИМАП), Бесплатная социальная юридическая консультация, Наци</w:t>
      </w:r>
      <w:r>
        <w:t>о</w:t>
      </w:r>
      <w:r>
        <w:t>нальная программа по улучшению положения пожилого населения (ПРОНАТЕ), Институт культуры и проф</w:t>
      </w:r>
      <w:r>
        <w:t>и</w:t>
      </w:r>
      <w:r>
        <w:t>лактики насилия в семье (ПРЕВИО), Мексиканская ассоциация по борьбе с насилием в отношении женщин (КОВАК), Междисциплинарная группа по проблемам женщин, труда и бедности (ХИМТРАП), Группа инфо</w:t>
      </w:r>
      <w:r>
        <w:t>р</w:t>
      </w:r>
      <w:r>
        <w:t>мации по избранной репродуктивности (ХИРЕ) и Группа Народное просвещение на благо же</w:t>
      </w:r>
      <w:r>
        <w:t>н</w:t>
      </w:r>
      <w:r>
        <w:t>щины (ХЕМ).</w:t>
      </w:r>
    </w:p>
    <w:p w:rsidR="00000000" w:rsidRDefault="00000000">
      <w:pPr>
        <w:pStyle w:val="Heading3"/>
      </w:pPr>
      <w:r>
        <w:t>Гендерные исследования</w:t>
      </w:r>
    </w:p>
    <w:p w:rsidR="00000000" w:rsidRDefault="00000000">
      <w:pPr>
        <w:tabs>
          <w:tab w:val="clear" w:pos="680"/>
        </w:tabs>
      </w:pPr>
      <w:r>
        <w:t>235.</w:t>
      </w:r>
      <w:r>
        <w:tab/>
        <w:t>В течение рассматриваемого в данном докладе периода произошло относительное расширение прим</w:t>
      </w:r>
      <w:r>
        <w:t>е</w:t>
      </w:r>
      <w:r>
        <w:t>нения фактора гендерного равенства в программах правительственных органов. Необходимо также отметить, что внимание, уделяемое фактору гендерного равенства в государственных структурах, распространилось на вопросы, которые прежде не фигурировали в Национальной программе по улучшению положения женщин (ПРОНАМ), как, например, проблемы окружающей среды.</w:t>
      </w:r>
    </w:p>
    <w:p w:rsidR="00000000" w:rsidRDefault="00000000">
      <w:pPr>
        <w:tabs>
          <w:tab w:val="clear" w:pos="680"/>
        </w:tabs>
      </w:pPr>
      <w:r>
        <w:t>236.</w:t>
      </w:r>
      <w:r>
        <w:tab/>
        <w:t>Одним из результатов усилий, направленных на акцентирование необходимости исследования фактора гендерного равенства для выработки государственной политики, явился семинар, основная цель которого з</w:t>
      </w:r>
      <w:r>
        <w:t>а</w:t>
      </w:r>
      <w:r>
        <w:t>ключалась в выработке основных методологических направлений для использования фактора гендерного р</w:t>
      </w:r>
      <w:r>
        <w:t>а</w:t>
      </w:r>
      <w:r>
        <w:t>венства в государственной политике. Данный семинар отражает совпадение интересов мексиканского прав</w:t>
      </w:r>
      <w:r>
        <w:t>и</w:t>
      </w:r>
      <w:r>
        <w:t>тельства – представляемого Генеральным координационным комитетом Национальной комиссии по делам женщин, Министерства финансов и государственного кредита и Министерства иностранных дел – и междун</w:t>
      </w:r>
      <w:r>
        <w:t>а</w:t>
      </w:r>
      <w:r>
        <w:t>родной банковской системы, представляемой Всемирным банком и Межамериканским банком развития, а та</w:t>
      </w:r>
      <w:r>
        <w:t>к</w:t>
      </w:r>
      <w:r>
        <w:t>же неправительственными организациями, участвующими от Мексики в кампании "Всемирный банк в помощь женщинам" с целью применения политики гендерного равенства в государственной практике.</w:t>
      </w:r>
    </w:p>
    <w:p w:rsidR="00000000" w:rsidRDefault="00000000">
      <w:pPr>
        <w:tabs>
          <w:tab w:val="clear" w:pos="680"/>
        </w:tabs>
      </w:pPr>
      <w:r>
        <w:t>237.</w:t>
      </w:r>
      <w:r>
        <w:tab/>
        <w:t>Основная задача семинара состоит в определении принципов выработки методологий, направленных на включение гендерной проблематики в список задач государственной политики, с учетом опыта государстве</w:t>
      </w:r>
      <w:r>
        <w:t>н</w:t>
      </w:r>
      <w:r>
        <w:t>ных и научных учреждений, общественных организаций и международной банковской си</w:t>
      </w:r>
      <w:r>
        <w:t>с</w:t>
      </w:r>
      <w:r>
        <w:t>темы.</w:t>
      </w:r>
    </w:p>
    <w:p w:rsidR="00000000" w:rsidRDefault="00000000">
      <w:pPr>
        <w:tabs>
          <w:tab w:val="clear" w:pos="680"/>
        </w:tabs>
      </w:pPr>
      <w:r>
        <w:t>238.</w:t>
      </w:r>
      <w:r>
        <w:tab/>
        <w:t>Начиная с марта 1999 года Генеральный координационный комитет Национальной комиссии по делам женщин при поддержке Всемирного банка реализует Проект активного применения гендерного подхода в деятельности учреждений, основная задача которого заключается в расширении круга полномочий государс</w:t>
      </w:r>
      <w:r>
        <w:t>т</w:t>
      </w:r>
      <w:r>
        <w:t>венных органов Мексики и, в частности, полномочий служащих, ответственных за планирование, разработку и проведение государственной политики и программ, учитывающих гендерный фактор и отвечающих различным запросам и пр</w:t>
      </w:r>
      <w:r>
        <w:t>и</w:t>
      </w:r>
      <w:r>
        <w:t>оритетам мужчин и женщин.</w:t>
      </w:r>
    </w:p>
    <w:p w:rsidR="00000000" w:rsidRDefault="00000000">
      <w:pPr>
        <w:tabs>
          <w:tab w:val="clear" w:pos="680"/>
        </w:tabs>
      </w:pPr>
      <w:r>
        <w:t>239.</w:t>
      </w:r>
      <w:r>
        <w:tab/>
        <w:t>Результатом практических действий по данной проблематике явилось проведение Министерством тр</w:t>
      </w:r>
      <w:r>
        <w:t>у</w:t>
      </w:r>
      <w:r>
        <w:t>да и социального обеспечения (усилиями его Главного управления по вопросам гендерного равенства) ряда "круглых столов" и семинаров. Следует отметить "круглые столы" и семинары для ответственных сотрудников, проходившие в присутствии министра, и "Круглый стол по проблеме равенства полов", проведенный для сл</w:t>
      </w:r>
      <w:r>
        <w:t>у</w:t>
      </w:r>
      <w:r>
        <w:t>жащих крупнейшей в мире испаноязычной телевизионной компании "Телевиса", результатом чего стало созд</w:t>
      </w:r>
      <w:r>
        <w:t>а</w:t>
      </w:r>
      <w:r>
        <w:t>ние телевизионного сериала под названием "Друзья навек", снятого с целью привлечь внимание общества к проблеме гендерного равенства и показанного по национальному телевидению в первом полугодии 2000 года.</w:t>
      </w:r>
    </w:p>
    <w:p w:rsidR="00000000" w:rsidRDefault="00000000">
      <w:pPr>
        <w:pStyle w:val="Heading3"/>
      </w:pPr>
      <w:r>
        <w:t>Ассигнование средств федерального бюджета на программы федерального правительства, направле</w:t>
      </w:r>
      <w:r>
        <w:t>н</w:t>
      </w:r>
      <w:r>
        <w:t>ные на улучшение положения же</w:t>
      </w:r>
      <w:r>
        <w:t>н</w:t>
      </w:r>
      <w:r>
        <w:t>щин</w:t>
      </w:r>
    </w:p>
    <w:p w:rsidR="00000000" w:rsidRDefault="00000000">
      <w:pPr>
        <w:tabs>
          <w:tab w:val="clear" w:pos="680"/>
        </w:tabs>
      </w:pPr>
      <w:r>
        <w:t>240.</w:t>
      </w:r>
      <w:r>
        <w:tab/>
        <w:t>Ввиду того что приоритетные действия в рамках Национальной программы по улучшению положения женщин на 1995–2000 годы (ПРОНАМ) осуществляются органами государственной федеральной администр</w:t>
      </w:r>
      <w:r>
        <w:t>а</w:t>
      </w:r>
      <w:r>
        <w:t>ции в обязательном порядке, используемые для этих целей средства являются частью бюджета каждого соо</w:t>
      </w:r>
      <w:r>
        <w:t>т</w:t>
      </w:r>
      <w:r>
        <w:t>ветствующего учреждения. В связи с этим в 1996 году, с момента начала деятельности Исполнительного коо</w:t>
      </w:r>
      <w:r>
        <w:t>р</w:t>
      </w:r>
      <w:r>
        <w:t>динационного комитета Национальной программы по улучшению положения женщин (ПРОНАМ), была выя</w:t>
      </w:r>
      <w:r>
        <w:t>в</w:t>
      </w:r>
      <w:r>
        <w:t>лена необходимость определения в рамках каждого органа и учреждения федерального правительства пр</w:t>
      </w:r>
      <w:r>
        <w:t>о</w:t>
      </w:r>
      <w:r>
        <w:t>грамм и действий, соответствующих институциональному предложению об улучшении социального полож</w:t>
      </w:r>
      <w:r>
        <w:t>е</w:t>
      </w:r>
      <w:r>
        <w:t>ния женщин.</w:t>
      </w:r>
    </w:p>
    <w:p w:rsidR="00000000" w:rsidRDefault="00000000">
      <w:pPr>
        <w:tabs>
          <w:tab w:val="clear" w:pos="680"/>
        </w:tabs>
      </w:pPr>
      <w:r>
        <w:t>241.</w:t>
      </w:r>
      <w:r>
        <w:tab/>
        <w:t>Исследование, осуществленное Национальной комиссией по делам женщин и апробированное орган</w:t>
      </w:r>
      <w:r>
        <w:t>а</w:t>
      </w:r>
      <w:r>
        <w:t>ми и учреждениями федерального правительства, опиралось на данные, отраженные на счетах федерального государственного казначейства на 1996 год. В результате был сделан вывод о том, что из 416 128 773 700 песо, запланированных на этот бюджетный год, только 94 828 447 100 песо определены как использованные на благо женщин, что соответс</w:t>
      </w:r>
      <w:r>
        <w:t>т</w:t>
      </w:r>
      <w:r>
        <w:t>вует 22,8 процента от запланированной общей суммы.</w:t>
      </w:r>
    </w:p>
    <w:p w:rsidR="00000000" w:rsidRDefault="00000000">
      <w:pPr>
        <w:tabs>
          <w:tab w:val="clear" w:pos="680"/>
        </w:tabs>
      </w:pPr>
      <w:r>
        <w:t>242.</w:t>
      </w:r>
      <w:r>
        <w:tab/>
        <w:t>В 1997 году, несмотря на то что заложенные расходы федерального правительства значительно возро</w:t>
      </w:r>
      <w:r>
        <w:t>с</w:t>
      </w:r>
      <w:r>
        <w:t>ли, достигнув 541 060 232 600 песо, расходы, отведенные на нужды женского населения, составили вс</w:t>
      </w:r>
      <w:r>
        <w:t>е</w:t>
      </w:r>
      <w:r>
        <w:t xml:space="preserve">го </w:t>
      </w:r>
      <w:r>
        <w:br/>
        <w:t>71 341 787 100 песо, что соответствует 13,2 процента.</w:t>
      </w:r>
    </w:p>
    <w:p w:rsidR="00000000" w:rsidRDefault="00000000">
      <w:pPr>
        <w:tabs>
          <w:tab w:val="clear" w:pos="680"/>
        </w:tabs>
      </w:pPr>
      <w:r>
        <w:t>243.</w:t>
      </w:r>
      <w:r>
        <w:tab/>
        <w:t xml:space="preserve">В бюджете на 1998 год объем средств, ассигнованных на мероприятия в пользу женщин, возрос по сравнению с предыдущим годом, составив в данном случае 113 997 429 000 песо, соответствующих </w:t>
      </w:r>
      <w:r>
        <w:br/>
        <w:t>17,3 пр</w:t>
      </w:r>
      <w:r>
        <w:t>о</w:t>
      </w:r>
      <w:r>
        <w:t>цента от запланированных расходов федеральной государственной администрации, достигших в этом году 657 510 092 700 песо.</w:t>
      </w:r>
    </w:p>
    <w:p w:rsidR="00000000" w:rsidRDefault="00000000">
      <w:pPr>
        <w:tabs>
          <w:tab w:val="clear" w:pos="680"/>
        </w:tabs>
      </w:pPr>
      <w:r>
        <w:t>244.</w:t>
      </w:r>
      <w:r>
        <w:tab/>
        <w:t xml:space="preserve">В 1999 году можно было заметить постоянно растущую готовность федеральной администрации </w:t>
      </w:r>
      <w:r>
        <w:br/>
        <w:t>тр</w:t>
      </w:r>
      <w:r>
        <w:t>а</w:t>
      </w:r>
      <w:r>
        <w:t xml:space="preserve">тить больше средств на благо женщин, что вытекает из того, что из заложенных расходов на сумму 738 459 780 300 песо 157 335 402 300 песо были зафиксированы как освоенные в данном бюджетном году, </w:t>
      </w:r>
      <w:r>
        <w:br/>
        <w:t>что соответствует 21,3 процента.</w:t>
      </w:r>
    </w:p>
    <w:p w:rsidR="00000000" w:rsidRDefault="00000000">
      <w:pPr>
        <w:tabs>
          <w:tab w:val="clear" w:pos="680"/>
        </w:tabs>
      </w:pPr>
      <w:r>
        <w:t>245.</w:t>
      </w:r>
      <w:r>
        <w:tab/>
        <w:t>Ассигнование средств на 2000 год – очередная задача, которую необходимо решить и включить в си</w:t>
      </w:r>
      <w:r>
        <w:t>с</w:t>
      </w:r>
      <w:r>
        <w:t>тему планирования, поскольку полученные данные послужат основой для итогового баланса, учитываемого федеральным бюджетом.</w:t>
      </w:r>
    </w:p>
    <w:p w:rsidR="00000000" w:rsidRDefault="00000000">
      <w:pPr>
        <w:pStyle w:val="Heading3"/>
      </w:pPr>
      <w:r>
        <w:t>Совершенствование статистики</w:t>
      </w:r>
    </w:p>
    <w:p w:rsidR="00000000" w:rsidRDefault="00000000">
      <w:pPr>
        <w:tabs>
          <w:tab w:val="clear" w:pos="680"/>
        </w:tabs>
      </w:pPr>
      <w:r>
        <w:t>246.</w:t>
      </w:r>
      <w:r>
        <w:tab/>
        <w:t>В этой сфере правительство Мексики достигло значительных успехов в рассматриваемой проблемат</w:t>
      </w:r>
      <w:r>
        <w:t>и</w:t>
      </w:r>
      <w:r>
        <w:t>ке, а именно: возросший уровень учета женщин в статистических показателях, выявление недостатков в Н</w:t>
      </w:r>
      <w:r>
        <w:t>а</w:t>
      </w:r>
      <w:r>
        <w:t>циональной информационной системе, включение новых составляющих в регулярные источники информации, позволяющих анализировать данные с точки зрения гендерного равенства, а также создание системы показат</w:t>
      </w:r>
      <w:r>
        <w:t>е</w:t>
      </w:r>
      <w:r>
        <w:t>лей, позволяющей наблюдать за изменением положения женщин на национальном уровне.</w:t>
      </w:r>
    </w:p>
    <w:p w:rsidR="00000000" w:rsidRDefault="00000000">
      <w:pPr>
        <w:tabs>
          <w:tab w:val="clear" w:pos="680"/>
        </w:tabs>
      </w:pPr>
      <w:r>
        <w:t>247.</w:t>
      </w:r>
      <w:r>
        <w:tab/>
        <w:t>На Национальный институт статистики, географии и информатики (ИНЕГИ) с 1995 года возложен сбор данных и показателей, позволяющих получать наиболее объективную информацию о случаях неравенства м</w:t>
      </w:r>
      <w:r>
        <w:t>е</w:t>
      </w:r>
      <w:r>
        <w:t>жду мужчинами и женщинами. Для этих целей данный институт разработал комплекс мероприятий в области сбора основной и производной статистической информации, ставящих своей задачей показать величину соо</w:t>
      </w:r>
      <w:r>
        <w:t>т</w:t>
      </w:r>
      <w:r>
        <w:t>ветствующих различий, способствуя тем самым разработке государственной политики, направленной на до</w:t>
      </w:r>
      <w:r>
        <w:t>с</w:t>
      </w:r>
      <w:r>
        <w:t>тижение всеобщего равенства, и постановку перед национальной статистической системой задачи сбора и</w:t>
      </w:r>
      <w:r>
        <w:t>н</w:t>
      </w:r>
      <w:r>
        <w:t>формации по гендерной проблематике.</w:t>
      </w:r>
    </w:p>
    <w:p w:rsidR="00000000" w:rsidRDefault="00000000">
      <w:pPr>
        <w:tabs>
          <w:tab w:val="clear" w:pos="680"/>
        </w:tabs>
      </w:pPr>
      <w:r>
        <w:t>248.</w:t>
      </w:r>
      <w:r>
        <w:tab/>
        <w:t>Программа, которую Национальный институт статистики, географии и информатики (ИНЕГИ) осущ</w:t>
      </w:r>
      <w:r>
        <w:t>е</w:t>
      </w:r>
      <w:r>
        <w:t>ствлял с целью улучшения качества статистики с упором на гендерную проблематику, проводилась по следу</w:t>
      </w:r>
      <w:r>
        <w:t>ю</w:t>
      </w:r>
      <w:r>
        <w:t>щим направлениям: во-первых, проверка теоретических и методологических схем, позволяющих осуществлять получение, сбор, обработку и анализ данных о мужчинах и женщинах. Была проведена также тщательная пр</w:t>
      </w:r>
      <w:r>
        <w:t>о</w:t>
      </w:r>
      <w:r>
        <w:t>верка источников на предмет определения наличия субъективного фактора в отношении к гендерной проблем</w:t>
      </w:r>
      <w:r>
        <w:t>а</w:t>
      </w:r>
      <w:r>
        <w:t>тике и соответствующей коррекции в сторону объективности.</w:t>
      </w:r>
    </w:p>
    <w:p w:rsidR="00000000" w:rsidRDefault="00000000">
      <w:pPr>
        <w:tabs>
          <w:tab w:val="clear" w:pos="680"/>
        </w:tabs>
      </w:pPr>
      <w:r>
        <w:t>249.</w:t>
      </w:r>
      <w:r>
        <w:tab/>
        <w:t>В 1993 году был создан Национальный координационный комитет по гендерным исследованиям, и в середине того же года был начат сбор данных, позволяющих судить о различиях в положении мужчин и же</w:t>
      </w:r>
      <w:r>
        <w:t>н</w:t>
      </w:r>
      <w:r>
        <w:t>щин.</w:t>
      </w:r>
    </w:p>
    <w:p w:rsidR="00000000" w:rsidRDefault="00000000">
      <w:pPr>
        <w:tabs>
          <w:tab w:val="clear" w:pos="680"/>
        </w:tabs>
      </w:pPr>
      <w:r>
        <w:t>250.</w:t>
      </w:r>
      <w:r>
        <w:tab/>
        <w:t>В 1995 году в Национальном институте статистики, географии и информатики (ИНЕГИ) были нач</w:t>
      </w:r>
      <w:r>
        <w:t>а</w:t>
      </w:r>
      <w:r>
        <w:t>ты следующие работы:</w:t>
      </w:r>
    </w:p>
    <w:p w:rsidR="00000000" w:rsidRDefault="00000000">
      <w:pPr>
        <w:tabs>
          <w:tab w:val="clear" w:pos="680"/>
          <w:tab w:val="left" w:pos="284"/>
        </w:tabs>
        <w:ind w:left="567" w:hanging="567"/>
      </w:pPr>
      <w:r>
        <w:tab/>
      </w:r>
      <w:r>
        <w:sym w:font="Symbol" w:char="F0B7"/>
      </w:r>
      <w:r>
        <w:tab/>
        <w:t>Пересмотр методологии сбора информ</w:t>
      </w:r>
      <w:r>
        <w:t>а</w:t>
      </w:r>
      <w:r>
        <w:t xml:space="preserve">ции. </w:t>
      </w:r>
    </w:p>
    <w:p w:rsidR="00000000" w:rsidRDefault="00000000">
      <w:pPr>
        <w:tabs>
          <w:tab w:val="clear" w:pos="680"/>
          <w:tab w:val="left" w:pos="284"/>
        </w:tabs>
        <w:ind w:left="567" w:hanging="567"/>
      </w:pPr>
      <w:r>
        <w:tab/>
      </w:r>
      <w:r>
        <w:sym w:font="Symbol" w:char="F0B7"/>
      </w:r>
      <w:r>
        <w:tab/>
        <w:t>Анализ процессов сбора данных, имеющихся определений, классификаций и реестров.</w:t>
      </w:r>
    </w:p>
    <w:p w:rsidR="00000000" w:rsidRDefault="00000000">
      <w:pPr>
        <w:tabs>
          <w:tab w:val="clear" w:pos="680"/>
          <w:tab w:val="left" w:pos="284"/>
        </w:tabs>
        <w:ind w:left="567" w:hanging="567"/>
      </w:pPr>
      <w:r>
        <w:tab/>
      </w:r>
      <w:r>
        <w:sym w:font="Symbol" w:char="F0B7"/>
      </w:r>
      <w:r>
        <w:tab/>
        <w:t>Новая обработка данных переписей и опросов и их дополнительное использование для гендерного анализа широких социально-демографических проце</w:t>
      </w:r>
      <w:r>
        <w:t>с</w:t>
      </w:r>
      <w:r>
        <w:t>сов.</w:t>
      </w:r>
    </w:p>
    <w:p w:rsidR="00000000" w:rsidRDefault="00000000">
      <w:pPr>
        <w:tabs>
          <w:tab w:val="clear" w:pos="680"/>
        </w:tabs>
      </w:pPr>
      <w:r>
        <w:t>251.</w:t>
      </w:r>
      <w:r>
        <w:tab/>
        <w:t>В данном контексте примером достигнутых успехов служит пересмотр результатов национального о</w:t>
      </w:r>
      <w:r>
        <w:t>п</w:t>
      </w:r>
      <w:r>
        <w:t>роса о доходах и расходах семей, в ходе которого было внесено 50 поправок, дополнений или уточнений.</w:t>
      </w:r>
    </w:p>
    <w:p w:rsidR="00000000" w:rsidRDefault="00000000">
      <w:pPr>
        <w:tabs>
          <w:tab w:val="clear" w:pos="680"/>
        </w:tabs>
      </w:pPr>
      <w:r>
        <w:t>252.</w:t>
      </w:r>
      <w:r>
        <w:tab/>
        <w:t>Одновременно были организованы рабочие группы, семинары, собрания и конференции на национал</w:t>
      </w:r>
      <w:r>
        <w:t>ь</w:t>
      </w:r>
      <w:r>
        <w:t>ном и международном уровнях при содействии НКЖ и ЮНИФЕМ.</w:t>
      </w:r>
    </w:p>
    <w:p w:rsidR="00000000" w:rsidRDefault="00000000">
      <w:pPr>
        <w:tabs>
          <w:tab w:val="clear" w:pos="680"/>
        </w:tabs>
      </w:pPr>
      <w:r>
        <w:t>253.</w:t>
      </w:r>
      <w:r>
        <w:tab/>
        <w:t>С 1996 года также были осуществлены следующие пять крупных проектов в рамках соглашения между Национальным институтом статистики, географии и информатики (ИНЕГИ) и Национальной комиссией по делам женщин:</w:t>
      </w:r>
    </w:p>
    <w:p w:rsidR="00000000" w:rsidRDefault="00000000">
      <w:pPr>
        <w:tabs>
          <w:tab w:val="clear" w:pos="680"/>
          <w:tab w:val="left" w:pos="284"/>
        </w:tabs>
        <w:ind w:left="567" w:hanging="567"/>
      </w:pPr>
      <w:r>
        <w:tab/>
      </w:r>
      <w:r>
        <w:sym w:font="Symbol" w:char="F0B7"/>
      </w:r>
      <w:r>
        <w:tab/>
        <w:t>создание постоянно обновляемой базы данных;</w:t>
      </w:r>
    </w:p>
    <w:p w:rsidR="00000000" w:rsidRDefault="00000000">
      <w:pPr>
        <w:tabs>
          <w:tab w:val="clear" w:pos="680"/>
          <w:tab w:val="left" w:pos="284"/>
        </w:tabs>
        <w:ind w:left="567" w:hanging="567"/>
      </w:pPr>
      <w:r>
        <w:tab/>
      </w:r>
      <w:r>
        <w:sym w:font="Symbol" w:char="F0B7"/>
      </w:r>
      <w:r>
        <w:tab/>
        <w:t>постоянное получение дополнительной информации и новых показателей на основе уже имеюще</w:t>
      </w:r>
      <w:r>
        <w:t>й</w:t>
      </w:r>
      <w:r>
        <w:t>ся информации;</w:t>
      </w:r>
    </w:p>
    <w:p w:rsidR="00000000" w:rsidRDefault="00000000">
      <w:pPr>
        <w:tabs>
          <w:tab w:val="clear" w:pos="680"/>
          <w:tab w:val="left" w:pos="284"/>
        </w:tabs>
        <w:ind w:left="567" w:hanging="567"/>
      </w:pPr>
      <w:r>
        <w:tab/>
      </w:r>
      <w:r>
        <w:sym w:font="Symbol" w:char="F0B7"/>
      </w:r>
      <w:r>
        <w:tab/>
        <w:t>содействие контактам между производителями и потребителями информации в целях адекватного использования данных и оптимальной разработки государственной политики;</w:t>
      </w:r>
    </w:p>
    <w:p w:rsidR="00000000" w:rsidRDefault="00000000">
      <w:pPr>
        <w:tabs>
          <w:tab w:val="clear" w:pos="680"/>
          <w:tab w:val="left" w:pos="284"/>
        </w:tabs>
        <w:ind w:left="567" w:hanging="567"/>
      </w:pPr>
      <w:r>
        <w:tab/>
      </w:r>
      <w:r>
        <w:sym w:font="Symbol" w:char="F0B7"/>
      </w:r>
      <w:r>
        <w:tab/>
        <w:t>разработка системы показателей, позволяющей осуществлять, контролировать и оценивать пров</w:t>
      </w:r>
      <w:r>
        <w:t>е</w:t>
      </w:r>
      <w:r>
        <w:t>дение Национальной программы по улучшению полож</w:t>
      </w:r>
      <w:r>
        <w:t>е</w:t>
      </w:r>
      <w:r>
        <w:t>ния женщин;</w:t>
      </w:r>
    </w:p>
    <w:p w:rsidR="00000000" w:rsidRDefault="00000000">
      <w:pPr>
        <w:tabs>
          <w:tab w:val="clear" w:pos="680"/>
          <w:tab w:val="left" w:pos="284"/>
        </w:tabs>
        <w:ind w:left="567" w:hanging="567"/>
      </w:pPr>
      <w:r>
        <w:tab/>
      </w:r>
      <w:r>
        <w:sym w:font="Symbol" w:char="F0B7"/>
      </w:r>
      <w:r>
        <w:tab/>
        <w:t>получение информации о труде, использовании времени и вкладе членов семьи в ведение домашн</w:t>
      </w:r>
      <w:r>
        <w:t>е</w:t>
      </w:r>
      <w:r>
        <w:t>го хозяйства.</w:t>
      </w:r>
    </w:p>
    <w:p w:rsidR="00000000" w:rsidRDefault="00000000">
      <w:pPr>
        <w:tabs>
          <w:tab w:val="clear" w:pos="680"/>
        </w:tabs>
      </w:pPr>
      <w:r>
        <w:t>254.</w:t>
      </w:r>
      <w:r>
        <w:tab/>
        <w:t>В результате вышеизложенного была создана Информационная система мониторинга положения же</w:t>
      </w:r>
      <w:r>
        <w:t>н</w:t>
      </w:r>
      <w:r>
        <w:t>щин в Мексике (СИСЕСИМ), представляющая собой важный успех, достигнутый в процессе развития генде</w:t>
      </w:r>
      <w:r>
        <w:t>р</w:t>
      </w:r>
      <w:r>
        <w:t>ной статистики, так как данная задача входит в целый набор компьютерных программ, содержащих списки п</w:t>
      </w:r>
      <w:r>
        <w:t>о</w:t>
      </w:r>
      <w:r>
        <w:t>казателей, отражающих демографическое, социальное, экономическое и политическое положение мексика</w:t>
      </w:r>
      <w:r>
        <w:t>н</w:t>
      </w:r>
      <w:r>
        <w:t>ских женщин по сравнению с мужчинами.</w:t>
      </w:r>
    </w:p>
    <w:p w:rsidR="00000000" w:rsidRDefault="00000000">
      <w:pPr>
        <w:tabs>
          <w:tab w:val="clear" w:pos="680"/>
        </w:tabs>
        <w:spacing w:after="200"/>
      </w:pPr>
      <w:r>
        <w:t>255.</w:t>
      </w:r>
      <w:r>
        <w:tab/>
        <w:t>Показатели были разработаны по следующим тематическим группам:</w:t>
      </w:r>
    </w:p>
    <w:p w:rsidR="00000000" w:rsidRDefault="00000000">
      <w:pPr>
        <w:tabs>
          <w:tab w:val="clear" w:pos="680"/>
          <w:tab w:val="left" w:pos="284"/>
        </w:tabs>
        <w:spacing w:after="200"/>
        <w:ind w:left="284" w:hanging="284"/>
      </w:pPr>
      <w:r>
        <w:tab/>
      </w:r>
      <w:r>
        <w:rPr>
          <w:lang w:val="en-US"/>
        </w:rPr>
        <w:t>a</w:t>
      </w:r>
      <w:r>
        <w:t>)</w:t>
      </w:r>
      <w:r>
        <w:tab/>
        <w:t>Демографическая ситуация.</w:t>
      </w:r>
    </w:p>
    <w:p w:rsidR="00000000" w:rsidRDefault="00000000">
      <w:pPr>
        <w:tabs>
          <w:tab w:val="clear" w:pos="680"/>
          <w:tab w:val="left" w:pos="284"/>
        </w:tabs>
        <w:spacing w:after="200"/>
        <w:ind w:left="284" w:hanging="284"/>
      </w:pPr>
      <w:r>
        <w:tab/>
      </w:r>
      <w:r>
        <w:rPr>
          <w:lang w:val="en-US"/>
        </w:rPr>
        <w:t>b</w:t>
      </w:r>
      <w:r>
        <w:t>)</w:t>
      </w:r>
      <w:r>
        <w:tab/>
        <w:t>Образование.</w:t>
      </w:r>
    </w:p>
    <w:p w:rsidR="00000000" w:rsidRDefault="00000000">
      <w:pPr>
        <w:tabs>
          <w:tab w:val="clear" w:pos="680"/>
          <w:tab w:val="left" w:pos="284"/>
        </w:tabs>
        <w:spacing w:after="200"/>
        <w:ind w:left="284" w:hanging="284"/>
      </w:pPr>
      <w:r>
        <w:rPr>
          <w:lang w:val="en-US"/>
        </w:rPr>
        <w:tab/>
        <w:t>c</w:t>
      </w:r>
      <w:r>
        <w:t>)</w:t>
      </w:r>
      <w:r>
        <w:tab/>
        <w:t>Труд.</w:t>
      </w:r>
    </w:p>
    <w:p w:rsidR="00000000" w:rsidRDefault="00000000">
      <w:pPr>
        <w:tabs>
          <w:tab w:val="clear" w:pos="680"/>
          <w:tab w:val="left" w:pos="284"/>
        </w:tabs>
        <w:spacing w:after="200"/>
        <w:ind w:left="284" w:hanging="284"/>
      </w:pPr>
      <w:r>
        <w:rPr>
          <w:lang w:val="en-US"/>
        </w:rPr>
        <w:tab/>
        <w:t>d</w:t>
      </w:r>
      <w:r>
        <w:t>)</w:t>
      </w:r>
      <w:r>
        <w:tab/>
        <w:t>Здравоохранение и социальное страхование.</w:t>
      </w:r>
    </w:p>
    <w:p w:rsidR="00000000" w:rsidRDefault="00000000">
      <w:pPr>
        <w:tabs>
          <w:tab w:val="clear" w:pos="680"/>
          <w:tab w:val="left" w:pos="284"/>
        </w:tabs>
        <w:spacing w:after="200"/>
        <w:ind w:left="284" w:hanging="284"/>
      </w:pPr>
      <w:r>
        <w:rPr>
          <w:lang w:val="en-US"/>
        </w:rPr>
        <w:tab/>
        <w:t>e</w:t>
      </w:r>
      <w:r>
        <w:t>)</w:t>
      </w:r>
      <w:r>
        <w:tab/>
        <w:t>Семья, домашнее хозяйство, жилье.</w:t>
      </w:r>
    </w:p>
    <w:p w:rsidR="00000000" w:rsidRDefault="00000000">
      <w:pPr>
        <w:tabs>
          <w:tab w:val="clear" w:pos="680"/>
          <w:tab w:val="left" w:pos="284"/>
        </w:tabs>
        <w:spacing w:after="200"/>
        <w:ind w:left="284" w:hanging="284"/>
        <w:rPr>
          <w:lang w:val="en-US"/>
        </w:rPr>
      </w:pPr>
      <w:r>
        <w:rPr>
          <w:lang w:val="en-US"/>
        </w:rPr>
        <w:tab/>
        <w:t>f</w:t>
      </w:r>
      <w:r>
        <w:t>)</w:t>
      </w:r>
      <w:r>
        <w:tab/>
        <w:t>Участие в политической жизни.</w:t>
      </w:r>
    </w:p>
    <w:p w:rsidR="00000000" w:rsidRDefault="00000000">
      <w:pPr>
        <w:tabs>
          <w:tab w:val="clear" w:pos="680"/>
        </w:tabs>
        <w:spacing w:after="200"/>
      </w:pPr>
      <w:r>
        <w:t>256.</w:t>
      </w:r>
      <w:r>
        <w:tab/>
        <w:t>Были также осуществлены публикации широкого тематического спектра, уделяющие внимание генде</w:t>
      </w:r>
      <w:r>
        <w:t>р</w:t>
      </w:r>
      <w:r>
        <w:t>ному фактору, в издании которых важное участие принимал Национальный институт статистики, географии и информатики (ИНЕГИ). Были опубликованы следующие работы:</w:t>
      </w:r>
    </w:p>
    <w:p w:rsidR="00000000" w:rsidRDefault="00000000">
      <w:pPr>
        <w:tabs>
          <w:tab w:val="clear" w:pos="680"/>
          <w:tab w:val="left" w:pos="284"/>
        </w:tabs>
        <w:spacing w:after="200"/>
        <w:ind w:left="567" w:hanging="567"/>
      </w:pPr>
      <w:r>
        <w:tab/>
      </w:r>
      <w:r>
        <w:sym w:font="Symbol" w:char="F0B7"/>
      </w:r>
      <w:r>
        <w:tab/>
      </w:r>
      <w:r>
        <w:rPr>
          <w:i/>
        </w:rPr>
        <w:t xml:space="preserve">"Статистические особенности мексиканского населения. К вопросу о социально-экономическом, региональном и гендерном неравенстве", </w:t>
      </w:r>
      <w:r>
        <w:t>1995 год;</w:t>
      </w:r>
    </w:p>
    <w:p w:rsidR="00000000" w:rsidRDefault="00000000">
      <w:pPr>
        <w:tabs>
          <w:tab w:val="clear" w:pos="680"/>
          <w:tab w:val="left" w:pos="284"/>
        </w:tabs>
        <w:spacing w:after="200"/>
        <w:ind w:left="567" w:hanging="567"/>
        <w:rPr>
          <w:i/>
        </w:rPr>
      </w:pPr>
      <w:r>
        <w:tab/>
      </w:r>
      <w:r>
        <w:sym w:font="Symbol" w:char="F0B7"/>
      </w:r>
      <w:r>
        <w:tab/>
      </w:r>
      <w:r>
        <w:rPr>
          <w:i/>
        </w:rPr>
        <w:t xml:space="preserve">"Мексиканская женщина: статистические итоги конца ХХ века", </w:t>
      </w:r>
      <w:r>
        <w:t>1995 год;</w:t>
      </w:r>
    </w:p>
    <w:p w:rsidR="00000000" w:rsidRDefault="00000000">
      <w:pPr>
        <w:tabs>
          <w:tab w:val="clear" w:pos="680"/>
          <w:tab w:val="left" w:pos="284"/>
        </w:tabs>
        <w:spacing w:after="200"/>
        <w:ind w:left="567" w:hanging="567"/>
      </w:pPr>
      <w:r>
        <w:tab/>
      </w:r>
      <w:r>
        <w:sym w:font="Symbol" w:char="F0B7"/>
      </w:r>
      <w:r>
        <w:tab/>
      </w:r>
      <w:r>
        <w:rPr>
          <w:i/>
        </w:rPr>
        <w:t>"Женщины и мужчины в Мексике";</w:t>
      </w:r>
    </w:p>
    <w:p w:rsidR="00000000" w:rsidRDefault="00000000">
      <w:pPr>
        <w:tabs>
          <w:tab w:val="clear" w:pos="680"/>
          <w:tab w:val="left" w:pos="284"/>
        </w:tabs>
        <w:spacing w:after="200"/>
        <w:ind w:left="567" w:hanging="567"/>
      </w:pPr>
      <w:r>
        <w:tab/>
      </w:r>
      <w:r>
        <w:sym w:font="Symbol" w:char="F0B7"/>
      </w:r>
      <w:r>
        <w:tab/>
      </w:r>
      <w:r>
        <w:rPr>
          <w:i/>
        </w:rPr>
        <w:t xml:space="preserve">"Мексиканские семьи", </w:t>
      </w:r>
      <w:r>
        <w:t>1998 год;</w:t>
      </w:r>
    </w:p>
    <w:p w:rsidR="00000000" w:rsidRDefault="00000000">
      <w:pPr>
        <w:tabs>
          <w:tab w:val="clear" w:pos="680"/>
          <w:tab w:val="left" w:pos="284"/>
        </w:tabs>
        <w:spacing w:after="200"/>
        <w:ind w:left="567" w:hanging="567"/>
      </w:pPr>
      <w:r>
        <w:tab/>
      </w:r>
      <w:r>
        <w:sym w:font="Symbol" w:char="F0B7"/>
      </w:r>
      <w:r>
        <w:tab/>
      </w:r>
      <w:r>
        <w:rPr>
          <w:i/>
        </w:rPr>
        <w:t>"Статистика занятости населения с разбивкой по полу";</w:t>
      </w:r>
    </w:p>
    <w:p w:rsidR="00000000" w:rsidRDefault="00000000">
      <w:pPr>
        <w:tabs>
          <w:tab w:val="clear" w:pos="680"/>
          <w:tab w:val="left" w:pos="284"/>
        </w:tabs>
        <w:spacing w:after="200"/>
        <w:ind w:left="567" w:hanging="567"/>
      </w:pPr>
      <w:r>
        <w:tab/>
      </w:r>
      <w:r>
        <w:sym w:font="Symbol" w:char="F0B7"/>
      </w:r>
      <w:r>
        <w:tab/>
      </w:r>
      <w:r>
        <w:rPr>
          <w:i/>
        </w:rPr>
        <w:t>"Работа на дому и вне дома";</w:t>
      </w:r>
    </w:p>
    <w:p w:rsidR="00000000" w:rsidRDefault="00000000">
      <w:pPr>
        <w:tabs>
          <w:tab w:val="clear" w:pos="680"/>
          <w:tab w:val="left" w:pos="284"/>
        </w:tabs>
        <w:spacing w:after="200"/>
        <w:ind w:left="567" w:hanging="567"/>
      </w:pPr>
      <w:r>
        <w:tab/>
      </w:r>
      <w:r>
        <w:sym w:font="Symbol" w:char="F0B7"/>
      </w:r>
      <w:r>
        <w:tab/>
      </w:r>
      <w:r>
        <w:rPr>
          <w:i/>
        </w:rPr>
        <w:t>"Статистика народного образования",</w:t>
      </w:r>
      <w:r>
        <w:t xml:space="preserve"> 2000 год;</w:t>
      </w:r>
    </w:p>
    <w:p w:rsidR="00000000" w:rsidRDefault="00000000">
      <w:pPr>
        <w:tabs>
          <w:tab w:val="clear" w:pos="680"/>
          <w:tab w:val="left" w:pos="284"/>
        </w:tabs>
        <w:spacing w:after="200"/>
        <w:ind w:left="567" w:hanging="567"/>
      </w:pPr>
      <w:r>
        <w:tab/>
      </w:r>
      <w:r>
        <w:sym w:font="Symbol" w:char="F0B7"/>
      </w:r>
      <w:r>
        <w:tab/>
      </w:r>
      <w:r>
        <w:rPr>
          <w:i/>
        </w:rPr>
        <w:t>"Вклад в ведение домашнего хозяйства и распределение времени: гендерные различия";</w:t>
      </w:r>
    </w:p>
    <w:p w:rsidR="00000000" w:rsidRDefault="00000000">
      <w:pPr>
        <w:tabs>
          <w:tab w:val="clear" w:pos="680"/>
          <w:tab w:val="left" w:pos="284"/>
        </w:tabs>
        <w:spacing w:after="200"/>
        <w:ind w:left="567" w:hanging="567"/>
      </w:pPr>
      <w:r>
        <w:tab/>
      </w:r>
      <w:r>
        <w:sym w:font="Symbol" w:char="F0B7"/>
      </w:r>
      <w:r>
        <w:tab/>
      </w:r>
      <w:r>
        <w:rPr>
          <w:i/>
        </w:rPr>
        <w:t>"Семьи, возглавляемые женщинами";</w:t>
      </w:r>
    </w:p>
    <w:p w:rsidR="00000000" w:rsidRDefault="00000000">
      <w:pPr>
        <w:tabs>
          <w:tab w:val="clear" w:pos="680"/>
          <w:tab w:val="left" w:pos="284"/>
        </w:tabs>
        <w:spacing w:after="200"/>
        <w:ind w:left="567" w:hanging="567"/>
      </w:pPr>
      <w:r>
        <w:tab/>
      </w:r>
      <w:r>
        <w:sym w:font="Symbol" w:char="F0B7"/>
      </w:r>
      <w:r>
        <w:tab/>
      </w:r>
      <w:r>
        <w:rPr>
          <w:i/>
        </w:rPr>
        <w:t>"Домашние хозяйства и семьи. Показатели по федеральным штатам";</w:t>
      </w:r>
    </w:p>
    <w:p w:rsidR="00000000" w:rsidRDefault="00000000">
      <w:pPr>
        <w:tabs>
          <w:tab w:val="clear" w:pos="680"/>
          <w:tab w:val="left" w:pos="284"/>
        </w:tabs>
        <w:spacing w:after="200"/>
        <w:ind w:left="567" w:hanging="567"/>
      </w:pPr>
      <w:r>
        <w:tab/>
      </w:r>
      <w:r>
        <w:sym w:font="Symbol" w:char="F0B7"/>
      </w:r>
      <w:r>
        <w:tab/>
        <w:t>"</w:t>
      </w:r>
      <w:r>
        <w:rPr>
          <w:i/>
        </w:rPr>
        <w:t>Информационная система мониторинга положения женщин в Мексике"</w:t>
      </w:r>
      <w:r>
        <w:t>.</w:t>
      </w:r>
    </w:p>
    <w:p w:rsidR="00000000" w:rsidRDefault="00000000">
      <w:pPr>
        <w:tabs>
          <w:tab w:val="clear" w:pos="680"/>
        </w:tabs>
        <w:spacing w:after="200"/>
      </w:pPr>
      <w:r>
        <w:t>257.</w:t>
      </w:r>
      <w:r>
        <w:tab/>
        <w:t xml:space="preserve">Ввиду вышеуказанного результаты </w:t>
      </w:r>
      <w:r>
        <w:rPr>
          <w:lang w:val="en-US"/>
        </w:rPr>
        <w:t>двенадцатой</w:t>
      </w:r>
      <w:r>
        <w:t xml:space="preserve"> Переписи населения и жилого фонда 2000 года были подвер</w:t>
      </w:r>
      <w:r>
        <w:t>г</w:t>
      </w:r>
      <w:r>
        <w:t>нуты пересмотру с учетом гендерных факторов. Перепись была проведена с 7 по 18 февраля 2000 года; с 21 февраля по 3 марта в некоторых регионах была проведена повторная перепись с целью подтверждения инфо</w:t>
      </w:r>
      <w:r>
        <w:t>р</w:t>
      </w:r>
      <w:r>
        <w:t>мации и проверки степени охвата, а также для проведения опроса в тех семьях, в которых по какой-либо пр</w:t>
      </w:r>
      <w:r>
        <w:t>и</w:t>
      </w:r>
      <w:r>
        <w:t>чине, в большинстве случаев в связи с отсутствием респондента, остались лица, не опрошенные на первом эт</w:t>
      </w:r>
      <w:r>
        <w:t>а</w:t>
      </w:r>
      <w:r>
        <w:t>пе проведения Переписи. Переписью-2000 были охвачены все населенные пункты страны.</w:t>
      </w:r>
    </w:p>
    <w:p w:rsidR="00000000" w:rsidRDefault="00000000">
      <w:pPr>
        <w:tabs>
          <w:tab w:val="clear" w:pos="680"/>
        </w:tabs>
        <w:spacing w:after="200"/>
      </w:pPr>
      <w:r>
        <w:t>258.</w:t>
      </w:r>
      <w:r>
        <w:tab/>
        <w:t>Пункт в вопроснике, предназначенный для женщин в возрасте от 12 лет и старше, включал дополн</w:t>
      </w:r>
      <w:r>
        <w:t>и</w:t>
      </w:r>
      <w:r>
        <w:t>тельные вопросы о материнстве: о числе живых и умерших детей, о месте и дате рождения последн</w:t>
      </w:r>
      <w:r>
        <w:t>е</w:t>
      </w:r>
      <w:r>
        <w:t>го ребенка.</w:t>
      </w:r>
    </w:p>
    <w:p w:rsidR="00000000" w:rsidRDefault="00000000">
      <w:pPr>
        <w:tabs>
          <w:tab w:val="clear" w:pos="680"/>
        </w:tabs>
        <w:spacing w:after="200"/>
      </w:pPr>
      <w:r>
        <w:t>259.</w:t>
      </w:r>
      <w:r>
        <w:tab/>
        <w:t>В расширенном вопроснике содержались и другие пункты, предназначенные для углубления и изуч</w:t>
      </w:r>
      <w:r>
        <w:t>е</w:t>
      </w:r>
      <w:r>
        <w:t>ния специальных тем, а также вопросы, которые, в связи со сложностью получения на них ответа и ограниче</w:t>
      </w:r>
      <w:r>
        <w:t>н</w:t>
      </w:r>
      <w:r>
        <w:t>ностью времени, не было возможности включить в базовый вопросник.</w:t>
      </w:r>
    </w:p>
    <w:p w:rsidR="00000000" w:rsidRDefault="00000000">
      <w:pPr>
        <w:tabs>
          <w:tab w:val="clear" w:pos="680"/>
        </w:tabs>
        <w:spacing w:after="200"/>
      </w:pPr>
      <w:r>
        <w:t>260.</w:t>
      </w:r>
      <w:r>
        <w:tab/>
        <w:t>Предварительные результаты Переписи-2000 были опубликованы в июне 2000 года.</w:t>
      </w:r>
    </w:p>
    <w:p w:rsidR="00000000" w:rsidRDefault="00000000">
      <w:pPr>
        <w:pStyle w:val="Heading3"/>
        <w:rPr>
          <w:noProof w:val="0"/>
          <w:lang w:val="ru-RU"/>
        </w:rPr>
      </w:pPr>
      <w:r>
        <w:rPr>
          <w:noProof w:val="0"/>
          <w:lang w:val="ru-RU"/>
        </w:rPr>
        <w:t>Задачи по совершенствованию национального механизма улучшения положения женщин</w:t>
      </w:r>
    </w:p>
    <w:p w:rsidR="00000000" w:rsidRDefault="00000000">
      <w:pPr>
        <w:tabs>
          <w:tab w:val="clear" w:pos="680"/>
        </w:tabs>
      </w:pPr>
      <w:r>
        <w:t>261.</w:t>
      </w:r>
      <w:r>
        <w:tab/>
        <w:t>Консультативный совет и Общественная инспекция Национальной программы по улучшению полож</w:t>
      </w:r>
      <w:r>
        <w:t>е</w:t>
      </w:r>
      <w:r>
        <w:t>ния женщин (ПРОНАМ) выдвинули рекомендации относительно создания децентрализованного государстве</w:t>
      </w:r>
      <w:r>
        <w:t>н</w:t>
      </w:r>
      <w:r>
        <w:t>ного органа, обладающего статусом юридического лица и собственным имуществом, позволяющим осущест</w:t>
      </w:r>
      <w:r>
        <w:t>в</w:t>
      </w:r>
      <w:r>
        <w:t>лять национальные исследования, основные проекты и соответствующие предложения, в рамках правительс</w:t>
      </w:r>
      <w:r>
        <w:t>т</w:t>
      </w:r>
      <w:r>
        <w:t>венных инстанций, с достаточной степенью независимости в действиях и полномочиями, вытекающими из его особой и основной функции в отношении мексиканских женщин. В связи с этим в июле 1999 года Обществе</w:t>
      </w:r>
      <w:r>
        <w:t>н</w:t>
      </w:r>
      <w:r>
        <w:t>ная инспекция и Консультативный совет Национальной программы по улучшению положения женщин на 1995–2000 годы (ПРОНАМ) представили Министерству внутренних дел предложение о создании Национал</w:t>
      </w:r>
      <w:r>
        <w:t>ь</w:t>
      </w:r>
      <w:r>
        <w:t>ного института по делам же</w:t>
      </w:r>
      <w:r>
        <w:t>н</w:t>
      </w:r>
      <w:r>
        <w:t>щин.</w:t>
      </w:r>
    </w:p>
    <w:p w:rsidR="00000000" w:rsidRDefault="00000000">
      <w:pPr>
        <w:tabs>
          <w:tab w:val="clear" w:pos="680"/>
        </w:tabs>
      </w:pPr>
      <w:r>
        <w:t>262.</w:t>
      </w:r>
      <w:r>
        <w:tab/>
        <w:t>Консультативные советы и инспекции, действующие в рамках ПРОНАМ, установили, что в связи с осуществлением на национальном уровне функций, возложенных на Генеральный координационный совет НКЖ, необходима не только организационная самостоятельность, но и расширение возможностей их деятел</w:t>
      </w:r>
      <w:r>
        <w:t>ь</w:t>
      </w:r>
      <w:r>
        <w:t>ности во всех сферах жизни страны.</w:t>
      </w:r>
    </w:p>
    <w:p w:rsidR="00000000" w:rsidRDefault="00000000">
      <w:pPr>
        <w:tabs>
          <w:tab w:val="clear" w:pos="680"/>
        </w:tabs>
      </w:pPr>
      <w:r>
        <w:t>263.</w:t>
      </w:r>
      <w:r>
        <w:tab/>
        <w:t>В соответствии со статьей 26 Конституции Мексики на новое правительство возложена обязанность отражения в Национальном плане развития на период 2001–2006 годов своей позиции относительно средств, используемых в целях продолжения работы по вопросам гендерного равенства. Данная программа должна будет включать положения ратифицированных мексиканским правительством международных соглашений, а также рекомендации, изложенные на четвертой Всемирной конференции по положению женщин; вытекающие из решений 23-й специальной сессии Генеральной Ассамблеи Организации Объединенных Наций, которые были отражены в документе "Новые меры и инициативы в целях применения Пекинской декларации и Платформы действий", а на региональном уровне отраженные в Программе региональных действий по улучшению положения женщин Латинской Америки и Карибского бассейна на 1995–2001 годы, принятой Экономической комиссией для Латинской Америки и Карибского бассейна (ЭКЛАК), а также любые меры по актуализации отдельных пр</w:t>
      </w:r>
      <w:r>
        <w:t>о</w:t>
      </w:r>
      <w:r>
        <w:t>цедур и докуме</w:t>
      </w:r>
      <w:r>
        <w:t>н</w:t>
      </w:r>
      <w:r>
        <w:t>тов.</w:t>
      </w:r>
    </w:p>
    <w:p w:rsidR="00000000" w:rsidRDefault="00000000">
      <w:pPr>
        <w:pStyle w:val="Heading2"/>
        <w:spacing w:after="480"/>
      </w:pPr>
      <w:r>
        <w:br w:type="page"/>
        <w:t>СТАТЬЯ 4</w:t>
      </w:r>
    </w:p>
    <w:p w:rsidR="00000000" w:rsidRDefault="00000000">
      <w:pPr>
        <w:tabs>
          <w:tab w:val="clear" w:pos="680"/>
        </w:tabs>
        <w:spacing w:after="200" w:line="235" w:lineRule="auto"/>
      </w:pPr>
      <w:r>
        <w:t>264.</w:t>
      </w:r>
      <w:r>
        <w:tab/>
        <w:t>Среди специальных мер временного характера, ориентированных на достижение равенства между мужчинами и женщинами, выделяются меры, направленные на преодоление бедности и инициативы политич</w:t>
      </w:r>
      <w:r>
        <w:t>е</w:t>
      </w:r>
      <w:r>
        <w:t>ских партий, заинтересованных в большем доступе женщин к процессу принятия р</w:t>
      </w:r>
      <w:r>
        <w:t>е</w:t>
      </w:r>
      <w:r>
        <w:t>шений.</w:t>
      </w:r>
    </w:p>
    <w:p w:rsidR="00000000" w:rsidRDefault="00000000">
      <w:pPr>
        <w:tabs>
          <w:tab w:val="clear" w:pos="680"/>
        </w:tabs>
        <w:spacing w:after="200" w:line="235" w:lineRule="auto"/>
      </w:pPr>
      <w:r>
        <w:t>265.</w:t>
      </w:r>
      <w:r>
        <w:tab/>
        <w:t>В плане преодоления бедности осуществляется, в частности, Программа образования, здравоохранения и питания (ПРОГРЕСА). Проведение данной Программы было начато в 1997 году. Она ориентирована пр</w:t>
      </w:r>
      <w:r>
        <w:t>е</w:t>
      </w:r>
      <w:r>
        <w:t>имущественно на семьи и предусматривает распределение пособий среди всех членов семьи, но приоритет о</w:t>
      </w:r>
      <w:r>
        <w:t>т</w:t>
      </w:r>
      <w:r>
        <w:t>дается детям, подросткам и матерям.</w:t>
      </w:r>
    </w:p>
    <w:p w:rsidR="00000000" w:rsidRDefault="00000000">
      <w:pPr>
        <w:tabs>
          <w:tab w:val="clear" w:pos="680"/>
        </w:tabs>
        <w:spacing w:after="200" w:line="235" w:lineRule="auto"/>
      </w:pPr>
      <w:r>
        <w:t>266.</w:t>
      </w:r>
      <w:r>
        <w:tab/>
        <w:t>Программа ставит задачей улучшение положения женщин и усиление роли, которую они играют в пр</w:t>
      </w:r>
      <w:r>
        <w:t>о</w:t>
      </w:r>
      <w:r>
        <w:t xml:space="preserve">цессе развития семьи и общества. Программа стремится удовлетворить некоторые их потребности в охране здоровья и питании, а также предоставить информацию и знания, способствующие личностному развитию. </w:t>
      </w:r>
      <w:r>
        <w:br/>
        <w:t>В частности, подчеркивается важность обучения женщин в рамках образования для взрослых, так как содержание образовательных программ увязано с элементами, существенными для достижения целей пр</w:t>
      </w:r>
      <w:r>
        <w:t>о</w:t>
      </w:r>
      <w:r>
        <w:t>граммы.</w:t>
      </w:r>
    </w:p>
    <w:p w:rsidR="00000000" w:rsidRDefault="00000000">
      <w:pPr>
        <w:tabs>
          <w:tab w:val="clear" w:pos="680"/>
        </w:tabs>
        <w:spacing w:after="200" w:line="235" w:lineRule="auto"/>
      </w:pPr>
      <w:r>
        <w:t>267.</w:t>
      </w:r>
      <w:r>
        <w:tab/>
        <w:t>Как было сообщено Комитету, Программа образования, здравоохранения и питания (ПРОГРЕСА) включает три взаимосвязанных компонента. Компонент образования осуществляется через предоставление стипендий и поддержку в приобретении школьных пособий, обеспечение базового образования детям и подр</w:t>
      </w:r>
      <w:r>
        <w:t>о</w:t>
      </w:r>
      <w:r>
        <w:t>сткам обоих полов, способствуя их зачислению в школы и регулярной посещаемости, а также участию родит</w:t>
      </w:r>
      <w:r>
        <w:t>е</w:t>
      </w:r>
      <w:r>
        <w:t>лей в повышении успеваемости своих детей. Компонент здоровья заключается в оказании медицинской пом</w:t>
      </w:r>
      <w:r>
        <w:t>о</w:t>
      </w:r>
      <w:r>
        <w:t>щи всем членам семьи и в повышении качества услуг здравоохранения, с упором на вопросы профилактики заболеваний. Компонент питания находит выражение в предоставлении семьям денежных пособий и дополн</w:t>
      </w:r>
      <w:r>
        <w:t>и</w:t>
      </w:r>
      <w:r>
        <w:t>тельного питания для недоедающих детей до двух лет и от двух до пяти лет, а также для беременных и корм</w:t>
      </w:r>
      <w:r>
        <w:t>я</w:t>
      </w:r>
      <w:r>
        <w:t>щих женщин, в целях улучшения питания в семьях со скромным до</w:t>
      </w:r>
      <w:r>
        <w:t>с</w:t>
      </w:r>
      <w:r>
        <w:t>татком.</w:t>
      </w:r>
    </w:p>
    <w:p w:rsidR="00000000" w:rsidRDefault="00000000">
      <w:pPr>
        <w:tabs>
          <w:tab w:val="clear" w:pos="680"/>
        </w:tabs>
        <w:spacing w:after="200" w:line="235" w:lineRule="auto"/>
      </w:pPr>
      <w:r>
        <w:t>268.</w:t>
      </w:r>
      <w:r>
        <w:tab/>
        <w:t>Ориентация Программы на сельское население позволила предоставлять помощь населению, живущ</w:t>
      </w:r>
      <w:r>
        <w:t>е</w:t>
      </w:r>
      <w:r>
        <w:t>му в отдаленных населенных пунктах, которые по  своему размеру или положению являются труднодоступн</w:t>
      </w:r>
      <w:r>
        <w:t>ы</w:t>
      </w:r>
      <w:r>
        <w:t xml:space="preserve">ми. Из общего числа населенных пунктов, к которым применяется Программа образования, здравоохранения и питания (ПРОГРЕСА), 96,8 процента представляют собой населенные пункты с численностью менее </w:t>
      </w:r>
      <w:r>
        <w:br/>
        <w:t>1500 ж</w:t>
      </w:r>
      <w:r>
        <w:t>и</w:t>
      </w:r>
      <w:r>
        <w:t>телей, в основной части которых численность населения колеблется в пределах от 100 до 500 жителей. 84,8 процента данных населенных пунктов являются отдаленными и значительно отд</w:t>
      </w:r>
      <w:r>
        <w:t>а</w:t>
      </w:r>
      <w:r>
        <w:t>ленными.</w:t>
      </w:r>
    </w:p>
    <w:p w:rsidR="00000000" w:rsidRDefault="00000000">
      <w:pPr>
        <w:tabs>
          <w:tab w:val="clear" w:pos="680"/>
        </w:tabs>
        <w:spacing w:after="200" w:line="235" w:lineRule="auto"/>
      </w:pPr>
      <w:r>
        <w:t>269.</w:t>
      </w:r>
      <w:r>
        <w:tab/>
        <w:t xml:space="preserve">В 2000 году Программа образования, здравоохранения и питания (ПРОГРЕСА) проводится в </w:t>
      </w:r>
      <w:r>
        <w:br/>
        <w:t>2156 м</w:t>
      </w:r>
      <w:r>
        <w:t>у</w:t>
      </w:r>
      <w:r>
        <w:t>ниципалитетах и более чем в 53 тыс. населенных пунктов в интересах примерно 2,6 млн. человек, что резко отличается от 456 муниципалитетов, 10 769 населенных пунктов и примерно 300 тыс. семей, которые были охвачены данной программой в 1997 году, когда было начато ее проведение. Помощь в рамках данной Пр</w:t>
      </w:r>
      <w:r>
        <w:t>о</w:t>
      </w:r>
      <w:r>
        <w:t>граммы получают каждая третья из четырех бедных сельских семей, а также семьи, живущие большую часть года в сельской местности. Примерно 80 процентов от общего числа семей живет в 94 областях, определенных в виде приоритетных в предоставлении помощи, которой удалось охватить 41 712 общин, находящихся в 1527 из 1595 муниципалитетов, входящих в эти области. Информация, полученная в результате опроса лиц, вход</w:t>
      </w:r>
      <w:r>
        <w:t>я</w:t>
      </w:r>
      <w:r>
        <w:t>щих в число семей-бенефициаров, указывает на то, что 60 процентов от их числа впервые получают прямую помощь от федерального прав</w:t>
      </w:r>
      <w:r>
        <w:t>и</w:t>
      </w:r>
      <w:r>
        <w:t>тельства.</w:t>
      </w:r>
    </w:p>
    <w:p w:rsidR="00000000" w:rsidRDefault="00000000">
      <w:pPr>
        <w:tabs>
          <w:tab w:val="clear" w:pos="680"/>
        </w:tabs>
        <w:spacing w:after="200" w:line="235" w:lineRule="auto"/>
      </w:pPr>
      <w:r>
        <w:t>270.</w:t>
      </w:r>
      <w:r>
        <w:tab/>
        <w:t>Денежные пособия, напрямую предоставляемые каждой женщине – главе семьи, показывают прирост среднего дохода, получаемого семьями, примерно на 25 процентов. Данный прирост в доходах повлиял на и</w:t>
      </w:r>
      <w:r>
        <w:t>з</w:t>
      </w:r>
      <w:r>
        <w:t>менения в потребительской корзине семей. После первого года осуществления Программы образования, здр</w:t>
      </w:r>
      <w:r>
        <w:t>а</w:t>
      </w:r>
      <w:r>
        <w:t xml:space="preserve">воохранения  и питания (ПРОГРЕСА) семьи отмечали увеличение потребления фруктов и овощей на </w:t>
      </w:r>
      <w:r>
        <w:br/>
        <w:t>19 пр</w:t>
      </w:r>
      <w:r>
        <w:t>о</w:t>
      </w:r>
      <w:r>
        <w:t>центов, молочных продуктов на 33 процента и мяса на 24 процента. Также были отмечены благоприятные и</w:t>
      </w:r>
      <w:r>
        <w:t>з</w:t>
      </w:r>
      <w:r>
        <w:t>менения в покупке некоторых видов оде</w:t>
      </w:r>
      <w:r>
        <w:t>ж</w:t>
      </w:r>
      <w:r>
        <w:t>ды и обуви.</w:t>
      </w:r>
    </w:p>
    <w:p w:rsidR="00000000" w:rsidRDefault="00000000">
      <w:pPr>
        <w:tabs>
          <w:tab w:val="clear" w:pos="680"/>
        </w:tabs>
        <w:spacing w:after="200" w:line="235" w:lineRule="auto"/>
      </w:pPr>
      <w:r>
        <w:t>271.</w:t>
      </w:r>
      <w:r>
        <w:tab/>
        <w:t>В начале 1999/2000 учебного года количество учебных заведений, которые посещали стипендиаты да</w:t>
      </w:r>
      <w:r>
        <w:t>н</w:t>
      </w:r>
      <w:r>
        <w:t>ной Программы, возросло до 73 505 (почти 55 тыс. начальных и более 18 тыс. средних школ). В системе гос</w:t>
      </w:r>
      <w:r>
        <w:t>у</w:t>
      </w:r>
      <w:r>
        <w:t>дарственного образования 60 процентов школ имеют по меньшей мере одного ученика, получающего стипе</w:t>
      </w:r>
      <w:r>
        <w:t>н</w:t>
      </w:r>
      <w:r>
        <w:t>дию в рамках ПРОГРЕСА.</w:t>
      </w:r>
    </w:p>
    <w:p w:rsidR="00000000" w:rsidRDefault="00000000">
      <w:pPr>
        <w:tabs>
          <w:tab w:val="clear" w:pos="680"/>
        </w:tabs>
        <w:spacing w:after="200" w:line="226" w:lineRule="auto"/>
      </w:pPr>
      <w:r>
        <w:t>272.</w:t>
      </w:r>
      <w:r>
        <w:tab/>
        <w:t>Значительно выросло число учащихся в средних школах. В 1999/2000 учебном году в системе телеоб</w:t>
      </w:r>
      <w:r>
        <w:t>у</w:t>
      </w:r>
      <w:r>
        <w:t>чения средних школ число учащихся, получающих помощь в рамках данной Программы, составляло в среднем 70 человек, то есть на 25 процентов больше, чем в 1996/97 учебном году, до осуществления Программы, в то время как среднее число обучающихся в той же системе, но не охваченных Программой ПРОГРЕСА, осталось без изменения.</w:t>
      </w:r>
    </w:p>
    <w:p w:rsidR="00000000" w:rsidRDefault="00000000">
      <w:pPr>
        <w:tabs>
          <w:tab w:val="clear" w:pos="680"/>
        </w:tabs>
        <w:spacing w:after="200" w:line="226" w:lineRule="auto"/>
      </w:pPr>
      <w:r>
        <w:t>273.</w:t>
      </w:r>
      <w:r>
        <w:tab/>
        <w:t>С другой стороны, соотношение учащихся женского и мужского пола в пропорции 1 к 100 в первых и вторых классах средних телешкол, которые составляют большинство стипендиатов, изменилось в период ме</w:t>
      </w:r>
      <w:r>
        <w:t>ж</w:t>
      </w:r>
      <w:r>
        <w:t>ду 1994/95 и 1999/2000 учебными годами с 81 до 90, что представляет прирост в 11 процентов. Таким образом, в результате акцентирования в Программе фактора гендерного равенства постепенно сокращается разрыв ме</w:t>
      </w:r>
      <w:r>
        <w:t>ж</w:t>
      </w:r>
      <w:r>
        <w:t>ду посещаемостью средних школ мальчиками и девочками.</w:t>
      </w:r>
    </w:p>
    <w:p w:rsidR="00000000" w:rsidRDefault="00000000">
      <w:pPr>
        <w:tabs>
          <w:tab w:val="clear" w:pos="680"/>
        </w:tabs>
        <w:spacing w:after="200" w:line="226" w:lineRule="auto"/>
      </w:pPr>
      <w:r>
        <w:t>274.</w:t>
      </w:r>
      <w:r>
        <w:tab/>
        <w:t>Выполнение Программы позволило увеличить число детей и подростков, посещающих школу, что предполагает благоприятные перспективы в плане обеспечения занятости и заработной платы. В настоящее время прогнозируется, что лица, получившие среднее образование, имеют на 26 процентов больший доход, чем окончившие только начальную школу. В связи с этим приложенные в рамках ПРОГРЕСА усилия помогают совершенствованию способностей и развитию человеческого капитала, что предполагает более высокий уровень благосо</w:t>
      </w:r>
      <w:r>
        <w:t>с</w:t>
      </w:r>
      <w:r>
        <w:t>тояния в среднесрочной и долгосрочной перспективе.</w:t>
      </w:r>
    </w:p>
    <w:p w:rsidR="00000000" w:rsidRDefault="00000000">
      <w:pPr>
        <w:tabs>
          <w:tab w:val="clear" w:pos="680"/>
        </w:tabs>
        <w:spacing w:before="120" w:line="226" w:lineRule="auto"/>
        <w:jc w:val="center"/>
        <w:rPr>
          <w:b/>
        </w:rPr>
      </w:pPr>
      <w:r>
        <w:rPr>
          <w:b/>
        </w:rPr>
        <w:t>Программа образования, здравоохранения и питания (ПРОГРЕСА)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6237"/>
        <w:gridCol w:w="1985"/>
        <w:gridCol w:w="1985"/>
      </w:tblGrid>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jc w:val="center"/>
              <w:rPr>
                <w:b/>
                <w:sz w:val="18"/>
              </w:rPr>
            </w:pPr>
            <w:r>
              <w:rPr>
                <w:b/>
                <w:sz w:val="18"/>
              </w:rPr>
              <w:t>Мероприятия</w:t>
            </w:r>
          </w:p>
        </w:tc>
        <w:tc>
          <w:tcPr>
            <w:tcW w:w="1985" w:type="dxa"/>
            <w:vAlign w:val="bottom"/>
          </w:tcPr>
          <w:p w:rsidR="00000000" w:rsidRDefault="00000000">
            <w:pPr>
              <w:tabs>
                <w:tab w:val="clear" w:pos="680"/>
              </w:tabs>
              <w:spacing w:before="60" w:after="60" w:line="226" w:lineRule="auto"/>
              <w:jc w:val="center"/>
              <w:rPr>
                <w:b/>
                <w:sz w:val="18"/>
              </w:rPr>
            </w:pPr>
            <w:r>
              <w:rPr>
                <w:b/>
                <w:sz w:val="18"/>
              </w:rPr>
              <w:t>1998 год</w:t>
            </w:r>
          </w:p>
        </w:tc>
        <w:tc>
          <w:tcPr>
            <w:tcW w:w="1985" w:type="dxa"/>
            <w:vAlign w:val="bottom"/>
          </w:tcPr>
          <w:p w:rsidR="00000000" w:rsidRDefault="00000000">
            <w:pPr>
              <w:tabs>
                <w:tab w:val="clear" w:pos="680"/>
              </w:tabs>
              <w:spacing w:before="60" w:after="60" w:line="226" w:lineRule="auto"/>
              <w:jc w:val="center"/>
              <w:rPr>
                <w:b/>
                <w:sz w:val="18"/>
              </w:rPr>
            </w:pPr>
            <w:r>
              <w:rPr>
                <w:b/>
                <w:sz w:val="18"/>
              </w:rPr>
              <w:t>Прогноз на 1999 г</w:t>
            </w:r>
            <w:r>
              <w:rPr>
                <w:b/>
                <w:sz w:val="18"/>
              </w:rPr>
              <w:t>о</w:t>
            </w:r>
            <w:r>
              <w:rPr>
                <w:b/>
                <w:sz w:val="18"/>
              </w:rPr>
              <w:t>д</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rPr>
                <w:b/>
              </w:rPr>
              <w:t>Общее число лиц, получающих помощь в рамках Програ</w:t>
            </w:r>
            <w:r>
              <w:rPr>
                <w:b/>
              </w:rPr>
              <w:t>м</w:t>
            </w:r>
            <w:r>
              <w:rPr>
                <w:b/>
              </w:rPr>
              <w:t>мы</w:t>
            </w:r>
            <w:r>
              <w:t xml:space="preserve"> (дети и подростки в возрасте до 18 лет)</w:t>
            </w:r>
          </w:p>
        </w:tc>
        <w:tc>
          <w:tcPr>
            <w:tcW w:w="1985" w:type="dxa"/>
            <w:vAlign w:val="bottom"/>
          </w:tcPr>
          <w:p w:rsidR="00000000" w:rsidRDefault="00000000">
            <w:pPr>
              <w:tabs>
                <w:tab w:val="clear" w:pos="680"/>
              </w:tabs>
              <w:spacing w:before="60" w:after="60" w:line="226" w:lineRule="auto"/>
              <w:jc w:val="center"/>
            </w:pPr>
          </w:p>
        </w:tc>
        <w:tc>
          <w:tcPr>
            <w:tcW w:w="1985" w:type="dxa"/>
            <w:vAlign w:val="bottom"/>
          </w:tcPr>
          <w:p w:rsidR="00000000" w:rsidRDefault="00000000">
            <w:pPr>
              <w:tabs>
                <w:tab w:val="clear" w:pos="680"/>
              </w:tabs>
              <w:spacing w:before="60" w:after="60" w:line="226" w:lineRule="auto"/>
              <w:jc w:val="center"/>
            </w:pPr>
            <w:r>
              <w:t>3,3 млн.</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rPr>
                <w:b/>
              </w:rPr>
              <w:t>Образование</w:t>
            </w:r>
            <w:r>
              <w:t xml:space="preserve"> (ежемесячные образовательные стипендии уч</w:t>
            </w:r>
            <w:r>
              <w:t>а</w:t>
            </w:r>
            <w:r>
              <w:t>щимся женского пола от третьего класса начальной школы до третьего класса средней школы)</w:t>
            </w:r>
            <w:r>
              <w:rPr>
                <w:vertAlign w:val="superscript"/>
              </w:rPr>
              <w:t>1</w:t>
            </w:r>
          </w:p>
        </w:tc>
        <w:tc>
          <w:tcPr>
            <w:tcW w:w="1985" w:type="dxa"/>
            <w:vAlign w:val="bottom"/>
          </w:tcPr>
          <w:p w:rsidR="00000000" w:rsidRDefault="00000000">
            <w:pPr>
              <w:tabs>
                <w:tab w:val="clear" w:pos="680"/>
              </w:tabs>
              <w:spacing w:before="60" w:after="60" w:line="226" w:lineRule="auto"/>
              <w:jc w:val="center"/>
            </w:pPr>
          </w:p>
        </w:tc>
        <w:tc>
          <w:tcPr>
            <w:tcW w:w="1985" w:type="dxa"/>
            <w:vAlign w:val="bottom"/>
          </w:tcPr>
          <w:p w:rsidR="00000000" w:rsidRDefault="00000000">
            <w:pPr>
              <w:tabs>
                <w:tab w:val="clear" w:pos="680"/>
              </w:tabs>
              <w:spacing w:before="60" w:after="60" w:line="226" w:lineRule="auto"/>
              <w:jc w:val="center"/>
            </w:pP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t>Девочки, получившие помощь в 1998/99 учебном г</w:t>
            </w:r>
            <w:r>
              <w:t>о</w:t>
            </w:r>
            <w:r>
              <w:t>ду</w:t>
            </w:r>
          </w:p>
        </w:tc>
        <w:tc>
          <w:tcPr>
            <w:tcW w:w="1985" w:type="dxa"/>
            <w:vAlign w:val="bottom"/>
          </w:tcPr>
          <w:p w:rsidR="00000000" w:rsidRDefault="00000000">
            <w:pPr>
              <w:tabs>
                <w:tab w:val="clear" w:pos="680"/>
              </w:tabs>
              <w:spacing w:before="60" w:after="60" w:line="226" w:lineRule="auto"/>
              <w:jc w:val="center"/>
            </w:pPr>
            <w:r>
              <w:t>8 116 000 ст</w:t>
            </w:r>
            <w:r>
              <w:t>и</w:t>
            </w:r>
            <w:r>
              <w:t>пендий</w:t>
            </w:r>
          </w:p>
        </w:tc>
        <w:tc>
          <w:tcPr>
            <w:tcW w:w="1985" w:type="dxa"/>
            <w:vAlign w:val="bottom"/>
          </w:tcPr>
          <w:p w:rsidR="00000000" w:rsidRDefault="00000000">
            <w:pPr>
              <w:tabs>
                <w:tab w:val="clear" w:pos="680"/>
              </w:tabs>
              <w:spacing w:before="60" w:after="60" w:line="226" w:lineRule="auto"/>
              <w:jc w:val="center"/>
            </w:pPr>
            <w:r>
              <w:t>10 429 000 стипе</w:t>
            </w:r>
            <w:r>
              <w:t>н</w:t>
            </w:r>
            <w:r>
              <w:t>дий</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rPr>
                <w:b/>
              </w:rPr>
              <w:t>Здравоохранение</w:t>
            </w:r>
            <w:r>
              <w:t xml:space="preserve"> (предупреждение недоедания среди дев</w:t>
            </w:r>
            <w:r>
              <w:t>о</w:t>
            </w:r>
            <w:r>
              <w:t>чек)</w:t>
            </w:r>
          </w:p>
        </w:tc>
        <w:tc>
          <w:tcPr>
            <w:tcW w:w="1985" w:type="dxa"/>
            <w:vAlign w:val="bottom"/>
          </w:tcPr>
          <w:p w:rsidR="00000000" w:rsidRDefault="00000000">
            <w:pPr>
              <w:tabs>
                <w:tab w:val="clear" w:pos="680"/>
              </w:tabs>
              <w:spacing w:before="60" w:after="60" w:line="226" w:lineRule="auto"/>
              <w:jc w:val="center"/>
            </w:pPr>
          </w:p>
        </w:tc>
        <w:tc>
          <w:tcPr>
            <w:tcW w:w="1985" w:type="dxa"/>
            <w:vAlign w:val="bottom"/>
          </w:tcPr>
          <w:p w:rsidR="00000000" w:rsidRDefault="00000000">
            <w:pPr>
              <w:tabs>
                <w:tab w:val="clear" w:pos="680"/>
              </w:tabs>
              <w:spacing w:before="60" w:after="60" w:line="226" w:lineRule="auto"/>
              <w:jc w:val="center"/>
            </w:pP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t>Медицинские консультации семьям, получающим п</w:t>
            </w:r>
            <w:r>
              <w:t>о</w:t>
            </w:r>
            <w:r>
              <w:t>мощь</w:t>
            </w:r>
            <w:r>
              <w:rPr>
                <w:vertAlign w:val="superscript"/>
              </w:rPr>
              <w:t>2</w:t>
            </w:r>
          </w:p>
        </w:tc>
        <w:tc>
          <w:tcPr>
            <w:tcW w:w="1985" w:type="dxa"/>
            <w:vAlign w:val="bottom"/>
          </w:tcPr>
          <w:p w:rsidR="00000000" w:rsidRDefault="00000000">
            <w:pPr>
              <w:tabs>
                <w:tab w:val="clear" w:pos="680"/>
              </w:tabs>
              <w:spacing w:before="60" w:after="60" w:line="226" w:lineRule="auto"/>
              <w:jc w:val="center"/>
            </w:pPr>
            <w:r>
              <w:t>4,7 млн.</w:t>
            </w:r>
          </w:p>
        </w:tc>
        <w:tc>
          <w:tcPr>
            <w:tcW w:w="1985" w:type="dxa"/>
            <w:vAlign w:val="bottom"/>
          </w:tcPr>
          <w:p w:rsidR="00000000" w:rsidRDefault="00000000">
            <w:pPr>
              <w:tabs>
                <w:tab w:val="clear" w:pos="680"/>
              </w:tabs>
              <w:spacing w:before="60" w:after="60" w:line="226" w:lineRule="auto"/>
              <w:jc w:val="center"/>
            </w:pPr>
            <w:r>
              <w:t>14,2 млн.</w:t>
            </w:r>
          </w:p>
        </w:tc>
      </w:tr>
      <w:tr w:rsidR="00000000">
        <w:tblPrEx>
          <w:tblCellMar>
            <w:top w:w="0" w:type="dxa"/>
            <w:bottom w:w="0" w:type="dxa"/>
          </w:tblCellMar>
        </w:tblPrEx>
        <w:trPr>
          <w:jc w:val="center"/>
        </w:trPr>
        <w:tc>
          <w:tcPr>
            <w:tcW w:w="6237" w:type="dxa"/>
            <w:tcBorders>
              <w:bottom w:val="nil"/>
            </w:tcBorders>
          </w:tcPr>
          <w:p w:rsidR="00000000" w:rsidRDefault="00000000">
            <w:pPr>
              <w:pStyle w:val="Header"/>
              <w:tabs>
                <w:tab w:val="clear" w:pos="680"/>
                <w:tab w:val="clear" w:pos="4677"/>
                <w:tab w:val="clear" w:pos="9355"/>
              </w:tabs>
              <w:spacing w:before="60" w:after="60" w:line="226" w:lineRule="auto"/>
            </w:pPr>
            <w:r>
              <w:t>Курсы по повышению квалификации в сфере здравоохранения, питания и гигиены</w:t>
            </w:r>
          </w:p>
        </w:tc>
        <w:tc>
          <w:tcPr>
            <w:tcW w:w="1985" w:type="dxa"/>
            <w:tcBorders>
              <w:bottom w:val="nil"/>
            </w:tcBorders>
            <w:vAlign w:val="bottom"/>
          </w:tcPr>
          <w:p w:rsidR="00000000" w:rsidRDefault="00000000">
            <w:pPr>
              <w:tabs>
                <w:tab w:val="clear" w:pos="680"/>
              </w:tabs>
              <w:spacing w:before="60" w:after="60" w:line="226" w:lineRule="auto"/>
              <w:jc w:val="center"/>
            </w:pPr>
            <w:r>
              <w:t>937 000 занятий</w:t>
            </w:r>
          </w:p>
        </w:tc>
        <w:tc>
          <w:tcPr>
            <w:tcW w:w="1985" w:type="dxa"/>
            <w:tcBorders>
              <w:bottom w:val="nil"/>
            </w:tcBorders>
            <w:vAlign w:val="bottom"/>
          </w:tcPr>
          <w:p w:rsidR="00000000" w:rsidRDefault="00000000">
            <w:pPr>
              <w:tabs>
                <w:tab w:val="clear" w:pos="680"/>
              </w:tabs>
              <w:spacing w:before="60" w:after="60" w:line="226" w:lineRule="auto"/>
              <w:jc w:val="center"/>
            </w:pPr>
            <w:r>
              <w:t>1 283 200 занятий</w:t>
            </w:r>
          </w:p>
        </w:tc>
      </w:tr>
      <w:tr w:rsidR="00000000">
        <w:tblPrEx>
          <w:tblCellMar>
            <w:top w:w="0" w:type="dxa"/>
            <w:bottom w:w="0" w:type="dxa"/>
          </w:tblCellMar>
        </w:tblPrEx>
        <w:trPr>
          <w:jc w:val="center"/>
        </w:trPr>
        <w:tc>
          <w:tcPr>
            <w:tcW w:w="6237" w:type="dxa"/>
            <w:tcBorders>
              <w:bottom w:val="nil"/>
            </w:tcBorders>
          </w:tcPr>
          <w:p w:rsidR="00000000" w:rsidRDefault="00000000">
            <w:pPr>
              <w:tabs>
                <w:tab w:val="clear" w:pos="680"/>
              </w:tabs>
              <w:spacing w:before="60" w:after="60" w:line="226" w:lineRule="auto"/>
            </w:pPr>
            <w:r>
              <w:t>Инфраструктура здравоохранения в сельской местности (только высококачественное оборудование)</w:t>
            </w:r>
          </w:p>
        </w:tc>
        <w:tc>
          <w:tcPr>
            <w:tcW w:w="1985" w:type="dxa"/>
            <w:tcBorders>
              <w:bottom w:val="nil"/>
            </w:tcBorders>
            <w:vAlign w:val="bottom"/>
          </w:tcPr>
          <w:p w:rsidR="00000000" w:rsidRDefault="00000000">
            <w:pPr>
              <w:tabs>
                <w:tab w:val="clear" w:pos="680"/>
              </w:tabs>
              <w:spacing w:before="60" w:after="60" w:line="226" w:lineRule="auto"/>
              <w:jc w:val="center"/>
            </w:pPr>
          </w:p>
        </w:tc>
        <w:tc>
          <w:tcPr>
            <w:tcW w:w="1985" w:type="dxa"/>
            <w:tcBorders>
              <w:bottom w:val="nil"/>
            </w:tcBorders>
            <w:vAlign w:val="bottom"/>
          </w:tcPr>
          <w:p w:rsidR="00000000" w:rsidRDefault="00000000">
            <w:pPr>
              <w:tabs>
                <w:tab w:val="clear" w:pos="680"/>
              </w:tabs>
              <w:spacing w:before="60" w:after="60" w:line="226" w:lineRule="auto"/>
              <w:jc w:val="center"/>
            </w:pPr>
            <w:r>
              <w:t>8370 единиц</w:t>
            </w:r>
          </w:p>
        </w:tc>
      </w:tr>
      <w:tr w:rsidR="00000000">
        <w:tblPrEx>
          <w:tblCellMar>
            <w:top w:w="0" w:type="dxa"/>
            <w:bottom w:w="0" w:type="dxa"/>
          </w:tblCellMar>
        </w:tblPrEx>
        <w:trPr>
          <w:jc w:val="center"/>
        </w:trPr>
        <w:tc>
          <w:tcPr>
            <w:tcW w:w="6237" w:type="dxa"/>
            <w:tcBorders>
              <w:top w:val="nil"/>
              <w:bottom w:val="nil"/>
            </w:tcBorders>
          </w:tcPr>
          <w:p w:rsidR="00000000" w:rsidRDefault="00000000">
            <w:pPr>
              <w:tabs>
                <w:tab w:val="clear" w:pos="680"/>
              </w:tabs>
              <w:spacing w:before="60" w:after="60" w:line="226" w:lineRule="auto"/>
              <w:rPr>
                <w:b/>
              </w:rPr>
            </w:pPr>
            <w:r>
              <w:t>Передвижное медицинское оборудование</w:t>
            </w:r>
          </w:p>
        </w:tc>
        <w:tc>
          <w:tcPr>
            <w:tcW w:w="1985" w:type="dxa"/>
            <w:tcBorders>
              <w:top w:val="nil"/>
              <w:bottom w:val="nil"/>
            </w:tcBorders>
            <w:vAlign w:val="bottom"/>
          </w:tcPr>
          <w:p w:rsidR="00000000" w:rsidRDefault="00000000">
            <w:pPr>
              <w:tabs>
                <w:tab w:val="clear" w:pos="680"/>
              </w:tabs>
              <w:spacing w:before="60" w:after="60" w:line="226" w:lineRule="auto"/>
              <w:jc w:val="center"/>
            </w:pPr>
          </w:p>
        </w:tc>
        <w:tc>
          <w:tcPr>
            <w:tcW w:w="1985" w:type="dxa"/>
            <w:tcBorders>
              <w:top w:val="nil"/>
              <w:bottom w:val="nil"/>
            </w:tcBorders>
            <w:vAlign w:val="bottom"/>
          </w:tcPr>
          <w:p w:rsidR="00000000" w:rsidRDefault="00000000">
            <w:pPr>
              <w:tabs>
                <w:tab w:val="clear" w:pos="680"/>
              </w:tabs>
              <w:spacing w:before="60" w:after="60" w:line="226" w:lineRule="auto"/>
              <w:jc w:val="center"/>
            </w:pPr>
            <w:r>
              <w:t>1186 единиц</w:t>
            </w:r>
          </w:p>
        </w:tc>
      </w:tr>
      <w:tr w:rsidR="00000000">
        <w:tblPrEx>
          <w:tblCellMar>
            <w:top w:w="0" w:type="dxa"/>
            <w:bottom w:w="0" w:type="dxa"/>
          </w:tblCellMar>
        </w:tblPrEx>
        <w:trPr>
          <w:jc w:val="center"/>
        </w:trPr>
        <w:tc>
          <w:tcPr>
            <w:tcW w:w="6237" w:type="dxa"/>
            <w:tcBorders>
              <w:top w:val="nil"/>
            </w:tcBorders>
          </w:tcPr>
          <w:p w:rsidR="00000000" w:rsidRDefault="00000000">
            <w:pPr>
              <w:tabs>
                <w:tab w:val="clear" w:pos="680"/>
              </w:tabs>
              <w:spacing w:before="60" w:after="60" w:line="226" w:lineRule="auto"/>
              <w:rPr>
                <w:b/>
              </w:rPr>
            </w:pPr>
            <w:r>
              <w:t>Модернизированное оборудование</w:t>
            </w:r>
          </w:p>
        </w:tc>
        <w:tc>
          <w:tcPr>
            <w:tcW w:w="1985" w:type="dxa"/>
            <w:tcBorders>
              <w:top w:val="nil"/>
            </w:tcBorders>
            <w:vAlign w:val="bottom"/>
          </w:tcPr>
          <w:p w:rsidR="00000000" w:rsidRDefault="00000000">
            <w:pPr>
              <w:tabs>
                <w:tab w:val="clear" w:pos="680"/>
              </w:tabs>
              <w:spacing w:before="60" w:after="60" w:line="226" w:lineRule="auto"/>
              <w:jc w:val="center"/>
            </w:pPr>
          </w:p>
        </w:tc>
        <w:tc>
          <w:tcPr>
            <w:tcW w:w="1985" w:type="dxa"/>
            <w:tcBorders>
              <w:top w:val="nil"/>
            </w:tcBorders>
            <w:vAlign w:val="bottom"/>
          </w:tcPr>
          <w:p w:rsidR="00000000" w:rsidRDefault="00000000">
            <w:pPr>
              <w:tabs>
                <w:tab w:val="clear" w:pos="680"/>
              </w:tabs>
              <w:spacing w:before="60" w:after="60" w:line="226" w:lineRule="auto"/>
              <w:jc w:val="center"/>
            </w:pPr>
            <w:r>
              <w:t>506 единиц</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rPr>
                <w:b/>
              </w:rPr>
              <w:t>Питание</w:t>
            </w:r>
          </w:p>
        </w:tc>
        <w:tc>
          <w:tcPr>
            <w:tcW w:w="1985" w:type="dxa"/>
            <w:vAlign w:val="bottom"/>
          </w:tcPr>
          <w:p w:rsidR="00000000" w:rsidRDefault="00000000">
            <w:pPr>
              <w:tabs>
                <w:tab w:val="clear" w:pos="680"/>
              </w:tabs>
              <w:spacing w:before="60" w:after="60" w:line="226" w:lineRule="auto"/>
              <w:jc w:val="center"/>
            </w:pPr>
          </w:p>
        </w:tc>
        <w:tc>
          <w:tcPr>
            <w:tcW w:w="1985" w:type="dxa"/>
            <w:vAlign w:val="bottom"/>
          </w:tcPr>
          <w:p w:rsidR="00000000" w:rsidRDefault="00000000">
            <w:pPr>
              <w:tabs>
                <w:tab w:val="clear" w:pos="680"/>
              </w:tabs>
              <w:spacing w:before="60" w:after="60" w:line="226" w:lineRule="auto"/>
              <w:jc w:val="center"/>
            </w:pP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t>Дополнительное питание, предоставляемое беременным и ко</w:t>
            </w:r>
            <w:r>
              <w:t>р</w:t>
            </w:r>
            <w:r>
              <w:t>мящим же</w:t>
            </w:r>
            <w:r>
              <w:t>н</w:t>
            </w:r>
            <w:r>
              <w:t>щинам</w:t>
            </w:r>
            <w:r>
              <w:rPr>
                <w:vertAlign w:val="superscript"/>
              </w:rPr>
              <w:t>3</w:t>
            </w:r>
          </w:p>
        </w:tc>
        <w:tc>
          <w:tcPr>
            <w:tcW w:w="1985" w:type="dxa"/>
            <w:vAlign w:val="bottom"/>
          </w:tcPr>
          <w:p w:rsidR="00000000" w:rsidRDefault="00000000">
            <w:pPr>
              <w:tabs>
                <w:tab w:val="clear" w:pos="680"/>
              </w:tabs>
              <w:spacing w:before="60" w:after="60" w:line="226" w:lineRule="auto"/>
              <w:jc w:val="center"/>
            </w:pPr>
            <w:r>
              <w:t>101,1 млн.</w:t>
            </w:r>
          </w:p>
        </w:tc>
        <w:tc>
          <w:tcPr>
            <w:tcW w:w="1985" w:type="dxa"/>
            <w:vAlign w:val="bottom"/>
          </w:tcPr>
          <w:p w:rsidR="00000000" w:rsidRDefault="00000000">
            <w:pPr>
              <w:tabs>
                <w:tab w:val="clear" w:pos="680"/>
              </w:tabs>
              <w:spacing w:before="60" w:after="60" w:line="226" w:lineRule="auto"/>
              <w:jc w:val="center"/>
            </w:pPr>
            <w:r>
              <w:t>192,9 млн.</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t>Дополнительное питание, предоставляемое ежедневно девочкам до пяти лет</w:t>
            </w:r>
          </w:p>
        </w:tc>
        <w:tc>
          <w:tcPr>
            <w:tcW w:w="1985" w:type="dxa"/>
            <w:vAlign w:val="bottom"/>
          </w:tcPr>
          <w:p w:rsidR="00000000" w:rsidRDefault="00000000">
            <w:pPr>
              <w:tabs>
                <w:tab w:val="clear" w:pos="680"/>
              </w:tabs>
              <w:spacing w:before="60" w:after="60" w:line="226" w:lineRule="auto"/>
              <w:jc w:val="center"/>
            </w:pPr>
            <w:r>
              <w:t>73,49 млн.</w:t>
            </w:r>
          </w:p>
        </w:tc>
        <w:tc>
          <w:tcPr>
            <w:tcW w:w="1985" w:type="dxa"/>
            <w:vAlign w:val="bottom"/>
          </w:tcPr>
          <w:p w:rsidR="00000000" w:rsidRDefault="00000000">
            <w:pPr>
              <w:tabs>
                <w:tab w:val="clear" w:pos="680"/>
              </w:tabs>
              <w:spacing w:before="60" w:after="60" w:line="226" w:lineRule="auto"/>
              <w:jc w:val="center"/>
            </w:pPr>
            <w:r>
              <w:t>175,9 млн.</w:t>
            </w:r>
          </w:p>
        </w:tc>
      </w:tr>
      <w:tr w:rsidR="00000000">
        <w:tblPrEx>
          <w:tblCellMar>
            <w:top w:w="0" w:type="dxa"/>
            <w:bottom w:w="0" w:type="dxa"/>
          </w:tblCellMar>
        </w:tblPrEx>
        <w:trPr>
          <w:jc w:val="center"/>
        </w:trPr>
        <w:tc>
          <w:tcPr>
            <w:tcW w:w="6237" w:type="dxa"/>
          </w:tcPr>
          <w:p w:rsidR="00000000" w:rsidRDefault="00000000">
            <w:pPr>
              <w:tabs>
                <w:tab w:val="clear" w:pos="680"/>
              </w:tabs>
              <w:spacing w:before="60" w:after="60" w:line="226" w:lineRule="auto"/>
            </w:pPr>
            <w:r>
              <w:t>Дополнительное питание, предоставляемое девочкам и мальч</w:t>
            </w:r>
            <w:r>
              <w:t>и</w:t>
            </w:r>
            <w:r>
              <w:t>кам в возрасте от 4 месяцев до 2 лет, а также девочкам и мал</w:t>
            </w:r>
            <w:r>
              <w:t>ь</w:t>
            </w:r>
            <w:r>
              <w:t xml:space="preserve">чикам от 2 до </w:t>
            </w:r>
            <w:r>
              <w:br/>
              <w:t>5 лет, обнаруживающим признаки недоедания</w:t>
            </w:r>
          </w:p>
        </w:tc>
        <w:tc>
          <w:tcPr>
            <w:tcW w:w="1985" w:type="dxa"/>
            <w:vAlign w:val="bottom"/>
          </w:tcPr>
          <w:p w:rsidR="00000000" w:rsidRDefault="00000000">
            <w:pPr>
              <w:tabs>
                <w:tab w:val="clear" w:pos="680"/>
              </w:tabs>
              <w:spacing w:before="60" w:after="60" w:line="226" w:lineRule="auto"/>
              <w:jc w:val="center"/>
            </w:pPr>
            <w:r>
              <w:t>153,1 млн.</w:t>
            </w:r>
          </w:p>
        </w:tc>
        <w:tc>
          <w:tcPr>
            <w:tcW w:w="1985" w:type="dxa"/>
            <w:vAlign w:val="bottom"/>
          </w:tcPr>
          <w:p w:rsidR="00000000" w:rsidRDefault="00000000">
            <w:pPr>
              <w:tabs>
                <w:tab w:val="clear" w:pos="680"/>
              </w:tabs>
              <w:spacing w:before="60" w:after="60" w:line="226" w:lineRule="auto"/>
              <w:jc w:val="center"/>
            </w:pPr>
            <w:r>
              <w:t>366,5 млн.</w:t>
            </w:r>
          </w:p>
        </w:tc>
      </w:tr>
    </w:tbl>
    <w:p w:rsidR="00000000" w:rsidRDefault="00000000">
      <w:pPr>
        <w:tabs>
          <w:tab w:val="clear" w:pos="680"/>
          <w:tab w:val="left" w:pos="284"/>
        </w:tabs>
        <w:spacing w:before="120" w:after="60" w:line="226" w:lineRule="auto"/>
        <w:ind w:left="284" w:hanging="284"/>
        <w:rPr>
          <w:sz w:val="18"/>
        </w:rPr>
      </w:pPr>
      <w:r>
        <w:rPr>
          <w:sz w:val="18"/>
          <w:vertAlign w:val="superscript"/>
        </w:rPr>
        <w:t>1</w:t>
      </w:r>
      <w:r>
        <w:rPr>
          <w:sz w:val="18"/>
        </w:rPr>
        <w:tab/>
        <w:t>Начиная с первого класса средней школы, стипендии, предоставляемые девочкам, до 15 процентов в</w:t>
      </w:r>
      <w:r>
        <w:rPr>
          <w:sz w:val="18"/>
        </w:rPr>
        <w:t>ы</w:t>
      </w:r>
      <w:r>
        <w:rPr>
          <w:sz w:val="18"/>
        </w:rPr>
        <w:t>ше по сравнению со стипендиями, предоставляемыми мальчикам.</w:t>
      </w:r>
    </w:p>
    <w:p w:rsidR="00000000" w:rsidRDefault="00000000">
      <w:pPr>
        <w:tabs>
          <w:tab w:val="clear" w:pos="680"/>
          <w:tab w:val="left" w:pos="284"/>
        </w:tabs>
        <w:spacing w:after="60" w:line="226" w:lineRule="auto"/>
        <w:ind w:left="284" w:hanging="284"/>
        <w:rPr>
          <w:sz w:val="18"/>
        </w:rPr>
      </w:pPr>
      <w:r>
        <w:rPr>
          <w:sz w:val="18"/>
          <w:vertAlign w:val="superscript"/>
        </w:rPr>
        <w:t>2</w:t>
      </w:r>
      <w:r>
        <w:rPr>
          <w:sz w:val="18"/>
        </w:rPr>
        <w:tab/>
        <w:t>Количество обследований с целью проверки полноценности питания в отношении детей до 5 лет во</w:t>
      </w:r>
      <w:r>
        <w:rPr>
          <w:sz w:val="18"/>
        </w:rPr>
        <w:t>з</w:t>
      </w:r>
      <w:r>
        <w:rPr>
          <w:sz w:val="18"/>
        </w:rPr>
        <w:t xml:space="preserve">росло на </w:t>
      </w:r>
      <w:r>
        <w:rPr>
          <w:sz w:val="18"/>
        </w:rPr>
        <w:br/>
        <w:t>12,2 процента.</w:t>
      </w:r>
    </w:p>
    <w:p w:rsidR="00000000" w:rsidRDefault="00000000">
      <w:pPr>
        <w:tabs>
          <w:tab w:val="clear" w:pos="680"/>
          <w:tab w:val="left" w:pos="284"/>
        </w:tabs>
        <w:spacing w:after="120" w:line="226" w:lineRule="auto"/>
        <w:ind w:left="284" w:hanging="284"/>
        <w:rPr>
          <w:sz w:val="18"/>
        </w:rPr>
      </w:pPr>
      <w:r>
        <w:rPr>
          <w:sz w:val="18"/>
          <w:vertAlign w:val="superscript"/>
        </w:rPr>
        <w:t>3</w:t>
      </w:r>
      <w:r>
        <w:rPr>
          <w:sz w:val="18"/>
        </w:rPr>
        <w:tab/>
        <w:t>Дополнительное питание обеспечивает стопроцентное содержание необходимых питательных веществ и 20 процентов необходимого количества калорий.</w:t>
      </w:r>
    </w:p>
    <w:p w:rsidR="00000000" w:rsidRDefault="00000000">
      <w:pPr>
        <w:pStyle w:val="Heading3"/>
        <w:spacing w:before="480"/>
      </w:pPr>
      <w:r>
        <w:t>Доступ к директивным должностям и к процессу принятия р</w:t>
      </w:r>
      <w:r>
        <w:t>е</w:t>
      </w:r>
      <w:r>
        <w:t>шений</w:t>
      </w:r>
    </w:p>
    <w:p w:rsidR="00000000" w:rsidRDefault="00000000">
      <w:pPr>
        <w:tabs>
          <w:tab w:val="clear" w:pos="680"/>
        </w:tabs>
      </w:pPr>
      <w:r>
        <w:t>275.</w:t>
      </w:r>
      <w:r>
        <w:tab/>
        <w:t>В январе 2000 года Консультативный совет и Общественная инспекция Национальной программы по улучшению положения женщин, а также Генеральный координационный комитет Национальной комиссии по делам женщин обратились к одиннадцати национальным политическим партиям с предложением выделить на предстоящие выборы 2 июля 30 процентов от общего числа кандидатов на выборные должности для женщин. Вышеуказанное предложение было осуществлено в соответствии с временной двадцать второй статьей фед</w:t>
      </w:r>
      <w:r>
        <w:t>е</w:t>
      </w:r>
      <w:r>
        <w:t>рального Кодекса о выборных органах власти и процедурах выб</w:t>
      </w:r>
      <w:r>
        <w:t>о</w:t>
      </w:r>
      <w:r>
        <w:t>ров.</w:t>
      </w:r>
    </w:p>
    <w:p w:rsidR="00000000" w:rsidRDefault="00000000">
      <w:pPr>
        <w:tabs>
          <w:tab w:val="clear" w:pos="680"/>
        </w:tabs>
        <w:rPr>
          <w:lang w:val="en-US"/>
        </w:rPr>
      </w:pPr>
      <w:r>
        <w:t>276.</w:t>
      </w:r>
      <w:r>
        <w:tab/>
        <w:t>Согласно данным Федерального избирательного института (ИФЕ), в процессе выборов, которые прох</w:t>
      </w:r>
      <w:r>
        <w:t>о</w:t>
      </w:r>
      <w:r>
        <w:t>дили в июле 2000 года, представленность женщин в сенате увеличилась до 16,4 процента (21 женщина-сенатор на 128 мест), а в палате депутатов снизилась до 16,2 процента (81 женщина-депутат на 500 депутатских мест) по сравнению с предыдущим созывом.</w:t>
      </w:r>
    </w:p>
    <w:p w:rsidR="00000000" w:rsidRDefault="00000000">
      <w:pPr>
        <w:tabs>
          <w:tab w:val="clear" w:pos="680"/>
        </w:tabs>
        <w:rPr>
          <w:lang w:val="en-US"/>
        </w:rPr>
      </w:pPr>
    </w:p>
    <w:p w:rsidR="00000000" w:rsidRDefault="00000000">
      <w:pPr>
        <w:tabs>
          <w:tab w:val="clear" w:pos="680"/>
        </w:tabs>
        <w:jc w:val="center"/>
        <w:rPr>
          <w:b/>
        </w:rPr>
      </w:pPr>
      <w:r>
        <w:rPr>
          <w:b/>
        </w:rPr>
        <w:t xml:space="preserve">Сенат. Созывы </w:t>
      </w:r>
      <w:r>
        <w:rPr>
          <w:b/>
          <w:lang w:val="en-US"/>
        </w:rPr>
        <w:t>XLVI</w:t>
      </w:r>
      <w:r>
        <w:rPr>
          <w:b/>
        </w:rPr>
        <w:t>–</w:t>
      </w:r>
      <w:r>
        <w:rPr>
          <w:b/>
          <w:lang w:val="en-US"/>
        </w:rPr>
        <w:t>LVIII</w:t>
      </w:r>
    </w:p>
    <w:tbl>
      <w:tblPr>
        <w:tblW w:w="0" w:type="auto"/>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814"/>
        <w:gridCol w:w="1588"/>
        <w:gridCol w:w="1247"/>
        <w:gridCol w:w="1247"/>
        <w:gridCol w:w="1247"/>
        <w:gridCol w:w="1247"/>
        <w:gridCol w:w="1247"/>
      </w:tblGrid>
      <w:tr w:rsidR="00000000">
        <w:tblPrEx>
          <w:tblCellMar>
            <w:top w:w="0" w:type="dxa"/>
            <w:bottom w:w="0" w:type="dxa"/>
          </w:tblCellMar>
        </w:tblPrEx>
        <w:trPr>
          <w:cantSplit/>
        </w:trPr>
        <w:tc>
          <w:tcPr>
            <w:tcW w:w="1814" w:type="dxa"/>
            <w:vMerge w:val="restart"/>
            <w:vAlign w:val="center"/>
          </w:tcPr>
          <w:p w:rsidR="00000000" w:rsidRDefault="00000000">
            <w:pPr>
              <w:spacing w:before="80" w:after="80"/>
              <w:jc w:val="center"/>
              <w:rPr>
                <w:b/>
                <w:sz w:val="18"/>
              </w:rPr>
            </w:pPr>
            <w:r>
              <w:rPr>
                <w:b/>
                <w:sz w:val="18"/>
              </w:rPr>
              <w:t>Созыв</w:t>
            </w:r>
          </w:p>
        </w:tc>
        <w:tc>
          <w:tcPr>
            <w:tcW w:w="1588" w:type="dxa"/>
            <w:vMerge w:val="restart"/>
            <w:vAlign w:val="center"/>
          </w:tcPr>
          <w:p w:rsidR="00000000" w:rsidRDefault="00000000">
            <w:pPr>
              <w:spacing w:before="80" w:after="80"/>
              <w:jc w:val="center"/>
              <w:rPr>
                <w:b/>
                <w:sz w:val="18"/>
              </w:rPr>
            </w:pPr>
            <w:r>
              <w:rPr>
                <w:b/>
                <w:sz w:val="18"/>
              </w:rPr>
              <w:t>Годы</w:t>
            </w:r>
          </w:p>
        </w:tc>
        <w:tc>
          <w:tcPr>
            <w:tcW w:w="3741" w:type="dxa"/>
            <w:gridSpan w:val="3"/>
            <w:vAlign w:val="center"/>
          </w:tcPr>
          <w:p w:rsidR="00000000" w:rsidRDefault="00000000">
            <w:pPr>
              <w:tabs>
                <w:tab w:val="clear" w:pos="680"/>
              </w:tabs>
              <w:spacing w:before="80" w:after="80"/>
              <w:jc w:val="center"/>
              <w:rPr>
                <w:b/>
                <w:sz w:val="18"/>
              </w:rPr>
            </w:pPr>
            <w:r>
              <w:rPr>
                <w:b/>
                <w:sz w:val="18"/>
              </w:rPr>
              <w:t>Число</w:t>
            </w:r>
          </w:p>
        </w:tc>
        <w:tc>
          <w:tcPr>
            <w:tcW w:w="2494" w:type="dxa"/>
            <w:gridSpan w:val="2"/>
            <w:vAlign w:val="center"/>
          </w:tcPr>
          <w:p w:rsidR="00000000" w:rsidRDefault="00000000">
            <w:pPr>
              <w:tabs>
                <w:tab w:val="clear" w:pos="680"/>
              </w:tabs>
              <w:spacing w:before="80" w:after="80"/>
              <w:jc w:val="center"/>
              <w:rPr>
                <w:b/>
                <w:sz w:val="18"/>
              </w:rPr>
            </w:pPr>
            <w:r>
              <w:rPr>
                <w:b/>
                <w:sz w:val="18"/>
              </w:rPr>
              <w:t>Процентная доля</w:t>
            </w:r>
          </w:p>
        </w:tc>
      </w:tr>
      <w:tr w:rsidR="00000000">
        <w:tblPrEx>
          <w:tblCellMar>
            <w:top w:w="0" w:type="dxa"/>
            <w:bottom w:w="0" w:type="dxa"/>
          </w:tblCellMar>
        </w:tblPrEx>
        <w:trPr>
          <w:cantSplit/>
        </w:trPr>
        <w:tc>
          <w:tcPr>
            <w:tcW w:w="1814" w:type="dxa"/>
            <w:vMerge/>
          </w:tcPr>
          <w:p w:rsidR="00000000" w:rsidRDefault="00000000">
            <w:pPr>
              <w:tabs>
                <w:tab w:val="clear" w:pos="680"/>
              </w:tabs>
              <w:spacing w:before="80" w:after="80"/>
              <w:jc w:val="center"/>
              <w:rPr>
                <w:b/>
                <w:sz w:val="18"/>
              </w:rPr>
            </w:pPr>
          </w:p>
        </w:tc>
        <w:tc>
          <w:tcPr>
            <w:tcW w:w="1588" w:type="dxa"/>
            <w:vMerge/>
          </w:tcPr>
          <w:p w:rsidR="00000000" w:rsidRDefault="00000000">
            <w:pPr>
              <w:tabs>
                <w:tab w:val="clear" w:pos="680"/>
              </w:tabs>
              <w:spacing w:before="80" w:after="80"/>
              <w:jc w:val="center"/>
              <w:rPr>
                <w:b/>
                <w:sz w:val="18"/>
              </w:rPr>
            </w:pPr>
          </w:p>
        </w:tc>
        <w:tc>
          <w:tcPr>
            <w:tcW w:w="1247" w:type="dxa"/>
          </w:tcPr>
          <w:p w:rsidR="00000000" w:rsidRDefault="00000000">
            <w:pPr>
              <w:tabs>
                <w:tab w:val="clear" w:pos="680"/>
              </w:tabs>
              <w:spacing w:before="80" w:after="80"/>
              <w:jc w:val="center"/>
              <w:rPr>
                <w:b/>
                <w:sz w:val="18"/>
              </w:rPr>
            </w:pPr>
            <w:r>
              <w:rPr>
                <w:b/>
                <w:sz w:val="18"/>
              </w:rPr>
              <w:t>всего</w:t>
            </w:r>
          </w:p>
        </w:tc>
        <w:tc>
          <w:tcPr>
            <w:tcW w:w="1247" w:type="dxa"/>
          </w:tcPr>
          <w:p w:rsidR="00000000" w:rsidRDefault="00000000">
            <w:pPr>
              <w:tabs>
                <w:tab w:val="clear" w:pos="680"/>
              </w:tabs>
              <w:spacing w:before="80" w:after="80"/>
              <w:jc w:val="center"/>
              <w:rPr>
                <w:b/>
                <w:sz w:val="18"/>
              </w:rPr>
            </w:pPr>
            <w:r>
              <w:rPr>
                <w:b/>
                <w:sz w:val="18"/>
              </w:rPr>
              <w:t>мужчин</w:t>
            </w:r>
          </w:p>
        </w:tc>
        <w:tc>
          <w:tcPr>
            <w:tcW w:w="1247" w:type="dxa"/>
          </w:tcPr>
          <w:p w:rsidR="00000000" w:rsidRDefault="00000000">
            <w:pPr>
              <w:tabs>
                <w:tab w:val="clear" w:pos="680"/>
              </w:tabs>
              <w:spacing w:before="80" w:after="80"/>
              <w:jc w:val="center"/>
              <w:rPr>
                <w:b/>
                <w:sz w:val="18"/>
              </w:rPr>
            </w:pPr>
            <w:r>
              <w:rPr>
                <w:b/>
                <w:sz w:val="18"/>
              </w:rPr>
              <w:t>женщин</w:t>
            </w:r>
          </w:p>
        </w:tc>
        <w:tc>
          <w:tcPr>
            <w:tcW w:w="1247" w:type="dxa"/>
          </w:tcPr>
          <w:p w:rsidR="00000000" w:rsidRDefault="00000000">
            <w:pPr>
              <w:tabs>
                <w:tab w:val="clear" w:pos="680"/>
              </w:tabs>
              <w:spacing w:before="80" w:after="80"/>
              <w:jc w:val="center"/>
              <w:rPr>
                <w:b/>
                <w:sz w:val="18"/>
              </w:rPr>
            </w:pPr>
            <w:r>
              <w:rPr>
                <w:b/>
                <w:sz w:val="18"/>
              </w:rPr>
              <w:t>мужчин</w:t>
            </w:r>
          </w:p>
        </w:tc>
        <w:tc>
          <w:tcPr>
            <w:tcW w:w="1247" w:type="dxa"/>
          </w:tcPr>
          <w:p w:rsidR="00000000" w:rsidRDefault="00000000">
            <w:pPr>
              <w:tabs>
                <w:tab w:val="clear" w:pos="680"/>
              </w:tabs>
              <w:spacing w:before="80" w:after="80"/>
              <w:jc w:val="center"/>
              <w:rPr>
                <w:b/>
                <w:sz w:val="18"/>
              </w:rPr>
            </w:pPr>
            <w:r>
              <w:rPr>
                <w:b/>
                <w:sz w:val="18"/>
              </w:rPr>
              <w:t>женщин</w:t>
            </w:r>
          </w:p>
        </w:tc>
      </w:tr>
      <w:tr w:rsidR="00000000">
        <w:tblPrEx>
          <w:tblCellMar>
            <w:top w:w="0" w:type="dxa"/>
            <w:bottom w:w="0" w:type="dxa"/>
          </w:tblCellMar>
        </w:tblPrEx>
        <w:tc>
          <w:tcPr>
            <w:tcW w:w="1814" w:type="dxa"/>
          </w:tcPr>
          <w:p w:rsidR="00000000" w:rsidRDefault="00000000">
            <w:pPr>
              <w:tabs>
                <w:tab w:val="clear" w:pos="680"/>
              </w:tabs>
              <w:spacing w:before="80" w:after="80"/>
              <w:jc w:val="center"/>
            </w:pPr>
            <w:r>
              <w:rPr>
                <w:lang w:val="en-US"/>
              </w:rPr>
              <w:t>XLVI</w:t>
            </w:r>
            <w:r>
              <w:t>–</w:t>
            </w:r>
            <w:r>
              <w:rPr>
                <w:lang w:val="en-US"/>
              </w:rPr>
              <w:t>XLVII</w:t>
            </w:r>
          </w:p>
        </w:tc>
        <w:tc>
          <w:tcPr>
            <w:tcW w:w="1588" w:type="dxa"/>
          </w:tcPr>
          <w:p w:rsidR="00000000" w:rsidRDefault="00000000">
            <w:pPr>
              <w:tabs>
                <w:tab w:val="clear" w:pos="680"/>
              </w:tabs>
              <w:spacing w:before="80" w:after="80"/>
              <w:jc w:val="center"/>
              <w:rPr>
                <w:lang w:val="en-US"/>
              </w:rPr>
            </w:pPr>
            <w:r>
              <w:rPr>
                <w:lang w:val="en-US"/>
              </w:rPr>
              <w:t>1964</w:t>
            </w:r>
            <w:r>
              <w:t>–</w:t>
            </w:r>
            <w:r>
              <w:rPr>
                <w:lang w:val="en-US"/>
              </w:rPr>
              <w:t>1970</w:t>
            </w:r>
          </w:p>
        </w:tc>
        <w:tc>
          <w:tcPr>
            <w:tcW w:w="1247" w:type="dxa"/>
          </w:tcPr>
          <w:p w:rsidR="00000000" w:rsidRDefault="00000000">
            <w:pPr>
              <w:tabs>
                <w:tab w:val="clear" w:pos="680"/>
              </w:tabs>
              <w:spacing w:before="80" w:after="80"/>
              <w:jc w:val="center"/>
              <w:rPr>
                <w:lang w:val="en-US"/>
              </w:rPr>
            </w:pPr>
            <w:r>
              <w:rPr>
                <w:lang w:val="en-US"/>
              </w:rPr>
              <w:t>58</w:t>
            </w:r>
          </w:p>
        </w:tc>
        <w:tc>
          <w:tcPr>
            <w:tcW w:w="1247" w:type="dxa"/>
          </w:tcPr>
          <w:p w:rsidR="00000000" w:rsidRDefault="00000000">
            <w:pPr>
              <w:tabs>
                <w:tab w:val="clear" w:pos="680"/>
              </w:tabs>
              <w:spacing w:before="80" w:after="80"/>
              <w:jc w:val="center"/>
              <w:rPr>
                <w:lang w:val="en-US"/>
              </w:rPr>
            </w:pPr>
            <w:r>
              <w:rPr>
                <w:lang w:val="en-US"/>
              </w:rPr>
              <w:t>56</w:t>
            </w:r>
          </w:p>
        </w:tc>
        <w:tc>
          <w:tcPr>
            <w:tcW w:w="1247" w:type="dxa"/>
          </w:tcPr>
          <w:p w:rsidR="00000000" w:rsidRDefault="00000000">
            <w:pPr>
              <w:tabs>
                <w:tab w:val="clear" w:pos="680"/>
              </w:tabs>
              <w:spacing w:before="80" w:after="80"/>
              <w:jc w:val="center"/>
              <w:rPr>
                <w:lang w:val="en-US"/>
              </w:rPr>
            </w:pPr>
            <w:r>
              <w:rPr>
                <w:lang w:val="en-US"/>
              </w:rPr>
              <w:t>2</w:t>
            </w:r>
          </w:p>
        </w:tc>
        <w:tc>
          <w:tcPr>
            <w:tcW w:w="1247" w:type="dxa"/>
          </w:tcPr>
          <w:p w:rsidR="00000000" w:rsidRDefault="00000000">
            <w:pPr>
              <w:tabs>
                <w:tab w:val="clear" w:pos="680"/>
              </w:tabs>
              <w:spacing w:before="80" w:after="80"/>
              <w:jc w:val="center"/>
              <w:rPr>
                <w:lang w:val="en-US"/>
              </w:rPr>
            </w:pPr>
            <w:r>
              <w:rPr>
                <w:lang w:val="en-US"/>
              </w:rPr>
              <w:t>96,6</w:t>
            </w:r>
          </w:p>
        </w:tc>
        <w:tc>
          <w:tcPr>
            <w:tcW w:w="1247" w:type="dxa"/>
          </w:tcPr>
          <w:p w:rsidR="00000000" w:rsidRDefault="00000000">
            <w:pPr>
              <w:tabs>
                <w:tab w:val="clear" w:pos="680"/>
              </w:tabs>
              <w:spacing w:before="80" w:after="80"/>
              <w:jc w:val="center"/>
              <w:rPr>
                <w:lang w:val="en-US"/>
              </w:rPr>
            </w:pPr>
            <w:r>
              <w:rPr>
                <w:lang w:val="en-US"/>
              </w:rPr>
              <w:t>3,4</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XLVIII</w:t>
            </w:r>
            <w:r>
              <w:t>–</w:t>
            </w:r>
            <w:r>
              <w:rPr>
                <w:lang w:val="en-US"/>
              </w:rPr>
              <w:t>XLIX</w:t>
            </w:r>
          </w:p>
        </w:tc>
        <w:tc>
          <w:tcPr>
            <w:tcW w:w="1588" w:type="dxa"/>
          </w:tcPr>
          <w:p w:rsidR="00000000" w:rsidRDefault="00000000">
            <w:pPr>
              <w:tabs>
                <w:tab w:val="clear" w:pos="680"/>
              </w:tabs>
              <w:spacing w:before="80" w:after="80"/>
              <w:jc w:val="center"/>
              <w:rPr>
                <w:lang w:val="en-US"/>
              </w:rPr>
            </w:pPr>
            <w:r>
              <w:rPr>
                <w:lang w:val="en-US"/>
              </w:rPr>
              <w:t>1970</w:t>
            </w:r>
            <w:r>
              <w:t>–</w:t>
            </w:r>
            <w:r>
              <w:rPr>
                <w:lang w:val="en-US"/>
              </w:rPr>
              <w:t>1976</w:t>
            </w:r>
          </w:p>
        </w:tc>
        <w:tc>
          <w:tcPr>
            <w:tcW w:w="1247" w:type="dxa"/>
          </w:tcPr>
          <w:p w:rsidR="00000000" w:rsidRDefault="00000000">
            <w:pPr>
              <w:tabs>
                <w:tab w:val="clear" w:pos="680"/>
              </w:tabs>
              <w:spacing w:before="80" w:after="80"/>
              <w:jc w:val="center"/>
              <w:rPr>
                <w:lang w:val="en-US"/>
              </w:rPr>
            </w:pPr>
            <w:r>
              <w:rPr>
                <w:lang w:val="en-US"/>
              </w:rPr>
              <w:t>60</w:t>
            </w:r>
          </w:p>
        </w:tc>
        <w:tc>
          <w:tcPr>
            <w:tcW w:w="1247" w:type="dxa"/>
          </w:tcPr>
          <w:p w:rsidR="00000000" w:rsidRDefault="00000000">
            <w:pPr>
              <w:tabs>
                <w:tab w:val="clear" w:pos="680"/>
              </w:tabs>
              <w:spacing w:before="80" w:after="80"/>
              <w:jc w:val="center"/>
              <w:rPr>
                <w:lang w:val="en-US"/>
              </w:rPr>
            </w:pPr>
            <w:r>
              <w:rPr>
                <w:lang w:val="en-US"/>
              </w:rPr>
              <w:t>58</w:t>
            </w:r>
          </w:p>
        </w:tc>
        <w:tc>
          <w:tcPr>
            <w:tcW w:w="1247" w:type="dxa"/>
          </w:tcPr>
          <w:p w:rsidR="00000000" w:rsidRDefault="00000000">
            <w:pPr>
              <w:tabs>
                <w:tab w:val="clear" w:pos="680"/>
              </w:tabs>
              <w:spacing w:before="80" w:after="80"/>
              <w:jc w:val="center"/>
              <w:rPr>
                <w:lang w:val="en-US"/>
              </w:rPr>
            </w:pPr>
            <w:r>
              <w:rPr>
                <w:lang w:val="en-US"/>
              </w:rPr>
              <w:t>2</w:t>
            </w:r>
          </w:p>
        </w:tc>
        <w:tc>
          <w:tcPr>
            <w:tcW w:w="1247" w:type="dxa"/>
          </w:tcPr>
          <w:p w:rsidR="00000000" w:rsidRDefault="00000000">
            <w:pPr>
              <w:tabs>
                <w:tab w:val="clear" w:pos="680"/>
              </w:tabs>
              <w:spacing w:before="80" w:after="80"/>
              <w:jc w:val="center"/>
              <w:rPr>
                <w:lang w:val="en-US"/>
              </w:rPr>
            </w:pPr>
            <w:r>
              <w:rPr>
                <w:lang w:val="en-US"/>
              </w:rPr>
              <w:t>96,7</w:t>
            </w:r>
          </w:p>
        </w:tc>
        <w:tc>
          <w:tcPr>
            <w:tcW w:w="1247" w:type="dxa"/>
          </w:tcPr>
          <w:p w:rsidR="00000000" w:rsidRDefault="00000000">
            <w:pPr>
              <w:tabs>
                <w:tab w:val="clear" w:pos="680"/>
              </w:tabs>
              <w:spacing w:before="80" w:after="80"/>
              <w:jc w:val="center"/>
              <w:rPr>
                <w:lang w:val="en-US"/>
              </w:rPr>
            </w:pPr>
            <w:r>
              <w:rPr>
                <w:lang w:val="en-US"/>
              </w:rPr>
              <w:t>3,3</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w:t>
            </w:r>
            <w:r>
              <w:t>–</w:t>
            </w:r>
            <w:r>
              <w:rPr>
                <w:lang w:val="en-US"/>
              </w:rPr>
              <w:t>LI</w:t>
            </w:r>
          </w:p>
        </w:tc>
        <w:tc>
          <w:tcPr>
            <w:tcW w:w="1588" w:type="dxa"/>
          </w:tcPr>
          <w:p w:rsidR="00000000" w:rsidRDefault="00000000">
            <w:pPr>
              <w:tabs>
                <w:tab w:val="clear" w:pos="680"/>
              </w:tabs>
              <w:spacing w:before="80" w:after="80"/>
              <w:jc w:val="center"/>
              <w:rPr>
                <w:lang w:val="en-US"/>
              </w:rPr>
            </w:pPr>
            <w:r>
              <w:rPr>
                <w:lang w:val="en-US"/>
              </w:rPr>
              <w:t>1976</w:t>
            </w:r>
            <w:r>
              <w:t>–</w:t>
            </w:r>
            <w:r>
              <w:rPr>
                <w:lang w:val="en-US"/>
              </w:rPr>
              <w:t>1982</w:t>
            </w:r>
          </w:p>
        </w:tc>
        <w:tc>
          <w:tcPr>
            <w:tcW w:w="1247" w:type="dxa"/>
          </w:tcPr>
          <w:p w:rsidR="00000000" w:rsidRDefault="00000000">
            <w:pPr>
              <w:tabs>
                <w:tab w:val="clear" w:pos="680"/>
              </w:tabs>
              <w:spacing w:before="80" w:after="80"/>
              <w:jc w:val="center"/>
              <w:rPr>
                <w:lang w:val="en-US"/>
              </w:rPr>
            </w:pPr>
            <w:r>
              <w:rPr>
                <w:lang w:val="en-US"/>
              </w:rPr>
              <w:t>64</w:t>
            </w:r>
          </w:p>
        </w:tc>
        <w:tc>
          <w:tcPr>
            <w:tcW w:w="1247" w:type="dxa"/>
          </w:tcPr>
          <w:p w:rsidR="00000000" w:rsidRDefault="00000000">
            <w:pPr>
              <w:tabs>
                <w:tab w:val="clear" w:pos="680"/>
              </w:tabs>
              <w:spacing w:before="80" w:after="80"/>
              <w:jc w:val="center"/>
              <w:rPr>
                <w:lang w:val="en-US"/>
              </w:rPr>
            </w:pPr>
            <w:r>
              <w:rPr>
                <w:lang w:val="en-US"/>
              </w:rPr>
              <w:t>59</w:t>
            </w:r>
          </w:p>
        </w:tc>
        <w:tc>
          <w:tcPr>
            <w:tcW w:w="1247" w:type="dxa"/>
          </w:tcPr>
          <w:p w:rsidR="00000000" w:rsidRDefault="00000000">
            <w:pPr>
              <w:tabs>
                <w:tab w:val="clear" w:pos="680"/>
              </w:tabs>
              <w:spacing w:before="80" w:after="80"/>
              <w:jc w:val="center"/>
              <w:rPr>
                <w:lang w:val="en-US"/>
              </w:rPr>
            </w:pPr>
            <w:r>
              <w:rPr>
                <w:lang w:val="en-US"/>
              </w:rPr>
              <w:t>5</w:t>
            </w:r>
          </w:p>
        </w:tc>
        <w:tc>
          <w:tcPr>
            <w:tcW w:w="1247" w:type="dxa"/>
          </w:tcPr>
          <w:p w:rsidR="00000000" w:rsidRDefault="00000000">
            <w:pPr>
              <w:tabs>
                <w:tab w:val="clear" w:pos="680"/>
              </w:tabs>
              <w:spacing w:before="80" w:after="80"/>
              <w:jc w:val="center"/>
              <w:rPr>
                <w:lang w:val="en-US"/>
              </w:rPr>
            </w:pPr>
            <w:r>
              <w:rPr>
                <w:lang w:val="en-US"/>
              </w:rPr>
              <w:t>92,2</w:t>
            </w:r>
          </w:p>
        </w:tc>
        <w:tc>
          <w:tcPr>
            <w:tcW w:w="1247" w:type="dxa"/>
          </w:tcPr>
          <w:p w:rsidR="00000000" w:rsidRDefault="00000000">
            <w:pPr>
              <w:tabs>
                <w:tab w:val="clear" w:pos="680"/>
              </w:tabs>
              <w:spacing w:before="80" w:after="80"/>
              <w:jc w:val="center"/>
              <w:rPr>
                <w:lang w:val="en-US"/>
              </w:rPr>
            </w:pPr>
            <w:r>
              <w:rPr>
                <w:lang w:val="en-US"/>
              </w:rPr>
              <w:t>7,8</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LII</w:t>
            </w:r>
            <w:r>
              <w:t>–</w:t>
            </w:r>
            <w:r>
              <w:rPr>
                <w:lang w:val="en-US"/>
              </w:rPr>
              <w:t>LIII</w:t>
            </w:r>
          </w:p>
        </w:tc>
        <w:tc>
          <w:tcPr>
            <w:tcW w:w="1588" w:type="dxa"/>
          </w:tcPr>
          <w:p w:rsidR="00000000" w:rsidRDefault="00000000">
            <w:pPr>
              <w:tabs>
                <w:tab w:val="clear" w:pos="680"/>
              </w:tabs>
              <w:spacing w:before="80" w:after="80"/>
              <w:jc w:val="center"/>
              <w:rPr>
                <w:lang w:val="en-US"/>
              </w:rPr>
            </w:pPr>
            <w:r>
              <w:rPr>
                <w:lang w:val="en-US"/>
              </w:rPr>
              <w:t>1982</w:t>
            </w:r>
            <w:r>
              <w:t>–</w:t>
            </w:r>
            <w:r>
              <w:rPr>
                <w:lang w:val="en-US"/>
              </w:rPr>
              <w:t>1988</w:t>
            </w:r>
          </w:p>
        </w:tc>
        <w:tc>
          <w:tcPr>
            <w:tcW w:w="1247" w:type="dxa"/>
          </w:tcPr>
          <w:p w:rsidR="00000000" w:rsidRDefault="00000000">
            <w:pPr>
              <w:tabs>
                <w:tab w:val="clear" w:pos="680"/>
              </w:tabs>
              <w:spacing w:before="80" w:after="80"/>
              <w:jc w:val="center"/>
              <w:rPr>
                <w:lang w:val="en-US"/>
              </w:rPr>
            </w:pPr>
            <w:r>
              <w:rPr>
                <w:lang w:val="en-US"/>
              </w:rPr>
              <w:t>64</w:t>
            </w:r>
          </w:p>
        </w:tc>
        <w:tc>
          <w:tcPr>
            <w:tcW w:w="1247" w:type="dxa"/>
          </w:tcPr>
          <w:p w:rsidR="00000000" w:rsidRDefault="00000000">
            <w:pPr>
              <w:tabs>
                <w:tab w:val="clear" w:pos="680"/>
              </w:tabs>
              <w:spacing w:before="80" w:after="80"/>
              <w:jc w:val="center"/>
              <w:rPr>
                <w:lang w:val="en-US"/>
              </w:rPr>
            </w:pPr>
            <w:r>
              <w:rPr>
                <w:lang w:val="en-US"/>
              </w:rPr>
              <w:t>58</w:t>
            </w:r>
          </w:p>
        </w:tc>
        <w:tc>
          <w:tcPr>
            <w:tcW w:w="1247" w:type="dxa"/>
          </w:tcPr>
          <w:p w:rsidR="00000000" w:rsidRDefault="00000000">
            <w:pPr>
              <w:tabs>
                <w:tab w:val="clear" w:pos="680"/>
              </w:tabs>
              <w:spacing w:before="80" w:after="80"/>
              <w:jc w:val="center"/>
              <w:rPr>
                <w:lang w:val="en-US"/>
              </w:rPr>
            </w:pPr>
            <w:r>
              <w:rPr>
                <w:lang w:val="en-US"/>
              </w:rPr>
              <w:t>6</w:t>
            </w:r>
          </w:p>
        </w:tc>
        <w:tc>
          <w:tcPr>
            <w:tcW w:w="1247" w:type="dxa"/>
          </w:tcPr>
          <w:p w:rsidR="00000000" w:rsidRDefault="00000000">
            <w:pPr>
              <w:tabs>
                <w:tab w:val="clear" w:pos="680"/>
              </w:tabs>
              <w:spacing w:before="80" w:after="80"/>
              <w:jc w:val="center"/>
              <w:rPr>
                <w:lang w:val="en-US"/>
              </w:rPr>
            </w:pPr>
            <w:r>
              <w:rPr>
                <w:lang w:val="en-US"/>
              </w:rPr>
              <w:t>90,6</w:t>
            </w:r>
          </w:p>
        </w:tc>
        <w:tc>
          <w:tcPr>
            <w:tcW w:w="1247" w:type="dxa"/>
          </w:tcPr>
          <w:p w:rsidR="00000000" w:rsidRDefault="00000000">
            <w:pPr>
              <w:tabs>
                <w:tab w:val="clear" w:pos="680"/>
              </w:tabs>
              <w:spacing w:before="80" w:after="80"/>
              <w:jc w:val="center"/>
              <w:rPr>
                <w:lang w:val="en-US"/>
              </w:rPr>
            </w:pPr>
            <w:r>
              <w:rPr>
                <w:lang w:val="en-US"/>
              </w:rPr>
              <w:t>9,4</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LIV</w:t>
            </w:r>
          </w:p>
        </w:tc>
        <w:tc>
          <w:tcPr>
            <w:tcW w:w="1588" w:type="dxa"/>
          </w:tcPr>
          <w:p w:rsidR="00000000" w:rsidRDefault="00000000">
            <w:pPr>
              <w:tabs>
                <w:tab w:val="clear" w:pos="680"/>
              </w:tabs>
              <w:spacing w:before="80" w:after="80"/>
              <w:jc w:val="center"/>
              <w:rPr>
                <w:lang w:val="en-US"/>
              </w:rPr>
            </w:pPr>
            <w:r>
              <w:rPr>
                <w:lang w:val="en-US"/>
              </w:rPr>
              <w:t>1988</w:t>
            </w:r>
            <w:r>
              <w:t>–</w:t>
            </w:r>
            <w:r>
              <w:rPr>
                <w:lang w:val="en-US"/>
              </w:rPr>
              <w:t>1991</w:t>
            </w:r>
          </w:p>
        </w:tc>
        <w:tc>
          <w:tcPr>
            <w:tcW w:w="1247" w:type="dxa"/>
          </w:tcPr>
          <w:p w:rsidR="00000000" w:rsidRDefault="00000000">
            <w:pPr>
              <w:tabs>
                <w:tab w:val="clear" w:pos="680"/>
              </w:tabs>
              <w:spacing w:before="80" w:after="80"/>
              <w:jc w:val="center"/>
              <w:rPr>
                <w:lang w:val="en-US"/>
              </w:rPr>
            </w:pPr>
            <w:r>
              <w:rPr>
                <w:lang w:val="en-US"/>
              </w:rPr>
              <w:t>64</w:t>
            </w:r>
          </w:p>
        </w:tc>
        <w:tc>
          <w:tcPr>
            <w:tcW w:w="1247" w:type="dxa"/>
          </w:tcPr>
          <w:p w:rsidR="00000000" w:rsidRDefault="00000000">
            <w:pPr>
              <w:tabs>
                <w:tab w:val="clear" w:pos="680"/>
              </w:tabs>
              <w:spacing w:before="80" w:after="80"/>
              <w:jc w:val="center"/>
              <w:rPr>
                <w:lang w:val="en-US"/>
              </w:rPr>
            </w:pPr>
            <w:r>
              <w:rPr>
                <w:lang w:val="en-US"/>
              </w:rPr>
              <w:t>54</w:t>
            </w:r>
          </w:p>
        </w:tc>
        <w:tc>
          <w:tcPr>
            <w:tcW w:w="1247" w:type="dxa"/>
          </w:tcPr>
          <w:p w:rsidR="00000000" w:rsidRDefault="00000000">
            <w:pPr>
              <w:tabs>
                <w:tab w:val="clear" w:pos="680"/>
              </w:tabs>
              <w:spacing w:before="80" w:after="80"/>
              <w:jc w:val="center"/>
              <w:rPr>
                <w:lang w:val="en-US"/>
              </w:rPr>
            </w:pPr>
            <w:r>
              <w:rPr>
                <w:lang w:val="en-US"/>
              </w:rPr>
              <w:t>10</w:t>
            </w:r>
          </w:p>
        </w:tc>
        <w:tc>
          <w:tcPr>
            <w:tcW w:w="1247" w:type="dxa"/>
          </w:tcPr>
          <w:p w:rsidR="00000000" w:rsidRDefault="00000000">
            <w:pPr>
              <w:tabs>
                <w:tab w:val="clear" w:pos="680"/>
              </w:tabs>
              <w:spacing w:before="80" w:after="80"/>
              <w:jc w:val="center"/>
              <w:rPr>
                <w:lang w:val="en-US"/>
              </w:rPr>
            </w:pPr>
            <w:r>
              <w:rPr>
                <w:lang w:val="en-US"/>
              </w:rPr>
              <w:t>84,4</w:t>
            </w:r>
          </w:p>
        </w:tc>
        <w:tc>
          <w:tcPr>
            <w:tcW w:w="1247" w:type="dxa"/>
          </w:tcPr>
          <w:p w:rsidR="00000000" w:rsidRDefault="00000000">
            <w:pPr>
              <w:tabs>
                <w:tab w:val="clear" w:pos="680"/>
              </w:tabs>
              <w:spacing w:before="80" w:after="80"/>
              <w:jc w:val="center"/>
              <w:rPr>
                <w:lang w:val="en-US"/>
              </w:rPr>
            </w:pPr>
            <w:r>
              <w:rPr>
                <w:lang w:val="en-US"/>
              </w:rPr>
              <w:t>15,6</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LV</w:t>
            </w:r>
          </w:p>
        </w:tc>
        <w:tc>
          <w:tcPr>
            <w:tcW w:w="1588" w:type="dxa"/>
          </w:tcPr>
          <w:p w:rsidR="00000000" w:rsidRDefault="00000000">
            <w:pPr>
              <w:tabs>
                <w:tab w:val="clear" w:pos="680"/>
              </w:tabs>
              <w:spacing w:before="80" w:after="80"/>
              <w:jc w:val="center"/>
              <w:rPr>
                <w:lang w:val="en-US"/>
              </w:rPr>
            </w:pPr>
            <w:r>
              <w:rPr>
                <w:lang w:val="en-US"/>
              </w:rPr>
              <w:t>1991</w:t>
            </w:r>
            <w:r>
              <w:t>–</w:t>
            </w:r>
            <w:r>
              <w:rPr>
                <w:lang w:val="en-US"/>
              </w:rPr>
              <w:t>1994</w:t>
            </w:r>
          </w:p>
        </w:tc>
        <w:tc>
          <w:tcPr>
            <w:tcW w:w="1247" w:type="dxa"/>
          </w:tcPr>
          <w:p w:rsidR="00000000" w:rsidRDefault="00000000">
            <w:pPr>
              <w:tabs>
                <w:tab w:val="clear" w:pos="680"/>
              </w:tabs>
              <w:spacing w:before="80" w:after="80"/>
              <w:jc w:val="center"/>
              <w:rPr>
                <w:lang w:val="en-US"/>
              </w:rPr>
            </w:pPr>
            <w:r>
              <w:rPr>
                <w:lang w:val="en-US"/>
              </w:rPr>
              <w:t>64</w:t>
            </w:r>
          </w:p>
        </w:tc>
        <w:tc>
          <w:tcPr>
            <w:tcW w:w="1247" w:type="dxa"/>
          </w:tcPr>
          <w:p w:rsidR="00000000" w:rsidRDefault="00000000">
            <w:pPr>
              <w:tabs>
                <w:tab w:val="clear" w:pos="680"/>
              </w:tabs>
              <w:spacing w:before="80" w:after="80"/>
              <w:jc w:val="center"/>
              <w:rPr>
                <w:lang w:val="en-US"/>
              </w:rPr>
            </w:pPr>
            <w:r>
              <w:rPr>
                <w:lang w:val="en-US"/>
              </w:rPr>
              <w:t>60</w:t>
            </w:r>
          </w:p>
        </w:tc>
        <w:tc>
          <w:tcPr>
            <w:tcW w:w="1247" w:type="dxa"/>
          </w:tcPr>
          <w:p w:rsidR="00000000" w:rsidRDefault="00000000">
            <w:pPr>
              <w:tabs>
                <w:tab w:val="clear" w:pos="680"/>
              </w:tabs>
              <w:spacing w:before="80" w:after="80"/>
              <w:jc w:val="center"/>
              <w:rPr>
                <w:lang w:val="en-US"/>
              </w:rPr>
            </w:pPr>
            <w:r>
              <w:rPr>
                <w:lang w:val="en-US"/>
              </w:rPr>
              <w:t>4</w:t>
            </w:r>
          </w:p>
        </w:tc>
        <w:tc>
          <w:tcPr>
            <w:tcW w:w="1247" w:type="dxa"/>
          </w:tcPr>
          <w:p w:rsidR="00000000" w:rsidRDefault="00000000">
            <w:pPr>
              <w:tabs>
                <w:tab w:val="clear" w:pos="680"/>
              </w:tabs>
              <w:spacing w:before="80" w:after="80"/>
              <w:jc w:val="center"/>
              <w:rPr>
                <w:lang w:val="en-US"/>
              </w:rPr>
            </w:pPr>
            <w:r>
              <w:rPr>
                <w:lang w:val="en-US"/>
              </w:rPr>
              <w:t>93,8</w:t>
            </w:r>
          </w:p>
        </w:tc>
        <w:tc>
          <w:tcPr>
            <w:tcW w:w="1247" w:type="dxa"/>
          </w:tcPr>
          <w:p w:rsidR="00000000" w:rsidRDefault="00000000">
            <w:pPr>
              <w:tabs>
                <w:tab w:val="clear" w:pos="680"/>
              </w:tabs>
              <w:spacing w:before="80" w:after="80"/>
              <w:jc w:val="center"/>
              <w:rPr>
                <w:lang w:val="en-US"/>
              </w:rPr>
            </w:pPr>
            <w:r>
              <w:rPr>
                <w:lang w:val="en-US"/>
              </w:rPr>
              <w:t>6,3</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LVI</w:t>
            </w:r>
          </w:p>
        </w:tc>
        <w:tc>
          <w:tcPr>
            <w:tcW w:w="1588" w:type="dxa"/>
          </w:tcPr>
          <w:p w:rsidR="00000000" w:rsidRDefault="00000000">
            <w:pPr>
              <w:tabs>
                <w:tab w:val="clear" w:pos="680"/>
              </w:tabs>
              <w:spacing w:before="80" w:after="80"/>
              <w:jc w:val="center"/>
              <w:rPr>
                <w:lang w:val="en-US"/>
              </w:rPr>
            </w:pPr>
            <w:r>
              <w:rPr>
                <w:lang w:val="en-US"/>
              </w:rPr>
              <w:t>1994</w:t>
            </w:r>
            <w:r>
              <w:t>–</w:t>
            </w:r>
            <w:r>
              <w:rPr>
                <w:lang w:val="en-US"/>
              </w:rPr>
              <w:t>1997</w:t>
            </w:r>
          </w:p>
        </w:tc>
        <w:tc>
          <w:tcPr>
            <w:tcW w:w="1247" w:type="dxa"/>
          </w:tcPr>
          <w:p w:rsidR="00000000" w:rsidRDefault="00000000">
            <w:pPr>
              <w:tabs>
                <w:tab w:val="clear" w:pos="680"/>
              </w:tabs>
              <w:spacing w:before="80" w:after="80"/>
              <w:jc w:val="center"/>
              <w:rPr>
                <w:lang w:val="en-US"/>
              </w:rPr>
            </w:pPr>
            <w:r>
              <w:rPr>
                <w:lang w:val="en-US"/>
              </w:rPr>
              <w:t>128</w:t>
            </w:r>
          </w:p>
        </w:tc>
        <w:tc>
          <w:tcPr>
            <w:tcW w:w="1247" w:type="dxa"/>
          </w:tcPr>
          <w:p w:rsidR="00000000" w:rsidRDefault="00000000">
            <w:pPr>
              <w:tabs>
                <w:tab w:val="clear" w:pos="680"/>
              </w:tabs>
              <w:spacing w:before="80" w:after="80"/>
              <w:jc w:val="center"/>
              <w:rPr>
                <w:lang w:val="en-US"/>
              </w:rPr>
            </w:pPr>
            <w:r>
              <w:rPr>
                <w:lang w:val="en-US"/>
              </w:rPr>
              <w:t>112</w:t>
            </w:r>
          </w:p>
        </w:tc>
        <w:tc>
          <w:tcPr>
            <w:tcW w:w="1247" w:type="dxa"/>
          </w:tcPr>
          <w:p w:rsidR="00000000" w:rsidRDefault="00000000">
            <w:pPr>
              <w:tabs>
                <w:tab w:val="clear" w:pos="680"/>
              </w:tabs>
              <w:spacing w:before="80" w:after="80"/>
              <w:jc w:val="center"/>
              <w:rPr>
                <w:lang w:val="en-US"/>
              </w:rPr>
            </w:pPr>
            <w:r>
              <w:rPr>
                <w:lang w:val="en-US"/>
              </w:rPr>
              <w:t>16</w:t>
            </w:r>
          </w:p>
        </w:tc>
        <w:tc>
          <w:tcPr>
            <w:tcW w:w="1247" w:type="dxa"/>
          </w:tcPr>
          <w:p w:rsidR="00000000" w:rsidRDefault="00000000">
            <w:pPr>
              <w:tabs>
                <w:tab w:val="clear" w:pos="680"/>
              </w:tabs>
              <w:spacing w:before="80" w:after="80"/>
              <w:jc w:val="center"/>
              <w:rPr>
                <w:lang w:val="en-US"/>
              </w:rPr>
            </w:pPr>
            <w:r>
              <w:rPr>
                <w:lang w:val="en-US"/>
              </w:rPr>
              <w:t>87,5</w:t>
            </w:r>
          </w:p>
        </w:tc>
        <w:tc>
          <w:tcPr>
            <w:tcW w:w="1247" w:type="dxa"/>
          </w:tcPr>
          <w:p w:rsidR="00000000" w:rsidRDefault="00000000">
            <w:pPr>
              <w:tabs>
                <w:tab w:val="clear" w:pos="680"/>
              </w:tabs>
              <w:spacing w:before="80" w:after="80"/>
              <w:jc w:val="center"/>
              <w:rPr>
                <w:lang w:val="en-US"/>
              </w:rPr>
            </w:pPr>
            <w:r>
              <w:rPr>
                <w:lang w:val="en-US"/>
              </w:rPr>
              <w:t>12,5</w:t>
            </w:r>
          </w:p>
        </w:tc>
      </w:tr>
      <w:tr w:rsidR="00000000">
        <w:tblPrEx>
          <w:tblCellMar>
            <w:top w:w="0" w:type="dxa"/>
            <w:bottom w:w="0" w:type="dxa"/>
          </w:tblCellMar>
        </w:tblPrEx>
        <w:tc>
          <w:tcPr>
            <w:tcW w:w="1814" w:type="dxa"/>
          </w:tcPr>
          <w:p w:rsidR="00000000" w:rsidRDefault="00000000">
            <w:pPr>
              <w:tabs>
                <w:tab w:val="clear" w:pos="680"/>
              </w:tabs>
              <w:spacing w:before="80" w:after="80"/>
              <w:jc w:val="center"/>
              <w:rPr>
                <w:lang w:val="en-US"/>
              </w:rPr>
            </w:pPr>
            <w:r>
              <w:rPr>
                <w:lang w:val="en-US"/>
              </w:rPr>
              <w:t>LVII</w:t>
            </w:r>
          </w:p>
        </w:tc>
        <w:tc>
          <w:tcPr>
            <w:tcW w:w="1588" w:type="dxa"/>
          </w:tcPr>
          <w:p w:rsidR="00000000" w:rsidRDefault="00000000">
            <w:pPr>
              <w:tabs>
                <w:tab w:val="clear" w:pos="680"/>
              </w:tabs>
              <w:spacing w:before="80" w:after="80"/>
              <w:jc w:val="center"/>
            </w:pPr>
            <w:r>
              <w:t>1997–2000</w:t>
            </w:r>
          </w:p>
        </w:tc>
        <w:tc>
          <w:tcPr>
            <w:tcW w:w="1247" w:type="dxa"/>
          </w:tcPr>
          <w:p w:rsidR="00000000" w:rsidRDefault="00000000">
            <w:pPr>
              <w:tabs>
                <w:tab w:val="clear" w:pos="680"/>
              </w:tabs>
              <w:spacing w:before="80" w:after="80"/>
              <w:jc w:val="center"/>
            </w:pPr>
            <w:r>
              <w:t>128</w:t>
            </w:r>
          </w:p>
        </w:tc>
        <w:tc>
          <w:tcPr>
            <w:tcW w:w="1247" w:type="dxa"/>
          </w:tcPr>
          <w:p w:rsidR="00000000" w:rsidRDefault="00000000">
            <w:pPr>
              <w:tabs>
                <w:tab w:val="clear" w:pos="680"/>
              </w:tabs>
              <w:spacing w:before="80" w:after="80"/>
              <w:jc w:val="center"/>
            </w:pPr>
            <w:r>
              <w:t>109</w:t>
            </w:r>
          </w:p>
        </w:tc>
        <w:tc>
          <w:tcPr>
            <w:tcW w:w="1247" w:type="dxa"/>
          </w:tcPr>
          <w:p w:rsidR="00000000" w:rsidRDefault="00000000">
            <w:pPr>
              <w:tabs>
                <w:tab w:val="clear" w:pos="680"/>
              </w:tabs>
              <w:spacing w:before="80" w:after="80"/>
              <w:jc w:val="center"/>
            </w:pPr>
            <w:r>
              <w:t>19</w:t>
            </w:r>
          </w:p>
        </w:tc>
        <w:tc>
          <w:tcPr>
            <w:tcW w:w="1247" w:type="dxa"/>
          </w:tcPr>
          <w:p w:rsidR="00000000" w:rsidRDefault="00000000">
            <w:pPr>
              <w:tabs>
                <w:tab w:val="clear" w:pos="680"/>
              </w:tabs>
              <w:spacing w:before="80" w:after="80"/>
              <w:jc w:val="center"/>
            </w:pPr>
            <w:r>
              <w:t>85,2</w:t>
            </w:r>
          </w:p>
        </w:tc>
        <w:tc>
          <w:tcPr>
            <w:tcW w:w="1247" w:type="dxa"/>
          </w:tcPr>
          <w:p w:rsidR="00000000" w:rsidRDefault="00000000">
            <w:pPr>
              <w:tabs>
                <w:tab w:val="clear" w:pos="680"/>
              </w:tabs>
              <w:spacing w:before="80" w:after="80"/>
              <w:jc w:val="center"/>
            </w:pPr>
            <w:r>
              <w:t>14,8</w:t>
            </w:r>
          </w:p>
        </w:tc>
      </w:tr>
      <w:tr w:rsidR="00000000">
        <w:tblPrEx>
          <w:tblCellMar>
            <w:top w:w="0" w:type="dxa"/>
            <w:bottom w:w="0" w:type="dxa"/>
          </w:tblCellMar>
        </w:tblPrEx>
        <w:tc>
          <w:tcPr>
            <w:tcW w:w="1814" w:type="dxa"/>
          </w:tcPr>
          <w:p w:rsidR="00000000" w:rsidRDefault="00000000">
            <w:pPr>
              <w:tabs>
                <w:tab w:val="clear" w:pos="680"/>
              </w:tabs>
              <w:spacing w:before="80" w:after="80"/>
              <w:jc w:val="center"/>
            </w:pPr>
            <w:r>
              <w:rPr>
                <w:lang w:val="en-US"/>
              </w:rPr>
              <w:t>LVIII</w:t>
            </w:r>
            <w:r>
              <w:t>*</w:t>
            </w:r>
          </w:p>
        </w:tc>
        <w:tc>
          <w:tcPr>
            <w:tcW w:w="1588" w:type="dxa"/>
          </w:tcPr>
          <w:p w:rsidR="00000000" w:rsidRDefault="00000000">
            <w:pPr>
              <w:tabs>
                <w:tab w:val="clear" w:pos="680"/>
              </w:tabs>
              <w:spacing w:before="80" w:after="80"/>
              <w:jc w:val="center"/>
            </w:pPr>
            <w:r>
              <w:t>2000–2003</w:t>
            </w:r>
          </w:p>
        </w:tc>
        <w:tc>
          <w:tcPr>
            <w:tcW w:w="1247" w:type="dxa"/>
          </w:tcPr>
          <w:p w:rsidR="00000000" w:rsidRDefault="00000000">
            <w:pPr>
              <w:tabs>
                <w:tab w:val="clear" w:pos="680"/>
              </w:tabs>
              <w:spacing w:before="80" w:after="80"/>
              <w:jc w:val="center"/>
            </w:pPr>
            <w:r>
              <w:t>128</w:t>
            </w:r>
          </w:p>
        </w:tc>
        <w:tc>
          <w:tcPr>
            <w:tcW w:w="1247" w:type="dxa"/>
          </w:tcPr>
          <w:p w:rsidR="00000000" w:rsidRDefault="00000000">
            <w:pPr>
              <w:tabs>
                <w:tab w:val="clear" w:pos="680"/>
              </w:tabs>
              <w:spacing w:before="80" w:after="80"/>
              <w:jc w:val="center"/>
            </w:pPr>
            <w:r>
              <w:t>108</w:t>
            </w:r>
          </w:p>
        </w:tc>
        <w:tc>
          <w:tcPr>
            <w:tcW w:w="1247" w:type="dxa"/>
          </w:tcPr>
          <w:p w:rsidR="00000000" w:rsidRDefault="00000000">
            <w:pPr>
              <w:tabs>
                <w:tab w:val="clear" w:pos="680"/>
              </w:tabs>
              <w:spacing w:before="80" w:after="80"/>
              <w:jc w:val="center"/>
            </w:pPr>
            <w:r>
              <w:t>21</w:t>
            </w:r>
          </w:p>
        </w:tc>
        <w:tc>
          <w:tcPr>
            <w:tcW w:w="1247" w:type="dxa"/>
          </w:tcPr>
          <w:p w:rsidR="00000000" w:rsidRDefault="00000000">
            <w:pPr>
              <w:tabs>
                <w:tab w:val="clear" w:pos="680"/>
              </w:tabs>
              <w:spacing w:before="80" w:after="80"/>
              <w:jc w:val="center"/>
            </w:pPr>
            <w:r>
              <w:t>84,4</w:t>
            </w:r>
          </w:p>
        </w:tc>
        <w:tc>
          <w:tcPr>
            <w:tcW w:w="1247" w:type="dxa"/>
          </w:tcPr>
          <w:p w:rsidR="00000000" w:rsidRDefault="00000000">
            <w:pPr>
              <w:tabs>
                <w:tab w:val="clear" w:pos="680"/>
              </w:tabs>
              <w:spacing w:before="80" w:after="80"/>
              <w:jc w:val="center"/>
            </w:pPr>
            <w:r>
              <w:t>16,4</w:t>
            </w:r>
          </w:p>
        </w:tc>
      </w:tr>
      <w:tr w:rsidR="00000000">
        <w:tblPrEx>
          <w:tblCellMar>
            <w:top w:w="0" w:type="dxa"/>
            <w:bottom w:w="0" w:type="dxa"/>
          </w:tblCellMar>
        </w:tblPrEx>
        <w:tc>
          <w:tcPr>
            <w:tcW w:w="1814" w:type="dxa"/>
          </w:tcPr>
          <w:p w:rsidR="00000000" w:rsidRDefault="00000000">
            <w:pPr>
              <w:tabs>
                <w:tab w:val="clear" w:pos="680"/>
              </w:tabs>
              <w:spacing w:before="80" w:after="80"/>
              <w:jc w:val="center"/>
            </w:pPr>
            <w:r>
              <w:t>Итого:</w:t>
            </w:r>
          </w:p>
        </w:tc>
        <w:tc>
          <w:tcPr>
            <w:tcW w:w="1588" w:type="dxa"/>
          </w:tcPr>
          <w:p w:rsidR="00000000" w:rsidRDefault="00000000">
            <w:pPr>
              <w:tabs>
                <w:tab w:val="clear" w:pos="680"/>
              </w:tabs>
              <w:spacing w:before="80" w:after="80"/>
              <w:jc w:val="center"/>
            </w:pPr>
            <w:r>
              <w:t>1964–2003</w:t>
            </w:r>
          </w:p>
        </w:tc>
        <w:tc>
          <w:tcPr>
            <w:tcW w:w="1247" w:type="dxa"/>
          </w:tcPr>
          <w:p w:rsidR="00000000" w:rsidRDefault="00000000">
            <w:pPr>
              <w:tabs>
                <w:tab w:val="clear" w:pos="680"/>
              </w:tabs>
              <w:spacing w:before="80" w:after="80"/>
              <w:jc w:val="center"/>
            </w:pPr>
            <w:r>
              <w:t>758</w:t>
            </w:r>
          </w:p>
        </w:tc>
        <w:tc>
          <w:tcPr>
            <w:tcW w:w="1247" w:type="dxa"/>
          </w:tcPr>
          <w:p w:rsidR="00000000" w:rsidRDefault="00000000">
            <w:pPr>
              <w:tabs>
                <w:tab w:val="clear" w:pos="680"/>
              </w:tabs>
              <w:spacing w:before="80" w:after="80"/>
              <w:jc w:val="center"/>
            </w:pPr>
            <w:r>
              <w:t>674</w:t>
            </w:r>
          </w:p>
        </w:tc>
        <w:tc>
          <w:tcPr>
            <w:tcW w:w="1247" w:type="dxa"/>
          </w:tcPr>
          <w:p w:rsidR="00000000" w:rsidRDefault="00000000">
            <w:pPr>
              <w:tabs>
                <w:tab w:val="clear" w:pos="680"/>
              </w:tabs>
              <w:spacing w:before="80" w:after="80"/>
              <w:jc w:val="center"/>
            </w:pPr>
            <w:r>
              <w:t>84</w:t>
            </w:r>
          </w:p>
        </w:tc>
        <w:tc>
          <w:tcPr>
            <w:tcW w:w="1247" w:type="dxa"/>
          </w:tcPr>
          <w:p w:rsidR="00000000" w:rsidRDefault="00000000">
            <w:pPr>
              <w:tabs>
                <w:tab w:val="clear" w:pos="680"/>
              </w:tabs>
              <w:spacing w:before="80" w:after="80"/>
              <w:jc w:val="center"/>
            </w:pPr>
            <w:r>
              <w:t>87,5</w:t>
            </w:r>
          </w:p>
        </w:tc>
        <w:tc>
          <w:tcPr>
            <w:tcW w:w="1247" w:type="dxa"/>
          </w:tcPr>
          <w:p w:rsidR="00000000" w:rsidRDefault="00000000">
            <w:pPr>
              <w:tabs>
                <w:tab w:val="clear" w:pos="680"/>
              </w:tabs>
              <w:spacing w:before="80" w:after="80"/>
              <w:jc w:val="center"/>
            </w:pPr>
            <w:r>
              <w:t>12,5</w:t>
            </w:r>
          </w:p>
        </w:tc>
      </w:tr>
    </w:tbl>
    <w:p w:rsidR="00000000" w:rsidRDefault="00000000">
      <w:pPr>
        <w:pStyle w:val="Header"/>
        <w:tabs>
          <w:tab w:val="clear" w:pos="680"/>
          <w:tab w:val="clear" w:pos="4677"/>
          <w:tab w:val="clear" w:pos="9355"/>
        </w:tabs>
        <w:spacing w:after="0"/>
      </w:pPr>
    </w:p>
    <w:p w:rsidR="00000000" w:rsidRDefault="00000000">
      <w:pPr>
        <w:pStyle w:val="a2"/>
      </w:pPr>
      <w:r>
        <w:t>Источник: ПРОНАМ. "Бол</w:t>
      </w:r>
      <w:r>
        <w:t>ь</w:t>
      </w:r>
      <w:r>
        <w:t>ше женщин в Конгресс", 1997 год.</w:t>
      </w:r>
    </w:p>
    <w:p w:rsidR="00000000" w:rsidRDefault="00000000">
      <w:pPr>
        <w:pStyle w:val="a2"/>
        <w:tabs>
          <w:tab w:val="left" w:pos="284"/>
        </w:tabs>
      </w:pPr>
      <w:r>
        <w:t>*</w:t>
      </w:r>
      <w:r>
        <w:tab/>
        <w:t>Данные, предоставленные сенатом федерального конгресса, октябрь 2000 года.</w:t>
      </w:r>
    </w:p>
    <w:p w:rsidR="00000000" w:rsidRDefault="00000000">
      <w:pPr>
        <w:tabs>
          <w:tab w:val="clear" w:pos="680"/>
        </w:tabs>
        <w:rPr>
          <w:b/>
        </w:rPr>
      </w:pPr>
    </w:p>
    <w:p w:rsidR="00000000" w:rsidRDefault="00000000">
      <w:pPr>
        <w:tabs>
          <w:tab w:val="clear" w:pos="680"/>
        </w:tabs>
        <w:jc w:val="center"/>
        <w:rPr>
          <w:b/>
        </w:rPr>
      </w:pPr>
      <w:r>
        <w:rPr>
          <w:b/>
        </w:rPr>
        <w:br w:type="page"/>
        <w:t xml:space="preserve">Палата депутатов: созывы </w:t>
      </w:r>
      <w:r>
        <w:rPr>
          <w:b/>
          <w:lang w:val="en-US"/>
        </w:rPr>
        <w:t>XLII</w:t>
      </w:r>
      <w:r>
        <w:t>–</w:t>
      </w:r>
      <w:r>
        <w:rPr>
          <w:b/>
          <w:lang w:val="en-US"/>
        </w:rPr>
        <w:t>LVIII</w:t>
      </w:r>
    </w:p>
    <w:tbl>
      <w:tblPr>
        <w:tblW w:w="0" w:type="auto"/>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814"/>
        <w:gridCol w:w="1588"/>
        <w:gridCol w:w="1247"/>
        <w:gridCol w:w="1247"/>
        <w:gridCol w:w="1247"/>
        <w:gridCol w:w="1247"/>
        <w:gridCol w:w="1247"/>
      </w:tblGrid>
      <w:tr w:rsidR="00000000">
        <w:tblPrEx>
          <w:tblCellMar>
            <w:top w:w="0" w:type="dxa"/>
            <w:bottom w:w="0" w:type="dxa"/>
          </w:tblCellMar>
        </w:tblPrEx>
        <w:trPr>
          <w:cantSplit/>
        </w:trPr>
        <w:tc>
          <w:tcPr>
            <w:tcW w:w="1814" w:type="dxa"/>
            <w:vMerge w:val="restart"/>
            <w:vAlign w:val="center"/>
          </w:tcPr>
          <w:p w:rsidR="00000000" w:rsidRDefault="00000000">
            <w:pPr>
              <w:spacing w:before="60" w:after="60"/>
              <w:jc w:val="center"/>
              <w:rPr>
                <w:b/>
                <w:sz w:val="18"/>
              </w:rPr>
            </w:pPr>
            <w:r>
              <w:rPr>
                <w:b/>
                <w:sz w:val="18"/>
              </w:rPr>
              <w:t>Созыв</w:t>
            </w:r>
          </w:p>
        </w:tc>
        <w:tc>
          <w:tcPr>
            <w:tcW w:w="1588" w:type="dxa"/>
            <w:vMerge w:val="restart"/>
            <w:vAlign w:val="center"/>
          </w:tcPr>
          <w:p w:rsidR="00000000" w:rsidRDefault="00000000">
            <w:pPr>
              <w:spacing w:before="60" w:after="60"/>
              <w:jc w:val="center"/>
              <w:rPr>
                <w:b/>
                <w:sz w:val="18"/>
              </w:rPr>
            </w:pPr>
            <w:r>
              <w:rPr>
                <w:b/>
                <w:sz w:val="18"/>
              </w:rPr>
              <w:t>Годы</w:t>
            </w:r>
          </w:p>
        </w:tc>
        <w:tc>
          <w:tcPr>
            <w:tcW w:w="3741" w:type="dxa"/>
            <w:gridSpan w:val="3"/>
            <w:vAlign w:val="center"/>
          </w:tcPr>
          <w:p w:rsidR="00000000" w:rsidRDefault="00000000">
            <w:pPr>
              <w:tabs>
                <w:tab w:val="clear" w:pos="680"/>
              </w:tabs>
              <w:spacing w:before="60" w:after="60"/>
              <w:jc w:val="center"/>
              <w:rPr>
                <w:b/>
                <w:sz w:val="18"/>
              </w:rPr>
            </w:pPr>
            <w:r>
              <w:rPr>
                <w:b/>
                <w:sz w:val="18"/>
              </w:rPr>
              <w:t>Число</w:t>
            </w:r>
          </w:p>
        </w:tc>
        <w:tc>
          <w:tcPr>
            <w:tcW w:w="2494" w:type="dxa"/>
            <w:gridSpan w:val="2"/>
            <w:vAlign w:val="center"/>
          </w:tcPr>
          <w:p w:rsidR="00000000" w:rsidRDefault="00000000">
            <w:pPr>
              <w:tabs>
                <w:tab w:val="clear" w:pos="680"/>
              </w:tabs>
              <w:spacing w:before="60" w:after="60"/>
              <w:jc w:val="center"/>
              <w:rPr>
                <w:b/>
                <w:sz w:val="18"/>
              </w:rPr>
            </w:pPr>
            <w:r>
              <w:rPr>
                <w:b/>
                <w:sz w:val="18"/>
              </w:rPr>
              <w:t>Процентная доля</w:t>
            </w:r>
          </w:p>
        </w:tc>
      </w:tr>
      <w:tr w:rsidR="00000000">
        <w:tblPrEx>
          <w:tblCellMar>
            <w:top w:w="0" w:type="dxa"/>
            <w:bottom w:w="0" w:type="dxa"/>
          </w:tblCellMar>
        </w:tblPrEx>
        <w:trPr>
          <w:cantSplit/>
        </w:trPr>
        <w:tc>
          <w:tcPr>
            <w:tcW w:w="1814" w:type="dxa"/>
            <w:vMerge/>
            <w:vAlign w:val="center"/>
          </w:tcPr>
          <w:p w:rsidR="00000000" w:rsidRDefault="00000000">
            <w:pPr>
              <w:tabs>
                <w:tab w:val="clear" w:pos="680"/>
              </w:tabs>
              <w:spacing w:before="60" w:after="60"/>
              <w:jc w:val="center"/>
              <w:rPr>
                <w:b/>
                <w:sz w:val="18"/>
              </w:rPr>
            </w:pPr>
          </w:p>
        </w:tc>
        <w:tc>
          <w:tcPr>
            <w:tcW w:w="1588" w:type="dxa"/>
            <w:vMerge/>
            <w:vAlign w:val="center"/>
          </w:tcPr>
          <w:p w:rsidR="00000000" w:rsidRDefault="00000000">
            <w:pPr>
              <w:tabs>
                <w:tab w:val="clear" w:pos="680"/>
              </w:tabs>
              <w:spacing w:before="60" w:after="60"/>
              <w:jc w:val="center"/>
              <w:rPr>
                <w:b/>
                <w:sz w:val="18"/>
              </w:rPr>
            </w:pPr>
          </w:p>
        </w:tc>
        <w:tc>
          <w:tcPr>
            <w:tcW w:w="1247" w:type="dxa"/>
            <w:vAlign w:val="center"/>
          </w:tcPr>
          <w:p w:rsidR="00000000" w:rsidRDefault="00000000">
            <w:pPr>
              <w:tabs>
                <w:tab w:val="clear" w:pos="680"/>
              </w:tabs>
              <w:spacing w:before="60" w:after="60"/>
              <w:jc w:val="center"/>
              <w:rPr>
                <w:b/>
                <w:sz w:val="18"/>
              </w:rPr>
            </w:pPr>
            <w:r>
              <w:rPr>
                <w:b/>
                <w:sz w:val="18"/>
              </w:rPr>
              <w:t>всего</w:t>
            </w:r>
          </w:p>
        </w:tc>
        <w:tc>
          <w:tcPr>
            <w:tcW w:w="1247" w:type="dxa"/>
            <w:vAlign w:val="center"/>
          </w:tcPr>
          <w:p w:rsidR="00000000" w:rsidRDefault="00000000">
            <w:pPr>
              <w:tabs>
                <w:tab w:val="clear" w:pos="680"/>
              </w:tabs>
              <w:spacing w:before="60" w:after="60"/>
              <w:jc w:val="center"/>
              <w:rPr>
                <w:b/>
                <w:sz w:val="18"/>
              </w:rPr>
            </w:pPr>
            <w:r>
              <w:rPr>
                <w:b/>
                <w:sz w:val="18"/>
              </w:rPr>
              <w:t>мужчин</w:t>
            </w:r>
          </w:p>
        </w:tc>
        <w:tc>
          <w:tcPr>
            <w:tcW w:w="1247" w:type="dxa"/>
            <w:vAlign w:val="center"/>
          </w:tcPr>
          <w:p w:rsidR="00000000" w:rsidRDefault="00000000">
            <w:pPr>
              <w:tabs>
                <w:tab w:val="clear" w:pos="680"/>
              </w:tabs>
              <w:spacing w:before="60" w:after="60"/>
              <w:jc w:val="center"/>
              <w:rPr>
                <w:b/>
                <w:sz w:val="18"/>
              </w:rPr>
            </w:pPr>
            <w:r>
              <w:rPr>
                <w:b/>
                <w:sz w:val="18"/>
              </w:rPr>
              <w:t>женщин</w:t>
            </w:r>
          </w:p>
        </w:tc>
        <w:tc>
          <w:tcPr>
            <w:tcW w:w="1247" w:type="dxa"/>
            <w:vAlign w:val="center"/>
          </w:tcPr>
          <w:p w:rsidR="00000000" w:rsidRDefault="00000000">
            <w:pPr>
              <w:tabs>
                <w:tab w:val="clear" w:pos="680"/>
              </w:tabs>
              <w:spacing w:before="60" w:after="60"/>
              <w:jc w:val="center"/>
              <w:rPr>
                <w:b/>
                <w:sz w:val="18"/>
              </w:rPr>
            </w:pPr>
            <w:r>
              <w:rPr>
                <w:b/>
                <w:sz w:val="18"/>
              </w:rPr>
              <w:t>мужчин</w:t>
            </w:r>
          </w:p>
        </w:tc>
        <w:tc>
          <w:tcPr>
            <w:tcW w:w="1247" w:type="dxa"/>
            <w:vAlign w:val="center"/>
          </w:tcPr>
          <w:p w:rsidR="00000000" w:rsidRDefault="00000000">
            <w:pPr>
              <w:tabs>
                <w:tab w:val="clear" w:pos="680"/>
              </w:tabs>
              <w:spacing w:before="60" w:after="60"/>
              <w:jc w:val="center"/>
              <w:rPr>
                <w:b/>
                <w:sz w:val="18"/>
              </w:rPr>
            </w:pPr>
            <w:r>
              <w:rPr>
                <w:b/>
                <w:sz w:val="18"/>
              </w:rPr>
              <w:t>женщин</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XLII</w:t>
            </w:r>
          </w:p>
        </w:tc>
        <w:tc>
          <w:tcPr>
            <w:tcW w:w="1588" w:type="dxa"/>
          </w:tcPr>
          <w:p w:rsidR="00000000" w:rsidRDefault="00000000">
            <w:pPr>
              <w:tabs>
                <w:tab w:val="clear" w:pos="680"/>
              </w:tabs>
              <w:spacing w:before="60" w:after="60"/>
              <w:jc w:val="center"/>
            </w:pPr>
            <w:r>
              <w:t>1952–1955</w:t>
            </w:r>
          </w:p>
        </w:tc>
        <w:tc>
          <w:tcPr>
            <w:tcW w:w="1247" w:type="dxa"/>
          </w:tcPr>
          <w:p w:rsidR="00000000" w:rsidRDefault="00000000">
            <w:pPr>
              <w:tabs>
                <w:tab w:val="clear" w:pos="680"/>
              </w:tabs>
              <w:spacing w:before="60" w:after="60"/>
              <w:jc w:val="center"/>
            </w:pPr>
            <w:r>
              <w:t>162</w:t>
            </w:r>
          </w:p>
        </w:tc>
        <w:tc>
          <w:tcPr>
            <w:tcW w:w="1247" w:type="dxa"/>
          </w:tcPr>
          <w:p w:rsidR="00000000" w:rsidRDefault="00000000">
            <w:pPr>
              <w:tabs>
                <w:tab w:val="clear" w:pos="680"/>
              </w:tabs>
              <w:spacing w:before="60" w:after="60"/>
              <w:jc w:val="center"/>
            </w:pPr>
            <w:r>
              <w:t>161</w:t>
            </w:r>
          </w:p>
        </w:tc>
        <w:tc>
          <w:tcPr>
            <w:tcW w:w="1247" w:type="dxa"/>
          </w:tcPr>
          <w:p w:rsidR="00000000" w:rsidRDefault="00000000">
            <w:pPr>
              <w:tabs>
                <w:tab w:val="clear" w:pos="680"/>
              </w:tabs>
              <w:spacing w:before="60" w:after="60"/>
              <w:jc w:val="center"/>
            </w:pPr>
            <w:r>
              <w:t>1</w:t>
            </w:r>
          </w:p>
        </w:tc>
        <w:tc>
          <w:tcPr>
            <w:tcW w:w="1247" w:type="dxa"/>
          </w:tcPr>
          <w:p w:rsidR="00000000" w:rsidRDefault="00000000">
            <w:pPr>
              <w:tabs>
                <w:tab w:val="clear" w:pos="680"/>
              </w:tabs>
              <w:spacing w:before="60" w:after="60"/>
              <w:jc w:val="center"/>
            </w:pPr>
            <w:r>
              <w:t>99,4</w:t>
            </w:r>
          </w:p>
        </w:tc>
        <w:tc>
          <w:tcPr>
            <w:tcW w:w="1247" w:type="dxa"/>
          </w:tcPr>
          <w:p w:rsidR="00000000" w:rsidRDefault="00000000">
            <w:pPr>
              <w:tabs>
                <w:tab w:val="clear" w:pos="680"/>
              </w:tabs>
              <w:spacing w:before="60" w:after="60"/>
              <w:jc w:val="center"/>
            </w:pPr>
            <w:r>
              <w:t>0,6</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XLIII</w:t>
            </w:r>
          </w:p>
        </w:tc>
        <w:tc>
          <w:tcPr>
            <w:tcW w:w="1588" w:type="dxa"/>
          </w:tcPr>
          <w:p w:rsidR="00000000" w:rsidRDefault="00000000">
            <w:pPr>
              <w:tabs>
                <w:tab w:val="clear" w:pos="680"/>
              </w:tabs>
              <w:spacing w:before="60" w:after="60"/>
              <w:jc w:val="center"/>
            </w:pPr>
            <w:r>
              <w:t>1955–1958</w:t>
            </w:r>
          </w:p>
        </w:tc>
        <w:tc>
          <w:tcPr>
            <w:tcW w:w="1247" w:type="dxa"/>
          </w:tcPr>
          <w:p w:rsidR="00000000" w:rsidRDefault="00000000">
            <w:pPr>
              <w:tabs>
                <w:tab w:val="clear" w:pos="680"/>
              </w:tabs>
              <w:spacing w:before="60" w:after="60"/>
              <w:jc w:val="center"/>
            </w:pPr>
            <w:r>
              <w:t>160</w:t>
            </w:r>
          </w:p>
        </w:tc>
        <w:tc>
          <w:tcPr>
            <w:tcW w:w="1247" w:type="dxa"/>
          </w:tcPr>
          <w:p w:rsidR="00000000" w:rsidRDefault="00000000">
            <w:pPr>
              <w:tabs>
                <w:tab w:val="clear" w:pos="680"/>
              </w:tabs>
              <w:spacing w:before="60" w:after="60"/>
              <w:jc w:val="center"/>
            </w:pPr>
            <w:r>
              <w:t>156</w:t>
            </w:r>
          </w:p>
        </w:tc>
        <w:tc>
          <w:tcPr>
            <w:tcW w:w="1247" w:type="dxa"/>
          </w:tcPr>
          <w:p w:rsidR="00000000" w:rsidRDefault="00000000">
            <w:pPr>
              <w:tabs>
                <w:tab w:val="clear" w:pos="680"/>
              </w:tabs>
              <w:spacing w:before="60" w:after="60"/>
              <w:jc w:val="center"/>
            </w:pPr>
            <w:r>
              <w:t>4</w:t>
            </w:r>
          </w:p>
        </w:tc>
        <w:tc>
          <w:tcPr>
            <w:tcW w:w="1247" w:type="dxa"/>
          </w:tcPr>
          <w:p w:rsidR="00000000" w:rsidRDefault="00000000">
            <w:pPr>
              <w:tabs>
                <w:tab w:val="clear" w:pos="680"/>
              </w:tabs>
              <w:spacing w:before="60" w:after="60"/>
              <w:jc w:val="center"/>
            </w:pPr>
            <w:r>
              <w:t>97,5</w:t>
            </w:r>
          </w:p>
        </w:tc>
        <w:tc>
          <w:tcPr>
            <w:tcW w:w="1247" w:type="dxa"/>
          </w:tcPr>
          <w:p w:rsidR="00000000" w:rsidRDefault="00000000">
            <w:pPr>
              <w:tabs>
                <w:tab w:val="clear" w:pos="680"/>
              </w:tabs>
              <w:spacing w:before="60" w:after="60"/>
              <w:jc w:val="center"/>
            </w:pPr>
            <w:r>
              <w:t>2,5</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XLIV</w:t>
            </w:r>
          </w:p>
        </w:tc>
        <w:tc>
          <w:tcPr>
            <w:tcW w:w="1588" w:type="dxa"/>
          </w:tcPr>
          <w:p w:rsidR="00000000" w:rsidRDefault="00000000">
            <w:pPr>
              <w:tabs>
                <w:tab w:val="clear" w:pos="680"/>
              </w:tabs>
              <w:spacing w:before="60" w:after="60"/>
              <w:jc w:val="center"/>
            </w:pPr>
            <w:r>
              <w:t>1958–1961</w:t>
            </w:r>
          </w:p>
        </w:tc>
        <w:tc>
          <w:tcPr>
            <w:tcW w:w="1247" w:type="dxa"/>
          </w:tcPr>
          <w:p w:rsidR="00000000" w:rsidRDefault="00000000">
            <w:pPr>
              <w:tabs>
                <w:tab w:val="clear" w:pos="680"/>
              </w:tabs>
              <w:spacing w:before="60" w:after="60"/>
              <w:jc w:val="center"/>
            </w:pPr>
            <w:r>
              <w:t>162</w:t>
            </w:r>
          </w:p>
        </w:tc>
        <w:tc>
          <w:tcPr>
            <w:tcW w:w="1247" w:type="dxa"/>
          </w:tcPr>
          <w:p w:rsidR="00000000" w:rsidRDefault="00000000">
            <w:pPr>
              <w:tabs>
                <w:tab w:val="clear" w:pos="680"/>
              </w:tabs>
              <w:spacing w:before="60" w:after="60"/>
              <w:jc w:val="center"/>
            </w:pPr>
            <w:r>
              <w:t>154</w:t>
            </w:r>
          </w:p>
        </w:tc>
        <w:tc>
          <w:tcPr>
            <w:tcW w:w="1247" w:type="dxa"/>
          </w:tcPr>
          <w:p w:rsidR="00000000" w:rsidRDefault="00000000">
            <w:pPr>
              <w:tabs>
                <w:tab w:val="clear" w:pos="680"/>
              </w:tabs>
              <w:spacing w:before="60" w:after="60"/>
              <w:jc w:val="center"/>
            </w:pPr>
            <w:r>
              <w:t>8</w:t>
            </w:r>
          </w:p>
        </w:tc>
        <w:tc>
          <w:tcPr>
            <w:tcW w:w="1247" w:type="dxa"/>
          </w:tcPr>
          <w:p w:rsidR="00000000" w:rsidRDefault="00000000">
            <w:pPr>
              <w:tabs>
                <w:tab w:val="clear" w:pos="680"/>
              </w:tabs>
              <w:spacing w:before="60" w:after="60"/>
              <w:jc w:val="center"/>
            </w:pPr>
            <w:r>
              <w:t>95,1</w:t>
            </w:r>
          </w:p>
        </w:tc>
        <w:tc>
          <w:tcPr>
            <w:tcW w:w="1247" w:type="dxa"/>
          </w:tcPr>
          <w:p w:rsidR="00000000" w:rsidRDefault="00000000">
            <w:pPr>
              <w:tabs>
                <w:tab w:val="clear" w:pos="680"/>
              </w:tabs>
              <w:spacing w:before="60" w:after="60"/>
              <w:jc w:val="center"/>
            </w:pPr>
            <w:r>
              <w:t>4,9</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XLV</w:t>
            </w:r>
          </w:p>
        </w:tc>
        <w:tc>
          <w:tcPr>
            <w:tcW w:w="1588" w:type="dxa"/>
          </w:tcPr>
          <w:p w:rsidR="00000000" w:rsidRDefault="00000000">
            <w:pPr>
              <w:tabs>
                <w:tab w:val="clear" w:pos="680"/>
              </w:tabs>
              <w:spacing w:before="60" w:after="60"/>
              <w:jc w:val="center"/>
            </w:pPr>
            <w:r>
              <w:t>1961–1964</w:t>
            </w:r>
          </w:p>
        </w:tc>
        <w:tc>
          <w:tcPr>
            <w:tcW w:w="1247" w:type="dxa"/>
          </w:tcPr>
          <w:p w:rsidR="00000000" w:rsidRDefault="00000000">
            <w:pPr>
              <w:tabs>
                <w:tab w:val="clear" w:pos="680"/>
              </w:tabs>
              <w:spacing w:before="60" w:after="60"/>
              <w:jc w:val="center"/>
            </w:pPr>
            <w:r>
              <w:t>185</w:t>
            </w:r>
          </w:p>
        </w:tc>
        <w:tc>
          <w:tcPr>
            <w:tcW w:w="1247" w:type="dxa"/>
          </w:tcPr>
          <w:p w:rsidR="00000000" w:rsidRDefault="00000000">
            <w:pPr>
              <w:tabs>
                <w:tab w:val="clear" w:pos="680"/>
              </w:tabs>
              <w:spacing w:before="60" w:after="60"/>
              <w:jc w:val="center"/>
            </w:pPr>
            <w:r>
              <w:t>176</w:t>
            </w:r>
          </w:p>
        </w:tc>
        <w:tc>
          <w:tcPr>
            <w:tcW w:w="1247" w:type="dxa"/>
          </w:tcPr>
          <w:p w:rsidR="00000000" w:rsidRDefault="00000000">
            <w:pPr>
              <w:tabs>
                <w:tab w:val="clear" w:pos="680"/>
              </w:tabs>
              <w:spacing w:before="60" w:after="60"/>
              <w:jc w:val="center"/>
            </w:pPr>
            <w:r>
              <w:t>9</w:t>
            </w:r>
          </w:p>
        </w:tc>
        <w:tc>
          <w:tcPr>
            <w:tcW w:w="1247" w:type="dxa"/>
          </w:tcPr>
          <w:p w:rsidR="00000000" w:rsidRDefault="00000000">
            <w:pPr>
              <w:tabs>
                <w:tab w:val="clear" w:pos="680"/>
              </w:tabs>
              <w:spacing w:before="60" w:after="60"/>
              <w:jc w:val="center"/>
            </w:pPr>
            <w:r>
              <w:t>95,1</w:t>
            </w:r>
          </w:p>
        </w:tc>
        <w:tc>
          <w:tcPr>
            <w:tcW w:w="1247" w:type="dxa"/>
          </w:tcPr>
          <w:p w:rsidR="00000000" w:rsidRDefault="00000000">
            <w:pPr>
              <w:tabs>
                <w:tab w:val="clear" w:pos="680"/>
              </w:tabs>
              <w:spacing w:before="60" w:after="60"/>
              <w:jc w:val="center"/>
            </w:pPr>
            <w:r>
              <w:t>4,9</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XLVI</w:t>
            </w:r>
          </w:p>
        </w:tc>
        <w:tc>
          <w:tcPr>
            <w:tcW w:w="1588" w:type="dxa"/>
          </w:tcPr>
          <w:p w:rsidR="00000000" w:rsidRDefault="00000000">
            <w:pPr>
              <w:tabs>
                <w:tab w:val="clear" w:pos="680"/>
              </w:tabs>
              <w:spacing w:before="60" w:after="60"/>
              <w:jc w:val="center"/>
            </w:pPr>
            <w:r>
              <w:t>1964–1967</w:t>
            </w:r>
          </w:p>
        </w:tc>
        <w:tc>
          <w:tcPr>
            <w:tcW w:w="1247" w:type="dxa"/>
          </w:tcPr>
          <w:p w:rsidR="00000000" w:rsidRDefault="00000000">
            <w:pPr>
              <w:tabs>
                <w:tab w:val="clear" w:pos="680"/>
              </w:tabs>
              <w:spacing w:before="60" w:after="60"/>
              <w:jc w:val="center"/>
            </w:pPr>
            <w:r>
              <w:t>210</w:t>
            </w:r>
          </w:p>
        </w:tc>
        <w:tc>
          <w:tcPr>
            <w:tcW w:w="1247" w:type="dxa"/>
          </w:tcPr>
          <w:p w:rsidR="00000000" w:rsidRDefault="00000000">
            <w:pPr>
              <w:tabs>
                <w:tab w:val="clear" w:pos="680"/>
              </w:tabs>
              <w:spacing w:before="60" w:after="60"/>
              <w:jc w:val="center"/>
            </w:pPr>
            <w:r>
              <w:t>197</w:t>
            </w:r>
          </w:p>
        </w:tc>
        <w:tc>
          <w:tcPr>
            <w:tcW w:w="1247" w:type="dxa"/>
          </w:tcPr>
          <w:p w:rsidR="00000000" w:rsidRDefault="00000000">
            <w:pPr>
              <w:tabs>
                <w:tab w:val="clear" w:pos="680"/>
              </w:tabs>
              <w:spacing w:before="60" w:after="60"/>
              <w:jc w:val="center"/>
            </w:pPr>
            <w:r>
              <w:t>13</w:t>
            </w:r>
          </w:p>
        </w:tc>
        <w:tc>
          <w:tcPr>
            <w:tcW w:w="1247" w:type="dxa"/>
          </w:tcPr>
          <w:p w:rsidR="00000000" w:rsidRDefault="00000000">
            <w:pPr>
              <w:tabs>
                <w:tab w:val="clear" w:pos="680"/>
              </w:tabs>
              <w:spacing w:before="60" w:after="60"/>
              <w:jc w:val="center"/>
            </w:pPr>
            <w:r>
              <w:t>93,8</w:t>
            </w:r>
          </w:p>
        </w:tc>
        <w:tc>
          <w:tcPr>
            <w:tcW w:w="1247" w:type="dxa"/>
          </w:tcPr>
          <w:p w:rsidR="00000000" w:rsidRDefault="00000000">
            <w:pPr>
              <w:tabs>
                <w:tab w:val="clear" w:pos="680"/>
              </w:tabs>
              <w:spacing w:before="60" w:after="60"/>
              <w:jc w:val="center"/>
            </w:pPr>
            <w:r>
              <w:t>6,2</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XLVII</w:t>
            </w:r>
          </w:p>
        </w:tc>
        <w:tc>
          <w:tcPr>
            <w:tcW w:w="1588" w:type="dxa"/>
          </w:tcPr>
          <w:p w:rsidR="00000000" w:rsidRDefault="00000000">
            <w:pPr>
              <w:tabs>
                <w:tab w:val="clear" w:pos="680"/>
              </w:tabs>
              <w:spacing w:before="60" w:after="60"/>
              <w:jc w:val="center"/>
            </w:pPr>
            <w:r>
              <w:t>1967–1970</w:t>
            </w:r>
          </w:p>
        </w:tc>
        <w:tc>
          <w:tcPr>
            <w:tcW w:w="1247" w:type="dxa"/>
          </w:tcPr>
          <w:p w:rsidR="00000000" w:rsidRDefault="00000000">
            <w:pPr>
              <w:tabs>
                <w:tab w:val="clear" w:pos="680"/>
              </w:tabs>
              <w:spacing w:before="60" w:after="60"/>
              <w:jc w:val="center"/>
            </w:pPr>
            <w:r>
              <w:t>210</w:t>
            </w:r>
          </w:p>
        </w:tc>
        <w:tc>
          <w:tcPr>
            <w:tcW w:w="1247" w:type="dxa"/>
          </w:tcPr>
          <w:p w:rsidR="00000000" w:rsidRDefault="00000000">
            <w:pPr>
              <w:tabs>
                <w:tab w:val="clear" w:pos="680"/>
              </w:tabs>
              <w:spacing w:before="60" w:after="60"/>
              <w:jc w:val="center"/>
            </w:pPr>
            <w:r>
              <w:t>198</w:t>
            </w:r>
          </w:p>
        </w:tc>
        <w:tc>
          <w:tcPr>
            <w:tcW w:w="1247" w:type="dxa"/>
          </w:tcPr>
          <w:p w:rsidR="00000000" w:rsidRDefault="00000000">
            <w:pPr>
              <w:tabs>
                <w:tab w:val="clear" w:pos="680"/>
              </w:tabs>
              <w:spacing w:before="60" w:after="60"/>
              <w:jc w:val="center"/>
            </w:pPr>
            <w:r>
              <w:t>12</w:t>
            </w:r>
          </w:p>
        </w:tc>
        <w:tc>
          <w:tcPr>
            <w:tcW w:w="1247" w:type="dxa"/>
          </w:tcPr>
          <w:p w:rsidR="00000000" w:rsidRDefault="00000000">
            <w:pPr>
              <w:tabs>
                <w:tab w:val="clear" w:pos="680"/>
              </w:tabs>
              <w:spacing w:before="60" w:after="60"/>
              <w:jc w:val="center"/>
            </w:pPr>
            <w:r>
              <w:t>94,3</w:t>
            </w:r>
          </w:p>
        </w:tc>
        <w:tc>
          <w:tcPr>
            <w:tcW w:w="1247" w:type="dxa"/>
          </w:tcPr>
          <w:p w:rsidR="00000000" w:rsidRDefault="00000000">
            <w:pPr>
              <w:tabs>
                <w:tab w:val="clear" w:pos="680"/>
              </w:tabs>
              <w:spacing w:before="60" w:after="60"/>
              <w:jc w:val="center"/>
            </w:pPr>
            <w:r>
              <w:t>5,7</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XLVIII</w:t>
            </w:r>
          </w:p>
        </w:tc>
        <w:tc>
          <w:tcPr>
            <w:tcW w:w="1588" w:type="dxa"/>
          </w:tcPr>
          <w:p w:rsidR="00000000" w:rsidRDefault="00000000">
            <w:pPr>
              <w:tabs>
                <w:tab w:val="clear" w:pos="680"/>
              </w:tabs>
              <w:spacing w:before="60" w:after="60"/>
              <w:jc w:val="center"/>
              <w:rPr>
                <w:lang w:val="en-US"/>
              </w:rPr>
            </w:pPr>
            <w:r>
              <w:rPr>
                <w:lang w:val="en-US"/>
              </w:rPr>
              <w:t>1970</w:t>
            </w:r>
            <w:r>
              <w:t>–</w:t>
            </w:r>
            <w:r>
              <w:rPr>
                <w:lang w:val="en-US"/>
              </w:rPr>
              <w:t>1973</w:t>
            </w:r>
          </w:p>
        </w:tc>
        <w:tc>
          <w:tcPr>
            <w:tcW w:w="1247" w:type="dxa"/>
          </w:tcPr>
          <w:p w:rsidR="00000000" w:rsidRDefault="00000000">
            <w:pPr>
              <w:tabs>
                <w:tab w:val="clear" w:pos="680"/>
              </w:tabs>
              <w:spacing w:before="60" w:after="60"/>
              <w:jc w:val="center"/>
              <w:rPr>
                <w:lang w:val="en-US"/>
              </w:rPr>
            </w:pPr>
            <w:r>
              <w:rPr>
                <w:lang w:val="en-US"/>
              </w:rPr>
              <w:t>197</w:t>
            </w:r>
          </w:p>
        </w:tc>
        <w:tc>
          <w:tcPr>
            <w:tcW w:w="1247" w:type="dxa"/>
          </w:tcPr>
          <w:p w:rsidR="00000000" w:rsidRDefault="00000000">
            <w:pPr>
              <w:tabs>
                <w:tab w:val="clear" w:pos="680"/>
              </w:tabs>
              <w:spacing w:before="60" w:after="60"/>
              <w:jc w:val="center"/>
              <w:rPr>
                <w:lang w:val="en-US"/>
              </w:rPr>
            </w:pPr>
            <w:r>
              <w:rPr>
                <w:lang w:val="en-US"/>
              </w:rPr>
              <w:t>184</w:t>
            </w:r>
          </w:p>
        </w:tc>
        <w:tc>
          <w:tcPr>
            <w:tcW w:w="1247" w:type="dxa"/>
          </w:tcPr>
          <w:p w:rsidR="00000000" w:rsidRDefault="00000000">
            <w:pPr>
              <w:tabs>
                <w:tab w:val="clear" w:pos="680"/>
              </w:tabs>
              <w:spacing w:before="60" w:after="60"/>
              <w:jc w:val="center"/>
              <w:rPr>
                <w:lang w:val="en-US"/>
              </w:rPr>
            </w:pPr>
            <w:r>
              <w:rPr>
                <w:lang w:val="en-US"/>
              </w:rPr>
              <w:t>13</w:t>
            </w:r>
          </w:p>
        </w:tc>
        <w:tc>
          <w:tcPr>
            <w:tcW w:w="1247" w:type="dxa"/>
          </w:tcPr>
          <w:p w:rsidR="00000000" w:rsidRDefault="00000000">
            <w:pPr>
              <w:tabs>
                <w:tab w:val="clear" w:pos="680"/>
              </w:tabs>
              <w:spacing w:before="60" w:after="60"/>
              <w:jc w:val="center"/>
              <w:rPr>
                <w:lang w:val="en-US"/>
              </w:rPr>
            </w:pPr>
            <w:r>
              <w:rPr>
                <w:lang w:val="en-US"/>
              </w:rPr>
              <w:t>93,4</w:t>
            </w:r>
          </w:p>
        </w:tc>
        <w:tc>
          <w:tcPr>
            <w:tcW w:w="1247" w:type="dxa"/>
          </w:tcPr>
          <w:p w:rsidR="00000000" w:rsidRDefault="00000000">
            <w:pPr>
              <w:tabs>
                <w:tab w:val="clear" w:pos="680"/>
              </w:tabs>
              <w:spacing w:before="60" w:after="60"/>
              <w:jc w:val="center"/>
              <w:rPr>
                <w:lang w:val="en-US"/>
              </w:rPr>
            </w:pPr>
            <w:r>
              <w:rPr>
                <w:lang w:val="en-US"/>
              </w:rPr>
              <w:t>6,6</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XLIX</w:t>
            </w:r>
          </w:p>
        </w:tc>
        <w:tc>
          <w:tcPr>
            <w:tcW w:w="1588" w:type="dxa"/>
          </w:tcPr>
          <w:p w:rsidR="00000000" w:rsidRDefault="00000000">
            <w:pPr>
              <w:tabs>
                <w:tab w:val="clear" w:pos="680"/>
              </w:tabs>
              <w:spacing w:before="60" w:after="60"/>
              <w:jc w:val="center"/>
              <w:rPr>
                <w:lang w:val="en-US"/>
              </w:rPr>
            </w:pPr>
            <w:r>
              <w:rPr>
                <w:lang w:val="en-US"/>
              </w:rPr>
              <w:t>1973</w:t>
            </w:r>
            <w:r>
              <w:t>–</w:t>
            </w:r>
            <w:r>
              <w:rPr>
                <w:lang w:val="en-US"/>
              </w:rPr>
              <w:t>1976</w:t>
            </w:r>
          </w:p>
        </w:tc>
        <w:tc>
          <w:tcPr>
            <w:tcW w:w="1247" w:type="dxa"/>
          </w:tcPr>
          <w:p w:rsidR="00000000" w:rsidRDefault="00000000">
            <w:pPr>
              <w:tabs>
                <w:tab w:val="clear" w:pos="680"/>
              </w:tabs>
              <w:spacing w:before="60" w:after="60"/>
              <w:jc w:val="center"/>
              <w:rPr>
                <w:lang w:val="en-US"/>
              </w:rPr>
            </w:pPr>
            <w:r>
              <w:rPr>
                <w:lang w:val="en-US"/>
              </w:rPr>
              <w:t>231</w:t>
            </w:r>
          </w:p>
        </w:tc>
        <w:tc>
          <w:tcPr>
            <w:tcW w:w="1247" w:type="dxa"/>
          </w:tcPr>
          <w:p w:rsidR="00000000" w:rsidRDefault="00000000">
            <w:pPr>
              <w:tabs>
                <w:tab w:val="clear" w:pos="680"/>
              </w:tabs>
              <w:spacing w:before="60" w:after="60"/>
              <w:jc w:val="center"/>
              <w:rPr>
                <w:lang w:val="en-US"/>
              </w:rPr>
            </w:pPr>
            <w:r>
              <w:rPr>
                <w:lang w:val="en-US"/>
              </w:rPr>
              <w:t>212</w:t>
            </w:r>
          </w:p>
        </w:tc>
        <w:tc>
          <w:tcPr>
            <w:tcW w:w="1247" w:type="dxa"/>
          </w:tcPr>
          <w:p w:rsidR="00000000" w:rsidRDefault="00000000">
            <w:pPr>
              <w:tabs>
                <w:tab w:val="clear" w:pos="680"/>
              </w:tabs>
              <w:spacing w:before="60" w:after="60"/>
              <w:jc w:val="center"/>
              <w:rPr>
                <w:lang w:val="en-US"/>
              </w:rPr>
            </w:pPr>
            <w:r>
              <w:rPr>
                <w:lang w:val="en-US"/>
              </w:rPr>
              <w:t>19</w:t>
            </w:r>
          </w:p>
        </w:tc>
        <w:tc>
          <w:tcPr>
            <w:tcW w:w="1247" w:type="dxa"/>
          </w:tcPr>
          <w:p w:rsidR="00000000" w:rsidRDefault="00000000">
            <w:pPr>
              <w:tabs>
                <w:tab w:val="clear" w:pos="680"/>
              </w:tabs>
              <w:spacing w:before="60" w:after="60"/>
              <w:jc w:val="center"/>
              <w:rPr>
                <w:lang w:val="en-US"/>
              </w:rPr>
            </w:pPr>
            <w:r>
              <w:rPr>
                <w:lang w:val="en-US"/>
              </w:rPr>
              <w:t>91,8</w:t>
            </w:r>
          </w:p>
        </w:tc>
        <w:tc>
          <w:tcPr>
            <w:tcW w:w="1247" w:type="dxa"/>
          </w:tcPr>
          <w:p w:rsidR="00000000" w:rsidRDefault="00000000">
            <w:pPr>
              <w:tabs>
                <w:tab w:val="clear" w:pos="680"/>
              </w:tabs>
              <w:spacing w:before="60" w:after="60"/>
              <w:jc w:val="center"/>
              <w:rPr>
                <w:lang w:val="en-US"/>
              </w:rPr>
            </w:pPr>
            <w:r>
              <w:rPr>
                <w:lang w:val="en-US"/>
              </w:rPr>
              <w:t>8,2</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w:t>
            </w:r>
          </w:p>
        </w:tc>
        <w:tc>
          <w:tcPr>
            <w:tcW w:w="1588" w:type="dxa"/>
          </w:tcPr>
          <w:p w:rsidR="00000000" w:rsidRDefault="00000000">
            <w:pPr>
              <w:tabs>
                <w:tab w:val="clear" w:pos="680"/>
              </w:tabs>
              <w:spacing w:before="60" w:after="60"/>
              <w:jc w:val="center"/>
              <w:rPr>
                <w:lang w:val="en-US"/>
              </w:rPr>
            </w:pPr>
            <w:r>
              <w:rPr>
                <w:lang w:val="en-US"/>
              </w:rPr>
              <w:t>1976</w:t>
            </w:r>
            <w:r>
              <w:t>–</w:t>
            </w:r>
            <w:r>
              <w:rPr>
                <w:lang w:val="en-US"/>
              </w:rPr>
              <w:t>1979</w:t>
            </w:r>
          </w:p>
        </w:tc>
        <w:tc>
          <w:tcPr>
            <w:tcW w:w="1247" w:type="dxa"/>
          </w:tcPr>
          <w:p w:rsidR="00000000" w:rsidRDefault="00000000">
            <w:pPr>
              <w:tabs>
                <w:tab w:val="clear" w:pos="680"/>
              </w:tabs>
              <w:spacing w:before="60" w:after="60"/>
              <w:jc w:val="center"/>
              <w:rPr>
                <w:lang w:val="en-US"/>
              </w:rPr>
            </w:pPr>
            <w:r>
              <w:rPr>
                <w:lang w:val="en-US"/>
              </w:rPr>
              <w:t>236</w:t>
            </w:r>
          </w:p>
        </w:tc>
        <w:tc>
          <w:tcPr>
            <w:tcW w:w="1247" w:type="dxa"/>
          </w:tcPr>
          <w:p w:rsidR="00000000" w:rsidRDefault="00000000">
            <w:pPr>
              <w:tabs>
                <w:tab w:val="clear" w:pos="680"/>
              </w:tabs>
              <w:spacing w:before="60" w:after="60"/>
              <w:jc w:val="center"/>
              <w:rPr>
                <w:lang w:val="en-US"/>
              </w:rPr>
            </w:pPr>
            <w:r>
              <w:rPr>
                <w:lang w:val="en-US"/>
              </w:rPr>
              <w:t>215</w:t>
            </w:r>
          </w:p>
        </w:tc>
        <w:tc>
          <w:tcPr>
            <w:tcW w:w="1247" w:type="dxa"/>
          </w:tcPr>
          <w:p w:rsidR="00000000" w:rsidRDefault="00000000">
            <w:pPr>
              <w:tabs>
                <w:tab w:val="clear" w:pos="680"/>
              </w:tabs>
              <w:spacing w:before="60" w:after="60"/>
              <w:jc w:val="center"/>
              <w:rPr>
                <w:lang w:val="en-US"/>
              </w:rPr>
            </w:pPr>
            <w:r>
              <w:rPr>
                <w:lang w:val="en-US"/>
              </w:rPr>
              <w:t>21</w:t>
            </w:r>
          </w:p>
        </w:tc>
        <w:tc>
          <w:tcPr>
            <w:tcW w:w="1247" w:type="dxa"/>
          </w:tcPr>
          <w:p w:rsidR="00000000" w:rsidRDefault="00000000">
            <w:pPr>
              <w:tabs>
                <w:tab w:val="clear" w:pos="680"/>
              </w:tabs>
              <w:spacing w:before="60" w:after="60"/>
              <w:jc w:val="center"/>
              <w:rPr>
                <w:lang w:val="en-US"/>
              </w:rPr>
            </w:pPr>
            <w:r>
              <w:rPr>
                <w:lang w:val="en-US"/>
              </w:rPr>
              <w:t>91,1</w:t>
            </w:r>
          </w:p>
        </w:tc>
        <w:tc>
          <w:tcPr>
            <w:tcW w:w="1247" w:type="dxa"/>
          </w:tcPr>
          <w:p w:rsidR="00000000" w:rsidRDefault="00000000">
            <w:pPr>
              <w:tabs>
                <w:tab w:val="clear" w:pos="680"/>
              </w:tabs>
              <w:spacing w:before="60" w:after="60"/>
              <w:jc w:val="center"/>
              <w:rPr>
                <w:lang w:val="en-US"/>
              </w:rPr>
            </w:pPr>
            <w:r>
              <w:rPr>
                <w:lang w:val="en-US"/>
              </w:rPr>
              <w:t>8,9</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LI</w:t>
            </w:r>
          </w:p>
        </w:tc>
        <w:tc>
          <w:tcPr>
            <w:tcW w:w="1588" w:type="dxa"/>
          </w:tcPr>
          <w:p w:rsidR="00000000" w:rsidRDefault="00000000">
            <w:pPr>
              <w:tabs>
                <w:tab w:val="clear" w:pos="680"/>
              </w:tabs>
              <w:spacing w:before="60" w:after="60"/>
              <w:jc w:val="center"/>
              <w:rPr>
                <w:lang w:val="en-US"/>
              </w:rPr>
            </w:pPr>
            <w:r>
              <w:rPr>
                <w:lang w:val="en-US"/>
              </w:rPr>
              <w:t>1979</w:t>
            </w:r>
            <w:r>
              <w:t>–</w:t>
            </w:r>
            <w:r>
              <w:rPr>
                <w:lang w:val="en-US"/>
              </w:rPr>
              <w:t>1982</w:t>
            </w:r>
          </w:p>
        </w:tc>
        <w:tc>
          <w:tcPr>
            <w:tcW w:w="1247" w:type="dxa"/>
          </w:tcPr>
          <w:p w:rsidR="00000000" w:rsidRDefault="00000000">
            <w:pPr>
              <w:tabs>
                <w:tab w:val="clear" w:pos="680"/>
              </w:tabs>
              <w:spacing w:before="60" w:after="60"/>
              <w:jc w:val="center"/>
              <w:rPr>
                <w:lang w:val="en-US"/>
              </w:rPr>
            </w:pPr>
            <w:r>
              <w:rPr>
                <w:lang w:val="en-US"/>
              </w:rPr>
              <w:t>400</w:t>
            </w:r>
          </w:p>
        </w:tc>
        <w:tc>
          <w:tcPr>
            <w:tcW w:w="1247" w:type="dxa"/>
          </w:tcPr>
          <w:p w:rsidR="00000000" w:rsidRDefault="00000000">
            <w:pPr>
              <w:tabs>
                <w:tab w:val="clear" w:pos="680"/>
              </w:tabs>
              <w:spacing w:before="60" w:after="60"/>
              <w:jc w:val="center"/>
              <w:rPr>
                <w:lang w:val="en-US"/>
              </w:rPr>
            </w:pPr>
            <w:r>
              <w:rPr>
                <w:lang w:val="en-US"/>
              </w:rPr>
              <w:t>368</w:t>
            </w:r>
          </w:p>
        </w:tc>
        <w:tc>
          <w:tcPr>
            <w:tcW w:w="1247" w:type="dxa"/>
          </w:tcPr>
          <w:p w:rsidR="00000000" w:rsidRDefault="00000000">
            <w:pPr>
              <w:tabs>
                <w:tab w:val="clear" w:pos="680"/>
              </w:tabs>
              <w:spacing w:before="60" w:after="60"/>
              <w:jc w:val="center"/>
              <w:rPr>
                <w:lang w:val="en-US"/>
              </w:rPr>
            </w:pPr>
            <w:r>
              <w:rPr>
                <w:lang w:val="en-US"/>
              </w:rPr>
              <w:t>32</w:t>
            </w:r>
          </w:p>
        </w:tc>
        <w:tc>
          <w:tcPr>
            <w:tcW w:w="1247" w:type="dxa"/>
          </w:tcPr>
          <w:p w:rsidR="00000000" w:rsidRDefault="00000000">
            <w:pPr>
              <w:tabs>
                <w:tab w:val="clear" w:pos="680"/>
              </w:tabs>
              <w:spacing w:before="60" w:after="60"/>
              <w:jc w:val="center"/>
              <w:rPr>
                <w:lang w:val="en-US"/>
              </w:rPr>
            </w:pPr>
            <w:r>
              <w:rPr>
                <w:lang w:val="en-US"/>
              </w:rPr>
              <w:t>92,0</w:t>
            </w:r>
          </w:p>
        </w:tc>
        <w:tc>
          <w:tcPr>
            <w:tcW w:w="1247" w:type="dxa"/>
          </w:tcPr>
          <w:p w:rsidR="00000000" w:rsidRDefault="00000000">
            <w:pPr>
              <w:tabs>
                <w:tab w:val="clear" w:pos="680"/>
              </w:tabs>
              <w:spacing w:before="60" w:after="60"/>
              <w:jc w:val="center"/>
              <w:rPr>
                <w:lang w:val="en-US"/>
              </w:rPr>
            </w:pPr>
            <w:r>
              <w:rPr>
                <w:lang w:val="en-US"/>
              </w:rPr>
              <w:t>8,0</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LII</w:t>
            </w:r>
          </w:p>
        </w:tc>
        <w:tc>
          <w:tcPr>
            <w:tcW w:w="1588" w:type="dxa"/>
          </w:tcPr>
          <w:p w:rsidR="00000000" w:rsidRDefault="00000000">
            <w:pPr>
              <w:tabs>
                <w:tab w:val="clear" w:pos="680"/>
              </w:tabs>
              <w:spacing w:before="60" w:after="60"/>
              <w:jc w:val="center"/>
              <w:rPr>
                <w:lang w:val="en-US"/>
              </w:rPr>
            </w:pPr>
            <w:r>
              <w:rPr>
                <w:lang w:val="en-US"/>
              </w:rPr>
              <w:t>1982</w:t>
            </w:r>
            <w:r>
              <w:t>–</w:t>
            </w:r>
            <w:r>
              <w:rPr>
                <w:lang w:val="en-US"/>
              </w:rPr>
              <w:t>1985</w:t>
            </w:r>
          </w:p>
        </w:tc>
        <w:tc>
          <w:tcPr>
            <w:tcW w:w="1247" w:type="dxa"/>
          </w:tcPr>
          <w:p w:rsidR="00000000" w:rsidRDefault="00000000">
            <w:pPr>
              <w:tabs>
                <w:tab w:val="clear" w:pos="680"/>
              </w:tabs>
              <w:spacing w:before="60" w:after="60"/>
              <w:jc w:val="center"/>
              <w:rPr>
                <w:lang w:val="en-US"/>
              </w:rPr>
            </w:pPr>
            <w:r>
              <w:rPr>
                <w:lang w:val="en-US"/>
              </w:rPr>
              <w:t>400</w:t>
            </w:r>
          </w:p>
        </w:tc>
        <w:tc>
          <w:tcPr>
            <w:tcW w:w="1247" w:type="dxa"/>
          </w:tcPr>
          <w:p w:rsidR="00000000" w:rsidRDefault="00000000">
            <w:pPr>
              <w:tabs>
                <w:tab w:val="clear" w:pos="680"/>
              </w:tabs>
              <w:spacing w:before="60" w:after="60"/>
              <w:jc w:val="center"/>
              <w:rPr>
                <w:lang w:val="en-US"/>
              </w:rPr>
            </w:pPr>
            <w:r>
              <w:rPr>
                <w:lang w:val="en-US"/>
              </w:rPr>
              <w:t>358</w:t>
            </w:r>
          </w:p>
        </w:tc>
        <w:tc>
          <w:tcPr>
            <w:tcW w:w="1247" w:type="dxa"/>
          </w:tcPr>
          <w:p w:rsidR="00000000" w:rsidRDefault="00000000">
            <w:pPr>
              <w:tabs>
                <w:tab w:val="clear" w:pos="680"/>
              </w:tabs>
              <w:spacing w:before="60" w:after="60"/>
              <w:jc w:val="center"/>
              <w:rPr>
                <w:lang w:val="en-US"/>
              </w:rPr>
            </w:pPr>
            <w:r>
              <w:rPr>
                <w:lang w:val="en-US"/>
              </w:rPr>
              <w:t>42</w:t>
            </w:r>
          </w:p>
        </w:tc>
        <w:tc>
          <w:tcPr>
            <w:tcW w:w="1247" w:type="dxa"/>
          </w:tcPr>
          <w:p w:rsidR="00000000" w:rsidRDefault="00000000">
            <w:pPr>
              <w:tabs>
                <w:tab w:val="clear" w:pos="680"/>
              </w:tabs>
              <w:spacing w:before="60" w:after="60"/>
              <w:jc w:val="center"/>
              <w:rPr>
                <w:lang w:val="en-US"/>
              </w:rPr>
            </w:pPr>
            <w:r>
              <w:rPr>
                <w:lang w:val="en-US"/>
              </w:rPr>
              <w:t>89,5</w:t>
            </w:r>
          </w:p>
        </w:tc>
        <w:tc>
          <w:tcPr>
            <w:tcW w:w="1247" w:type="dxa"/>
          </w:tcPr>
          <w:p w:rsidR="00000000" w:rsidRDefault="00000000">
            <w:pPr>
              <w:tabs>
                <w:tab w:val="clear" w:pos="680"/>
              </w:tabs>
              <w:spacing w:before="60" w:after="60"/>
              <w:jc w:val="center"/>
              <w:rPr>
                <w:lang w:val="en-US"/>
              </w:rPr>
            </w:pPr>
            <w:r>
              <w:rPr>
                <w:lang w:val="en-US"/>
              </w:rPr>
              <w:t>10,5</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LIII</w:t>
            </w:r>
          </w:p>
        </w:tc>
        <w:tc>
          <w:tcPr>
            <w:tcW w:w="1588" w:type="dxa"/>
          </w:tcPr>
          <w:p w:rsidR="00000000" w:rsidRDefault="00000000">
            <w:pPr>
              <w:tabs>
                <w:tab w:val="clear" w:pos="680"/>
              </w:tabs>
              <w:spacing w:before="60" w:after="60"/>
              <w:jc w:val="center"/>
              <w:rPr>
                <w:lang w:val="en-US"/>
              </w:rPr>
            </w:pPr>
            <w:r>
              <w:rPr>
                <w:lang w:val="en-US"/>
              </w:rPr>
              <w:t>1985</w:t>
            </w:r>
            <w:r>
              <w:t>–</w:t>
            </w:r>
            <w:r>
              <w:rPr>
                <w:lang w:val="en-US"/>
              </w:rPr>
              <w:t>1988</w:t>
            </w:r>
          </w:p>
        </w:tc>
        <w:tc>
          <w:tcPr>
            <w:tcW w:w="1247" w:type="dxa"/>
          </w:tcPr>
          <w:p w:rsidR="00000000" w:rsidRDefault="00000000">
            <w:pPr>
              <w:tabs>
                <w:tab w:val="clear" w:pos="680"/>
              </w:tabs>
              <w:spacing w:before="60" w:after="60"/>
              <w:jc w:val="center"/>
              <w:rPr>
                <w:lang w:val="en-US"/>
              </w:rPr>
            </w:pPr>
            <w:r>
              <w:rPr>
                <w:lang w:val="en-US"/>
              </w:rPr>
              <w:t>400</w:t>
            </w:r>
          </w:p>
        </w:tc>
        <w:tc>
          <w:tcPr>
            <w:tcW w:w="1247" w:type="dxa"/>
          </w:tcPr>
          <w:p w:rsidR="00000000" w:rsidRDefault="00000000">
            <w:pPr>
              <w:tabs>
                <w:tab w:val="clear" w:pos="680"/>
              </w:tabs>
              <w:spacing w:before="60" w:after="60"/>
              <w:jc w:val="center"/>
              <w:rPr>
                <w:lang w:val="en-US"/>
              </w:rPr>
            </w:pPr>
            <w:r>
              <w:rPr>
                <w:lang w:val="en-US"/>
              </w:rPr>
              <w:t>358</w:t>
            </w:r>
          </w:p>
        </w:tc>
        <w:tc>
          <w:tcPr>
            <w:tcW w:w="1247" w:type="dxa"/>
          </w:tcPr>
          <w:p w:rsidR="00000000" w:rsidRDefault="00000000">
            <w:pPr>
              <w:tabs>
                <w:tab w:val="clear" w:pos="680"/>
              </w:tabs>
              <w:spacing w:before="60" w:after="60"/>
              <w:jc w:val="center"/>
              <w:rPr>
                <w:lang w:val="en-US"/>
              </w:rPr>
            </w:pPr>
            <w:r>
              <w:rPr>
                <w:lang w:val="en-US"/>
              </w:rPr>
              <w:t>42</w:t>
            </w:r>
          </w:p>
        </w:tc>
        <w:tc>
          <w:tcPr>
            <w:tcW w:w="1247" w:type="dxa"/>
          </w:tcPr>
          <w:p w:rsidR="00000000" w:rsidRDefault="00000000">
            <w:pPr>
              <w:tabs>
                <w:tab w:val="clear" w:pos="680"/>
              </w:tabs>
              <w:spacing w:before="60" w:after="60"/>
              <w:jc w:val="center"/>
              <w:rPr>
                <w:lang w:val="en-US"/>
              </w:rPr>
            </w:pPr>
            <w:r>
              <w:rPr>
                <w:lang w:val="en-US"/>
              </w:rPr>
              <w:t>89,5</w:t>
            </w:r>
          </w:p>
        </w:tc>
        <w:tc>
          <w:tcPr>
            <w:tcW w:w="1247" w:type="dxa"/>
          </w:tcPr>
          <w:p w:rsidR="00000000" w:rsidRDefault="00000000">
            <w:pPr>
              <w:tabs>
                <w:tab w:val="clear" w:pos="680"/>
              </w:tabs>
              <w:spacing w:before="60" w:after="60"/>
              <w:jc w:val="center"/>
              <w:rPr>
                <w:lang w:val="en-US"/>
              </w:rPr>
            </w:pPr>
            <w:r>
              <w:rPr>
                <w:lang w:val="en-US"/>
              </w:rPr>
              <w:t>10,5</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LIV</w:t>
            </w:r>
          </w:p>
        </w:tc>
        <w:tc>
          <w:tcPr>
            <w:tcW w:w="1588" w:type="dxa"/>
          </w:tcPr>
          <w:p w:rsidR="00000000" w:rsidRDefault="00000000">
            <w:pPr>
              <w:tabs>
                <w:tab w:val="clear" w:pos="680"/>
              </w:tabs>
              <w:spacing w:before="60" w:after="60"/>
              <w:jc w:val="center"/>
              <w:rPr>
                <w:lang w:val="en-US"/>
              </w:rPr>
            </w:pPr>
            <w:r>
              <w:rPr>
                <w:lang w:val="en-US"/>
              </w:rPr>
              <w:t>1988</w:t>
            </w:r>
            <w:r>
              <w:t>–</w:t>
            </w:r>
            <w:r>
              <w:rPr>
                <w:lang w:val="en-US"/>
              </w:rPr>
              <w:t>1991</w:t>
            </w:r>
          </w:p>
        </w:tc>
        <w:tc>
          <w:tcPr>
            <w:tcW w:w="1247" w:type="dxa"/>
          </w:tcPr>
          <w:p w:rsidR="00000000" w:rsidRDefault="00000000">
            <w:pPr>
              <w:tabs>
                <w:tab w:val="clear" w:pos="680"/>
              </w:tabs>
              <w:spacing w:before="60" w:after="60"/>
              <w:jc w:val="center"/>
              <w:rPr>
                <w:lang w:val="en-US"/>
              </w:rPr>
            </w:pPr>
            <w:r>
              <w:rPr>
                <w:lang w:val="en-US"/>
              </w:rPr>
              <w:t>500</w:t>
            </w:r>
          </w:p>
        </w:tc>
        <w:tc>
          <w:tcPr>
            <w:tcW w:w="1247" w:type="dxa"/>
          </w:tcPr>
          <w:p w:rsidR="00000000" w:rsidRDefault="00000000">
            <w:pPr>
              <w:tabs>
                <w:tab w:val="clear" w:pos="680"/>
              </w:tabs>
              <w:spacing w:before="60" w:after="60"/>
              <w:jc w:val="center"/>
              <w:rPr>
                <w:lang w:val="en-US"/>
              </w:rPr>
            </w:pPr>
            <w:r>
              <w:rPr>
                <w:lang w:val="en-US"/>
              </w:rPr>
              <w:t>441</w:t>
            </w:r>
          </w:p>
        </w:tc>
        <w:tc>
          <w:tcPr>
            <w:tcW w:w="1247" w:type="dxa"/>
          </w:tcPr>
          <w:p w:rsidR="00000000" w:rsidRDefault="00000000">
            <w:pPr>
              <w:tabs>
                <w:tab w:val="clear" w:pos="680"/>
              </w:tabs>
              <w:spacing w:before="60" w:after="60"/>
              <w:jc w:val="center"/>
              <w:rPr>
                <w:lang w:val="en-US"/>
              </w:rPr>
            </w:pPr>
            <w:r>
              <w:rPr>
                <w:lang w:val="en-US"/>
              </w:rPr>
              <w:t>59</w:t>
            </w:r>
          </w:p>
        </w:tc>
        <w:tc>
          <w:tcPr>
            <w:tcW w:w="1247" w:type="dxa"/>
          </w:tcPr>
          <w:p w:rsidR="00000000" w:rsidRDefault="00000000">
            <w:pPr>
              <w:tabs>
                <w:tab w:val="clear" w:pos="680"/>
              </w:tabs>
              <w:spacing w:before="60" w:after="60"/>
              <w:jc w:val="center"/>
              <w:rPr>
                <w:lang w:val="en-US"/>
              </w:rPr>
            </w:pPr>
            <w:r>
              <w:rPr>
                <w:lang w:val="en-US"/>
              </w:rPr>
              <w:t>88,2</w:t>
            </w:r>
          </w:p>
        </w:tc>
        <w:tc>
          <w:tcPr>
            <w:tcW w:w="1247" w:type="dxa"/>
          </w:tcPr>
          <w:p w:rsidR="00000000" w:rsidRDefault="00000000">
            <w:pPr>
              <w:tabs>
                <w:tab w:val="clear" w:pos="680"/>
              </w:tabs>
              <w:spacing w:before="60" w:after="60"/>
              <w:jc w:val="center"/>
              <w:rPr>
                <w:lang w:val="en-US"/>
              </w:rPr>
            </w:pPr>
            <w:r>
              <w:rPr>
                <w:lang w:val="en-US"/>
              </w:rPr>
              <w:t>11,8</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LV</w:t>
            </w:r>
          </w:p>
        </w:tc>
        <w:tc>
          <w:tcPr>
            <w:tcW w:w="1588" w:type="dxa"/>
          </w:tcPr>
          <w:p w:rsidR="00000000" w:rsidRDefault="00000000">
            <w:pPr>
              <w:tabs>
                <w:tab w:val="clear" w:pos="680"/>
              </w:tabs>
              <w:spacing w:before="60" w:after="60"/>
              <w:jc w:val="center"/>
              <w:rPr>
                <w:lang w:val="en-US"/>
              </w:rPr>
            </w:pPr>
            <w:r>
              <w:rPr>
                <w:lang w:val="en-US"/>
              </w:rPr>
              <w:t>1991</w:t>
            </w:r>
            <w:r>
              <w:t>–</w:t>
            </w:r>
            <w:r>
              <w:rPr>
                <w:lang w:val="en-US"/>
              </w:rPr>
              <w:t>1994</w:t>
            </w:r>
          </w:p>
        </w:tc>
        <w:tc>
          <w:tcPr>
            <w:tcW w:w="1247" w:type="dxa"/>
          </w:tcPr>
          <w:p w:rsidR="00000000" w:rsidRDefault="00000000">
            <w:pPr>
              <w:tabs>
                <w:tab w:val="clear" w:pos="680"/>
              </w:tabs>
              <w:spacing w:before="60" w:after="60"/>
              <w:jc w:val="center"/>
              <w:rPr>
                <w:lang w:val="en-US"/>
              </w:rPr>
            </w:pPr>
            <w:r>
              <w:rPr>
                <w:lang w:val="en-US"/>
              </w:rPr>
              <w:t>499</w:t>
            </w:r>
          </w:p>
        </w:tc>
        <w:tc>
          <w:tcPr>
            <w:tcW w:w="1247" w:type="dxa"/>
          </w:tcPr>
          <w:p w:rsidR="00000000" w:rsidRDefault="00000000">
            <w:pPr>
              <w:tabs>
                <w:tab w:val="clear" w:pos="680"/>
              </w:tabs>
              <w:spacing w:before="60" w:after="60"/>
              <w:jc w:val="center"/>
              <w:rPr>
                <w:lang w:val="en-US"/>
              </w:rPr>
            </w:pPr>
            <w:r>
              <w:rPr>
                <w:lang w:val="en-US"/>
              </w:rPr>
              <w:t>455</w:t>
            </w:r>
          </w:p>
        </w:tc>
        <w:tc>
          <w:tcPr>
            <w:tcW w:w="1247" w:type="dxa"/>
          </w:tcPr>
          <w:p w:rsidR="00000000" w:rsidRDefault="00000000">
            <w:pPr>
              <w:tabs>
                <w:tab w:val="clear" w:pos="680"/>
              </w:tabs>
              <w:spacing w:before="60" w:after="60"/>
              <w:jc w:val="center"/>
              <w:rPr>
                <w:lang w:val="en-US"/>
              </w:rPr>
            </w:pPr>
            <w:r>
              <w:rPr>
                <w:lang w:val="en-US"/>
              </w:rPr>
              <w:t>44</w:t>
            </w:r>
          </w:p>
        </w:tc>
        <w:tc>
          <w:tcPr>
            <w:tcW w:w="1247" w:type="dxa"/>
          </w:tcPr>
          <w:p w:rsidR="00000000" w:rsidRDefault="00000000">
            <w:pPr>
              <w:tabs>
                <w:tab w:val="clear" w:pos="680"/>
              </w:tabs>
              <w:spacing w:before="60" w:after="60"/>
              <w:jc w:val="center"/>
              <w:rPr>
                <w:lang w:val="en-US"/>
              </w:rPr>
            </w:pPr>
            <w:r>
              <w:rPr>
                <w:lang w:val="en-US"/>
              </w:rPr>
              <w:t>91,2</w:t>
            </w:r>
          </w:p>
        </w:tc>
        <w:tc>
          <w:tcPr>
            <w:tcW w:w="1247" w:type="dxa"/>
          </w:tcPr>
          <w:p w:rsidR="00000000" w:rsidRDefault="00000000">
            <w:pPr>
              <w:tabs>
                <w:tab w:val="clear" w:pos="680"/>
              </w:tabs>
              <w:spacing w:before="60" w:after="60"/>
              <w:jc w:val="center"/>
              <w:rPr>
                <w:lang w:val="en-US"/>
              </w:rPr>
            </w:pPr>
            <w:r>
              <w:rPr>
                <w:lang w:val="en-US"/>
              </w:rPr>
              <w:t>8,8</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LVI</w:t>
            </w:r>
          </w:p>
        </w:tc>
        <w:tc>
          <w:tcPr>
            <w:tcW w:w="1588" w:type="dxa"/>
          </w:tcPr>
          <w:p w:rsidR="00000000" w:rsidRDefault="00000000">
            <w:pPr>
              <w:tabs>
                <w:tab w:val="clear" w:pos="680"/>
              </w:tabs>
              <w:spacing w:before="60" w:after="60"/>
              <w:jc w:val="center"/>
              <w:rPr>
                <w:lang w:val="en-US"/>
              </w:rPr>
            </w:pPr>
            <w:r>
              <w:rPr>
                <w:lang w:val="en-US"/>
              </w:rPr>
              <w:t>1994</w:t>
            </w:r>
            <w:r>
              <w:t>–</w:t>
            </w:r>
            <w:r>
              <w:rPr>
                <w:lang w:val="en-US"/>
              </w:rPr>
              <w:t>1997</w:t>
            </w:r>
          </w:p>
        </w:tc>
        <w:tc>
          <w:tcPr>
            <w:tcW w:w="1247" w:type="dxa"/>
          </w:tcPr>
          <w:p w:rsidR="00000000" w:rsidRDefault="00000000">
            <w:pPr>
              <w:tabs>
                <w:tab w:val="clear" w:pos="680"/>
              </w:tabs>
              <w:spacing w:before="60" w:after="60"/>
              <w:jc w:val="center"/>
              <w:rPr>
                <w:lang w:val="en-US"/>
              </w:rPr>
            </w:pPr>
            <w:r>
              <w:rPr>
                <w:lang w:val="en-US"/>
              </w:rPr>
              <w:t>496</w:t>
            </w:r>
          </w:p>
        </w:tc>
        <w:tc>
          <w:tcPr>
            <w:tcW w:w="1247" w:type="dxa"/>
          </w:tcPr>
          <w:p w:rsidR="00000000" w:rsidRDefault="00000000">
            <w:pPr>
              <w:tabs>
                <w:tab w:val="clear" w:pos="680"/>
              </w:tabs>
              <w:spacing w:before="60" w:after="60"/>
              <w:jc w:val="center"/>
              <w:rPr>
                <w:lang w:val="en-US"/>
              </w:rPr>
            </w:pPr>
            <w:r>
              <w:rPr>
                <w:lang w:val="en-US"/>
              </w:rPr>
              <w:t>426</w:t>
            </w:r>
          </w:p>
        </w:tc>
        <w:tc>
          <w:tcPr>
            <w:tcW w:w="1247" w:type="dxa"/>
          </w:tcPr>
          <w:p w:rsidR="00000000" w:rsidRDefault="00000000">
            <w:pPr>
              <w:tabs>
                <w:tab w:val="clear" w:pos="680"/>
              </w:tabs>
              <w:spacing w:before="60" w:after="60"/>
              <w:jc w:val="center"/>
              <w:rPr>
                <w:lang w:val="en-US"/>
              </w:rPr>
            </w:pPr>
            <w:r>
              <w:rPr>
                <w:lang w:val="en-US"/>
              </w:rPr>
              <w:t>70</w:t>
            </w:r>
          </w:p>
        </w:tc>
        <w:tc>
          <w:tcPr>
            <w:tcW w:w="1247" w:type="dxa"/>
          </w:tcPr>
          <w:p w:rsidR="00000000" w:rsidRDefault="00000000">
            <w:pPr>
              <w:tabs>
                <w:tab w:val="clear" w:pos="680"/>
              </w:tabs>
              <w:spacing w:before="60" w:after="60"/>
              <w:jc w:val="center"/>
              <w:rPr>
                <w:lang w:val="en-US"/>
              </w:rPr>
            </w:pPr>
            <w:r>
              <w:rPr>
                <w:lang w:val="en-US"/>
              </w:rPr>
              <w:t>85,9</w:t>
            </w:r>
          </w:p>
        </w:tc>
        <w:tc>
          <w:tcPr>
            <w:tcW w:w="1247" w:type="dxa"/>
          </w:tcPr>
          <w:p w:rsidR="00000000" w:rsidRDefault="00000000">
            <w:pPr>
              <w:tabs>
                <w:tab w:val="clear" w:pos="680"/>
              </w:tabs>
              <w:spacing w:before="60" w:after="60"/>
              <w:jc w:val="center"/>
              <w:rPr>
                <w:lang w:val="en-US"/>
              </w:rPr>
            </w:pPr>
            <w:r>
              <w:rPr>
                <w:lang w:val="en-US"/>
              </w:rPr>
              <w:t>14,1</w:t>
            </w:r>
          </w:p>
        </w:tc>
      </w:tr>
      <w:tr w:rsidR="00000000">
        <w:tblPrEx>
          <w:tblCellMar>
            <w:top w:w="0" w:type="dxa"/>
            <w:bottom w:w="0" w:type="dxa"/>
          </w:tblCellMar>
        </w:tblPrEx>
        <w:tc>
          <w:tcPr>
            <w:tcW w:w="1814" w:type="dxa"/>
          </w:tcPr>
          <w:p w:rsidR="00000000" w:rsidRDefault="00000000">
            <w:pPr>
              <w:tabs>
                <w:tab w:val="clear" w:pos="680"/>
              </w:tabs>
              <w:spacing w:before="60" w:after="60"/>
              <w:jc w:val="center"/>
              <w:rPr>
                <w:lang w:val="en-US"/>
              </w:rPr>
            </w:pPr>
            <w:r>
              <w:rPr>
                <w:lang w:val="en-US"/>
              </w:rPr>
              <w:t>LVII</w:t>
            </w:r>
          </w:p>
        </w:tc>
        <w:tc>
          <w:tcPr>
            <w:tcW w:w="1588" w:type="dxa"/>
          </w:tcPr>
          <w:p w:rsidR="00000000" w:rsidRDefault="00000000">
            <w:pPr>
              <w:tabs>
                <w:tab w:val="clear" w:pos="680"/>
              </w:tabs>
              <w:spacing w:before="60" w:after="60"/>
              <w:jc w:val="center"/>
            </w:pPr>
            <w:r>
              <w:t>1997–2000</w:t>
            </w:r>
          </w:p>
        </w:tc>
        <w:tc>
          <w:tcPr>
            <w:tcW w:w="1247" w:type="dxa"/>
          </w:tcPr>
          <w:p w:rsidR="00000000" w:rsidRDefault="00000000">
            <w:pPr>
              <w:tabs>
                <w:tab w:val="clear" w:pos="680"/>
              </w:tabs>
              <w:spacing w:before="60" w:after="60"/>
              <w:jc w:val="center"/>
            </w:pPr>
            <w:r>
              <w:t>500</w:t>
            </w:r>
          </w:p>
        </w:tc>
        <w:tc>
          <w:tcPr>
            <w:tcW w:w="1247" w:type="dxa"/>
          </w:tcPr>
          <w:p w:rsidR="00000000" w:rsidRDefault="00000000">
            <w:pPr>
              <w:tabs>
                <w:tab w:val="clear" w:pos="680"/>
              </w:tabs>
              <w:spacing w:before="60" w:after="60"/>
              <w:jc w:val="center"/>
            </w:pPr>
            <w:r>
              <w:t>413</w:t>
            </w:r>
          </w:p>
        </w:tc>
        <w:tc>
          <w:tcPr>
            <w:tcW w:w="1247" w:type="dxa"/>
          </w:tcPr>
          <w:p w:rsidR="00000000" w:rsidRDefault="00000000">
            <w:pPr>
              <w:tabs>
                <w:tab w:val="clear" w:pos="680"/>
              </w:tabs>
              <w:spacing w:before="60" w:after="60"/>
              <w:jc w:val="center"/>
            </w:pPr>
            <w:r>
              <w:t>87</w:t>
            </w:r>
          </w:p>
        </w:tc>
        <w:tc>
          <w:tcPr>
            <w:tcW w:w="1247" w:type="dxa"/>
          </w:tcPr>
          <w:p w:rsidR="00000000" w:rsidRDefault="00000000">
            <w:pPr>
              <w:tabs>
                <w:tab w:val="clear" w:pos="680"/>
              </w:tabs>
              <w:spacing w:before="60" w:after="60"/>
              <w:jc w:val="center"/>
            </w:pPr>
            <w:r>
              <w:t>82,6</w:t>
            </w:r>
          </w:p>
        </w:tc>
        <w:tc>
          <w:tcPr>
            <w:tcW w:w="1247" w:type="dxa"/>
          </w:tcPr>
          <w:p w:rsidR="00000000" w:rsidRDefault="00000000">
            <w:pPr>
              <w:tabs>
                <w:tab w:val="clear" w:pos="680"/>
              </w:tabs>
              <w:spacing w:before="60" w:after="60"/>
              <w:jc w:val="center"/>
            </w:pPr>
            <w:r>
              <w:t>17,4</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rPr>
                <w:lang w:val="en-US"/>
              </w:rPr>
              <w:t>LVIII</w:t>
            </w:r>
            <w:r>
              <w:t xml:space="preserve"> *</w:t>
            </w:r>
          </w:p>
        </w:tc>
        <w:tc>
          <w:tcPr>
            <w:tcW w:w="1588" w:type="dxa"/>
          </w:tcPr>
          <w:p w:rsidR="00000000" w:rsidRDefault="00000000">
            <w:pPr>
              <w:tabs>
                <w:tab w:val="clear" w:pos="680"/>
              </w:tabs>
              <w:spacing w:before="60" w:after="60"/>
              <w:jc w:val="center"/>
            </w:pPr>
            <w:r>
              <w:t>2000–2003</w:t>
            </w:r>
          </w:p>
        </w:tc>
        <w:tc>
          <w:tcPr>
            <w:tcW w:w="1247" w:type="dxa"/>
          </w:tcPr>
          <w:p w:rsidR="00000000" w:rsidRDefault="00000000">
            <w:pPr>
              <w:tabs>
                <w:tab w:val="clear" w:pos="680"/>
              </w:tabs>
              <w:spacing w:before="60" w:after="60"/>
              <w:jc w:val="center"/>
            </w:pPr>
            <w:r>
              <w:t>500</w:t>
            </w:r>
          </w:p>
        </w:tc>
        <w:tc>
          <w:tcPr>
            <w:tcW w:w="1247" w:type="dxa"/>
          </w:tcPr>
          <w:p w:rsidR="00000000" w:rsidRDefault="00000000">
            <w:pPr>
              <w:tabs>
                <w:tab w:val="clear" w:pos="680"/>
              </w:tabs>
              <w:spacing w:before="60" w:after="60"/>
              <w:jc w:val="center"/>
            </w:pPr>
            <w:r>
              <w:t>420</w:t>
            </w:r>
          </w:p>
        </w:tc>
        <w:tc>
          <w:tcPr>
            <w:tcW w:w="1247" w:type="dxa"/>
          </w:tcPr>
          <w:p w:rsidR="00000000" w:rsidRDefault="00000000">
            <w:pPr>
              <w:tabs>
                <w:tab w:val="clear" w:pos="680"/>
              </w:tabs>
              <w:spacing w:before="60" w:after="60"/>
              <w:jc w:val="center"/>
            </w:pPr>
            <w:r>
              <w:t>80(81**)</w:t>
            </w:r>
          </w:p>
        </w:tc>
        <w:tc>
          <w:tcPr>
            <w:tcW w:w="1247" w:type="dxa"/>
          </w:tcPr>
          <w:p w:rsidR="00000000" w:rsidRDefault="00000000">
            <w:pPr>
              <w:tabs>
                <w:tab w:val="clear" w:pos="680"/>
              </w:tabs>
              <w:spacing w:before="60" w:after="60"/>
              <w:jc w:val="center"/>
            </w:pPr>
            <w:r>
              <w:t>84,0</w:t>
            </w:r>
          </w:p>
        </w:tc>
        <w:tc>
          <w:tcPr>
            <w:tcW w:w="1247" w:type="dxa"/>
          </w:tcPr>
          <w:p w:rsidR="00000000" w:rsidRDefault="00000000">
            <w:pPr>
              <w:tabs>
                <w:tab w:val="clear" w:pos="680"/>
              </w:tabs>
              <w:spacing w:before="60" w:after="60"/>
              <w:jc w:val="center"/>
            </w:pPr>
            <w:r>
              <w:t>16,0 (16,2**)</w:t>
            </w:r>
          </w:p>
        </w:tc>
      </w:tr>
      <w:tr w:rsidR="00000000">
        <w:tblPrEx>
          <w:tblCellMar>
            <w:top w:w="0" w:type="dxa"/>
            <w:bottom w:w="0" w:type="dxa"/>
          </w:tblCellMar>
        </w:tblPrEx>
        <w:tc>
          <w:tcPr>
            <w:tcW w:w="1814" w:type="dxa"/>
          </w:tcPr>
          <w:p w:rsidR="00000000" w:rsidRDefault="00000000">
            <w:pPr>
              <w:tabs>
                <w:tab w:val="clear" w:pos="680"/>
              </w:tabs>
              <w:spacing w:before="60" w:after="60"/>
              <w:jc w:val="center"/>
            </w:pPr>
            <w:r>
              <w:t>Итого:</w:t>
            </w:r>
          </w:p>
        </w:tc>
        <w:tc>
          <w:tcPr>
            <w:tcW w:w="1588" w:type="dxa"/>
          </w:tcPr>
          <w:p w:rsidR="00000000" w:rsidRDefault="00000000">
            <w:pPr>
              <w:tabs>
                <w:tab w:val="clear" w:pos="680"/>
              </w:tabs>
              <w:spacing w:before="60" w:after="60"/>
              <w:jc w:val="center"/>
            </w:pPr>
            <w:r>
              <w:t>1952–2003</w:t>
            </w:r>
          </w:p>
        </w:tc>
        <w:tc>
          <w:tcPr>
            <w:tcW w:w="1247" w:type="dxa"/>
          </w:tcPr>
          <w:p w:rsidR="00000000" w:rsidRDefault="00000000">
            <w:pPr>
              <w:tabs>
                <w:tab w:val="clear" w:pos="680"/>
              </w:tabs>
              <w:spacing w:before="60" w:after="60"/>
              <w:jc w:val="center"/>
            </w:pPr>
            <w:r>
              <w:t>5448</w:t>
            </w:r>
          </w:p>
        </w:tc>
        <w:tc>
          <w:tcPr>
            <w:tcW w:w="1247" w:type="dxa"/>
          </w:tcPr>
          <w:p w:rsidR="00000000" w:rsidRDefault="00000000">
            <w:pPr>
              <w:tabs>
                <w:tab w:val="clear" w:pos="680"/>
              </w:tabs>
              <w:spacing w:before="60" w:after="60"/>
              <w:jc w:val="center"/>
            </w:pPr>
            <w:r>
              <w:t>4892</w:t>
            </w:r>
          </w:p>
        </w:tc>
        <w:tc>
          <w:tcPr>
            <w:tcW w:w="1247" w:type="dxa"/>
          </w:tcPr>
          <w:p w:rsidR="00000000" w:rsidRDefault="00000000">
            <w:pPr>
              <w:tabs>
                <w:tab w:val="clear" w:pos="680"/>
              </w:tabs>
              <w:spacing w:before="60" w:after="60"/>
              <w:jc w:val="center"/>
            </w:pPr>
            <w:r>
              <w:t>556</w:t>
            </w:r>
          </w:p>
        </w:tc>
        <w:tc>
          <w:tcPr>
            <w:tcW w:w="1247" w:type="dxa"/>
          </w:tcPr>
          <w:p w:rsidR="00000000" w:rsidRDefault="00000000">
            <w:pPr>
              <w:tabs>
                <w:tab w:val="clear" w:pos="680"/>
              </w:tabs>
              <w:spacing w:before="60" w:after="60"/>
              <w:jc w:val="center"/>
            </w:pPr>
            <w:r>
              <w:t>88,6</w:t>
            </w:r>
          </w:p>
        </w:tc>
        <w:tc>
          <w:tcPr>
            <w:tcW w:w="1247" w:type="dxa"/>
          </w:tcPr>
          <w:p w:rsidR="00000000" w:rsidRDefault="00000000">
            <w:pPr>
              <w:tabs>
                <w:tab w:val="clear" w:pos="680"/>
              </w:tabs>
              <w:spacing w:before="60" w:after="60"/>
              <w:jc w:val="center"/>
            </w:pPr>
            <w:r>
              <w:t>11,4</w:t>
            </w:r>
          </w:p>
        </w:tc>
      </w:tr>
    </w:tbl>
    <w:p w:rsidR="00000000" w:rsidRDefault="00000000">
      <w:pPr>
        <w:pStyle w:val="Header"/>
        <w:tabs>
          <w:tab w:val="clear" w:pos="680"/>
          <w:tab w:val="clear" w:pos="4677"/>
          <w:tab w:val="clear" w:pos="9355"/>
          <w:tab w:val="left" w:pos="284"/>
        </w:tabs>
        <w:spacing w:after="0"/>
        <w:ind w:left="284" w:hanging="284"/>
      </w:pPr>
    </w:p>
    <w:p w:rsidR="00000000" w:rsidRDefault="00000000">
      <w:pPr>
        <w:pStyle w:val="a2"/>
      </w:pPr>
      <w:r>
        <w:t>Источник: ПРОНАМ. "Бол</w:t>
      </w:r>
      <w:r>
        <w:t>ь</w:t>
      </w:r>
      <w:r>
        <w:t>ше женщин в Конгресс", 1997 год.</w:t>
      </w:r>
    </w:p>
    <w:p w:rsidR="00000000" w:rsidRDefault="00000000">
      <w:pPr>
        <w:pStyle w:val="a2"/>
        <w:tabs>
          <w:tab w:val="left" w:pos="284"/>
        </w:tabs>
      </w:pPr>
      <w:r>
        <w:t>*</w:t>
      </w:r>
      <w:r>
        <w:tab/>
        <w:t>"Диарио Офисиаль" от 30 августа 2000 года и данные, предоставленные палатой депутатов федерал</w:t>
      </w:r>
      <w:r>
        <w:t>ь</w:t>
      </w:r>
      <w:r>
        <w:t>ного конгресса, октябрь 2000 года.</w:t>
      </w:r>
    </w:p>
    <w:p w:rsidR="00000000" w:rsidRDefault="00000000">
      <w:pPr>
        <w:pStyle w:val="a2"/>
        <w:tabs>
          <w:tab w:val="left" w:pos="284"/>
        </w:tabs>
      </w:pPr>
      <w:r>
        <w:t>**</w:t>
      </w:r>
      <w:r>
        <w:tab/>
        <w:t>До ноября 2000 года.</w:t>
      </w:r>
    </w:p>
    <w:p w:rsidR="00000000" w:rsidRDefault="00000000">
      <w:pPr>
        <w:pStyle w:val="Heading3"/>
        <w:tabs>
          <w:tab w:val="left" w:pos="1021"/>
        </w:tabs>
        <w:spacing w:before="0"/>
        <w:rPr>
          <w:noProof w:val="0"/>
          <w:lang w:val="ru-RU"/>
        </w:rPr>
      </w:pPr>
    </w:p>
    <w:p w:rsidR="00000000" w:rsidRDefault="00000000">
      <w:pPr>
        <w:pStyle w:val="Heading3"/>
        <w:tabs>
          <w:tab w:val="left" w:pos="1021"/>
        </w:tabs>
        <w:spacing w:before="0"/>
        <w:rPr>
          <w:noProof w:val="0"/>
          <w:lang w:val="ru-RU"/>
        </w:rPr>
      </w:pPr>
      <w:r>
        <w:rPr>
          <w:noProof w:val="0"/>
          <w:lang w:val="ru-RU"/>
        </w:rPr>
        <w:t>Организационная структура</w:t>
      </w:r>
    </w:p>
    <w:p w:rsidR="00000000" w:rsidRDefault="00000000">
      <w:pPr>
        <w:tabs>
          <w:tab w:val="clear" w:pos="680"/>
        </w:tabs>
      </w:pPr>
      <w:r>
        <w:t>277.</w:t>
      </w:r>
      <w:r>
        <w:tab/>
        <w:t>Основываясь на президентской инициативе о расширении перспектив профессионального развития женщин, Институт социального обеспечения и социальных услуг для государственных служащих (ИСССТЭ) осуществляет разработку норм, предоставляющих служащим учреждений равенство в возможностях доступа к ответственным постам, ставя целью достижение гендерного равенс</w:t>
      </w:r>
      <w:r>
        <w:t>т</w:t>
      </w:r>
      <w:r>
        <w:t>ва.</w:t>
      </w:r>
    </w:p>
    <w:p w:rsidR="00000000" w:rsidRDefault="00000000">
      <w:pPr>
        <w:tabs>
          <w:tab w:val="clear" w:pos="680"/>
        </w:tabs>
      </w:pPr>
      <w:r>
        <w:t>278.</w:t>
      </w:r>
      <w:r>
        <w:tab/>
        <w:t>В связи с этим ИСССТЭ организовал Административную комиссию по набору и совершенствов</w:t>
      </w:r>
      <w:r>
        <w:t>а</w:t>
      </w:r>
      <w:r>
        <w:t>нию кадров – как органа, ответственного за проведение конкурсных экзаменов на вакантные ответственные посты, процедура которых обеспечила бы равенство возможностей для кандидатов обоих полов. Функционир</w:t>
      </w:r>
      <w:r>
        <w:t>о</w:t>
      </w:r>
      <w:r>
        <w:t>вание и структура данной Комиссии основываются на принципах комплектования штатов, изложенных в прик</w:t>
      </w:r>
      <w:r>
        <w:t>а</w:t>
      </w:r>
      <w:r>
        <w:t>зе Ген</w:t>
      </w:r>
      <w:r>
        <w:t>е</w:t>
      </w:r>
      <w:r>
        <w:t>рального директора ИСССТЭ и опубликованных в "Диарио Офисиаль" от 29 декабря 1999 года.</w:t>
      </w:r>
    </w:p>
    <w:p w:rsidR="00000000" w:rsidRDefault="00000000">
      <w:pPr>
        <w:tabs>
          <w:tab w:val="clear" w:pos="680"/>
        </w:tabs>
      </w:pPr>
      <w:r>
        <w:t>279.</w:t>
      </w:r>
      <w:r>
        <w:tab/>
        <w:t>Административная комиссия начала свою деятельность в феврале 2000 года. В Комиссию входят Ген</w:t>
      </w:r>
      <w:r>
        <w:t>е</w:t>
      </w:r>
      <w:r>
        <w:t>ральный директор Института – как председатель Комиссии; заместитель Генерального директора по юридич</w:t>
      </w:r>
      <w:r>
        <w:t>е</w:t>
      </w:r>
      <w:r>
        <w:t>ским вопросам и трудовым отношениям в качестве технического секретаря; заместитель Генерального дире</w:t>
      </w:r>
      <w:r>
        <w:t>к</w:t>
      </w:r>
      <w:r>
        <w:t>тора по кадрам и два представителя (мужчина и женщина) административной единицы, заинтересованной в решении кадрового вопроса, а также по одному представителю Контрольной комиссии Института и Технич</w:t>
      </w:r>
      <w:r>
        <w:t>е</w:t>
      </w:r>
      <w:r>
        <w:t>ского секретариата Генеральной дирекции ИСССТЭ по вопросам гендерного равенства – в качестве приглаше</w:t>
      </w:r>
      <w:r>
        <w:t>н</w:t>
      </w:r>
      <w:r>
        <w:t>ных.</w:t>
      </w:r>
    </w:p>
    <w:p w:rsidR="00000000" w:rsidRDefault="00000000">
      <w:pPr>
        <w:tabs>
          <w:tab w:val="clear" w:pos="680"/>
        </w:tabs>
      </w:pPr>
      <w:r>
        <w:t>280.</w:t>
      </w:r>
      <w:r>
        <w:tab/>
        <w:t>К настоящему моменту было проведено три заседания, в течение которых был принят Сборник инс</w:t>
      </w:r>
      <w:r>
        <w:t>т</w:t>
      </w:r>
      <w:r>
        <w:t>рукций по работе Комиссии и были разработаны пять предложений, четыре из которых имеют целью улучшение пол</w:t>
      </w:r>
      <w:r>
        <w:t>о</w:t>
      </w:r>
      <w:r>
        <w:t>жения женщин.</w:t>
      </w:r>
    </w:p>
    <w:p w:rsidR="00000000" w:rsidRDefault="00000000">
      <w:pPr>
        <w:tabs>
          <w:tab w:val="clear" w:pos="680"/>
        </w:tabs>
      </w:pPr>
      <w:r>
        <w:t>281.</w:t>
      </w:r>
      <w:r>
        <w:tab/>
        <w:t>Во избежание дискриминации по признаку пола при назначении должностных лиц указанное согл</w:t>
      </w:r>
      <w:r>
        <w:t>а</w:t>
      </w:r>
      <w:r>
        <w:t>шение устанавливает правило, в соответствии с которым при любом назначении должны быть выдвинуты ка</w:t>
      </w:r>
      <w:r>
        <w:t>н</w:t>
      </w:r>
      <w:r>
        <w:t>дид</w:t>
      </w:r>
      <w:r>
        <w:t>а</w:t>
      </w:r>
      <w:r>
        <w:t>ты обоих полов.</w:t>
      </w:r>
    </w:p>
    <w:p w:rsidR="00000000" w:rsidRDefault="00000000">
      <w:pPr>
        <w:tabs>
          <w:tab w:val="clear" w:pos="680"/>
        </w:tabs>
      </w:pPr>
      <w:r>
        <w:t>282.</w:t>
      </w:r>
      <w:r>
        <w:tab/>
        <w:t>Данная мера позволит также усовершенствовать принципы организации государственной службы в ИСССТЭ, создавая систему гарантий для мужчин и женщин.</w:t>
      </w:r>
    </w:p>
    <w:p w:rsidR="00000000" w:rsidRDefault="00000000">
      <w:pPr>
        <w:tabs>
          <w:tab w:val="clear" w:pos="680"/>
        </w:tabs>
      </w:pPr>
      <w:r>
        <w:t>283.</w:t>
      </w:r>
      <w:r>
        <w:tab/>
        <w:t>ИСССТЭ распространил также исследование под названием "Женщина на службе государству: реалии и трудности", ставящее своей целью изучение социального и трудового положения работающих женщин для разработки политических стратегий с учетом специфики вопроса.</w:t>
      </w:r>
    </w:p>
    <w:p w:rsidR="00000000" w:rsidRDefault="00000000">
      <w:pPr>
        <w:pStyle w:val="Heading2"/>
        <w:spacing w:after="480"/>
      </w:pPr>
      <w:r>
        <w:br w:type="page"/>
        <w:t>СТАТЬЯ 5</w:t>
      </w:r>
    </w:p>
    <w:p w:rsidR="00000000" w:rsidRDefault="00000000">
      <w:pPr>
        <w:pStyle w:val="Heading3"/>
        <w:spacing w:before="0"/>
      </w:pPr>
      <w:r>
        <w:t>1.</w:t>
      </w:r>
      <w:r>
        <w:tab/>
        <w:t>Изменение стереотипных представлений</w:t>
      </w:r>
    </w:p>
    <w:p w:rsidR="00000000" w:rsidRDefault="00000000">
      <w:pPr>
        <w:rPr>
          <w:b/>
          <w:i/>
        </w:rPr>
      </w:pPr>
      <w:r>
        <w:rPr>
          <w:b/>
          <w:i/>
        </w:rPr>
        <w:t>Образование</w:t>
      </w:r>
    </w:p>
    <w:p w:rsidR="00000000" w:rsidRDefault="00000000">
      <w:r>
        <w:t>284.</w:t>
      </w:r>
      <w:r>
        <w:tab/>
        <w:t>Одним из направлений деятельности, призванной изменить существующие в обществе стереотипные пре</w:t>
      </w:r>
      <w:r>
        <w:t>д</w:t>
      </w:r>
      <w:r>
        <w:t>ставления о женщине, явился комплексный пересмотр учебных планов, программ, учебников и других учебных п</w:t>
      </w:r>
      <w:r>
        <w:t>о</w:t>
      </w:r>
      <w:r>
        <w:t>собий, используемых в рамках национальной системы образования, с учетом гендерных критериев. Целью этой де</w:t>
      </w:r>
      <w:r>
        <w:t>я</w:t>
      </w:r>
      <w:r>
        <w:t>тельности было устранение ряда стереотипных представлений о женщине и акцентирование той роли, которую она играет в общественной жизни страны, а также в обеспечении благополучия семьи.</w:t>
      </w:r>
    </w:p>
    <w:p w:rsidR="00000000" w:rsidRDefault="00000000">
      <w:r>
        <w:t>285.</w:t>
      </w:r>
      <w:r>
        <w:tab/>
        <w:t>С этой целью Министерство просвещения ввело в новые учебники, учебные планы и учебные программы базовой школы темы, связанные с гендерной проблематикой, а также определенные аспекты сексуального воспит</w:t>
      </w:r>
      <w:r>
        <w:t>а</w:t>
      </w:r>
      <w:r>
        <w:t>ния, которые способствуют достижению равенства между мужчинами и женщинами в повседневной жизни. Подо</w:t>
      </w:r>
      <w:r>
        <w:t>б</w:t>
      </w:r>
      <w:r>
        <w:t>ные материалы вводятся в учебные планы дошкольного воспитания, начальной и средней школы. Одновременно с этим для учителей и учеников готовятся новые дидактические материалы, как печатные, так и аудиовизуальные, специально посвященные проблемам равенства между мужчинами и женщинами.</w:t>
      </w:r>
    </w:p>
    <w:p w:rsidR="00000000" w:rsidRDefault="00000000">
      <w:pPr>
        <w:pStyle w:val="Heading4"/>
      </w:pPr>
      <w:r>
        <w:t>Средства массовой информации</w:t>
      </w:r>
    </w:p>
    <w:p w:rsidR="00000000" w:rsidRDefault="00000000">
      <w:r>
        <w:t>286.</w:t>
      </w:r>
      <w:r>
        <w:tab/>
        <w:t>Объединение усилий средств массовой информации, направленных на мобилизацию общественного мнения с целью изменения стереотипных представлений, рассматривалось как одно из приоритетных направлений Наци</w:t>
      </w:r>
      <w:r>
        <w:t>о</w:t>
      </w:r>
      <w:r>
        <w:t>нальной программы по улучшению положения женщин, ставившей задачу "проводить в средствах массовой инфо</w:t>
      </w:r>
      <w:r>
        <w:t>р</w:t>
      </w:r>
      <w:r>
        <w:t>мации постоянные кампании, которые привлекали бы внимание общества к разнообразию социальных ролей же</w:t>
      </w:r>
      <w:r>
        <w:t>н</w:t>
      </w:r>
      <w:r>
        <w:t>щины, подчеркивая настоятельную необходимость расширения ее участия в общественной жизни наравне с мужч</w:t>
      </w:r>
      <w:r>
        <w:t>и</w:t>
      </w:r>
      <w:r>
        <w:t>ной".</w:t>
      </w:r>
    </w:p>
    <w:p w:rsidR="00000000" w:rsidRDefault="00000000">
      <w:r>
        <w:t>287.</w:t>
      </w:r>
      <w:r>
        <w:tab/>
        <w:t>С этой целью совместными усилиями Национальной комиссии по делам женщин, правительством фед</w:t>
      </w:r>
      <w:r>
        <w:t>е</w:t>
      </w:r>
      <w:r>
        <w:t xml:space="preserve">рального округа и неправительственной мексиканской общественной организацией </w:t>
      </w:r>
      <w:r>
        <w:rPr>
          <w:color w:val="000000"/>
        </w:rPr>
        <w:t>"Народное просвещение на бл</w:t>
      </w:r>
      <w:r>
        <w:rPr>
          <w:color w:val="000000"/>
        </w:rPr>
        <w:t>а</w:t>
      </w:r>
      <w:r>
        <w:rPr>
          <w:color w:val="000000"/>
        </w:rPr>
        <w:t>го женщины" (ХЕМ)</w:t>
      </w:r>
      <w:r>
        <w:t xml:space="preserve"> при поддержке других международных неправительственных организаций для привлечения внимания общественности к дискриминации в отношении женщин была разработана и проведена кампания "Забота о женщ</w:t>
      </w:r>
      <w:r>
        <w:t>и</w:t>
      </w:r>
      <w:r>
        <w:t>не".</w:t>
      </w:r>
    </w:p>
    <w:p w:rsidR="00000000" w:rsidRDefault="00000000">
      <w:r>
        <w:t>288.</w:t>
      </w:r>
      <w:r>
        <w:tab/>
        <w:t>В рамках этой кампании с мая по сентябрь 1998 года по радио и телевидению как федерального округа, так и некоторых штатов транслировались специальные пропагандистские передачи, в общей сложности число обращ</w:t>
      </w:r>
      <w:r>
        <w:t>е</w:t>
      </w:r>
      <w:r>
        <w:t>ний составило по радио 50 тыс.; количество телеобращений по девяти каналам федерального округа, которые им</w:t>
      </w:r>
      <w:r>
        <w:t>е</w:t>
      </w:r>
      <w:r>
        <w:t>ют 387 ретрансляторов по всей террит</w:t>
      </w:r>
      <w:r>
        <w:t>о</w:t>
      </w:r>
      <w:r>
        <w:t>рии страны, достигло цифры 141 831.</w:t>
      </w:r>
    </w:p>
    <w:p w:rsidR="00000000" w:rsidRDefault="00000000">
      <w:r>
        <w:t>289.</w:t>
      </w:r>
      <w:r>
        <w:tab/>
        <w:t>Эта кампания была повторно проведена с мая по ноябрь 1999 года на общенациональном уровне. Благодаря успеху у слушателей и зрителей в 1998 и 1999 годах кампания реализуется и в 2000 году, причем ее тематика была расширена и путем включения темы "Дево</w:t>
      </w:r>
      <w:r>
        <w:t>ч</w:t>
      </w:r>
      <w:r>
        <w:t>ки".</w:t>
      </w:r>
    </w:p>
    <w:p w:rsidR="00000000" w:rsidRDefault="00000000">
      <w:pPr>
        <w:rPr>
          <w:color w:val="000000"/>
        </w:rPr>
      </w:pPr>
      <w:r>
        <w:rPr>
          <w:color w:val="000000"/>
        </w:rPr>
        <w:t>290.</w:t>
      </w:r>
      <w:r>
        <w:rPr>
          <w:color w:val="000000"/>
        </w:rPr>
        <w:tab/>
        <w:t>С целью изучения восприятия мужчинами и женщинами гендерных стереотипов, распространяемых в пр</w:t>
      </w:r>
      <w:r>
        <w:rPr>
          <w:color w:val="000000"/>
        </w:rPr>
        <w:t>о</w:t>
      </w:r>
      <w:r>
        <w:rPr>
          <w:color w:val="000000"/>
        </w:rPr>
        <w:t>пагандистских кампаниях в Мексике, в сотрудничестве с ЮНИСЕФ и НКЖ в 1997 году было начато осуществление программы "Изучение стереотипов в средствах массовой информации". Результаты этого исследования были обо</w:t>
      </w:r>
      <w:r>
        <w:rPr>
          <w:color w:val="000000"/>
        </w:rPr>
        <w:t>б</w:t>
      </w:r>
      <w:r>
        <w:rPr>
          <w:color w:val="000000"/>
        </w:rPr>
        <w:t>щены в книге "Ни слишком сильные, ни слишком слабые. Результаты изучения стереотипов мужского превосходс</w:t>
      </w:r>
      <w:r>
        <w:rPr>
          <w:color w:val="000000"/>
        </w:rPr>
        <w:t>т</w:t>
      </w:r>
      <w:r>
        <w:rPr>
          <w:color w:val="000000"/>
        </w:rPr>
        <w:t>ва, распространяемых в телевизионных пропагандистских передачах и программах заочного обучения". Распр</w:t>
      </w:r>
      <w:r>
        <w:rPr>
          <w:color w:val="000000"/>
        </w:rPr>
        <w:t>о</w:t>
      </w:r>
      <w:r>
        <w:rPr>
          <w:color w:val="000000"/>
        </w:rPr>
        <w:t>странение этой книги началось с фе</w:t>
      </w:r>
      <w:r>
        <w:rPr>
          <w:color w:val="000000"/>
        </w:rPr>
        <w:t>в</w:t>
      </w:r>
      <w:r>
        <w:rPr>
          <w:color w:val="000000"/>
        </w:rPr>
        <w:t>раля 1999 года.</w:t>
      </w:r>
    </w:p>
    <w:p w:rsidR="00000000" w:rsidRDefault="00000000">
      <w:r>
        <w:t>291.</w:t>
      </w:r>
      <w:r>
        <w:tab/>
        <w:t>В 1999 году было проведено несколько кампаний с целью повысить самоуважение женщин и привлечь их внимание к ценностям и правам современной женщины. Среди этих кампаний следует назвать:</w:t>
      </w:r>
    </w:p>
    <w:p w:rsidR="00000000" w:rsidRDefault="00000000">
      <w:pPr>
        <w:tabs>
          <w:tab w:val="left" w:pos="284"/>
        </w:tabs>
        <w:ind w:left="567" w:hanging="567"/>
      </w:pPr>
      <w:r>
        <w:tab/>
      </w:r>
      <w:r>
        <w:sym w:font="Symbol" w:char="F0B7"/>
      </w:r>
      <w:r>
        <w:tab/>
        <w:t>Юбилейную кампанию в связи с обретением права участвовать в выборах под девизом "Право голоса – завоевание, которое придает нам силу".</w:t>
      </w:r>
    </w:p>
    <w:p w:rsidR="00000000" w:rsidRDefault="00000000">
      <w:pPr>
        <w:pStyle w:val="BodyTextIndent3"/>
        <w:tabs>
          <w:tab w:val="left" w:pos="680"/>
        </w:tabs>
      </w:pPr>
      <w:r>
        <w:tab/>
      </w:r>
      <w:r>
        <w:sym w:font="Symbol" w:char="F0B7"/>
      </w:r>
      <w:r>
        <w:tab/>
        <w:t>Кампанию, посвященную проблемам пожилых людей, под девизом "За Мексику для людей любого во</w:t>
      </w:r>
      <w:r>
        <w:t>з</w:t>
      </w:r>
      <w:r>
        <w:t>раста", которая была проведена при поддержке Межведомственной группы Организации Объединенных Наций.</w:t>
      </w:r>
    </w:p>
    <w:p w:rsidR="00000000" w:rsidRDefault="00000000">
      <w:pPr>
        <w:tabs>
          <w:tab w:val="left" w:pos="284"/>
        </w:tabs>
        <w:ind w:left="567" w:hanging="567"/>
      </w:pPr>
      <w:r>
        <w:tab/>
      </w:r>
      <w:r>
        <w:sym w:font="Symbol" w:char="F0B7"/>
      </w:r>
      <w:r>
        <w:tab/>
        <w:t>"Дело женщин... а также мужчин", которая была реализована под эгидой НКЖ.</w:t>
      </w:r>
    </w:p>
    <w:p w:rsidR="00000000" w:rsidRDefault="00000000">
      <w:pPr>
        <w:tabs>
          <w:tab w:val="left" w:pos="284"/>
        </w:tabs>
        <w:ind w:left="567" w:hanging="567"/>
      </w:pPr>
      <w:r>
        <w:tab/>
      </w:r>
      <w:r>
        <w:sym w:font="Symbol" w:char="F0B7"/>
      </w:r>
      <w:r>
        <w:tab/>
        <w:t>"Женщина и ее образ, отражение действительности" (в организации которой принял участие Институт женщины штата Пуэбла).</w:t>
      </w:r>
    </w:p>
    <w:p w:rsidR="00000000" w:rsidRDefault="00000000">
      <w:pPr>
        <w:tabs>
          <w:tab w:val="left" w:pos="284"/>
        </w:tabs>
        <w:ind w:left="567" w:hanging="567"/>
      </w:pPr>
      <w:r>
        <w:tab/>
      </w:r>
      <w:r>
        <w:sym w:font="Symbol" w:char="F0B7"/>
      </w:r>
      <w:r>
        <w:tab/>
        <w:t>Телевизионную серию "Женщины и власть", явившуюся одним из важнейших проектов, посвященных роли и возможностям женщин в политике, который представлял собой серию интервью с выдающимися женщин</w:t>
      </w:r>
      <w:r>
        <w:t>а</w:t>
      </w:r>
      <w:r>
        <w:t>ми (11-й канал).</w:t>
      </w:r>
    </w:p>
    <w:p w:rsidR="00000000" w:rsidRDefault="00000000">
      <w:r>
        <w:t>292.</w:t>
      </w:r>
      <w:r>
        <w:tab/>
        <w:t>В сфере печатных изданий было стимулировано издание газетных приложений и специальных журналов, пропагандирующих наиболее передовые подходы в области равенства мужчин и женщин, которые позволяют же</w:t>
      </w:r>
      <w:r>
        <w:t>н</w:t>
      </w:r>
      <w:r>
        <w:t>щинам в полной мере реализовать свои права. К таким изданиям отн</w:t>
      </w:r>
      <w:r>
        <w:t>о</w:t>
      </w:r>
      <w:r>
        <w:t>сятся:</w:t>
      </w:r>
    </w:p>
    <w:p w:rsidR="00000000" w:rsidRDefault="00000000">
      <w:pPr>
        <w:tabs>
          <w:tab w:val="left" w:pos="284"/>
        </w:tabs>
      </w:pPr>
      <w:r>
        <w:tab/>
      </w:r>
      <w:r>
        <w:sym w:font="Symbol" w:char="F0B7"/>
      </w:r>
      <w:r>
        <w:tab/>
        <w:t>Приложение "Экис Экис" к общенациональной газете "Эксельсиор".</w:t>
      </w:r>
    </w:p>
    <w:p w:rsidR="00000000" w:rsidRDefault="00000000">
      <w:pPr>
        <w:tabs>
          <w:tab w:val="left" w:pos="284"/>
        </w:tabs>
      </w:pPr>
      <w:r>
        <w:tab/>
      </w:r>
      <w:r>
        <w:sym w:font="Symbol" w:char="F0B7"/>
      </w:r>
      <w:r>
        <w:tab/>
        <w:t>Журнал "Хенерос", издающийся Университетом штата Колима.</w:t>
      </w:r>
    </w:p>
    <w:p w:rsidR="00000000" w:rsidRDefault="00000000">
      <w:pPr>
        <w:tabs>
          <w:tab w:val="left" w:pos="284"/>
        </w:tabs>
      </w:pPr>
      <w:r>
        <w:tab/>
      </w:r>
      <w:r>
        <w:sym w:font="Symbol" w:char="F0B7"/>
      </w:r>
      <w:r>
        <w:tab/>
        <w:t>Журнал "Хенеро", издающийся Институтом женщины штата Пуэбла.</w:t>
      </w:r>
    </w:p>
    <w:p w:rsidR="00000000" w:rsidRDefault="00000000">
      <w:pPr>
        <w:pStyle w:val="Heading4"/>
      </w:pPr>
      <w:r>
        <w:t>Научные исследования</w:t>
      </w:r>
    </w:p>
    <w:p w:rsidR="00000000" w:rsidRDefault="00000000">
      <w:r>
        <w:t>293.</w:t>
      </w:r>
      <w:r>
        <w:tab/>
        <w:t>В Мексике созданы различные научные и учебные центры, специально занимающиеся проблемами полож</w:t>
      </w:r>
      <w:r>
        <w:t>е</w:t>
      </w:r>
      <w:r>
        <w:t>ния женщин в стране. Эти центры выполняют важную работу по внедрению гендерной проблематики как в подг</w:t>
      </w:r>
      <w:r>
        <w:t>о</w:t>
      </w:r>
      <w:r>
        <w:t>товку кадров, так и в разработку, развитие и оценку научных исследований. Назовем следующие центры:</w:t>
      </w:r>
    </w:p>
    <w:p w:rsidR="00000000" w:rsidRDefault="00000000">
      <w:pPr>
        <w:tabs>
          <w:tab w:val="left" w:pos="284"/>
        </w:tabs>
        <w:ind w:left="567" w:hanging="567"/>
        <w:rPr>
          <w:highlight w:val="green"/>
        </w:rPr>
      </w:pPr>
      <w:r>
        <w:tab/>
      </w:r>
      <w:r>
        <w:sym w:font="Symbol" w:char="F0B7"/>
      </w:r>
      <w:r>
        <w:tab/>
        <w:t>Междисциплинарная программа исследования проблем женщины (ПИЭМ) – Колехио де М</w:t>
      </w:r>
      <w:r>
        <w:t>е</w:t>
      </w:r>
      <w:r>
        <w:t>хико.</w:t>
      </w:r>
    </w:p>
    <w:p w:rsidR="00000000" w:rsidRDefault="00000000">
      <w:pPr>
        <w:tabs>
          <w:tab w:val="left" w:pos="284"/>
        </w:tabs>
        <w:ind w:left="567" w:hanging="567"/>
      </w:pPr>
      <w:r>
        <w:tab/>
      </w:r>
      <w:r>
        <w:sym w:font="Symbol" w:char="F0B7"/>
      </w:r>
      <w:r>
        <w:tab/>
        <w:t>Университетская программа гендерных исследований (ПУЭХ) – Национальный автономный универс</w:t>
      </w:r>
      <w:r>
        <w:t>и</w:t>
      </w:r>
      <w:r>
        <w:t>тет города Мехико.</w:t>
      </w:r>
    </w:p>
    <w:p w:rsidR="00000000" w:rsidRDefault="00000000">
      <w:pPr>
        <w:tabs>
          <w:tab w:val="left" w:pos="284"/>
        </w:tabs>
        <w:ind w:left="567" w:hanging="567"/>
      </w:pPr>
      <w:r>
        <w:tab/>
      </w:r>
      <w:r>
        <w:sym w:font="Symbol" w:char="F0B7"/>
      </w:r>
      <w:r>
        <w:tab/>
        <w:t>Отдел проблем женщины и гендерных отношений кафедры политики и культуры Автономного униве</w:t>
      </w:r>
      <w:r>
        <w:t>р</w:t>
      </w:r>
      <w:r>
        <w:t>ситета города Мехико, отделение в Сочимилко, в котором имеется докторантура в области общественных наук с соответствующей специализацией и магистратура в области проблем женщины, первый выпуск которых состоялся в 2000 году.</w:t>
      </w:r>
    </w:p>
    <w:p w:rsidR="00000000" w:rsidRDefault="00000000">
      <w:pPr>
        <w:tabs>
          <w:tab w:val="left" w:pos="284"/>
        </w:tabs>
        <w:ind w:left="567" w:hanging="567"/>
      </w:pPr>
      <w:r>
        <w:tab/>
      </w:r>
      <w:r>
        <w:sym w:font="Symbol" w:char="F0B7"/>
      </w:r>
      <w:r>
        <w:tab/>
        <w:t>Магистратура по проблемам сельских женщин в Автономном университете города Чапинго.</w:t>
      </w:r>
    </w:p>
    <w:p w:rsidR="00000000" w:rsidRDefault="00000000">
      <w:pPr>
        <w:tabs>
          <w:tab w:val="left" w:pos="284"/>
        </w:tabs>
        <w:ind w:left="567" w:hanging="567"/>
      </w:pPr>
      <w:r>
        <w:tab/>
      </w:r>
      <w:r>
        <w:sym w:font="Symbol" w:char="F0B7"/>
      </w:r>
      <w:r>
        <w:tab/>
        <w:t>Национальный педагогический университет.</w:t>
      </w:r>
    </w:p>
    <w:p w:rsidR="00000000" w:rsidRDefault="00000000">
      <w:r>
        <w:t>294.</w:t>
      </w:r>
      <w:r>
        <w:tab/>
        <w:t>В университетской программе гендерных исследований (ПУЭХ) принимали участие различные высшие учебные заведения многих штатов Мексиканской Республики, которые разрабатывают специальные программы, имеют специальные отделения или реализуют проекты, посвященные гендерной проблематике. Эта работа сыграла решающее значение в создании около 30 соответствующих центров и программ в учебных заведениях страны. П</w:t>
      </w:r>
      <w:r>
        <w:t>о</w:t>
      </w:r>
      <w:r>
        <w:t>стоянный обмен опытом между этими заведениями привел к созданию Национальной сети центров и программ по гендерной проблематике высших учебных заведений Ме</w:t>
      </w:r>
      <w:r>
        <w:t>к</w:t>
      </w:r>
      <w:r>
        <w:t>сики.</w:t>
      </w:r>
    </w:p>
    <w:p w:rsidR="00000000" w:rsidRDefault="00000000">
      <w:pPr>
        <w:pStyle w:val="Heading3"/>
      </w:pPr>
      <w:r>
        <w:t>2.</w:t>
      </w:r>
      <w:r>
        <w:tab/>
        <w:t>Равенство обязанностей в семье</w:t>
      </w:r>
    </w:p>
    <w:p w:rsidR="00000000" w:rsidRDefault="00000000">
      <w:r>
        <w:t>295.</w:t>
      </w:r>
      <w:r>
        <w:tab/>
        <w:t>Семья является основной ячейкой общества и оптимальной средой для социализации личности. Семья не может рассматриваться просто как сумма ее членов, она должна рассматриваться как взаимосвязанная группа, имеющая специфические функции и собственные нужды, стабильная основа и центр межличностных отношений. В целом семья через сложное переплетение социальных функций связует поколения, формирует самосознание членов группы и наполняет содержанием родственные отношения. Внутри семьи происходит процесс биологического во</w:t>
      </w:r>
      <w:r>
        <w:t>с</w:t>
      </w:r>
      <w:r>
        <w:t>производства, в кругу семьи осуществляется передача следующим поколениям материальных благ, а также норм поведения и правил общежития. Семья формирует характер личности, воспитывает способы действия и мышления, которые превращаются в привычку, вырабатывает и передает следующим поколениям общие представления о кул</w:t>
      </w:r>
      <w:r>
        <w:t>ь</w:t>
      </w:r>
      <w:r>
        <w:t>т</w:t>
      </w:r>
      <w:r>
        <w:t>у</w:t>
      </w:r>
      <w:r>
        <w:t>ре и ее конкретные образцы.</w:t>
      </w:r>
    </w:p>
    <w:p w:rsidR="00000000" w:rsidRDefault="00000000">
      <w:r>
        <w:t>296.</w:t>
      </w:r>
      <w:r>
        <w:tab/>
        <w:t>Национальная программа по улучшению положения женщин, как уже было указано в предыдущих докл</w:t>
      </w:r>
      <w:r>
        <w:t>а</w:t>
      </w:r>
      <w:r>
        <w:t>дах, включает специальный раздел "Женщина и семья", который призван "способствовать более равноправному разделению между мужчинами и женщинами семейного имущества и семейных обязанностей, принимая во вним</w:t>
      </w:r>
      <w:r>
        <w:t>а</w:t>
      </w:r>
      <w:r>
        <w:t>ние различия в социально-экономическом положении и культурном уровне семей, различные формы их создания и существования, а также те изменения, которые происходят в течение их жизненного ци</w:t>
      </w:r>
      <w:r>
        <w:t>к</w:t>
      </w:r>
      <w:r>
        <w:t>ла".</w:t>
      </w:r>
    </w:p>
    <w:p w:rsidR="00000000" w:rsidRDefault="00000000">
      <w:r>
        <w:t>297.</w:t>
      </w:r>
      <w:r>
        <w:tab/>
        <w:t>Одним из ведущих направлений деятельности в рамках этого раздела является "Проведение акций, которые способствовали бы установлению равенства в правах и обязанностях мужчин и женщин в лоне семьи, стимулируя изменение отношения к этой проблеме со ст</w:t>
      </w:r>
      <w:r>
        <w:t>о</w:t>
      </w:r>
      <w:r>
        <w:t>роны мужского населения".</w:t>
      </w:r>
    </w:p>
    <w:p w:rsidR="00000000" w:rsidRDefault="00000000">
      <w:r>
        <w:t>298.</w:t>
      </w:r>
      <w:r>
        <w:tab/>
        <w:t>Следуя этим планам, Генеральный координационный комитет Национальной комиссии по делам женщин реализует проект, посвященный проблемам насилия, отцовства и сексуального и репродуктивного здоровья мужчин; этот пр</w:t>
      </w:r>
      <w:r>
        <w:t>о</w:t>
      </w:r>
      <w:r>
        <w:t>ект станет центральным направлением работы учреждений и организаций, а также центральной темой повестки дня конференций, форумов, курсов, семинаров, курсов повышения квалификации, радио- и телевизионных программ.</w:t>
      </w:r>
    </w:p>
    <w:p w:rsidR="00000000" w:rsidRDefault="00000000">
      <w:r>
        <w:t>299.</w:t>
      </w:r>
      <w:r>
        <w:tab/>
        <w:t>Частью этого проекта является кампания "Как мужчина мужчине: давайте станем настоящими отцами", к участию в которой были привлечены государственные организации по улучшению положения женщины; целью проекта является организация мероприятий, способствующих формированию в обществе нового взгляда на отцо</w:t>
      </w:r>
      <w:r>
        <w:t>в</w:t>
      </w:r>
      <w:r>
        <w:t>ство.</w:t>
      </w:r>
    </w:p>
    <w:p w:rsidR="00000000" w:rsidRDefault="00000000">
      <w:r>
        <w:t>300.</w:t>
      </w:r>
      <w:r>
        <w:tab/>
        <w:t>В целях формирования сознательного отношения к отцовству и для усиления роли отца в воспитании детей проводятся "Дни отцов" под девизом "За более сознательное отцовство", в рамках которых НКЖ организовала в 1999 году "круглый стол" в сотрудничестве с Коллективом мужчин за равноправные отношения (КОРИАК) и при поддержке Комиссии по проблемам гендерного равенства, палаты депутатов, правительства города Мехико и ЮНИСЕФ. Целью этого мероприятия явился анализ и обсуждение нового типа отцовства, более сознательного и более эмоционального, причем особое внимание было уделено тому факту, что мужчины, копируя поведение своих отцов, способствуют сохранению распространенных в обществе стереотипов роли отца в воспитании д</w:t>
      </w:r>
      <w:r>
        <w:t>е</w:t>
      </w:r>
      <w:r>
        <w:t>тей.</w:t>
      </w:r>
    </w:p>
    <w:p w:rsidR="00000000" w:rsidRDefault="00000000">
      <w:r>
        <w:t>301.</w:t>
      </w:r>
      <w:r>
        <w:tab/>
        <w:t>В то же время по всей стране была проведена кампания "Каким я вижу моего папу?", в которой активно участвовали восемь организаций, входящих в Национальный комитет за более ответственное отцовство.</w:t>
      </w:r>
    </w:p>
    <w:p w:rsidR="00000000" w:rsidRDefault="00000000">
      <w:pPr>
        <w:pStyle w:val="Heading2"/>
      </w:pPr>
      <w:r>
        <w:br w:type="page"/>
        <w:t>СТАТЬЯ 6</w:t>
      </w:r>
    </w:p>
    <w:p w:rsidR="00000000" w:rsidRDefault="00000000">
      <w:r>
        <w:t>302.</w:t>
      </w:r>
      <w:r>
        <w:tab/>
        <w:t>В этом разделе анализируются деятельность в области законотворчества, создание и изменение законов субъектов Федерации с целью защиты человеческих прав женщины и девочки, и прежде всего – их защиты от нас</w:t>
      </w:r>
      <w:r>
        <w:t>и</w:t>
      </w:r>
      <w:r>
        <w:t>лия в семье. В этом же направлении (с учетом гендерной проблематики) была стимулирована законотворческая де</w:t>
      </w:r>
      <w:r>
        <w:t>я</w:t>
      </w:r>
      <w:r>
        <w:t>тельность; была проведена работа по переподготовке служащих, ответственных за исполнение законов, в первую очередь в сфере интерпретации международных правовых инструментов, а также проведены мероприятия по п</w:t>
      </w:r>
      <w:r>
        <w:t>о</w:t>
      </w:r>
      <w:r>
        <w:t>вышению квалификации служащих Министерства внутренних дел, их помощников и судей по уголовным и гра</w:t>
      </w:r>
      <w:r>
        <w:t>ж</w:t>
      </w:r>
      <w:r>
        <w:t>данским делам.</w:t>
      </w:r>
    </w:p>
    <w:p w:rsidR="00000000" w:rsidRDefault="00000000">
      <w:r>
        <w:t>303.</w:t>
      </w:r>
      <w:r>
        <w:tab/>
        <w:t>3 марта 1999 года министр внутренних дел представил Национальную программу по борьбе с насилием в семье (ПРОНАВИ).</w:t>
      </w:r>
    </w:p>
    <w:p w:rsidR="00000000" w:rsidRDefault="00000000">
      <w:r>
        <w:t>304.</w:t>
      </w:r>
      <w:r>
        <w:tab/>
        <w:t>Цели</w:t>
      </w:r>
      <w:r>
        <w:rPr>
          <w:i/>
        </w:rPr>
        <w:t xml:space="preserve"> ПРОНАВИ:</w:t>
      </w:r>
    </w:p>
    <w:p w:rsidR="00000000" w:rsidRDefault="00000000">
      <w:pPr>
        <w:pStyle w:val="5"/>
        <w:tabs>
          <w:tab w:val="left" w:pos="284"/>
          <w:tab w:val="left" w:pos="680"/>
        </w:tabs>
      </w:pPr>
      <w:r>
        <w:sym w:font="Symbol" w:char="F0B7"/>
      </w:r>
      <w:r>
        <w:tab/>
        <w:t>Бороться с насилием в семье, предупреждать и искоренять его совместными действиями, которые будут организованы благодаря объединению усилий, направленных на преодоление век</w:t>
      </w:r>
      <w:r>
        <w:t>о</w:t>
      </w:r>
      <w:r>
        <w:t>вых пережитков авторитаризма.</w:t>
      </w:r>
    </w:p>
    <w:p w:rsidR="00000000" w:rsidRDefault="00000000">
      <w:pPr>
        <w:tabs>
          <w:tab w:val="left" w:pos="284"/>
        </w:tabs>
        <w:ind w:left="284" w:hanging="284"/>
      </w:pPr>
      <w:r>
        <w:sym w:font="Symbol" w:char="F0B7"/>
      </w:r>
      <w:r>
        <w:tab/>
        <w:t>Вытеснить насилие в семье такими ценностями, как уважение к человеческому достоинству и бесконфлик</w:t>
      </w:r>
      <w:r>
        <w:t>т</w:t>
      </w:r>
      <w:r>
        <w:t>ное сосуществование, благодаря которым члены семьи научатся решать конфликты, возникающие в семейных о</w:t>
      </w:r>
      <w:r>
        <w:t>т</w:t>
      </w:r>
      <w:r>
        <w:t>ношениях, не путем насилия, а путем переговоров, основанных на совпадениях во мнениях, сплоченности, солида</w:t>
      </w:r>
      <w:r>
        <w:t>р</w:t>
      </w:r>
      <w:r>
        <w:t>ности и ответственности; такие переговоры позволят принять решения, необходимые для преодоления разногласий.</w:t>
      </w:r>
    </w:p>
    <w:p w:rsidR="00000000" w:rsidRDefault="00000000">
      <w:r>
        <w:t>305.</w:t>
      </w:r>
      <w:r>
        <w:tab/>
        <w:t>Для достижения поставленных задач главная цель Программы формулируется следующим образом: "Со</w:t>
      </w:r>
      <w:r>
        <w:t>з</w:t>
      </w:r>
      <w:r>
        <w:t>дать согласованную, комплексную, междисциплинарную и межведомственную функциональную систему для иск</w:t>
      </w:r>
      <w:r>
        <w:t>о</w:t>
      </w:r>
      <w:r>
        <w:t>ренения насилия в семье, которая работала бы в тесном взаимодействии с социально активными слоями общества и располагала бы возможностями, которые позволят выявлять и регистрировать случаи оказания помощи людям, ставшим жертвами насилия, предупреждать насилие в семье на всех уровнях, осуществлять мониторинг и оценку результатов принятых мер".</w:t>
      </w:r>
    </w:p>
    <w:p w:rsidR="00000000" w:rsidRDefault="00000000">
      <w:r>
        <w:t>306.</w:t>
      </w:r>
      <w:r>
        <w:tab/>
        <w:t>Главная цель ПРОНАВИ должна быть достигнута путем решения частных проблем, таких как:</w:t>
      </w:r>
    </w:p>
    <w:p w:rsidR="00000000" w:rsidRDefault="00000000">
      <w:pPr>
        <w:tabs>
          <w:tab w:val="left" w:pos="284"/>
        </w:tabs>
        <w:ind w:left="284" w:hanging="284"/>
      </w:pPr>
      <w:r>
        <w:sym w:font="Symbol" w:char="F0B7"/>
      </w:r>
      <w:r>
        <w:tab/>
        <w:t>Создание системы мониторинга насилия в семье, которая позволила бы установить качественные и колич</w:t>
      </w:r>
      <w:r>
        <w:t>е</w:t>
      </w:r>
      <w:r>
        <w:t>ственные показатели этого явления, то есть установить реальную цифру случаев насилия в семье, а также устан</w:t>
      </w:r>
      <w:r>
        <w:t>о</w:t>
      </w:r>
      <w:r>
        <w:t>вить, какие именно члены семьи чаще подвергаются нас</w:t>
      </w:r>
      <w:r>
        <w:t>и</w:t>
      </w:r>
      <w:r>
        <w:t>лию и в какой форме.</w:t>
      </w:r>
    </w:p>
    <w:p w:rsidR="00000000" w:rsidRDefault="00000000">
      <w:pPr>
        <w:tabs>
          <w:tab w:val="left" w:pos="284"/>
        </w:tabs>
        <w:ind w:left="284" w:hanging="284"/>
      </w:pPr>
      <w:r>
        <w:sym w:font="Symbol" w:char="F0B7"/>
      </w:r>
      <w:r>
        <w:tab/>
        <w:t>Создание системы помощи жертвам насилия в семье, а также лицам, виновным в насилии, с целью помочь им научиться решать свои проблемы, не прибегая к насилию, а также системы защиты и реабилитации жертв нас</w:t>
      </w:r>
      <w:r>
        <w:t>и</w:t>
      </w:r>
      <w:r>
        <w:t>лия и мер по исправлению и психологической реабилитации тех, кто совершает акты насилия.</w:t>
      </w:r>
    </w:p>
    <w:p w:rsidR="00000000" w:rsidRDefault="00000000">
      <w:pPr>
        <w:pStyle w:val="5"/>
        <w:tabs>
          <w:tab w:val="left" w:pos="284"/>
          <w:tab w:val="left" w:pos="680"/>
        </w:tabs>
      </w:pPr>
      <w:r>
        <w:sym w:font="Symbol" w:char="F0B7"/>
      </w:r>
      <w:r>
        <w:tab/>
        <w:t>Создать систему предупреждения насилия в семье, которая позволила бы перестать считать насилие единс</w:t>
      </w:r>
      <w:r>
        <w:t>т</w:t>
      </w:r>
      <w:r>
        <w:t>венно возможной моделью семейных отношений и способствовала бы тому, чтобы создавались новые внутрис</w:t>
      </w:r>
      <w:r>
        <w:t>е</w:t>
      </w:r>
      <w:r>
        <w:t>мейные модели поведения, основанные как на уважении достоинства и различий членов семьи, так и на убеждении, что мальчики и девочки нуждаются в специальной заботе и внимании. Деятельность этой системы должна быть н</w:t>
      </w:r>
      <w:r>
        <w:t>а</w:t>
      </w:r>
      <w:r>
        <w:t>правлена на то, чтобы во всех государственных органах, учреждениях и организациях укреплялось убеждение, что насилие в семье представляет собой заслуживающее всеобщего внимания явление, с которым должно быть поко</w:t>
      </w:r>
      <w:r>
        <w:t>н</w:t>
      </w:r>
      <w:r>
        <w:t>чено общими усили</w:t>
      </w:r>
      <w:r>
        <w:t>я</w:t>
      </w:r>
      <w:r>
        <w:t>ми.</w:t>
      </w:r>
    </w:p>
    <w:p w:rsidR="00000000" w:rsidRDefault="00000000">
      <w:pPr>
        <w:tabs>
          <w:tab w:val="left" w:pos="284"/>
        </w:tabs>
        <w:ind w:left="284" w:hanging="284"/>
      </w:pPr>
      <w:r>
        <w:sym w:font="Symbol" w:char="F0B7"/>
      </w:r>
      <w:r>
        <w:tab/>
        <w:t>Создать юридические инструменты, которые способствовали бы решению поставленных з</w:t>
      </w:r>
      <w:r>
        <w:t>а</w:t>
      </w:r>
      <w:r>
        <w:t>дач.</w:t>
      </w:r>
    </w:p>
    <w:p w:rsidR="00000000" w:rsidRDefault="00000000">
      <w:pPr>
        <w:tabs>
          <w:tab w:val="left" w:pos="284"/>
        </w:tabs>
        <w:ind w:left="284" w:hanging="284"/>
      </w:pPr>
      <w:r>
        <w:sym w:font="Symbol" w:char="F0B7"/>
      </w:r>
      <w:r>
        <w:tab/>
        <w:t>Создать межведомственную систему связи и сотрудничества, которая позволила бы государственным сл</w:t>
      </w:r>
      <w:r>
        <w:t>у</w:t>
      </w:r>
      <w:r>
        <w:t>жащим всех уровней поддерживать связь и работать в тесном взаимодействии для улучшения системы выявления, оказания помощи жертвам, предупреждения, информации и оценки случаев насилия в семье, а также борьбы с ним во всех формах и на всех уровнях.</w:t>
      </w:r>
    </w:p>
    <w:p w:rsidR="00000000" w:rsidRDefault="00000000">
      <w:pPr>
        <w:pStyle w:val="5"/>
        <w:tabs>
          <w:tab w:val="left" w:pos="284"/>
          <w:tab w:val="left" w:pos="680"/>
        </w:tabs>
      </w:pPr>
      <w:r>
        <w:sym w:font="Symbol" w:char="F0B7"/>
      </w:r>
      <w:r>
        <w:tab/>
        <w:t>Создать систему координации предлагаемых мер на федеральном уровне, с тем чтобы при их разработке принимались во внимание особенности каждого субъекта Федерации. Благодаря такому подходу, а также участию всего общества и правительств штатов в реализации таких мер эта деятельность будет консолидироваться и разв</w:t>
      </w:r>
      <w:r>
        <w:t>и</w:t>
      </w:r>
      <w:r>
        <w:t>ват</w:t>
      </w:r>
      <w:r>
        <w:t>ь</w:t>
      </w:r>
      <w:r>
        <w:t>ся.</w:t>
      </w:r>
    </w:p>
    <w:p w:rsidR="00000000" w:rsidRDefault="00000000">
      <w:r>
        <w:t>307.</w:t>
      </w:r>
      <w:r>
        <w:tab/>
        <w:t>НКЖ призвала правительства всех субъектов Федерации создать в каждом штате соответствующие пр</w:t>
      </w:r>
      <w:r>
        <w:t>о</w:t>
      </w:r>
      <w:r>
        <w:t>граммы по борьбе с насилием в семье и назначить ответственного за взаимодействие и осуществление связи между правительствами штатов и Национальной комиссией по делам же</w:t>
      </w:r>
      <w:r>
        <w:t>н</w:t>
      </w:r>
      <w:r>
        <w:t>щин.</w:t>
      </w:r>
    </w:p>
    <w:p w:rsidR="00000000" w:rsidRDefault="00000000">
      <w:r>
        <w:t>308.</w:t>
      </w:r>
      <w:r>
        <w:tab/>
        <w:t>НКЖ в сотрудничестве с ЮНИСЕФ, правительствами штатов, верховными судами штатов и государстве</w:t>
      </w:r>
      <w:r>
        <w:t>н</w:t>
      </w:r>
      <w:r>
        <w:t>ными служащими, ответственными за координацию этой деятельности, подготовила и провела уже упоминавшийся семинар "Законодательная деятельность с учетом гендерной проблематики", в рамках которого серьезное внимание было уделено проблемам насилия в семье.</w:t>
      </w:r>
    </w:p>
    <w:p w:rsidR="00000000" w:rsidRDefault="00000000">
      <w:r>
        <w:t>309.</w:t>
      </w:r>
      <w:r>
        <w:tab/>
        <w:t>Также НКЖ в сотрудничестве с Межамериканской комиссией по делам женщин, Детским фондом Орган</w:t>
      </w:r>
      <w:r>
        <w:t>и</w:t>
      </w:r>
      <w:r>
        <w:t xml:space="preserve">зации Объединенных Наций (ЮНИСЕФ), Министерством иностранных дел, Автономным университетом </w:t>
      </w:r>
      <w:r>
        <w:rPr>
          <w:color w:val="000000"/>
        </w:rPr>
        <w:t>Мехико – Аскапотсалко</w:t>
      </w:r>
      <w:r>
        <w:t xml:space="preserve">, правительствами штатов и верховными судами организовал семинары по </w:t>
      </w:r>
      <w:r>
        <w:rPr>
          <w:color w:val="000000"/>
        </w:rPr>
        <w:t>применению</w:t>
      </w:r>
      <w:r>
        <w:t xml:space="preserve"> в Мексике Межамериканской конвенции о предотвращении и искоренении насилия в отношении женщин и наказании за него (Конвенция Б</w:t>
      </w:r>
      <w:r>
        <w:t>е</w:t>
      </w:r>
      <w:r>
        <w:t>лем-ду-Пара).</w:t>
      </w:r>
    </w:p>
    <w:p w:rsidR="00000000" w:rsidRDefault="00000000">
      <w:r>
        <w:t>310.</w:t>
      </w:r>
      <w:r>
        <w:tab/>
        <w:t>В рамках этих семинаров государственным служащим, прежде всего имеющим круг обязанностей, включающих соблюдение и исполнение законов, предлагаются формы, в которых может применяться Конвенция Белем-ду-Пара, в соответствии с гендерными критериями и принципами приоритета интересов детей. Частью этого проекта стала публикация Руководства по применению в Мексике Межамериканской конвенции о предотвращении и иск</w:t>
      </w:r>
      <w:r>
        <w:t>о</w:t>
      </w:r>
      <w:r>
        <w:t>ренении насилия в отношении женщин и наказании за него, которое представляет собой перечень типичных случаев и примеров судебных решений, в которых была учтена гендерная проблематика. Также была создана Интеракти</w:t>
      </w:r>
      <w:r>
        <w:t>в</w:t>
      </w:r>
      <w:r>
        <w:t>ная электронная программа, которая должна стать руководством по применению Конвенции в Мексике. Кроме того, была выпущена брошюра, призывающая работников верховных судов штатов, уже участвовавших в подобных с</w:t>
      </w:r>
      <w:r>
        <w:t>е</w:t>
      </w:r>
      <w:r>
        <w:t>минарах, повторно принять в них участие, а также были опубликованы необходимые учебные матери</w:t>
      </w:r>
      <w:r>
        <w:t>а</w:t>
      </w:r>
      <w:r>
        <w:t>лы.</w:t>
      </w:r>
    </w:p>
    <w:p w:rsidR="00000000" w:rsidRDefault="00000000">
      <w:r>
        <w:t>311.</w:t>
      </w:r>
      <w:r>
        <w:tab/>
        <w:t>С июня 1998 года эти семинары были проведены в верховных судах федерального округа, штатов Оахака, Юкатан, Герреро и Идальго, в правительствах штатов Коауила и Веракрус, а также в миссии Верховного комиссара Организации Объединенных Наций по делам беженцев в городах Тапачула и Комитан, штат Чьяпас, и в Национал</w:t>
      </w:r>
      <w:r>
        <w:t>ь</w:t>
      </w:r>
      <w:r>
        <w:t>ной комиссии по правам человека. К сентябрю текущего года такие семинары были проведены в штатах Сан-Луис-Потоси, Керетаро, Пуэбла, Гуанахуато, Мичокан, Тласкала, Дуранго, Мехико, Агуаскалиентес, Сонора. В остал</w:t>
      </w:r>
      <w:r>
        <w:t>ь</w:t>
      </w:r>
      <w:r>
        <w:t>ных штатах семинары б</w:t>
      </w:r>
      <w:r>
        <w:t>у</w:t>
      </w:r>
      <w:r>
        <w:t>дут проведены до конца 2000 года.</w:t>
      </w:r>
    </w:p>
    <w:p w:rsidR="00000000" w:rsidRDefault="00000000">
      <w:r>
        <w:t>312.</w:t>
      </w:r>
      <w:r>
        <w:tab/>
        <w:t>В феврале 2000 года Национальная комиссия по правам человека начала осуществлять Программу помощи жертвам преступлений (ПРОВИКТИМА), которая учитывает, в частности, преступления против нормального пс</w:t>
      </w:r>
      <w:r>
        <w:t>и</w:t>
      </w:r>
      <w:r>
        <w:t>хосексуального развития личности, связанные в основном с насилием в семье (изнасилование, сексуальные дом</w:t>
      </w:r>
      <w:r>
        <w:t>о</w:t>
      </w:r>
      <w:r>
        <w:t>гательства, сексуальные надругательства).</w:t>
      </w:r>
    </w:p>
    <w:p w:rsidR="00000000" w:rsidRDefault="00000000">
      <w:r>
        <w:t>313.</w:t>
      </w:r>
      <w:r>
        <w:tab/>
        <w:t>В координации с комиссиями по правам человека соответствующих штатов и различными судебными у</w:t>
      </w:r>
      <w:r>
        <w:t>ч</w:t>
      </w:r>
      <w:r>
        <w:t>реждениями, а также учреждениями здравоохранения, образования, социального обеспечения и охраны труда были организованы курсы, семинары и специальные учебные программы для служащих, работающих в этих областях, с целью обеспечить должный уровень внимания к правам женщин в повседневной деятельности служащих таких у</w:t>
      </w:r>
      <w:r>
        <w:t>ч</w:t>
      </w:r>
      <w:r>
        <w:t>реждений.</w:t>
      </w:r>
    </w:p>
    <w:p w:rsidR="00000000" w:rsidRDefault="00000000">
      <w:r>
        <w:t>314.</w:t>
      </w:r>
      <w:r>
        <w:tab/>
        <w:t>В октябре 1998 года состоялось подписание Соглашения о сотрудничестве между правительством Мексики и учреждениями системы Организации Объединенных Наций в пров</w:t>
      </w:r>
      <w:r>
        <w:t>е</w:t>
      </w:r>
      <w:r>
        <w:t>дении Национальной кампании по борьбе с насилием в отношении к женщинам, девочкам и мальчикам, получи</w:t>
      </w:r>
      <w:r>
        <w:t>в</w:t>
      </w:r>
      <w:r>
        <w:t>шая название "Жизнь без насилия – н</w:t>
      </w:r>
      <w:r>
        <w:t>а</w:t>
      </w:r>
      <w:r>
        <w:t>ше право".</w:t>
      </w:r>
    </w:p>
    <w:p w:rsidR="00000000" w:rsidRDefault="00000000">
      <w:r>
        <w:t>315.</w:t>
      </w:r>
      <w:r>
        <w:tab/>
        <w:t>Эта кампания представляла собой межведомственный проект и проводилась в 1998–1999 годах. Кампания координировалась Фондом Организации Объединенных Наций для развития в интересах женщин (ЮНИФЕМ) при участии Программы развития Организации Объединенных Наций (ПРООН) и некоторых других организаций ме</w:t>
      </w:r>
      <w:r>
        <w:t>ж</w:t>
      </w:r>
      <w:r>
        <w:t>дународного сотрудничества. В кампании приняли участие такие органы федерального правительства, как Наци</w:t>
      </w:r>
      <w:r>
        <w:t>о</w:t>
      </w:r>
      <w:r>
        <w:t>нальный совет по народонаселению (КОНАПО), Национальная система комплексного развития семьи (ДИФ) и пр</w:t>
      </w:r>
      <w:r>
        <w:t>а</w:t>
      </w:r>
      <w:r>
        <w:t>вительства семи штатов Мексиканской Республики; в ней участвовали также учебные заведения, различные непр</w:t>
      </w:r>
      <w:r>
        <w:t>а</w:t>
      </w:r>
      <w:r>
        <w:t>вительственные организации и организации мексиканских деловых кругов.</w:t>
      </w:r>
    </w:p>
    <w:p w:rsidR="00000000" w:rsidRDefault="00000000">
      <w:r>
        <w:t>316.</w:t>
      </w:r>
      <w:r>
        <w:tab/>
        <w:t>Отдел общественной безопасности Министерства внутренних дел разработал Руководство по выявлению случаев насилия в семье в отношении несовершеннолетних правонарушителей. Совет по делам несовершенноле</w:t>
      </w:r>
      <w:r>
        <w:t>т</w:t>
      </w:r>
      <w:r>
        <w:t>них в сотрудничестве с Национальным исследовательским институтом по проблемам уголовного права опубликовал доклад "Насилие в семье и несовершеннолетние правонарушители. Руководство по выявлению случаев насилия". В этом документе описаны результаты применения упоминавшегося выше Руководства. Также были разработаны Предварительный вопросник для выявления случаев насилия в семье в отношении несовершеннолетних правон</w:t>
      </w:r>
      <w:r>
        <w:t>а</w:t>
      </w:r>
      <w:r>
        <w:t>рушителей и Расширенный вопросник для определения уровня насилия в семье и его влияния на противоправное поведение несовершеннолетних правонарушителей. В настоящее время анализируются результаты работы с этими докуме</w:t>
      </w:r>
      <w:r>
        <w:t>н</w:t>
      </w:r>
      <w:r>
        <w:t>тами.</w:t>
      </w:r>
    </w:p>
    <w:p w:rsidR="00000000" w:rsidRDefault="00000000">
      <w:r>
        <w:t>317.</w:t>
      </w:r>
      <w:r>
        <w:tab/>
        <w:t>В органы Национальной системы комплексного развития семьи (ДИФ) с января по декабрь 1999 года было подано 25 046 заявлений о жестоком обращении с несовершеннолетними, из них 49,4 процента приходилось на д</w:t>
      </w:r>
      <w:r>
        <w:t>о</w:t>
      </w:r>
      <w:r>
        <w:t>лю девочек; 14 тыс. из всего количества поданных заявлений подтверд</w:t>
      </w:r>
      <w:r>
        <w:t>и</w:t>
      </w:r>
      <w:r>
        <w:t>лось.</w:t>
      </w:r>
    </w:p>
    <w:p w:rsidR="00000000" w:rsidRDefault="00000000">
      <w:r>
        <w:t>318.</w:t>
      </w:r>
      <w:r>
        <w:tab/>
        <w:t>Генеральная прокуратура Республики (ГПР) заключила соглашение с ДИФ, в соответствии с которым ГПР принимает на себя обязательства установить сотрудничество с прокуратурами штатов по всей стране в вопросе о создании специализированных агентств по оказанию помощи несовершеннолетним и и</w:t>
      </w:r>
      <w:r>
        <w:t>н</w:t>
      </w:r>
      <w:r>
        <w:t>валидам.</w:t>
      </w:r>
    </w:p>
    <w:p w:rsidR="00000000" w:rsidRDefault="00000000">
      <w:r>
        <w:t>319.</w:t>
      </w:r>
      <w:r>
        <w:tab/>
        <w:t>Министерство здравоохранения в сотрудничестве с Генеральной прокуратурой федерального округа (ГПФО) участвует в Программе реабилитации жертв насилия в семье и сексуальных преступлений. Еще одно с</w:t>
      </w:r>
      <w:r>
        <w:t>о</w:t>
      </w:r>
      <w:r>
        <w:t xml:space="preserve">глашение между ГПФО и Министерством здравоохранения предусматривает создание на базе госпиталя </w:t>
      </w:r>
      <w:r>
        <w:br/>
        <w:t>"Хеа Го</w:t>
      </w:r>
      <w:r>
        <w:t>н</w:t>
      </w:r>
      <w:r>
        <w:t>салес", который оказывает помощь подросткам – жертвам изнасилований, Программы сохранения репродуктивного здоровья подр</w:t>
      </w:r>
      <w:r>
        <w:t>о</w:t>
      </w:r>
      <w:r>
        <w:t>стков.</w:t>
      </w:r>
    </w:p>
    <w:p w:rsidR="00000000" w:rsidRDefault="00000000">
      <w:r>
        <w:t>320.</w:t>
      </w:r>
      <w:r>
        <w:tab/>
        <w:t>Отдел репродуктивного здоровья Министерства здравоохранения совместно с Межамериканским банком развития, Колледжем Мехико и Панамериканской организацией здравоохранения развивают Межведомственный проект исследования и предотвращения насилия в семье. В ходе реализации этого проекта были организованы с</w:t>
      </w:r>
      <w:r>
        <w:t>е</w:t>
      </w:r>
      <w:r>
        <w:t>минары по оказанию помощи жертвам насилия в семье. В настоящее время предпринимаются попытки создать си</w:t>
      </w:r>
      <w:r>
        <w:t>с</w:t>
      </w:r>
      <w:r>
        <w:t>тему экстренной помощи, которая объединила бы лечебные учреждения и местные организации, занимающиеся оказанием помощи жертвам насилия в семье.</w:t>
      </w:r>
    </w:p>
    <w:p w:rsidR="00000000" w:rsidRDefault="00000000">
      <w:r>
        <w:t>321.</w:t>
      </w:r>
      <w:r>
        <w:tab/>
        <w:t>В городе Мехико, а также в столицах некоторых штатов Национальная система комплексного развития с</w:t>
      </w:r>
      <w:r>
        <w:t>е</w:t>
      </w:r>
      <w:r>
        <w:t>мьи (ДИФ) организует специальные приюты для временного проживания жертв насилия в семье; кроме того, со</w:t>
      </w:r>
      <w:r>
        <w:t>з</w:t>
      </w:r>
      <w:r>
        <w:t>даются специальные органы, занимающиеся пробл</w:t>
      </w:r>
      <w:r>
        <w:t>е</w:t>
      </w:r>
      <w:r>
        <w:t>мами насилия в семье.</w:t>
      </w:r>
    </w:p>
    <w:p w:rsidR="00000000" w:rsidRDefault="00000000">
      <w:r>
        <w:t>322.</w:t>
      </w:r>
      <w:r>
        <w:tab/>
        <w:t>Министерство просвещения и молодежная организация "Кауса Ховен" призвали создать Национальную сеть по проблемам борьбы с насилием в отношении женщин и подростков при участии различных неправительс</w:t>
      </w:r>
      <w:r>
        <w:t>т</w:t>
      </w:r>
      <w:r>
        <w:t>венных организаций, соответствующих органов федеральной власти, а также учреждений системы Организации Объединенных Наций.</w:t>
      </w:r>
    </w:p>
    <w:p w:rsidR="00000000" w:rsidRDefault="00000000">
      <w:pPr>
        <w:pStyle w:val="Heading3"/>
      </w:pPr>
      <w:r>
        <w:t>Постановления правительства Мексики</w:t>
      </w:r>
    </w:p>
    <w:p w:rsidR="00000000" w:rsidRDefault="00000000">
      <w:r>
        <w:t>323.</w:t>
      </w:r>
      <w:r>
        <w:tab/>
        <w:t>Деятельность Министерства здравоохранения была направлена на реализацию основных положений пр</w:t>
      </w:r>
      <w:r>
        <w:t>о</w:t>
      </w:r>
      <w:r>
        <w:t>граммы ПРОНАВИ. Важнейшим направлением этой деятельности явилась разработка официальных концепций по проблемам насилия в семье, то есть выработка медицинских критериев для сбора данных, которые позволят устан</w:t>
      </w:r>
      <w:r>
        <w:t>о</w:t>
      </w:r>
      <w:r>
        <w:t>вить количественные показатели случаев насилия в семье и координировать деятельность комплексной межведо</w:t>
      </w:r>
      <w:r>
        <w:t>м</w:t>
      </w:r>
      <w:r>
        <w:t>ственной системы, которая бы функционировала в тесном контакте с организованными группами гражданского о</w:t>
      </w:r>
      <w:r>
        <w:t>б</w:t>
      </w:r>
      <w:r>
        <w:t>щества.</w:t>
      </w:r>
    </w:p>
    <w:p w:rsidR="00000000" w:rsidRDefault="00000000">
      <w:r>
        <w:t>324.</w:t>
      </w:r>
      <w:r>
        <w:tab/>
        <w:t>Постановление правительства Мексики (NOM-190-SSA1-1999) "Оказание медицинской помощи. Критерии по оказанию медицинской помощи жертвам насилия в семье" устанавливает принципы оказания медицинской п</w:t>
      </w:r>
      <w:r>
        <w:t>о</w:t>
      </w:r>
      <w:r>
        <w:t>мощи жертвам насилия в семье. Проект этого документа был опубликован 20 октября 1999 года в "Диарио Офис</w:t>
      </w:r>
      <w:r>
        <w:t>и</w:t>
      </w:r>
      <w:r>
        <w:t>аль". 14 февраля 2000 года проект был представлен и одобрен Национальным комитетом по унификации законод</w:t>
      </w:r>
      <w:r>
        <w:t>а</w:t>
      </w:r>
      <w:r>
        <w:t>тельства и развитию системы здравоохранения. 18 февраля в "Диарио Офисиаль" были опубликованы ответы на 260 предложений, полученных в ходе общественного обсуждения проекта, которое продолжалось 60 дней. 8 марта 2000 года, в Международный женский день, в "Диарио Офисиаль" было опубликовано уже принятое постановление. Этот юридический документ предполагает, что при оказании медицинской помощи в любой форме врачи должны будут уделять особое внимание выявлению признаков, симптомов или ситуаций насилия, которое может быть связано с семейными отношениями, и ставить о них в известность соответствующие правоохранительные органы. Для обе</w:t>
      </w:r>
      <w:r>
        <w:t>с</w:t>
      </w:r>
      <w:r>
        <w:t>печения применения постановления Министерство здравоохранения подготовило соответствующие информацио</w:t>
      </w:r>
      <w:r>
        <w:t>н</w:t>
      </w:r>
      <w:r>
        <w:t>ные материалы, которые были доведены до сведения персонала лечебных учрежд</w:t>
      </w:r>
      <w:r>
        <w:t>е</w:t>
      </w:r>
      <w:r>
        <w:t>ний.</w:t>
      </w:r>
    </w:p>
    <w:p w:rsidR="00000000" w:rsidRDefault="00000000">
      <w:r>
        <w:t>325.</w:t>
      </w:r>
      <w:r>
        <w:tab/>
        <w:t>В процессе подготовки постановления правительства Мексики Министерство здравоохранения координ</w:t>
      </w:r>
      <w:r>
        <w:t>и</w:t>
      </w:r>
      <w:r>
        <w:t>ровало деятельность 73 экспертов по различным вопросам, представлявших не только систему здравоохранения, но и пять министерств, а также законодательные органы, органы прокуратуры, правоохранительные, научные и ме</w:t>
      </w:r>
      <w:r>
        <w:t>ж</w:t>
      </w:r>
      <w:r>
        <w:t xml:space="preserve">дународные организации. В обсуждении приняли участие также </w:t>
      </w:r>
      <w:r>
        <w:br/>
        <w:t>16 неправительственных организаций, которые пользуются всеобщим признанием в научно-исследовательской среде, в области пропаганды, повышения квалиф</w:t>
      </w:r>
      <w:r>
        <w:t>и</w:t>
      </w:r>
      <w:r>
        <w:t>кации служащих, занимающихся проблемами народонаселения, семьи, женщин и нас</w:t>
      </w:r>
      <w:r>
        <w:t>и</w:t>
      </w:r>
      <w:r>
        <w:t>лия в семье.</w:t>
      </w:r>
    </w:p>
    <w:p w:rsidR="00000000" w:rsidRDefault="00000000">
      <w:r>
        <w:t>326.</w:t>
      </w:r>
      <w:r>
        <w:tab/>
        <w:t>Постановление предполагает такую форму работы, в которой на первом плане стоит предупреждение сл</w:t>
      </w:r>
      <w:r>
        <w:t>у</w:t>
      </w:r>
      <w:r>
        <w:t>чаев насилия в семье и выявление таких случаев, а кроме того, подразумевает оказание соответствующих медици</w:t>
      </w:r>
      <w:r>
        <w:t>н</w:t>
      </w:r>
      <w:r>
        <w:t>ских услуг, включая реабилитацию жертв насилия, и регистрацию случаев насилия в установленной форме. В док</w:t>
      </w:r>
      <w:r>
        <w:t>у</w:t>
      </w:r>
      <w:r>
        <w:t>менте определены принципы оказания медицинской помощи, которым должны следовать работники здравоохран</w:t>
      </w:r>
      <w:r>
        <w:t>е</w:t>
      </w:r>
      <w:r>
        <w:t>ния как во время посещения, так и во время приема пациентов, в процессе оказания помощи в стационарных лече</w:t>
      </w:r>
      <w:r>
        <w:t>б</w:t>
      </w:r>
      <w:r>
        <w:t>ных учреждениях и в процессе оказания экстренной мед</w:t>
      </w:r>
      <w:r>
        <w:t>и</w:t>
      </w:r>
      <w:r>
        <w:t>цинской помощи.</w:t>
      </w:r>
    </w:p>
    <w:p w:rsidR="00000000" w:rsidRDefault="00000000">
      <w:r>
        <w:t>327.</w:t>
      </w:r>
      <w:r>
        <w:tab/>
        <w:t>Эта система предупреждения насилия в семье способствует установлению семейных отношений, искл</w:t>
      </w:r>
      <w:r>
        <w:t>ю</w:t>
      </w:r>
      <w:r>
        <w:t>чающих насилие; выявляет (путем детального и комплексного изучения всех признаков насилия, как физического, так и психологического и сексуального) и оценивает уровень риска, которому подвергается жертва насилия, с ц</w:t>
      </w:r>
      <w:r>
        <w:t>е</w:t>
      </w:r>
      <w:r>
        <w:t>лью избежать повторения актов насилия, увеличения их т</w:t>
      </w:r>
      <w:r>
        <w:t>я</w:t>
      </w:r>
      <w:r>
        <w:t>жести и возможной смерти жертвы.</w:t>
      </w:r>
    </w:p>
    <w:p w:rsidR="00000000" w:rsidRDefault="00000000">
      <w:r>
        <w:t>328.</w:t>
      </w:r>
      <w:r>
        <w:tab/>
        <w:t>Реестр информации, созданный в соответствии с постановлением NOM-190, является подсистемой в сист</w:t>
      </w:r>
      <w:r>
        <w:t>е</w:t>
      </w:r>
      <w:r>
        <w:t>ме мониторинга эпидемиологической обстановки и несчастных случаев и травм, которая действует под управлен</w:t>
      </w:r>
      <w:r>
        <w:t>и</w:t>
      </w:r>
      <w:r>
        <w:t>ем Национального совета по предупреждению несчас</w:t>
      </w:r>
      <w:r>
        <w:t>т</w:t>
      </w:r>
      <w:r>
        <w:t>ных случаев и травм.</w:t>
      </w:r>
    </w:p>
    <w:p w:rsidR="00000000" w:rsidRDefault="00000000">
      <w:r>
        <w:t>329.</w:t>
      </w:r>
      <w:r>
        <w:tab/>
        <w:t>Для обеспечения нормального функционирования этой подсистемы регистрации информации было решено использовать уже существующие или измененные и дополненные формы документов, которые позволят сделать обработку информации постоянной, гарантировать ее эффективность, принимая во внимание возможности обр</w:t>
      </w:r>
      <w:r>
        <w:t>а</w:t>
      </w:r>
      <w:r>
        <w:t>ботки данных. Эти документы будут постепенно меняться в соответствии с изменением самого явления и с теми возможностями, которыми будут располагать различные учреждения Национальной системы здравоохр</w:t>
      </w:r>
      <w:r>
        <w:t>а</w:t>
      </w:r>
      <w:r>
        <w:t>нения.</w:t>
      </w:r>
    </w:p>
    <w:p w:rsidR="00000000" w:rsidRDefault="00000000">
      <w:r>
        <w:t>330.</w:t>
      </w:r>
      <w:r>
        <w:tab/>
        <w:t>Единая информационная система мониторинга эпидемиологической обстановки позволит устанавливать количество случаев насилия в семье в еженедельном режиме. В настоящее время эта система используется в 88,5 процента медицинских учреждений по всей территории страны; однако пока эта информация не дифференцирована по половому признаку. Система дополняется документами по индивидуальной регистрации случаев оказания п</w:t>
      </w:r>
      <w:r>
        <w:t>о</w:t>
      </w:r>
      <w:r>
        <w:t>мощи в медицинских учреждениях, информацией о больных, поступивших в стационарные лечебные учреждения, и свидетел</w:t>
      </w:r>
      <w:r>
        <w:t>ь</w:t>
      </w:r>
      <w:r>
        <w:t>ствами о смерти образца 2000 года.</w:t>
      </w:r>
    </w:p>
    <w:p w:rsidR="00000000" w:rsidRDefault="00000000">
      <w:r>
        <w:t>331.</w:t>
      </w:r>
      <w:r>
        <w:tab/>
        <w:t>На сегодняшний день медицинские работники и женщины, получившие подготовку по проблемам пред</w:t>
      </w:r>
      <w:r>
        <w:t>у</w:t>
      </w:r>
      <w:r>
        <w:t>преждения насилия в семье и инструктированные в отношении служб, призванных оказывать помощь в этой обла</w:t>
      </w:r>
      <w:r>
        <w:t>с</w:t>
      </w:r>
      <w:r>
        <w:t>ти, ежемесячно регистрируются в Информационной системе по вопросам здравоохр</w:t>
      </w:r>
      <w:r>
        <w:t>а</w:t>
      </w:r>
      <w:r>
        <w:t>нения для населения (СИСПА).</w:t>
      </w:r>
    </w:p>
    <w:p w:rsidR="00000000" w:rsidRDefault="00000000">
      <w:r>
        <w:t>332.</w:t>
      </w:r>
      <w:r>
        <w:tab/>
        <w:t>8 марта 2000 года Президент Республики призвал конституционных губернаторов и министерства здрав</w:t>
      </w:r>
      <w:r>
        <w:t>о</w:t>
      </w:r>
      <w:r>
        <w:t>охранения 31 субъекта Федерации и федерального округа поддержать распространение и обеспечить применение постановления NOM-190 во всех медицинских учрежден</w:t>
      </w:r>
      <w:r>
        <w:t>и</w:t>
      </w:r>
      <w:r>
        <w:t>ях.</w:t>
      </w:r>
    </w:p>
    <w:p w:rsidR="00000000" w:rsidRDefault="00000000">
      <w:r>
        <w:t>333.</w:t>
      </w:r>
      <w:r>
        <w:tab/>
        <w:t>Национальный совет по здравоохранению 13 апреля текущего года начал широкую кампанию по распр</w:t>
      </w:r>
      <w:r>
        <w:t>о</w:t>
      </w:r>
      <w:r>
        <w:t>странению и введению в действие постановления NOM-190; распространяется брошюра с информационными мат</w:t>
      </w:r>
      <w:r>
        <w:t>е</w:t>
      </w:r>
      <w:r>
        <w:t>риалами для ознакомления с проблемой руководящих сотрудников правительств и министерств здравоохранения штатов. Параллельно с этим упомянутое постановление распространяется в различных государственных органах и неправительственных организациях; также были подготовлены соответствующие информационные материалы для представителей средств массовой информации – прессы, радио и телеканалов, одновременно с этим началась радио- и телекампания, адресованная всему населению; в медицинских учреждениях по всей территории страны распр</w:t>
      </w:r>
      <w:r>
        <w:t>о</w:t>
      </w:r>
      <w:r>
        <w:t>страняются информативные буклеты о постановл</w:t>
      </w:r>
      <w:r>
        <w:t>е</w:t>
      </w:r>
      <w:r>
        <w:t>нии.</w:t>
      </w:r>
    </w:p>
    <w:p w:rsidR="00000000" w:rsidRDefault="00000000">
      <w:r>
        <w:t>334.</w:t>
      </w:r>
      <w:r>
        <w:tab/>
        <w:t>На уровне субъектов Федерации министерства здравоохранения штатов координируют широкие разъясн</w:t>
      </w:r>
      <w:r>
        <w:t>и</w:t>
      </w:r>
      <w:r>
        <w:t>тельные кампании, адресованные всему обществу и поддерживаемые прессой, радио и телевидением. В штатах Х</w:t>
      </w:r>
      <w:r>
        <w:t>а</w:t>
      </w:r>
      <w:r>
        <w:t>лиско, Гуанахуато, Юкатан и Герреро были организованы специальные форумы, на которых удалось объединить усилия всех организаций, заинтересованных в борьбе против насилия в семье, для решения задачи введения в де</w:t>
      </w:r>
      <w:r>
        <w:t>й</w:t>
      </w:r>
      <w:r>
        <w:t>ствие упомянутого постановл</w:t>
      </w:r>
      <w:r>
        <w:t>е</w:t>
      </w:r>
      <w:r>
        <w:t>ния.</w:t>
      </w:r>
    </w:p>
    <w:p w:rsidR="00000000" w:rsidRDefault="00000000">
      <w:r>
        <w:t>335.</w:t>
      </w:r>
      <w:r>
        <w:tab/>
        <w:t>В некоторых штатах (в том числе Идальго, Коауила, федеральный округ, Нуэво-Леон) реализуются или углубляются постоянные межведомственные программы, которые имеют целью улучшить информированность о</w:t>
      </w:r>
      <w:r>
        <w:t>б</w:t>
      </w:r>
      <w:r>
        <w:t>щества в целом и обеспечить специальную медицинскую п</w:t>
      </w:r>
      <w:r>
        <w:t>о</w:t>
      </w:r>
      <w:r>
        <w:t>мощь группам риска.</w:t>
      </w:r>
    </w:p>
    <w:p w:rsidR="00000000" w:rsidRDefault="00000000">
      <w:r>
        <w:t>336.</w:t>
      </w:r>
      <w:r>
        <w:tab/>
        <w:t>Одновременно с этим начал свои заседания межведомственный "круглый стол" с целью выработки мер по борьбе с насилием в семье. Этот орган будет развивать стратегическую линию, обозначенную принятием прав</w:t>
      </w:r>
      <w:r>
        <w:t>и</w:t>
      </w:r>
      <w:r>
        <w:t>тельственного постановления. Целью этой деятельности является углубление сотрудничества между различными ведомствами и принятие решений на высшем уровне, что позволит постепенно улучшить оказание помощи лицам, вовлеченным в насилие в семье. Обсуждались такие темы, как социальная адаптация; наблюдение за группами ри</w:t>
      </w:r>
      <w:r>
        <w:t>с</w:t>
      </w:r>
      <w:r>
        <w:t>ка; комплексная медицинская помощь; прямая и обратная связь с гражданами; информирование органов прокурат</w:t>
      </w:r>
      <w:r>
        <w:t>у</w:t>
      </w:r>
      <w:r>
        <w:t>ры; участие различных ведомств в этой деятельности и работа системы мониторинга санитарных служб в целях в</w:t>
      </w:r>
      <w:r>
        <w:t>ы</w:t>
      </w:r>
      <w:r>
        <w:t>явления случаев насилия в семье; анализ законодательных инициатив, представляемых в законодательные собрания штатов; проблемы безопасности потенциальных жертв насилия в семье и посредничество как альтернатива обращ</w:t>
      </w:r>
      <w:r>
        <w:t>е</w:t>
      </w:r>
      <w:r>
        <w:t>нию в пол</w:t>
      </w:r>
      <w:r>
        <w:t>и</w:t>
      </w:r>
      <w:r>
        <w:t>цию.</w:t>
      </w:r>
    </w:p>
    <w:p w:rsidR="00000000" w:rsidRDefault="00000000">
      <w:r>
        <w:t>337.</w:t>
      </w:r>
      <w:r>
        <w:tab/>
        <w:t>В дополнение к этому Министерство здравоохранения разрабатывает инструкции по предупреждению н</w:t>
      </w:r>
      <w:r>
        <w:t>а</w:t>
      </w:r>
      <w:r>
        <w:t>силия и преодолению его последствий для психологического и физического здоровья женщин, подвергшихся нас</w:t>
      </w:r>
      <w:r>
        <w:t>и</w:t>
      </w:r>
      <w:r>
        <w:t>лию. Производится проверка выполнения нормативов в сфере оказания медицинской помощи жертвам насилия в семье в государственных, акционерных и частных медицинских учреждениях по всей стране. Одновременно с этим медицинские работники разъясняют и пропагандируют способы предупреждения насилия в семье, привлекая к этой работе комитеты здравоохранения, общественные организации и лидеров местных о</w:t>
      </w:r>
      <w:r>
        <w:t>б</w:t>
      </w:r>
      <w:r>
        <w:t>щин.</w:t>
      </w:r>
    </w:p>
    <w:p w:rsidR="00000000" w:rsidRDefault="00000000">
      <w:r>
        <w:t>338.</w:t>
      </w:r>
      <w:r>
        <w:tab/>
        <w:t>По поручению Консультативного совета ПРОНАВИ Национальный институт статистики, географии и и</w:t>
      </w:r>
      <w:r>
        <w:t>н</w:t>
      </w:r>
      <w:r>
        <w:t>форматики (ИНЕГИ) провел во втором полугодии 1999 года опрос по проблемам н</w:t>
      </w:r>
      <w:r>
        <w:t>а</w:t>
      </w:r>
      <w:r>
        <w:t>силия в семье.</w:t>
      </w:r>
    </w:p>
    <w:p w:rsidR="00000000" w:rsidRDefault="00000000">
      <w:pPr>
        <w:spacing w:after="480"/>
      </w:pPr>
      <w:r>
        <w:t>339.</w:t>
      </w:r>
      <w:r>
        <w:tab/>
        <w:t>По результатам этого опроса выяснилось, что в каждой третьей из 4,3 млн. семей (5,8 млн. человек), прож</w:t>
      </w:r>
      <w:r>
        <w:t>и</w:t>
      </w:r>
      <w:r>
        <w:t>вающих в районе города Мехико, наблюд</w:t>
      </w:r>
      <w:r>
        <w:t>а</w:t>
      </w:r>
      <w:r>
        <w:t>ются случаи насилия в той или иной форме.</w:t>
      </w:r>
    </w:p>
    <w:p w:rsidR="00000000" w:rsidRDefault="00000000">
      <w:pPr>
        <w:pStyle w:val="Heading3"/>
        <w:jc w:val="center"/>
        <w:rPr>
          <w:sz w:val="20"/>
        </w:rPr>
      </w:pPr>
      <w:r>
        <w:rPr>
          <w:sz w:val="20"/>
        </w:rPr>
        <w:t>Сравнительная диаграмма форм насилия в семье, 1999 год</w:t>
      </w:r>
    </w:p>
    <w:p w:rsidR="00000000" w:rsidRDefault="00000000">
      <w:pPr>
        <w:spacing w:after="120"/>
        <w:jc w:val="center"/>
      </w:pPr>
      <w:r>
        <w:pict>
          <v:shape id="_x0000_i1025" type="#_x0000_t75" style="width:304.5pt;height:137.25pt" fillcolor="window">
            <v:imagedata r:id="rId15" o:title="Graphic-1"/>
          </v:shape>
        </w:pict>
      </w:r>
    </w:p>
    <w:tbl>
      <w:tblPr>
        <w:tblW w:w="0" w:type="auto"/>
        <w:tblInd w:w="2213" w:type="dxa"/>
        <w:tblLayout w:type="fixed"/>
        <w:tblCellMar>
          <w:left w:w="0" w:type="dxa"/>
          <w:right w:w="0" w:type="dxa"/>
        </w:tblCellMar>
        <w:tblLook w:val="0000" w:firstRow="0" w:lastRow="0" w:firstColumn="0" w:lastColumn="0" w:noHBand="0" w:noVBand="0"/>
      </w:tblPr>
      <w:tblGrid>
        <w:gridCol w:w="1531"/>
        <w:gridCol w:w="1191"/>
        <w:gridCol w:w="1531"/>
        <w:gridCol w:w="1247"/>
      </w:tblGrid>
      <w:tr w:rsidR="00000000">
        <w:tblPrEx>
          <w:tblCellMar>
            <w:top w:w="0" w:type="dxa"/>
            <w:left w:w="0" w:type="dxa"/>
            <w:bottom w:w="0" w:type="dxa"/>
            <w:right w:w="0" w:type="dxa"/>
          </w:tblCellMar>
        </w:tblPrEx>
        <w:tc>
          <w:tcPr>
            <w:tcW w:w="1531" w:type="dxa"/>
          </w:tcPr>
          <w:p w:rsidR="00000000" w:rsidRDefault="00000000">
            <w:pPr>
              <w:tabs>
                <w:tab w:val="clear" w:pos="567"/>
                <w:tab w:val="clear" w:pos="680"/>
                <w:tab w:val="clear" w:pos="1021"/>
              </w:tabs>
              <w:spacing w:after="0"/>
              <w:jc w:val="center"/>
              <w:rPr>
                <w:rFonts w:ascii="Arial" w:hAnsi="Arial"/>
                <w:sz w:val="16"/>
                <w:lang w:val="en-US"/>
              </w:rPr>
            </w:pPr>
            <w:r>
              <w:rPr>
                <w:rFonts w:ascii="Arial" w:hAnsi="Arial"/>
                <w:sz w:val="16"/>
              </w:rPr>
              <w:t>Психологическое насилие</w:t>
            </w:r>
          </w:p>
        </w:tc>
        <w:tc>
          <w:tcPr>
            <w:tcW w:w="1191" w:type="dxa"/>
          </w:tcPr>
          <w:p w:rsidR="00000000" w:rsidRDefault="00000000">
            <w:pPr>
              <w:tabs>
                <w:tab w:val="clear" w:pos="567"/>
                <w:tab w:val="clear" w:pos="680"/>
                <w:tab w:val="clear" w:pos="1021"/>
              </w:tabs>
              <w:spacing w:after="0"/>
              <w:jc w:val="center"/>
              <w:rPr>
                <w:rFonts w:ascii="Arial" w:hAnsi="Arial"/>
                <w:sz w:val="16"/>
                <w:lang w:val="en-US"/>
              </w:rPr>
            </w:pPr>
            <w:r>
              <w:rPr>
                <w:rFonts w:ascii="Arial" w:hAnsi="Arial"/>
                <w:sz w:val="16"/>
              </w:rPr>
              <w:t>Запугивание</w:t>
            </w:r>
          </w:p>
        </w:tc>
        <w:tc>
          <w:tcPr>
            <w:tcW w:w="1531" w:type="dxa"/>
          </w:tcPr>
          <w:p w:rsidR="00000000" w:rsidRDefault="00000000">
            <w:pPr>
              <w:tabs>
                <w:tab w:val="clear" w:pos="567"/>
                <w:tab w:val="clear" w:pos="680"/>
                <w:tab w:val="clear" w:pos="1021"/>
              </w:tabs>
              <w:spacing w:after="0"/>
              <w:jc w:val="center"/>
              <w:rPr>
                <w:rFonts w:ascii="Arial" w:hAnsi="Arial"/>
                <w:sz w:val="16"/>
                <w:lang w:val="en-US"/>
              </w:rPr>
            </w:pPr>
            <w:r>
              <w:rPr>
                <w:rFonts w:ascii="Arial" w:hAnsi="Arial"/>
                <w:sz w:val="16"/>
              </w:rPr>
              <w:t>Физическое насилие</w:t>
            </w:r>
          </w:p>
        </w:tc>
        <w:tc>
          <w:tcPr>
            <w:tcW w:w="1247" w:type="dxa"/>
          </w:tcPr>
          <w:p w:rsidR="00000000" w:rsidRDefault="00000000">
            <w:pPr>
              <w:tabs>
                <w:tab w:val="clear" w:pos="567"/>
                <w:tab w:val="clear" w:pos="680"/>
                <w:tab w:val="clear" w:pos="1021"/>
              </w:tabs>
              <w:spacing w:after="0"/>
              <w:jc w:val="center"/>
              <w:rPr>
                <w:rFonts w:ascii="Arial" w:hAnsi="Arial"/>
                <w:sz w:val="16"/>
              </w:rPr>
            </w:pPr>
            <w:r>
              <w:rPr>
                <w:rFonts w:ascii="Arial" w:hAnsi="Arial"/>
                <w:sz w:val="16"/>
              </w:rPr>
              <w:t>Сексуальное насилие</w:t>
            </w:r>
          </w:p>
        </w:tc>
      </w:tr>
    </w:tbl>
    <w:p w:rsidR="00000000" w:rsidRDefault="00000000">
      <w:pPr>
        <w:spacing w:after="0"/>
        <w:jc w:val="center"/>
        <w:rPr>
          <w:rFonts w:ascii="Arial" w:hAnsi="Arial"/>
          <w:sz w:val="18"/>
        </w:rPr>
      </w:pPr>
    </w:p>
    <w:p w:rsidR="00000000" w:rsidRDefault="00000000">
      <w:pPr>
        <w:pStyle w:val="BlockText"/>
      </w:pPr>
      <w:r>
        <w:t>Источник: ИНЕГИ, опрос по проблемам насилия в семье, 1999 год (данные по городу Мехико).</w:t>
      </w:r>
    </w:p>
    <w:p w:rsidR="00000000" w:rsidRDefault="00000000">
      <w:pPr>
        <w:spacing w:before="120" w:after="120"/>
      </w:pPr>
      <w:r>
        <w:t>340.</w:t>
      </w:r>
      <w:r>
        <w:tab/>
        <w:t>В 1,3 млн. семей выявили случаи психологического насилия, наиболее частыми формами которых являлись: громкие крики, сильное раздражение и оскорбления. В 215 тыс. семей, в которых были выявлены случаи запугив</w:t>
      </w:r>
      <w:r>
        <w:t>а</w:t>
      </w:r>
      <w:r>
        <w:t>ния, наиболее частыми формами его проявления стали физическое воздействие (толчки, рывки) и угрозы. В 147 тыс. семей, в которых были выявлены случаи физического насилия, оно проявлялось в форме пощечин и ударов кулаком, ногами и различными пре</w:t>
      </w:r>
      <w:r>
        <w:t>д</w:t>
      </w:r>
      <w:r>
        <w:t>метами.</w:t>
      </w:r>
    </w:p>
    <w:p w:rsidR="00000000" w:rsidRDefault="00000000">
      <w:pPr>
        <w:pStyle w:val="Heading3"/>
        <w:jc w:val="center"/>
        <w:rPr>
          <w:sz w:val="20"/>
        </w:rPr>
      </w:pPr>
      <w:r>
        <w:rPr>
          <w:sz w:val="20"/>
        </w:rPr>
        <w:t>Сравнительная диаграмма форм насилия в семье</w:t>
      </w:r>
      <w:r>
        <w:rPr>
          <w:noProof w:val="0"/>
          <w:sz w:val="20"/>
          <w:lang w:val="ru-RU"/>
        </w:rPr>
        <w:t>,</w:t>
      </w:r>
      <w:r>
        <w:rPr>
          <w:sz w:val="20"/>
        </w:rPr>
        <w:t xml:space="preserve"> с разбивкой </w:t>
      </w:r>
      <w:r>
        <w:rPr>
          <w:sz w:val="20"/>
        </w:rPr>
        <w:br/>
        <w:t>по полу и уровню образования главы семьи, 1999 год</w:t>
      </w:r>
    </w:p>
    <w:p w:rsidR="00000000" w:rsidRDefault="00000000">
      <w:pPr>
        <w:spacing w:after="0"/>
        <w:rPr>
          <w:rFonts w:ascii="Arial" w:hAnsi="Arial"/>
          <w:sz w:val="16"/>
          <w:lang w:val="en-US"/>
        </w:rPr>
      </w:pPr>
    </w:p>
    <w:p w:rsidR="00000000" w:rsidRDefault="00000000">
      <w:pPr>
        <w:spacing w:after="0"/>
        <w:jc w:val="center"/>
        <w:rPr>
          <w:rFonts w:ascii="Arial" w:hAnsi="Arial"/>
          <w:sz w:val="16"/>
          <w:lang w:val="en-US"/>
        </w:rPr>
      </w:pPr>
      <w:r>
        <w:rPr>
          <w:rFonts w:ascii="Arial" w:hAnsi="Arial"/>
          <w:sz w:val="16"/>
          <w:lang w:val="en-US"/>
        </w:rPr>
        <w:pict>
          <v:shape id="_x0000_i1026" type="#_x0000_t75" style="width:361.5pt;height:158.25pt" fillcolor="window">
            <v:imagedata r:id="rId16" o:title="Graphic-2"/>
          </v:shape>
        </w:pict>
      </w:r>
    </w:p>
    <w:p w:rsidR="00000000" w:rsidRDefault="00000000">
      <w:pPr>
        <w:spacing w:after="0"/>
        <w:rPr>
          <w:rFonts w:ascii="Arial" w:hAnsi="Arial"/>
          <w:sz w:val="16"/>
          <w:lang w:val="en-US"/>
        </w:rPr>
      </w:pPr>
    </w:p>
    <w:p w:rsidR="00000000" w:rsidRDefault="00000000">
      <w:pPr>
        <w:spacing w:after="0"/>
        <w:ind w:left="1219"/>
        <w:rPr>
          <w:rFonts w:ascii="Arial" w:hAnsi="Arial"/>
          <w:sz w:val="16"/>
        </w:rPr>
      </w:pPr>
      <w:r>
        <w:rPr>
          <w:rFonts w:ascii="Arial" w:hAnsi="Arial"/>
          <w:sz w:val="16"/>
        </w:rPr>
        <w:t>Источник: ИНЕГИ, опрос по проблемам насилия в семье, 1999 год (данные по городу Мехико).</w:t>
      </w:r>
    </w:p>
    <w:p w:rsidR="00000000" w:rsidRDefault="00000000">
      <w:pPr>
        <w:pStyle w:val="Header"/>
        <w:tabs>
          <w:tab w:val="clear" w:pos="4677"/>
          <w:tab w:val="clear" w:pos="9355"/>
        </w:tabs>
        <w:spacing w:after="0"/>
        <w:rPr>
          <w:lang w:val="en-US"/>
        </w:rPr>
      </w:pPr>
    </w:p>
    <w:p w:rsidR="00000000" w:rsidRDefault="00000000">
      <w:pPr>
        <w:spacing w:before="120"/>
      </w:pPr>
      <w:r>
        <w:t>341.</w:t>
      </w:r>
      <w:r>
        <w:tab/>
        <w:t>3 декабря 1998 года женщины – депутаты законодательных собраний всех уровней и представляющие все политические партии пришли к соглашению пересмотреть существующие законы и разработать предложения по изменению законодательства, с тем чтобы унифицировать определение насилия в семье и сексуального насилия и ответственность за него во всех субъектах Федерации. Это движение, имеющее своей целью изменить законод</w:t>
      </w:r>
      <w:r>
        <w:t>а</w:t>
      </w:r>
      <w:r>
        <w:t>тельство о насилии в отношении женщин и насилия в семье, способствовало тому, что в настоящее время 22 суб</w:t>
      </w:r>
      <w:r>
        <w:t>ъ</w:t>
      </w:r>
      <w:r>
        <w:t>екта Федерации уже имеют такие законы, причем особо следует выделить федеральный округ, штаты Герреро, О</w:t>
      </w:r>
      <w:r>
        <w:t>а</w:t>
      </w:r>
      <w:r>
        <w:t>хака, Сан-Луис-Потоси и Веракрус, в которых реформа законодательства проводилась наиб</w:t>
      </w:r>
      <w:r>
        <w:t>о</w:t>
      </w:r>
      <w:r>
        <w:t>лее последовательно.</w:t>
      </w:r>
    </w:p>
    <w:p w:rsidR="00000000" w:rsidRDefault="00000000">
      <w:pPr>
        <w:spacing w:line="235" w:lineRule="auto"/>
      </w:pPr>
      <w:r>
        <w:t>342.</w:t>
      </w:r>
      <w:r>
        <w:tab/>
        <w:t>В апреле 1999 года сенат организовал семинар для обеих палат Национального конгресса по проблемам насилия в семье и стереотипов мужского превосходства. Целью этого семинара явился анализ глубины проблемы насилия в семье и ее связи с неравенством мужчин и женщин, которое является следствием культурных установок, глубоко укоренившихся в нашем общес</w:t>
      </w:r>
      <w:r>
        <w:t>т</w:t>
      </w:r>
      <w:r>
        <w:t>ве.</w:t>
      </w:r>
    </w:p>
    <w:p w:rsidR="00000000" w:rsidRDefault="00000000">
      <w:pPr>
        <w:pStyle w:val="Heading3"/>
        <w:spacing w:line="235" w:lineRule="auto"/>
        <w:jc w:val="center"/>
        <w:rPr>
          <w:sz w:val="20"/>
        </w:rPr>
      </w:pPr>
      <w:r>
        <w:rPr>
          <w:sz w:val="20"/>
        </w:rPr>
        <w:t>Общая картина процессов изменения законодательства в субъектах Федерации, 2000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2835"/>
        <w:gridCol w:w="2495"/>
        <w:gridCol w:w="2155"/>
        <w:gridCol w:w="2155"/>
      </w:tblGrid>
      <w:tr w:rsidR="00000000">
        <w:tblPrEx>
          <w:tblCellMar>
            <w:top w:w="0" w:type="dxa"/>
            <w:bottom w:w="0" w:type="dxa"/>
          </w:tblCellMar>
        </w:tblPrEx>
        <w:tc>
          <w:tcPr>
            <w:tcW w:w="2835" w:type="dxa"/>
            <w:vAlign w:val="center"/>
          </w:tcPr>
          <w:p w:rsidR="00000000" w:rsidRDefault="00000000">
            <w:pPr>
              <w:spacing w:before="40" w:after="40" w:line="235" w:lineRule="auto"/>
              <w:rPr>
                <w:b/>
                <w:sz w:val="18"/>
              </w:rPr>
            </w:pPr>
            <w:r>
              <w:rPr>
                <w:b/>
                <w:sz w:val="18"/>
              </w:rPr>
              <w:t>СУБЪЕКТЫ ФЕДЕРАЦИИ</w:t>
            </w:r>
          </w:p>
        </w:tc>
        <w:tc>
          <w:tcPr>
            <w:tcW w:w="2495" w:type="dxa"/>
            <w:vAlign w:val="center"/>
          </w:tcPr>
          <w:p w:rsidR="00000000" w:rsidRDefault="00000000">
            <w:pPr>
              <w:spacing w:before="40" w:after="40" w:line="235" w:lineRule="auto"/>
              <w:rPr>
                <w:b/>
                <w:sz w:val="18"/>
              </w:rPr>
            </w:pPr>
            <w:r>
              <w:rPr>
                <w:b/>
                <w:sz w:val="18"/>
              </w:rPr>
              <w:t>ВНЕСЕНЫ ИЗМЕНЕНИЯ В ЗАКОНЫ</w:t>
            </w:r>
          </w:p>
        </w:tc>
        <w:tc>
          <w:tcPr>
            <w:tcW w:w="2155" w:type="dxa"/>
            <w:vAlign w:val="center"/>
          </w:tcPr>
          <w:p w:rsidR="00000000" w:rsidRDefault="00000000">
            <w:pPr>
              <w:spacing w:before="40" w:after="40" w:line="235" w:lineRule="auto"/>
              <w:rPr>
                <w:b/>
                <w:sz w:val="18"/>
              </w:rPr>
            </w:pPr>
            <w:r>
              <w:rPr>
                <w:b/>
                <w:sz w:val="18"/>
              </w:rPr>
              <w:t>ИНИЦИАТИВЫ</w:t>
            </w:r>
          </w:p>
        </w:tc>
        <w:tc>
          <w:tcPr>
            <w:tcW w:w="2155" w:type="dxa"/>
            <w:vAlign w:val="center"/>
          </w:tcPr>
          <w:p w:rsidR="00000000" w:rsidRDefault="00000000">
            <w:pPr>
              <w:spacing w:before="40" w:after="40" w:line="235" w:lineRule="auto"/>
              <w:rPr>
                <w:b/>
                <w:sz w:val="18"/>
              </w:rPr>
            </w:pPr>
            <w:r>
              <w:rPr>
                <w:b/>
                <w:sz w:val="18"/>
              </w:rPr>
              <w:t>ПРОЕКТЫ</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АГУАСКАЛЬЕНТЕС</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ЗН</w:t>
            </w: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pStyle w:val="Header"/>
              <w:tabs>
                <w:tab w:val="clear" w:pos="4677"/>
                <w:tab w:val="clear" w:pos="9355"/>
              </w:tabs>
              <w:spacing w:before="40" w:after="40" w:line="235" w:lineRule="auto"/>
              <w:rPr>
                <w:sz w:val="18"/>
              </w:rPr>
            </w:pPr>
            <w:r>
              <w:rPr>
                <w:sz w:val="18"/>
              </w:rPr>
              <w:t>НИЖНЯЯ КАЛИФОРНИЯ</w:t>
            </w:r>
          </w:p>
        </w:tc>
        <w:tc>
          <w:tcPr>
            <w:tcW w:w="2495" w:type="dxa"/>
          </w:tcPr>
          <w:p w:rsidR="00000000" w:rsidRDefault="00000000">
            <w:pPr>
              <w:spacing w:before="40" w:after="40" w:line="235" w:lineRule="auto"/>
              <w:rPr>
                <w:sz w:val="18"/>
              </w:rPr>
            </w:pPr>
            <w:r>
              <w:rPr>
                <w:sz w:val="18"/>
              </w:rPr>
              <w:t>УК, Д</w:t>
            </w:r>
          </w:p>
        </w:tc>
        <w:tc>
          <w:tcPr>
            <w:tcW w:w="215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r>
              <w:rPr>
                <w:sz w:val="18"/>
              </w:rPr>
              <w:t>ГК</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НИЖНЯЯ КАЛИФОРНИЯ ЮЖНАЯ</w:t>
            </w:r>
          </w:p>
        </w:tc>
        <w:tc>
          <w:tcPr>
            <w:tcW w:w="2495" w:type="dxa"/>
          </w:tcPr>
          <w:p w:rsidR="00000000" w:rsidRDefault="00000000">
            <w:pPr>
              <w:spacing w:before="40" w:after="40" w:line="235" w:lineRule="auto"/>
              <w:rPr>
                <w:sz w:val="18"/>
              </w:rPr>
            </w:pPr>
            <w:r>
              <w:rPr>
                <w:sz w:val="18"/>
              </w:rPr>
              <w:t>Д</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КАМПЕЧЕ</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КОАУИЛА</w:t>
            </w:r>
          </w:p>
        </w:tc>
        <w:tc>
          <w:tcPr>
            <w:tcW w:w="2495" w:type="dxa"/>
          </w:tcPr>
          <w:p w:rsidR="00000000" w:rsidRDefault="00000000">
            <w:pPr>
              <w:spacing w:before="40" w:after="40" w:line="235" w:lineRule="auto"/>
              <w:rPr>
                <w:sz w:val="18"/>
              </w:rPr>
            </w:pPr>
            <w:r>
              <w:rPr>
                <w:sz w:val="18"/>
              </w:rPr>
              <w:t>ЗН, Д</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pStyle w:val="Header"/>
              <w:tabs>
                <w:tab w:val="clear" w:pos="4677"/>
                <w:tab w:val="clear" w:pos="9355"/>
              </w:tabs>
              <w:spacing w:before="40" w:after="40" w:line="235" w:lineRule="auto"/>
              <w:rPr>
                <w:sz w:val="18"/>
              </w:rPr>
            </w:pPr>
            <w:r>
              <w:rPr>
                <w:sz w:val="18"/>
              </w:rPr>
              <w:t>КОЛИМА</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ЧЬЯПАС</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ЧИУАУА</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r>
              <w:rPr>
                <w:sz w:val="18"/>
              </w:rPr>
              <w:t>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ФЕДЕРАЛЬНЫЙ ОКРУГ</w:t>
            </w:r>
          </w:p>
        </w:tc>
        <w:tc>
          <w:tcPr>
            <w:tcW w:w="2495" w:type="dxa"/>
          </w:tcPr>
          <w:p w:rsidR="00000000" w:rsidRDefault="00000000">
            <w:pPr>
              <w:spacing w:before="40" w:after="40" w:line="235" w:lineRule="auto"/>
              <w:rPr>
                <w:sz w:val="18"/>
              </w:rPr>
            </w:pPr>
            <w:r>
              <w:rPr>
                <w:sz w:val="18"/>
              </w:rPr>
              <w:t>ГК, ГПК, УК, УПК,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ДУРАНГО</w:t>
            </w:r>
          </w:p>
        </w:tc>
        <w:tc>
          <w:tcPr>
            <w:tcW w:w="2495" w:type="dxa"/>
          </w:tcPr>
          <w:p w:rsidR="00000000" w:rsidRDefault="00000000">
            <w:pPr>
              <w:spacing w:before="40" w:after="40" w:line="235" w:lineRule="auto"/>
              <w:rPr>
                <w:sz w:val="18"/>
              </w:rPr>
            </w:pPr>
            <w:r>
              <w:rPr>
                <w:sz w:val="18"/>
              </w:rPr>
              <w:t>ГК,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ГУАНАХУАТО</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ГПК</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ГЕРРЕРО</w:t>
            </w:r>
          </w:p>
        </w:tc>
        <w:tc>
          <w:tcPr>
            <w:tcW w:w="2495" w:type="dxa"/>
          </w:tcPr>
          <w:p w:rsidR="00000000" w:rsidRDefault="00000000">
            <w:pPr>
              <w:spacing w:before="40" w:after="40" w:line="235" w:lineRule="auto"/>
              <w:rPr>
                <w:sz w:val="18"/>
              </w:rPr>
            </w:pPr>
            <w:r>
              <w:rPr>
                <w:sz w:val="18"/>
              </w:rPr>
              <w:t>ЗН, УК</w:t>
            </w:r>
          </w:p>
        </w:tc>
        <w:tc>
          <w:tcPr>
            <w:tcW w:w="2155" w:type="dxa"/>
          </w:tcPr>
          <w:p w:rsidR="00000000" w:rsidRDefault="00000000">
            <w:pPr>
              <w:spacing w:before="40" w:after="40" w:line="235" w:lineRule="auto"/>
              <w:rPr>
                <w:sz w:val="18"/>
              </w:rPr>
            </w:pPr>
            <w:r>
              <w:rPr>
                <w:sz w:val="18"/>
              </w:rPr>
              <w:t>ГК, ГПК</w:t>
            </w: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ИДАЛЬГО</w:t>
            </w:r>
          </w:p>
        </w:tc>
        <w:tc>
          <w:tcPr>
            <w:tcW w:w="2495" w:type="dxa"/>
          </w:tcPr>
          <w:p w:rsidR="00000000" w:rsidRDefault="00000000">
            <w:pPr>
              <w:spacing w:before="40" w:after="40" w:line="235" w:lineRule="auto"/>
              <w:rPr>
                <w:sz w:val="18"/>
              </w:rPr>
            </w:pPr>
            <w:r>
              <w:rPr>
                <w:sz w:val="18"/>
              </w:rPr>
              <w:t>Д</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ХАЛИСКО</w:t>
            </w:r>
          </w:p>
        </w:tc>
        <w:tc>
          <w:tcPr>
            <w:tcW w:w="2495" w:type="dxa"/>
          </w:tcPr>
          <w:p w:rsidR="00000000" w:rsidRDefault="00000000">
            <w:pPr>
              <w:spacing w:before="40" w:after="40" w:line="235" w:lineRule="auto"/>
              <w:rPr>
                <w:sz w:val="18"/>
              </w:rPr>
            </w:pPr>
            <w:r>
              <w:rPr>
                <w:sz w:val="18"/>
              </w:rPr>
              <w:t>Д</w:t>
            </w:r>
          </w:p>
        </w:tc>
        <w:tc>
          <w:tcPr>
            <w:tcW w:w="215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r>
              <w:rPr>
                <w:sz w:val="18"/>
              </w:rPr>
              <w:t>ГК, УК</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МЕХИКО</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ГПК, УК, УПК, 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МИЧОАКАН</w:t>
            </w:r>
          </w:p>
        </w:tc>
        <w:tc>
          <w:tcPr>
            <w:tcW w:w="2495" w:type="dxa"/>
          </w:tcPr>
          <w:p w:rsidR="00000000" w:rsidRDefault="00000000">
            <w:pPr>
              <w:spacing w:before="40" w:after="40" w:line="235" w:lineRule="auto"/>
              <w:rPr>
                <w:sz w:val="18"/>
              </w:rPr>
            </w:pPr>
            <w:r>
              <w:rPr>
                <w:sz w:val="18"/>
              </w:rPr>
              <w:t>УК</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МОРЕЛОС</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r>
              <w:rPr>
                <w:sz w:val="18"/>
              </w:rPr>
              <w:t>ГК, УК, 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НАЯРИТ</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НУЭВО-ЛЕОН</w:t>
            </w:r>
          </w:p>
        </w:tc>
        <w:tc>
          <w:tcPr>
            <w:tcW w:w="2495" w:type="dxa"/>
          </w:tcPr>
          <w:p w:rsidR="00000000" w:rsidRDefault="00000000">
            <w:pPr>
              <w:spacing w:before="40" w:after="40" w:line="235" w:lineRule="auto"/>
              <w:rPr>
                <w:sz w:val="18"/>
              </w:rPr>
            </w:pPr>
            <w:r>
              <w:rPr>
                <w:sz w:val="18"/>
              </w:rPr>
              <w:t>Д</w:t>
            </w:r>
          </w:p>
        </w:tc>
        <w:tc>
          <w:tcPr>
            <w:tcW w:w="2155" w:type="dxa"/>
          </w:tcPr>
          <w:p w:rsidR="00000000" w:rsidRDefault="00000000">
            <w:pPr>
              <w:spacing w:before="40" w:after="40" w:line="235" w:lineRule="auto"/>
              <w:rPr>
                <w:sz w:val="18"/>
              </w:rPr>
            </w:pPr>
            <w:r>
              <w:rPr>
                <w:sz w:val="18"/>
              </w:rPr>
              <w:t>ЗН, ГК, УК, ГПК</w:t>
            </w:r>
          </w:p>
        </w:tc>
        <w:tc>
          <w:tcPr>
            <w:tcW w:w="2155" w:type="dxa"/>
          </w:tcPr>
          <w:p w:rsidR="00000000" w:rsidRDefault="00000000">
            <w:pPr>
              <w:spacing w:before="40" w:after="40" w:line="235" w:lineRule="auto"/>
              <w:rPr>
                <w:sz w:val="18"/>
              </w:rPr>
            </w:pPr>
            <w:r>
              <w:rPr>
                <w:sz w:val="18"/>
              </w:rPr>
              <w:t>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ОАХАКА</w:t>
            </w:r>
          </w:p>
        </w:tc>
        <w:tc>
          <w:tcPr>
            <w:tcW w:w="2495" w:type="dxa"/>
          </w:tcPr>
          <w:p w:rsidR="00000000" w:rsidRDefault="00000000">
            <w:pPr>
              <w:spacing w:before="40" w:after="40" w:line="235" w:lineRule="auto"/>
              <w:rPr>
                <w:sz w:val="18"/>
              </w:rPr>
            </w:pPr>
            <w:r>
              <w:rPr>
                <w:sz w:val="18"/>
              </w:rPr>
              <w:t>ГК, ГПК, УК, Д</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ПУЭБЛА</w:t>
            </w:r>
          </w:p>
        </w:tc>
        <w:tc>
          <w:tcPr>
            <w:tcW w:w="2495" w:type="dxa"/>
          </w:tcPr>
          <w:p w:rsidR="00000000" w:rsidRDefault="00000000">
            <w:pPr>
              <w:spacing w:before="40" w:after="40" w:line="235" w:lineRule="auto"/>
              <w:rPr>
                <w:sz w:val="18"/>
              </w:rPr>
            </w:pPr>
            <w:r>
              <w:rPr>
                <w:sz w:val="18"/>
              </w:rPr>
              <w:t>ГК, ГПК, УК, УПК, Д</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КЕРЕТАРО</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КИНТАНА-РОО</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pStyle w:val="a2"/>
              <w:spacing w:before="40" w:after="40" w:line="235" w:lineRule="auto"/>
            </w:pPr>
            <w:r>
              <w:t>САН-ЛУИС-ПОТОСИ</w:t>
            </w:r>
          </w:p>
        </w:tc>
        <w:tc>
          <w:tcPr>
            <w:tcW w:w="2495" w:type="dxa"/>
          </w:tcPr>
          <w:p w:rsidR="00000000" w:rsidRDefault="00000000">
            <w:pPr>
              <w:spacing w:before="40" w:after="40" w:line="235" w:lineRule="auto"/>
              <w:rPr>
                <w:sz w:val="18"/>
              </w:rPr>
            </w:pPr>
            <w:r>
              <w:rPr>
                <w:sz w:val="18"/>
              </w:rPr>
              <w:t>ГК, ГПК, УК, УПК,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СИНАЛОА</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УК</w:t>
            </w: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СОНОРА</w:t>
            </w:r>
          </w:p>
        </w:tc>
        <w:tc>
          <w:tcPr>
            <w:tcW w:w="249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УК, Д</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ТАБАСКО</w:t>
            </w:r>
          </w:p>
        </w:tc>
        <w:tc>
          <w:tcPr>
            <w:tcW w:w="2495" w:type="dxa"/>
          </w:tcPr>
          <w:p w:rsidR="00000000" w:rsidRDefault="00000000">
            <w:pPr>
              <w:spacing w:before="40" w:after="40" w:line="235" w:lineRule="auto"/>
              <w:rPr>
                <w:sz w:val="18"/>
              </w:rPr>
            </w:pPr>
            <w:r>
              <w:rPr>
                <w:sz w:val="18"/>
              </w:rPr>
              <w:t>Д,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ТАМАУЛИПАС</w:t>
            </w:r>
          </w:p>
        </w:tc>
        <w:tc>
          <w:tcPr>
            <w:tcW w:w="2495" w:type="dxa"/>
          </w:tcPr>
          <w:p w:rsidR="00000000" w:rsidRDefault="00000000">
            <w:pPr>
              <w:spacing w:before="40" w:after="40" w:line="235" w:lineRule="auto"/>
              <w:rPr>
                <w:sz w:val="18"/>
              </w:rPr>
            </w:pPr>
            <w:r>
              <w:rPr>
                <w:sz w:val="18"/>
              </w:rPr>
              <w:t>Д,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ТЛАСКАЛА</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ЗН</w:t>
            </w: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ВЕРАКРУС</w:t>
            </w:r>
          </w:p>
        </w:tc>
        <w:tc>
          <w:tcPr>
            <w:tcW w:w="2495" w:type="dxa"/>
          </w:tcPr>
          <w:p w:rsidR="00000000" w:rsidRDefault="00000000">
            <w:pPr>
              <w:spacing w:before="40" w:after="40" w:line="235" w:lineRule="auto"/>
              <w:rPr>
                <w:sz w:val="18"/>
              </w:rPr>
            </w:pPr>
            <w:r>
              <w:rPr>
                <w:sz w:val="18"/>
              </w:rPr>
              <w:t>ГК, ГПК, УК, УПК, ЗН</w:t>
            </w:r>
          </w:p>
        </w:tc>
        <w:tc>
          <w:tcPr>
            <w:tcW w:w="215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ЮКАТАН</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ГК, ГПК, УК, УПК</w:t>
            </w:r>
          </w:p>
        </w:tc>
        <w:tc>
          <w:tcPr>
            <w:tcW w:w="2155" w:type="dxa"/>
          </w:tcPr>
          <w:p w:rsidR="00000000" w:rsidRDefault="00000000">
            <w:pPr>
              <w:spacing w:before="40" w:after="40" w:line="235" w:lineRule="auto"/>
              <w:rPr>
                <w:sz w:val="18"/>
              </w:rPr>
            </w:pPr>
          </w:p>
        </w:tc>
      </w:tr>
      <w:tr w:rsidR="00000000">
        <w:tblPrEx>
          <w:tblCellMar>
            <w:top w:w="0" w:type="dxa"/>
            <w:bottom w:w="0" w:type="dxa"/>
          </w:tblCellMar>
        </w:tblPrEx>
        <w:tc>
          <w:tcPr>
            <w:tcW w:w="2835" w:type="dxa"/>
          </w:tcPr>
          <w:p w:rsidR="00000000" w:rsidRDefault="00000000">
            <w:pPr>
              <w:spacing w:before="40" w:after="40" w:line="235" w:lineRule="auto"/>
              <w:rPr>
                <w:sz w:val="18"/>
              </w:rPr>
            </w:pPr>
            <w:r>
              <w:rPr>
                <w:sz w:val="18"/>
              </w:rPr>
              <w:t>САКАТЕКАС</w:t>
            </w:r>
          </w:p>
        </w:tc>
        <w:tc>
          <w:tcPr>
            <w:tcW w:w="2495" w:type="dxa"/>
          </w:tcPr>
          <w:p w:rsidR="00000000" w:rsidRDefault="00000000">
            <w:pPr>
              <w:spacing w:before="40" w:after="40" w:line="235" w:lineRule="auto"/>
              <w:rPr>
                <w:sz w:val="18"/>
              </w:rPr>
            </w:pPr>
          </w:p>
        </w:tc>
        <w:tc>
          <w:tcPr>
            <w:tcW w:w="2155" w:type="dxa"/>
          </w:tcPr>
          <w:p w:rsidR="00000000" w:rsidRDefault="00000000">
            <w:pPr>
              <w:spacing w:before="40" w:after="40" w:line="235" w:lineRule="auto"/>
              <w:rPr>
                <w:sz w:val="18"/>
              </w:rPr>
            </w:pPr>
            <w:r>
              <w:rPr>
                <w:sz w:val="18"/>
              </w:rPr>
              <w:t>ЗН</w:t>
            </w:r>
          </w:p>
        </w:tc>
        <w:tc>
          <w:tcPr>
            <w:tcW w:w="2155" w:type="dxa"/>
          </w:tcPr>
          <w:p w:rsidR="00000000" w:rsidRDefault="00000000">
            <w:pPr>
              <w:spacing w:before="40" w:after="40" w:line="235" w:lineRule="auto"/>
              <w:rPr>
                <w:sz w:val="18"/>
              </w:rPr>
            </w:pPr>
          </w:p>
        </w:tc>
      </w:tr>
    </w:tbl>
    <w:p w:rsidR="00000000" w:rsidRDefault="00000000">
      <w:pPr>
        <w:pStyle w:val="Header"/>
        <w:tabs>
          <w:tab w:val="clear" w:pos="4677"/>
          <w:tab w:val="clear" w:pos="9355"/>
        </w:tabs>
        <w:spacing w:after="0" w:line="235" w:lineRule="auto"/>
      </w:pPr>
    </w:p>
    <w:p w:rsidR="00000000" w:rsidRDefault="00000000">
      <w:pPr>
        <w:pStyle w:val="BodyText3"/>
        <w:spacing w:line="235" w:lineRule="auto"/>
      </w:pPr>
      <w:r>
        <w:t xml:space="preserve">Источник: Национальная комиссия по делам женщин. Данные собраны до 14 июня 2000 года. </w:t>
      </w:r>
      <w:r>
        <w:rPr>
          <w:b/>
        </w:rPr>
        <w:t>ГК</w:t>
      </w:r>
      <w:r>
        <w:t xml:space="preserve"> – Гражданский кодекс; </w:t>
      </w:r>
      <w:r>
        <w:rPr>
          <w:b/>
        </w:rPr>
        <w:t>ГПК</w:t>
      </w:r>
      <w:r>
        <w:t xml:space="preserve"> – Гражданско-процессуальный кодекс; </w:t>
      </w:r>
      <w:r>
        <w:rPr>
          <w:b/>
        </w:rPr>
        <w:t>УК</w:t>
      </w:r>
      <w:r>
        <w:t xml:space="preserve"> – Уголовный кодекс; </w:t>
      </w:r>
      <w:r>
        <w:rPr>
          <w:b/>
        </w:rPr>
        <w:t>УПК</w:t>
      </w:r>
      <w:r>
        <w:t xml:space="preserve"> – Уголовно-процессуальный к</w:t>
      </w:r>
      <w:r>
        <w:t>о</w:t>
      </w:r>
      <w:r>
        <w:t xml:space="preserve">декс; </w:t>
      </w:r>
      <w:r>
        <w:br/>
      </w:r>
      <w:r>
        <w:rPr>
          <w:b/>
        </w:rPr>
        <w:t>ЗН</w:t>
      </w:r>
      <w:r>
        <w:t xml:space="preserve"> – Закон о предупреждении насилия в семье и наказании за него; </w:t>
      </w:r>
      <w:r>
        <w:rPr>
          <w:b/>
        </w:rPr>
        <w:t>Д</w:t>
      </w:r>
      <w:r>
        <w:t xml:space="preserve"> – другие нормативные акты в области образования, здравоохранения, социального обе</w:t>
      </w:r>
      <w:r>
        <w:t>с</w:t>
      </w:r>
      <w:r>
        <w:t>печения.</w:t>
      </w:r>
    </w:p>
    <w:p w:rsidR="00000000" w:rsidRDefault="00000000">
      <w:pPr>
        <w:pStyle w:val="Heading3"/>
      </w:pPr>
      <w:r>
        <w:t>Торговля людьми</w:t>
      </w:r>
    </w:p>
    <w:p w:rsidR="00000000" w:rsidRDefault="00000000">
      <w:r>
        <w:t>343.</w:t>
      </w:r>
      <w:r>
        <w:tab/>
        <w:t>В 1998 году правительство Мексики создало Национальную межведомственную комиссию для разработки плана действий по предупреждению, оказанию помощи жертвам и искоренению сексуальной эксплуатации нес</w:t>
      </w:r>
      <w:r>
        <w:t>о</w:t>
      </w:r>
      <w:r>
        <w:t>вершеннолетних в коммерческих целях. В этой Комиссии сотрудничают законодательные органы, учебные и общ</w:t>
      </w:r>
      <w:r>
        <w:t>е</w:t>
      </w:r>
      <w:r>
        <w:t>ственные организации.</w:t>
      </w:r>
    </w:p>
    <w:p w:rsidR="00000000" w:rsidRDefault="00000000">
      <w:r>
        <w:t>344.</w:t>
      </w:r>
      <w:r>
        <w:tab/>
        <w:t>Целью деятельности Комиссии является объединение усилий, ресурсов, возможностей и опыта всех учас</w:t>
      </w:r>
      <w:r>
        <w:t>т</w:t>
      </w:r>
      <w:r>
        <w:t>ников с целью развития следующих направлений работы: оценка масштабов явления, защита, восстановление и реабилитация жертв; ознакомление общества с этой проблемой; просвещение и предупреждение; обеспечение уч</w:t>
      </w:r>
      <w:r>
        <w:t>а</w:t>
      </w:r>
      <w:r>
        <w:t>стия в этой деятельности детей и мол</w:t>
      </w:r>
      <w:r>
        <w:t>о</w:t>
      </w:r>
      <w:r>
        <w:t>дежи.</w:t>
      </w:r>
    </w:p>
    <w:p w:rsidR="00000000" w:rsidRDefault="00000000">
      <w:r>
        <w:t>345.</w:t>
      </w:r>
      <w:r>
        <w:tab/>
        <w:t>В направлении оценки масштабов явления ведется работа по установлению его качественных и количес</w:t>
      </w:r>
      <w:r>
        <w:t>т</w:t>
      </w:r>
      <w:r>
        <w:t>венных параметров, а также предусматривается широкий обмен информацией. В направлении защиты возможных жертв усилия направлены на то, чтобы коммерческая сексуальная эксплуатация несовершеннолетних была призн</w:t>
      </w:r>
      <w:r>
        <w:t>а</w:t>
      </w:r>
      <w:r>
        <w:t>на всеми как тяжкое преступление, которое подразумевало бы более суровое наказание на федеральном уровне и на уровне штатов; кроме того, усилия направлены на укрепление международного сотрудничества в административной и судебной областях, а также на включение этого преступления в сферу действия Закона о борьбе с организованной преступностью. Третье направление, которое подразумевает реабилитацию и социальную адаптацию детей (девочек и мальчиков), подвергшихся сексуальной эксплуатации, ставит своей целью создать специальную систему для ре</w:t>
      </w:r>
      <w:r>
        <w:t>а</w:t>
      </w:r>
      <w:r>
        <w:t>билитации девочек и мальчиков и увеличить количество центров по приему и рассмотрению жалоб и оказанию п</w:t>
      </w:r>
      <w:r>
        <w:t>о</w:t>
      </w:r>
      <w:r>
        <w:t>мощи. Что касается воздействия на общественное мнение, то планируется развернуть пропагандистские кампании, адресованные как обществу в целом, так и туристам, сотрудникам правоохранительных органов и работникам гос</w:t>
      </w:r>
      <w:r>
        <w:t>у</w:t>
      </w:r>
      <w:r>
        <w:t>дарственных и частных учреждений, а также организовать в средствах массовой информации кампании по разъя</w:t>
      </w:r>
      <w:r>
        <w:t>с</w:t>
      </w:r>
      <w:r>
        <w:t>нению гендерной проблематики. В системе образования предусмотрена организация курсов для работников гос</w:t>
      </w:r>
      <w:r>
        <w:t>у</w:t>
      </w:r>
      <w:r>
        <w:t>дарственных и частных учреждений, родителей, детей и подростков. В профилактике подобных преступлений о</w:t>
      </w:r>
      <w:r>
        <w:t>с</w:t>
      </w:r>
      <w:r>
        <w:t>новной целью являются поиск методов воздействия на ситуацию, наблюдение за возможными местами встречи пр</w:t>
      </w:r>
      <w:r>
        <w:t>е</w:t>
      </w:r>
      <w:r>
        <w:t>ступников и жертв; применение закона к лицам, эксплуатирующим детей, и педофилам; разработка учебных мат</w:t>
      </w:r>
      <w:r>
        <w:t>е</w:t>
      </w:r>
      <w:r>
        <w:t>риалов по этой тематике для мальчиков и девочек. Наконец, в воспитательных целях планируется организовать курсы по этой проблематике для детей и подростков, родителей, учителей, для личного состава подразделений о</w:t>
      </w:r>
      <w:r>
        <w:t>х</w:t>
      </w:r>
      <w:r>
        <w:t>раны общественного порядка, судей и министерских работников; для служащих государственных и частных учре</w:t>
      </w:r>
      <w:r>
        <w:t>ж</w:t>
      </w:r>
      <w:r>
        <w:t>дений системы социального обеспеч</w:t>
      </w:r>
      <w:r>
        <w:t>е</w:t>
      </w:r>
      <w:r>
        <w:t>ния.</w:t>
      </w:r>
    </w:p>
    <w:p w:rsidR="00000000" w:rsidRDefault="00000000">
      <w:r>
        <w:t>346.</w:t>
      </w:r>
      <w:r>
        <w:tab/>
        <w:t>В законодательной области был достигнут значительный прогресс в деле защиты детей от преступлений на сексуальной почве и торговли с незаконными целями. 4 января 2000 года в "Диарио Офисиаль" был опубликован декрет, в соответствии с которым изменяются различные нормы федерального Уголовного кодекса и федерального Уголовно-процессуального кодекса, касающиеся растления малолетних и неправоспособных, детской порнографии и проституции несовершенн</w:t>
      </w:r>
      <w:r>
        <w:t>о</w:t>
      </w:r>
      <w:r>
        <w:t>летних.</w:t>
      </w:r>
    </w:p>
    <w:p w:rsidR="00000000" w:rsidRDefault="00000000">
      <w:r>
        <w:t>347.</w:t>
      </w:r>
      <w:r>
        <w:tab/>
        <w:t>В соответствии с внесенными в Уголовный кодекс изменениями предусматривается более суровое наказ</w:t>
      </w:r>
      <w:r>
        <w:t>а</w:t>
      </w:r>
      <w:r>
        <w:t>ние для тех, кто совершает растление малолетних – преступление, предусмотренное статьей 201, – а именно лиш</w:t>
      </w:r>
      <w:r>
        <w:t>е</w:t>
      </w:r>
      <w:r>
        <w:t>ние свободы на срок от пяти до десяти лет и штраф в размере от пятисот до двух тысяч минимальных ежедневных ставок заработной платы. Прежде это преступление каралось сроком от трех до восьми лет лишения свободы и штрафом в размере от пятидесяти до двухсот минимальных ежедневных ставок заработной платы.</w:t>
      </w:r>
    </w:p>
    <w:p w:rsidR="00000000" w:rsidRDefault="00000000">
      <w:r>
        <w:t>348.</w:t>
      </w:r>
      <w:r>
        <w:tab/>
        <w:t>Вводится статья 201-</w:t>
      </w:r>
      <w:r>
        <w:rPr>
          <w:lang w:val="en-US"/>
        </w:rPr>
        <w:t>bis</w:t>
      </w:r>
      <w:r>
        <w:t>, которая предусматривает наказание за детскую порнографию. Эта статья гласит:</w:t>
      </w:r>
    </w:p>
    <w:p w:rsidR="00000000" w:rsidRDefault="00000000">
      <w:pPr>
        <w:pStyle w:val="BodyText2"/>
        <w:tabs>
          <w:tab w:val="left" w:pos="284"/>
        </w:tabs>
        <w:ind w:left="284"/>
        <w:rPr>
          <w:b w:val="0"/>
          <w:i/>
        </w:rPr>
      </w:pPr>
      <w:r>
        <w:rPr>
          <w:b w:val="0"/>
          <w:i/>
          <w:caps w:val="0"/>
        </w:rPr>
        <w:t>"Привлечение любым способом одного или более лиц, не достигших восемнадцатилетнего возраста, с его (их) с</w:t>
      </w:r>
      <w:r>
        <w:rPr>
          <w:b w:val="0"/>
          <w:i/>
          <w:caps w:val="0"/>
        </w:rPr>
        <w:t>о</w:t>
      </w:r>
      <w:r>
        <w:rPr>
          <w:b w:val="0"/>
          <w:i/>
          <w:caps w:val="0"/>
        </w:rPr>
        <w:t>гласия или без такового, к актам эксгибиционизма, развратным действиям или половым актам с целью виде</w:t>
      </w:r>
      <w:r>
        <w:rPr>
          <w:b w:val="0"/>
          <w:i/>
          <w:caps w:val="0"/>
        </w:rPr>
        <w:t>о</w:t>
      </w:r>
      <w:r>
        <w:rPr>
          <w:b w:val="0"/>
          <w:i/>
          <w:caps w:val="0"/>
        </w:rPr>
        <w:t>съемки или распространения этих изображений в печатном виде или по электронным сетям, вне зависимости от наличия или отсутствия намерения извлечения материальной выгоды, наказывается лишением свободы на срок от пяти до десяти лет и штрафом в размере двух тысяч еж</w:t>
      </w:r>
      <w:r>
        <w:rPr>
          <w:b w:val="0"/>
          <w:i/>
          <w:caps w:val="0"/>
        </w:rPr>
        <w:t>е</w:t>
      </w:r>
      <w:r>
        <w:rPr>
          <w:b w:val="0"/>
          <w:i/>
          <w:caps w:val="0"/>
        </w:rPr>
        <w:t>дневных ставок заработной платы.</w:t>
      </w:r>
    </w:p>
    <w:p w:rsidR="00000000" w:rsidRDefault="00000000">
      <w:pPr>
        <w:pStyle w:val="BodyTextIndent"/>
        <w:tabs>
          <w:tab w:val="left" w:pos="680"/>
        </w:tabs>
        <w:spacing w:after="200"/>
      </w:pPr>
      <w:r>
        <w:t>Создание любым способом порнографических видеоматериалов, содержащих акты эксгибиционизма, развратные действия или половой акт, в которых участвует одно или более лиц, не достигших восемнадцатилетнего возра</w:t>
      </w:r>
      <w:r>
        <w:t>с</w:t>
      </w:r>
      <w:r>
        <w:t>та, наказывается лишением свободы на срок от десяти до четырнадцати лет и штрафом в размере от пятисот до трех тысяч ежедневных минимальных ставок заработной платы. Изготовление, размножение, распростран</w:t>
      </w:r>
      <w:r>
        <w:t>е</w:t>
      </w:r>
      <w:r>
        <w:t>ние, публикация или передача по электронным сетям материалов, о которых шла речь выше, вне зависимости от наличия или отсутствия намерения извлечения материальной выгоды, наказывается таким же образом, как де</w:t>
      </w:r>
      <w:r>
        <w:t>й</w:t>
      </w:r>
      <w:r>
        <w:t>ствия, перечисле</w:t>
      </w:r>
      <w:r>
        <w:t>н</w:t>
      </w:r>
      <w:r>
        <w:t>ные выше".</w:t>
      </w:r>
    </w:p>
    <w:p w:rsidR="00000000" w:rsidRDefault="00000000">
      <w:pPr>
        <w:spacing w:after="200"/>
      </w:pPr>
      <w:r>
        <w:t>349.</w:t>
      </w:r>
      <w:r>
        <w:tab/>
        <w:t>Также устанавливается наказание, предусматривающее лишение свободы на срок от восьми до шестнадцати лет и штраф в размере от трех тысяч до десяти тысяч ежедневных минимальных ставок заработной платы, а также конфискацию предметов, инструментов и продуктов преступления за организацию или руководство лично или ч</w:t>
      </w:r>
      <w:r>
        <w:t>е</w:t>
      </w:r>
      <w:r>
        <w:t>рез третьих лиц любой преступной группой с целью совершения преступлений, предусмотренных в двух предыд</w:t>
      </w:r>
      <w:r>
        <w:t>у</w:t>
      </w:r>
      <w:r>
        <w:t>щих частях статьи, в отн</w:t>
      </w:r>
      <w:r>
        <w:t>о</w:t>
      </w:r>
      <w:r>
        <w:t>шении лиц, не достигших восемнадцатилетнего возраста.</w:t>
      </w:r>
    </w:p>
    <w:p w:rsidR="00000000" w:rsidRDefault="00000000">
      <w:pPr>
        <w:spacing w:after="200"/>
      </w:pPr>
      <w:r>
        <w:t>350.</w:t>
      </w:r>
      <w:r>
        <w:tab/>
        <w:t>В этой статье детская порнография определена как изготовление откровенно непристойных изображений лиц, не достигших восемнадцатилетнего возраста.</w:t>
      </w:r>
    </w:p>
    <w:p w:rsidR="00000000" w:rsidRDefault="00000000">
      <w:pPr>
        <w:spacing w:after="200"/>
      </w:pPr>
      <w:r>
        <w:t>351.</w:t>
      </w:r>
      <w:r>
        <w:tab/>
        <w:t xml:space="preserve">В соответствии с частью 2 статьи 201 </w:t>
      </w:r>
      <w:r>
        <w:rPr>
          <w:lang w:val="en-US"/>
        </w:rPr>
        <w:t>bis</w:t>
      </w:r>
      <w:r>
        <w:t>, если преступление совершено в отношении лиц, не достигших ш</w:t>
      </w:r>
      <w:r>
        <w:t>е</w:t>
      </w:r>
      <w:r>
        <w:t>стнадцатилетнего возраста, наказание увеличивается на треть по сравнению с наказанием, которое предусма</w:t>
      </w:r>
      <w:r>
        <w:t>т</w:t>
      </w:r>
      <w:r>
        <w:t xml:space="preserve">ривается в статьях 201 и 201 </w:t>
      </w:r>
      <w:r>
        <w:rPr>
          <w:lang w:val="en-US"/>
        </w:rPr>
        <w:t>bis</w:t>
      </w:r>
      <w:r>
        <w:t>.</w:t>
      </w:r>
    </w:p>
    <w:p w:rsidR="00000000" w:rsidRDefault="00000000">
      <w:pPr>
        <w:spacing w:after="200"/>
      </w:pPr>
      <w:r>
        <w:t>352.</w:t>
      </w:r>
      <w:r>
        <w:tab/>
        <w:t>Если преступление совершено в отношении лиц, не достигших двенадцатилетнего возраста, наказание ув</w:t>
      </w:r>
      <w:r>
        <w:t>е</w:t>
      </w:r>
      <w:r>
        <w:t xml:space="preserve">личивается вдвое по сравнению с наказанием, которое предусмотрено статьями 201и 201 </w:t>
      </w:r>
      <w:r>
        <w:rPr>
          <w:lang w:val="en-US"/>
        </w:rPr>
        <w:t>bis</w:t>
      </w:r>
      <w:r>
        <w:t>.</w:t>
      </w:r>
    </w:p>
    <w:p w:rsidR="00000000" w:rsidRDefault="00000000">
      <w:pPr>
        <w:spacing w:after="200"/>
      </w:pPr>
      <w:r>
        <w:t>353.</w:t>
      </w:r>
      <w:r>
        <w:tab/>
        <w:t xml:space="preserve">В части 3 статьи 201 </w:t>
      </w:r>
      <w:r>
        <w:rPr>
          <w:lang w:val="en-US"/>
        </w:rPr>
        <w:t>bis</w:t>
      </w:r>
      <w:r>
        <w:t xml:space="preserve"> дается определение понятию "детский сексуальный туризм":</w:t>
      </w:r>
    </w:p>
    <w:p w:rsidR="00000000" w:rsidRDefault="00000000">
      <w:pPr>
        <w:tabs>
          <w:tab w:val="left" w:pos="284"/>
        </w:tabs>
        <w:spacing w:after="200"/>
        <w:ind w:left="284"/>
      </w:pPr>
      <w:r>
        <w:rPr>
          <w:i/>
        </w:rPr>
        <w:t>"Подстрекательство, реклама, приглашение или организация в какой бы то ни было форме поездок как внутри стр</w:t>
      </w:r>
      <w:r>
        <w:rPr>
          <w:i/>
        </w:rPr>
        <w:t>а</w:t>
      </w:r>
      <w:r>
        <w:rPr>
          <w:i/>
        </w:rPr>
        <w:t>ны, так и за рубеж с целью сексуальных контактов с лицами, не достигшими восемнадцатилетнего возраста, нак</w:t>
      </w:r>
      <w:r>
        <w:rPr>
          <w:i/>
        </w:rPr>
        <w:t>а</w:t>
      </w:r>
      <w:r>
        <w:rPr>
          <w:i/>
        </w:rPr>
        <w:t>зывается лишением свободы на срок от пяти до четырнадцати лет и штрафом в размере от ста до</w:t>
      </w:r>
      <w:r>
        <w:t xml:space="preserve"> </w:t>
      </w:r>
      <w:r>
        <w:rPr>
          <w:i/>
        </w:rPr>
        <w:t>двух тысяч мин</w:t>
      </w:r>
      <w:r>
        <w:rPr>
          <w:i/>
        </w:rPr>
        <w:t>и</w:t>
      </w:r>
      <w:r>
        <w:rPr>
          <w:i/>
        </w:rPr>
        <w:t>мальных ежедневных ставок заработной пл</w:t>
      </w:r>
      <w:r>
        <w:rPr>
          <w:i/>
        </w:rPr>
        <w:t>а</w:t>
      </w:r>
      <w:r>
        <w:rPr>
          <w:i/>
        </w:rPr>
        <w:t>ты".</w:t>
      </w:r>
    </w:p>
    <w:p w:rsidR="00000000" w:rsidRDefault="00000000">
      <w:pPr>
        <w:spacing w:after="200"/>
      </w:pPr>
      <w:r>
        <w:t>354.</w:t>
      </w:r>
      <w:r>
        <w:tab/>
        <w:t>При изменении статьи 203 в нее был внесен последний параграф, который гласит:</w:t>
      </w:r>
    </w:p>
    <w:p w:rsidR="00000000" w:rsidRDefault="00000000">
      <w:pPr>
        <w:pStyle w:val="BodyTextIndent"/>
        <w:tabs>
          <w:tab w:val="left" w:pos="680"/>
        </w:tabs>
        <w:spacing w:after="200"/>
      </w:pPr>
      <w:r>
        <w:t>"Совершение преступления членом или членами организованной преступной группы наказывается лишением св</w:t>
      </w:r>
      <w:r>
        <w:t>о</w:t>
      </w:r>
      <w:r>
        <w:t>боды на срок от десяти до пятнадцати лет и штрафом в размере от тысячи до пяти тысяч минимальных ежедневных ставок заработной платы".</w:t>
      </w:r>
    </w:p>
    <w:p w:rsidR="00000000" w:rsidRDefault="00000000">
      <w:pPr>
        <w:spacing w:after="200"/>
      </w:pPr>
      <w:r>
        <w:t>355.</w:t>
      </w:r>
      <w:r>
        <w:tab/>
        <w:t>Изменения, внесенные в статью 205, предусматривают более суровое наказание за привлечение к занятиям проституцией внутри страны или за рубежом; теперь наказание предусматривает лишение свободы на срок от пяти до десяти лет и штраф в размере от ста до тысячи минимальных ежедневных ставок заработной платы. Ранее пред</w:t>
      </w:r>
      <w:r>
        <w:t>у</w:t>
      </w:r>
      <w:r>
        <w:t>сматривалось наказание в виде лишения свободы на срок от двух до девяти лет и штраф в размере от ста до пятисот минимальных ежедне</w:t>
      </w:r>
      <w:r>
        <w:t>в</w:t>
      </w:r>
      <w:r>
        <w:t>ных ставок заработной платы.</w:t>
      </w:r>
    </w:p>
    <w:p w:rsidR="00000000" w:rsidRDefault="00000000">
      <w:pPr>
        <w:spacing w:after="200"/>
      </w:pPr>
      <w:r>
        <w:t>356.</w:t>
      </w:r>
      <w:r>
        <w:tab/>
        <w:t>Также в статье 208 было предусмотрено ужесточение наказания за организацию продажи, укрывательство продажи, согласие или разрешение на продажу несовершеннолетнего; теперь это деяние карается лишением своб</w:t>
      </w:r>
      <w:r>
        <w:t>о</w:t>
      </w:r>
      <w:r>
        <w:t>ды на срок до восемнадцати лет и штрафом в размере тысячи минимальных ежедневных ставок заработной платы.</w:t>
      </w:r>
    </w:p>
    <w:p w:rsidR="00000000" w:rsidRDefault="00000000">
      <w:pPr>
        <w:spacing w:after="200"/>
      </w:pPr>
      <w:r>
        <w:t>357.</w:t>
      </w:r>
      <w:r>
        <w:tab/>
        <w:t>В то же время изменения, внесенные в статью 194 федерального Уголовно-процессуального кодекса, кв</w:t>
      </w:r>
      <w:r>
        <w:t>а</w:t>
      </w:r>
      <w:r>
        <w:t>лифицируют совращение несовершеннолетних и недееспособных, предусмотренное статьей 201, и детскую порн</w:t>
      </w:r>
      <w:r>
        <w:t>о</w:t>
      </w:r>
      <w:r>
        <w:t xml:space="preserve">графию, предусмотренную статьей 201 </w:t>
      </w:r>
      <w:r>
        <w:rPr>
          <w:lang w:val="en-US"/>
        </w:rPr>
        <w:t>bis</w:t>
      </w:r>
      <w:r>
        <w:t xml:space="preserve"> Уголовного коде</w:t>
      </w:r>
      <w:r>
        <w:t>к</w:t>
      </w:r>
      <w:r>
        <w:t>са, как тяжкие преступления.</w:t>
      </w:r>
    </w:p>
    <w:p w:rsidR="00000000" w:rsidRDefault="00000000">
      <w:pPr>
        <w:spacing w:after="200"/>
      </w:pPr>
      <w:r>
        <w:t>358.</w:t>
      </w:r>
      <w:r>
        <w:tab/>
        <w:t>В соответствии с декретом, который был опубликован в "Диарио Офисиаль" 12 июня 2000 года, вносятся изменения и дополнения в различные статьи федерального Уголовн</w:t>
      </w:r>
      <w:r>
        <w:t>о</w:t>
      </w:r>
      <w:r>
        <w:t>го кодекса, федерального Уголовно-процессуального кодекса и федерального Конституционного закона о юрисдикции в области преступлений, связа</w:t>
      </w:r>
      <w:r>
        <w:t>н</w:t>
      </w:r>
      <w:r>
        <w:t xml:space="preserve">ных с похищениями несовершеннолетних и торговлей ими. Статьи 366 </w:t>
      </w:r>
      <w:r>
        <w:rPr>
          <w:lang w:val="en-US"/>
        </w:rPr>
        <w:t>ter</w:t>
      </w:r>
      <w:r>
        <w:t xml:space="preserve"> и 366 </w:t>
      </w:r>
      <w:r>
        <w:rPr>
          <w:lang w:val="en-US"/>
        </w:rPr>
        <w:t>quáter</w:t>
      </w:r>
      <w:r>
        <w:t xml:space="preserve"> федерального Уголовного кодекса гл</w:t>
      </w:r>
      <w:r>
        <w:t>а</w:t>
      </w:r>
      <w:r>
        <w:t>сят:</w:t>
      </w:r>
    </w:p>
    <w:p w:rsidR="00000000" w:rsidRDefault="00000000">
      <w:pPr>
        <w:tabs>
          <w:tab w:val="left" w:pos="284"/>
        </w:tabs>
        <w:spacing w:after="200"/>
        <w:ind w:left="284"/>
        <w:rPr>
          <w:i/>
        </w:rPr>
      </w:pPr>
      <w:r>
        <w:rPr>
          <w:i/>
        </w:rPr>
        <w:t xml:space="preserve">"Статья 366 </w:t>
      </w:r>
      <w:r>
        <w:rPr>
          <w:i/>
          <w:lang w:val="en-US"/>
        </w:rPr>
        <w:t>ter</w:t>
      </w:r>
      <w:r>
        <w:rPr>
          <w:i/>
        </w:rPr>
        <w:t xml:space="preserve">. </w:t>
      </w:r>
      <w:r>
        <w:t>–</w:t>
      </w:r>
      <w:r>
        <w:rPr>
          <w:i/>
        </w:rPr>
        <w:t xml:space="preserve"> Такое деяние, как торговля несовершеннолетним лицом, означает незаконное перемещ</w:t>
      </w:r>
      <w:r>
        <w:rPr>
          <w:i/>
        </w:rPr>
        <w:t>е</w:t>
      </w:r>
      <w:r>
        <w:rPr>
          <w:i/>
        </w:rPr>
        <w:t>ние или передачу лица, не достигшего четырнадцатилетнего возраста, третьему лицу, находящемуся вне наци</w:t>
      </w:r>
      <w:r>
        <w:rPr>
          <w:i/>
        </w:rPr>
        <w:t>о</w:t>
      </w:r>
      <w:r>
        <w:rPr>
          <w:i/>
        </w:rPr>
        <w:t>нальной территории, с целью извлечения незаконной материальной выгоды за передачу или перемещение несове</w:t>
      </w:r>
      <w:r>
        <w:rPr>
          <w:i/>
        </w:rPr>
        <w:t>р</w:t>
      </w:r>
      <w:r>
        <w:rPr>
          <w:i/>
        </w:rPr>
        <w:t>ше</w:t>
      </w:r>
      <w:r>
        <w:rPr>
          <w:i/>
        </w:rPr>
        <w:t>н</w:t>
      </w:r>
      <w:r>
        <w:rPr>
          <w:i/>
        </w:rPr>
        <w:t>нолетнего.</w:t>
      </w:r>
    </w:p>
    <w:p w:rsidR="00000000" w:rsidRDefault="00000000">
      <w:pPr>
        <w:pStyle w:val="BodyTextIndent"/>
        <w:tabs>
          <w:tab w:val="clear" w:pos="567"/>
          <w:tab w:val="clear" w:pos="1021"/>
          <w:tab w:val="left" w:pos="284"/>
          <w:tab w:val="left" w:pos="680"/>
          <w:tab w:val="left" w:pos="964"/>
        </w:tabs>
        <w:spacing w:after="200"/>
      </w:pPr>
      <w:r>
        <w:t>I.</w:t>
      </w:r>
      <w:r>
        <w:tab/>
        <w:t>Совершают преступление, квалифицированное в предыдущем параграфе:</w:t>
      </w:r>
    </w:p>
    <w:p w:rsidR="00000000" w:rsidRDefault="00000000">
      <w:pPr>
        <w:tabs>
          <w:tab w:val="clear" w:pos="567"/>
          <w:tab w:val="clear" w:pos="1021"/>
          <w:tab w:val="left" w:pos="284"/>
          <w:tab w:val="left" w:pos="680"/>
          <w:tab w:val="left" w:pos="964"/>
        </w:tabs>
        <w:spacing w:after="200"/>
        <w:ind w:left="964" w:hanging="680"/>
        <w:rPr>
          <w:i/>
        </w:rPr>
      </w:pPr>
      <w:r>
        <w:rPr>
          <w:i/>
        </w:rPr>
        <w:tab/>
      </w:r>
      <w:r>
        <w:rPr>
          <w:i/>
        </w:rPr>
        <w:sym w:font="Symbol" w:char="F0B7"/>
      </w:r>
      <w:r>
        <w:rPr>
          <w:i/>
        </w:rPr>
        <w:tab/>
        <w:t>лица, осуществляющие родительскую власть или опеку над несовершеннолетним, даже если так</w:t>
      </w:r>
      <w:r>
        <w:rPr>
          <w:i/>
        </w:rPr>
        <w:t>о</w:t>
      </w:r>
      <w:r>
        <w:rPr>
          <w:i/>
        </w:rPr>
        <w:t>вая не оформлена юридически, в том случае, если они сами передают или перемещают ребенка или если они дали свое согласие на подобные действия;</w:t>
      </w:r>
    </w:p>
    <w:p w:rsidR="00000000" w:rsidRDefault="00000000">
      <w:pPr>
        <w:tabs>
          <w:tab w:val="clear" w:pos="567"/>
          <w:tab w:val="clear" w:pos="1021"/>
          <w:tab w:val="left" w:pos="284"/>
          <w:tab w:val="left" w:pos="680"/>
          <w:tab w:val="left" w:pos="964"/>
        </w:tabs>
        <w:spacing w:after="200"/>
        <w:ind w:left="964" w:hanging="680"/>
        <w:rPr>
          <w:i/>
        </w:rPr>
      </w:pPr>
      <w:r>
        <w:rPr>
          <w:i/>
        </w:rPr>
        <w:tab/>
      </w:r>
      <w:r>
        <w:rPr>
          <w:i/>
        </w:rPr>
        <w:sym w:font="Symbol" w:char="F0B7"/>
      </w:r>
      <w:r>
        <w:rPr>
          <w:i/>
        </w:rPr>
        <w:tab/>
        <w:t>родственники по восходящей линии, без ограничения, родственники по боковой линии или свойс</w:t>
      </w:r>
      <w:r>
        <w:rPr>
          <w:i/>
        </w:rPr>
        <w:t>т</w:t>
      </w:r>
      <w:r>
        <w:rPr>
          <w:i/>
        </w:rPr>
        <w:t>венники до четвертой степени, а также любое третье лицо, которое имеет какие-либо родственные связи с н</w:t>
      </w:r>
      <w:r>
        <w:rPr>
          <w:i/>
        </w:rPr>
        <w:t>е</w:t>
      </w:r>
      <w:r>
        <w:rPr>
          <w:i/>
        </w:rPr>
        <w:t>совершенн</w:t>
      </w:r>
      <w:r>
        <w:rPr>
          <w:i/>
        </w:rPr>
        <w:t>о</w:t>
      </w:r>
      <w:r>
        <w:rPr>
          <w:i/>
        </w:rPr>
        <w:t>летним.</w:t>
      </w:r>
    </w:p>
    <w:p w:rsidR="00000000" w:rsidRDefault="00000000">
      <w:pPr>
        <w:tabs>
          <w:tab w:val="clear" w:pos="567"/>
          <w:tab w:val="clear" w:pos="1021"/>
          <w:tab w:val="left" w:pos="284"/>
          <w:tab w:val="left" w:pos="680"/>
          <w:tab w:val="left" w:pos="964"/>
        </w:tabs>
        <w:spacing w:after="200"/>
        <w:ind w:left="680" w:hanging="396"/>
        <w:rPr>
          <w:i/>
        </w:rPr>
      </w:pPr>
      <w:r>
        <w:rPr>
          <w:i/>
        </w:rPr>
        <w:t>II.</w:t>
      </w:r>
      <w:r>
        <w:rPr>
          <w:i/>
        </w:rPr>
        <w:tab/>
        <w:t>Считается, что лица, перечисленные в предыдущем параграфе, действуют незаконно в том случае, если они заранее осведомлены о том, что:</w:t>
      </w:r>
    </w:p>
    <w:p w:rsidR="00000000" w:rsidRDefault="00000000">
      <w:pPr>
        <w:tabs>
          <w:tab w:val="clear" w:pos="567"/>
          <w:tab w:val="clear" w:pos="1021"/>
          <w:tab w:val="left" w:pos="284"/>
          <w:tab w:val="left" w:pos="680"/>
          <w:tab w:val="left" w:pos="964"/>
        </w:tabs>
        <w:spacing w:after="200"/>
        <w:ind w:left="964" w:hanging="680"/>
        <w:rPr>
          <w:i/>
        </w:rPr>
      </w:pPr>
      <w:r>
        <w:rPr>
          <w:i/>
        </w:rPr>
        <w:tab/>
        <w:t>а)</w:t>
      </w:r>
      <w:r>
        <w:rPr>
          <w:i/>
        </w:rPr>
        <w:tab/>
        <w:t>лица, осуществляющие родительскую власть или опеку над несовершеннолетним, не дали своего четко выраженного согласия на перемещение или передачу; или же</w:t>
      </w:r>
    </w:p>
    <w:p w:rsidR="00000000" w:rsidRDefault="00000000">
      <w:pPr>
        <w:tabs>
          <w:tab w:val="clear" w:pos="567"/>
          <w:tab w:val="clear" w:pos="1021"/>
          <w:tab w:val="left" w:pos="284"/>
          <w:tab w:val="left" w:pos="680"/>
          <w:tab w:val="left" w:pos="964"/>
        </w:tabs>
        <w:spacing w:after="200"/>
        <w:ind w:left="964" w:hanging="680"/>
        <w:rPr>
          <w:i/>
        </w:rPr>
      </w:pPr>
      <w:r>
        <w:rPr>
          <w:i/>
        </w:rPr>
        <w:tab/>
        <w:t>b)</w:t>
      </w:r>
      <w:r>
        <w:rPr>
          <w:i/>
        </w:rPr>
        <w:tab/>
        <w:t>лица, осуществляющие родительскую власть или опеку над несовершеннолетним, должны извлечь незаконную материальную выгоду из перемещения или передачи несовершеннолетнего.</w:t>
      </w:r>
    </w:p>
    <w:p w:rsidR="00000000" w:rsidRDefault="00000000">
      <w:pPr>
        <w:pStyle w:val="BodyTextIndent"/>
        <w:tabs>
          <w:tab w:val="clear" w:pos="567"/>
          <w:tab w:val="clear" w:pos="1021"/>
          <w:tab w:val="left" w:pos="284"/>
          <w:tab w:val="left" w:pos="680"/>
          <w:tab w:val="left" w:pos="964"/>
        </w:tabs>
        <w:spacing w:after="200"/>
        <w:ind w:left="680" w:hanging="396"/>
      </w:pPr>
      <w:r>
        <w:t>III.</w:t>
      </w:r>
      <w:r>
        <w:tab/>
        <w:t>Совершают преступление лицо или лица, которые принимают к себе несовершеннолетнего в результате вышеописанных действий.</w:t>
      </w:r>
    </w:p>
    <w:p w:rsidR="00000000" w:rsidRDefault="00000000">
      <w:pPr>
        <w:tabs>
          <w:tab w:val="clear" w:pos="567"/>
          <w:tab w:val="clear" w:pos="1021"/>
          <w:tab w:val="left" w:pos="284"/>
          <w:tab w:val="left" w:pos="680"/>
          <w:tab w:val="left" w:pos="964"/>
        </w:tabs>
        <w:spacing w:after="200"/>
        <w:ind w:left="284"/>
        <w:rPr>
          <w:i/>
        </w:rPr>
      </w:pPr>
      <w:r>
        <w:rPr>
          <w:i/>
        </w:rPr>
        <w:t>Деяния, предусмотренные этой статьей, наказываются лишением свободы на срок от трех до десяти лет и штрафом в размере от четырехсот до тысячи ежедневных минимальных ставок зар</w:t>
      </w:r>
      <w:r>
        <w:rPr>
          <w:i/>
        </w:rPr>
        <w:t>а</w:t>
      </w:r>
      <w:r>
        <w:rPr>
          <w:i/>
        </w:rPr>
        <w:t>ботной платы.</w:t>
      </w:r>
    </w:p>
    <w:p w:rsidR="00000000" w:rsidRDefault="00000000">
      <w:pPr>
        <w:tabs>
          <w:tab w:val="clear" w:pos="567"/>
          <w:tab w:val="clear" w:pos="1021"/>
          <w:tab w:val="left" w:pos="284"/>
          <w:tab w:val="left" w:pos="680"/>
          <w:tab w:val="left" w:pos="964"/>
        </w:tabs>
        <w:spacing w:after="200"/>
        <w:ind w:left="284"/>
        <w:rPr>
          <w:i/>
        </w:rPr>
      </w:pPr>
      <w:r>
        <w:rPr>
          <w:i/>
        </w:rPr>
        <w:t>Кроме указанного выше наказания лица, совершившие преступление, предусмотренное этой статьей, осущест</w:t>
      </w:r>
      <w:r>
        <w:rPr>
          <w:i/>
        </w:rPr>
        <w:t>в</w:t>
      </w:r>
      <w:r>
        <w:rPr>
          <w:i/>
        </w:rPr>
        <w:t>ляя родительскую власть или опеку, будут лишены прав на родительскую власть или опеку.</w:t>
      </w:r>
    </w:p>
    <w:p w:rsidR="00000000" w:rsidRDefault="00000000">
      <w:pPr>
        <w:tabs>
          <w:tab w:val="clear" w:pos="567"/>
          <w:tab w:val="clear" w:pos="1021"/>
          <w:tab w:val="left" w:pos="284"/>
          <w:tab w:val="left" w:pos="680"/>
          <w:tab w:val="left" w:pos="964"/>
        </w:tabs>
        <w:spacing w:after="200"/>
        <w:ind w:left="284"/>
        <w:rPr>
          <w:i/>
        </w:rPr>
      </w:pPr>
      <w:r>
        <w:rPr>
          <w:i/>
        </w:rPr>
        <w:t>Осуществление тех же деяний на национальной территории влечет за собой наказание в размере двух третей наказания, предусмотренного этой стат</w:t>
      </w:r>
      <w:r>
        <w:rPr>
          <w:i/>
        </w:rPr>
        <w:t>ь</w:t>
      </w:r>
      <w:r>
        <w:rPr>
          <w:i/>
        </w:rPr>
        <w:t>ей.</w:t>
      </w:r>
    </w:p>
    <w:p w:rsidR="00000000" w:rsidRDefault="00000000">
      <w:pPr>
        <w:tabs>
          <w:tab w:val="clear" w:pos="567"/>
          <w:tab w:val="clear" w:pos="1021"/>
          <w:tab w:val="left" w:pos="284"/>
          <w:tab w:val="left" w:pos="680"/>
          <w:tab w:val="left" w:pos="964"/>
        </w:tabs>
        <w:spacing w:after="200"/>
        <w:ind w:left="284"/>
        <w:rPr>
          <w:i/>
        </w:rPr>
      </w:pPr>
      <w:r>
        <w:rPr>
          <w:i/>
        </w:rPr>
        <w:t xml:space="preserve">Статья 366 </w:t>
      </w:r>
      <w:r>
        <w:rPr>
          <w:i/>
          <w:lang w:val="en-US"/>
        </w:rPr>
        <w:t>quáter</w:t>
      </w:r>
      <w:r>
        <w:rPr>
          <w:i/>
        </w:rPr>
        <w:t>. – Наказание, которое предусматривается предыдущей статьей, будет сокращено в два раза в случае, если:</w:t>
      </w:r>
    </w:p>
    <w:p w:rsidR="00000000" w:rsidRDefault="00000000">
      <w:pPr>
        <w:tabs>
          <w:tab w:val="clear" w:pos="567"/>
          <w:tab w:val="clear" w:pos="1021"/>
          <w:tab w:val="left" w:pos="284"/>
          <w:tab w:val="left" w:pos="680"/>
          <w:tab w:val="left" w:pos="964"/>
        </w:tabs>
        <w:spacing w:after="200"/>
        <w:ind w:left="680" w:hanging="396"/>
        <w:rPr>
          <w:i/>
        </w:rPr>
      </w:pPr>
      <w:r>
        <w:rPr>
          <w:i/>
        </w:rPr>
        <w:t>I.</w:t>
      </w:r>
      <w:r>
        <w:rPr>
          <w:i/>
        </w:rPr>
        <w:tab/>
        <w:t>Перемещение и передача несовершеннолетнего лица осуществляются без намерения извлечь незаконную материальную выгоду; или</w:t>
      </w:r>
    </w:p>
    <w:p w:rsidR="00000000" w:rsidRDefault="00000000">
      <w:pPr>
        <w:tabs>
          <w:tab w:val="clear" w:pos="567"/>
          <w:tab w:val="clear" w:pos="1021"/>
          <w:tab w:val="left" w:pos="284"/>
          <w:tab w:val="left" w:pos="680"/>
          <w:tab w:val="left" w:pos="964"/>
        </w:tabs>
        <w:spacing w:after="200"/>
        <w:ind w:left="680" w:hanging="396"/>
        <w:rPr>
          <w:i/>
        </w:rPr>
      </w:pPr>
      <w:r>
        <w:rPr>
          <w:i/>
        </w:rPr>
        <w:t>II.</w:t>
      </w:r>
      <w:r>
        <w:rPr>
          <w:i/>
        </w:rPr>
        <w:tab/>
        <w:t>Лицо, которое получает несовершеннолетнего в результате вышеописанных действий, делает это с целью включить его в свою семью.</w:t>
      </w:r>
    </w:p>
    <w:p w:rsidR="00000000" w:rsidRDefault="00000000">
      <w:pPr>
        <w:tabs>
          <w:tab w:val="clear" w:pos="567"/>
          <w:tab w:val="clear" w:pos="1021"/>
          <w:tab w:val="left" w:pos="284"/>
          <w:tab w:val="left" w:pos="680"/>
          <w:tab w:val="left" w:pos="964"/>
        </w:tabs>
        <w:spacing w:after="200"/>
        <w:ind w:left="284"/>
        <w:rPr>
          <w:i/>
        </w:rPr>
      </w:pPr>
      <w:r>
        <w:rPr>
          <w:i/>
        </w:rPr>
        <w:t>Наказания, которые предусмотрены в этой статье, распространяются на отца или мать лица, не достигшего шестнадцатилетнего возраста, в случае, если они незаконно, без согласия тех лиц, которые осуществляют род</w:t>
      </w:r>
      <w:r>
        <w:rPr>
          <w:i/>
        </w:rPr>
        <w:t>и</w:t>
      </w:r>
      <w:r>
        <w:rPr>
          <w:i/>
        </w:rPr>
        <w:t>тельскую власть или опеку, без намерения извлечь незаконную материальную выгоду, вывезут его за пределы н</w:t>
      </w:r>
      <w:r>
        <w:rPr>
          <w:i/>
        </w:rPr>
        <w:t>а</w:t>
      </w:r>
      <w:r>
        <w:rPr>
          <w:i/>
        </w:rPr>
        <w:t>циональной территории с целью изменить его постоянное место жительства или не позволить отцу или матери, в зависимости от обсто</w:t>
      </w:r>
      <w:r>
        <w:rPr>
          <w:i/>
        </w:rPr>
        <w:t>я</w:t>
      </w:r>
      <w:r>
        <w:rPr>
          <w:i/>
        </w:rPr>
        <w:t>тельств, жить вместе с ребенком или навещать его.</w:t>
      </w:r>
    </w:p>
    <w:p w:rsidR="00000000" w:rsidRDefault="00000000">
      <w:pPr>
        <w:tabs>
          <w:tab w:val="clear" w:pos="567"/>
          <w:tab w:val="clear" w:pos="680"/>
          <w:tab w:val="clear" w:pos="1021"/>
          <w:tab w:val="left" w:pos="284"/>
          <w:tab w:val="left" w:pos="709"/>
          <w:tab w:val="left" w:pos="993"/>
        </w:tabs>
        <w:spacing w:after="200"/>
        <w:ind w:left="284"/>
        <w:rPr>
          <w:i/>
        </w:rPr>
      </w:pPr>
      <w:r>
        <w:rPr>
          <w:i/>
        </w:rPr>
        <w:t>Кроме того, лица, осуществляющие родительскую власть или опеку и совершившие деяния, предусматриваемые этой статьей, будут лишены прав на род</w:t>
      </w:r>
      <w:r>
        <w:rPr>
          <w:i/>
        </w:rPr>
        <w:t>и</w:t>
      </w:r>
      <w:r>
        <w:rPr>
          <w:i/>
        </w:rPr>
        <w:t>тельскую власть или опеку.</w:t>
      </w:r>
    </w:p>
    <w:p w:rsidR="00000000" w:rsidRDefault="00000000">
      <w:pPr>
        <w:tabs>
          <w:tab w:val="clear" w:pos="567"/>
          <w:tab w:val="clear" w:pos="680"/>
          <w:tab w:val="clear" w:pos="1021"/>
          <w:tab w:val="left" w:pos="284"/>
          <w:tab w:val="left" w:pos="709"/>
          <w:tab w:val="left" w:pos="993"/>
        </w:tabs>
        <w:spacing w:after="200"/>
        <w:ind w:left="284"/>
        <w:rPr>
          <w:i/>
          <w:lang w:val="en-US"/>
        </w:rPr>
      </w:pPr>
      <w:r>
        <w:rPr>
          <w:i/>
        </w:rPr>
        <w:t>В случаях, предусмотренных в этой статье, судебное преследование будет осуществляться по заявлению поте</w:t>
      </w:r>
      <w:r>
        <w:rPr>
          <w:i/>
        </w:rPr>
        <w:t>р</w:t>
      </w:r>
      <w:r>
        <w:rPr>
          <w:i/>
        </w:rPr>
        <w:t>певшей стороны".</w:t>
      </w:r>
    </w:p>
    <w:p w:rsidR="00000000" w:rsidRDefault="00000000">
      <w:pPr>
        <w:pStyle w:val="Heading2"/>
      </w:pPr>
      <w:r>
        <w:t>СТАТЬЯ 7</w:t>
      </w:r>
    </w:p>
    <w:p w:rsidR="00000000" w:rsidRDefault="00000000">
      <w:r>
        <w:t>359.</w:t>
      </w:r>
      <w:r>
        <w:tab/>
        <w:t>Национальная комиссия по делам женщин (НКЖ), как и прежде, способствует участию женщин в политич</w:t>
      </w:r>
      <w:r>
        <w:t>е</w:t>
      </w:r>
      <w:r>
        <w:t>ской и общественной жизни и привлечению женщин на руководящие посты в органах законодательной, исполн</w:t>
      </w:r>
      <w:r>
        <w:t>и</w:t>
      </w:r>
      <w:r>
        <w:t>тельной и судебной власти на всех трех уровнях государственного аппарата – федеральном, уровне штата и мун</w:t>
      </w:r>
      <w:r>
        <w:t>и</w:t>
      </w:r>
      <w:r>
        <w:t>ципальном. НКЖ борется также за расширение участия женщин в деятельности политических партий, коммерч</w:t>
      </w:r>
      <w:r>
        <w:t>е</w:t>
      </w:r>
      <w:r>
        <w:t>ских предприятий, общественных организаций, профсоюзов, учебных и научных учрежд</w:t>
      </w:r>
      <w:r>
        <w:t>е</w:t>
      </w:r>
      <w:r>
        <w:t>ний.</w:t>
      </w:r>
    </w:p>
    <w:p w:rsidR="00000000" w:rsidRDefault="00000000">
      <w:pPr>
        <w:pStyle w:val="Heading3"/>
      </w:pPr>
      <w:r>
        <w:t>Участие женщин в деятельности политических партий</w:t>
      </w:r>
    </w:p>
    <w:p w:rsidR="00000000" w:rsidRDefault="00000000">
      <w:pPr>
        <w:spacing w:after="120"/>
      </w:pPr>
      <w:r>
        <w:t>360.</w:t>
      </w:r>
      <w:r>
        <w:tab/>
        <w:t>Имеются следующие статистические данные, характеризующие участие женщин в руководящих органах (исполкомах) политических партий на сентябрь 1999 года:</w:t>
      </w:r>
    </w:p>
    <w:p w:rsidR="00000000" w:rsidRDefault="00000000">
      <w:pPr>
        <w:spacing w:after="120"/>
        <w:ind w:left="567"/>
      </w:pPr>
      <w:r>
        <w:t>в партии "Национальное действие" – 20,9 процента;</w:t>
      </w:r>
    </w:p>
    <w:p w:rsidR="00000000" w:rsidRDefault="00000000">
      <w:pPr>
        <w:spacing w:after="120"/>
        <w:ind w:left="567"/>
      </w:pPr>
      <w:r>
        <w:t>в Партии демократической революции – 33,3 процента;</w:t>
      </w:r>
    </w:p>
    <w:p w:rsidR="00000000" w:rsidRDefault="00000000">
      <w:pPr>
        <w:spacing w:after="120"/>
        <w:ind w:left="567"/>
      </w:pPr>
      <w:r>
        <w:t>в Институционно-революционной партии – 21,9 процента.</w:t>
      </w:r>
    </w:p>
    <w:p w:rsidR="00000000" w:rsidRDefault="00000000">
      <w:r>
        <w:t>В настоящее время женщины занимают посты председателей исполкомов Партии демократической революции и Институционно-революционной па</w:t>
      </w:r>
      <w:r>
        <w:t>р</w:t>
      </w:r>
      <w:r>
        <w:t>тии.</w:t>
      </w:r>
    </w:p>
    <w:p w:rsidR="00000000" w:rsidRDefault="00000000">
      <w:pPr>
        <w:pStyle w:val="Heading3"/>
      </w:pPr>
      <w:r>
        <w:t>Участие женщин в управлении государством на федерал</w:t>
      </w:r>
      <w:r>
        <w:t>ь</w:t>
      </w:r>
      <w:r>
        <w:t>ном уровне</w:t>
      </w:r>
    </w:p>
    <w:p w:rsidR="00000000" w:rsidRDefault="00000000">
      <w:r>
        <w:t>361.</w:t>
      </w:r>
      <w:r>
        <w:tab/>
        <w:t>Растет число женщин, занимающих руководящие посты среднего и высшего звена.</w:t>
      </w:r>
    </w:p>
    <w:p w:rsidR="00000000" w:rsidRDefault="00000000">
      <w:r>
        <w:t>362.</w:t>
      </w:r>
      <w:r>
        <w:tab/>
        <w:t>В настоящее время две женщины занимают посты министров, а именно министра иностранных дел и мин</w:t>
      </w:r>
      <w:r>
        <w:t>и</w:t>
      </w:r>
      <w:r>
        <w:t>стра по охране окружающей среды, природных ресурсов и рыболовства. В Министерстве национальной обороны есть женщина в звании бригадного генерала, занимающая четвертое место в иерархии Министерства, а также же</w:t>
      </w:r>
      <w:r>
        <w:t>н</w:t>
      </w:r>
      <w:r>
        <w:t>щина в звании полковника. Есть женщина-судья в Верхо</w:t>
      </w:r>
      <w:r>
        <w:t>в</w:t>
      </w:r>
      <w:r>
        <w:t>ном суде Мексики.</w:t>
      </w:r>
    </w:p>
    <w:p w:rsidR="00000000" w:rsidRDefault="00000000">
      <w:r>
        <w:t>363.</w:t>
      </w:r>
      <w:r>
        <w:tab/>
        <w:t>Что касается выдвижения женщин на руководящие посты, следует отметить назначение женщины главой правительства федерального округа Мехико и еще одной – председателем Федеральной счетной палаты.</w:t>
      </w:r>
    </w:p>
    <w:p w:rsidR="00000000" w:rsidRDefault="00000000">
      <w:r>
        <w:t>364.</w:t>
      </w:r>
      <w:r>
        <w:tab/>
        <w:t>НКЖ постоянно обновляет базу данных о женщинах, занимающих руководящие посты среднего и высшего звена в федеральных органах государственного управления. Накопленная информация дала возможность издать в 1999 и 2000 годах справочные издания под названием "Женщины-руководители: их роль в управлении государс</w:t>
      </w:r>
      <w:r>
        <w:t>т</w:t>
      </w:r>
      <w:r>
        <w:t>вом на федеральном уровне". В каждом из этих справочников содержатся данные по состоянию на предыдущий год. К каждому из справочников прилагается компакт-диск, содержащий обзор положения и список женщин, зан</w:t>
      </w:r>
      <w:r>
        <w:t>и</w:t>
      </w:r>
      <w:r>
        <w:t>мающих ответственные посты в аппарате Президента Республики и в каждом из министерств.</w:t>
      </w:r>
    </w:p>
    <w:p w:rsidR="00000000" w:rsidRDefault="00000000">
      <w:r>
        <w:t>365.</w:t>
      </w:r>
      <w:r>
        <w:tab/>
        <w:t>Изучение подобных данных дает основания прийти к выводу, что в 1998–1999 годах число женщин, зан</w:t>
      </w:r>
      <w:r>
        <w:t>и</w:t>
      </w:r>
      <w:r>
        <w:t>мающих должности среднего и высшего звена в органах государственного управления и приравненных к ним, в</w:t>
      </w:r>
      <w:r>
        <w:t>ы</w:t>
      </w:r>
      <w:r>
        <w:t>росло с 27 до 30 процентов.</w:t>
      </w:r>
    </w:p>
    <w:p w:rsidR="00000000" w:rsidRDefault="00000000">
      <w:r>
        <w:t>366.</w:t>
      </w:r>
      <w:r>
        <w:tab/>
        <w:t>По данным справочника 2000 года, в 1999 году в официальных документах, имевших хождение в Мексике, имелись наименования 477 должностей среднего и высшего звена государственного управления на федеральном уровне и в субъектах Федерации. Все они были сведены к десяти основным катег</w:t>
      </w:r>
      <w:r>
        <w:t>о</w:t>
      </w:r>
      <w:r>
        <w:t>риям.</w:t>
      </w:r>
    </w:p>
    <w:p w:rsidR="00000000" w:rsidRDefault="00000000">
      <w:r>
        <w:t>367.</w:t>
      </w:r>
      <w:r>
        <w:tab/>
        <w:t>В 1999 году наибольший процент женщин на руководящих государственных постах был отмечен на уровне начальника управления (36 процентов), советника (33,6 процента), начальника отдела (30,6 процента) и генерального координатора (30,5 процента).</w:t>
      </w:r>
    </w:p>
    <w:p w:rsidR="00000000" w:rsidRDefault="00000000">
      <w:pPr>
        <w:pStyle w:val="Heading3"/>
        <w:spacing w:before="0"/>
        <w:jc w:val="center"/>
        <w:rPr>
          <w:b w:val="0"/>
          <w:noProof w:val="0"/>
          <w:lang w:val="ru-RU"/>
        </w:rPr>
      </w:pPr>
      <w:r>
        <w:br w:type="page"/>
        <w:t xml:space="preserve">Участие женщин в государственной службе </w:t>
      </w:r>
      <w:r>
        <w:br/>
        <w:t>в органах федерального уровня*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969"/>
        <w:gridCol w:w="1418"/>
        <w:gridCol w:w="1418"/>
      </w:tblGrid>
      <w:tr w:rsidR="00000000">
        <w:tblPrEx>
          <w:tblCellMar>
            <w:top w:w="0" w:type="dxa"/>
            <w:bottom w:w="0" w:type="dxa"/>
          </w:tblCellMar>
        </w:tblPrEx>
        <w:trPr>
          <w:cantSplit/>
          <w:jc w:val="center"/>
        </w:trPr>
        <w:tc>
          <w:tcPr>
            <w:tcW w:w="3969" w:type="dxa"/>
            <w:vMerge w:val="restart"/>
            <w:vAlign w:val="center"/>
          </w:tcPr>
          <w:p w:rsidR="00000000" w:rsidRDefault="00000000">
            <w:pPr>
              <w:spacing w:before="120" w:after="120"/>
              <w:jc w:val="center"/>
              <w:rPr>
                <w:b/>
              </w:rPr>
            </w:pPr>
            <w:r>
              <w:rPr>
                <w:b/>
              </w:rPr>
              <w:t>Наименование должн</w:t>
            </w:r>
            <w:r>
              <w:rPr>
                <w:b/>
              </w:rPr>
              <w:t>о</w:t>
            </w:r>
            <w:r>
              <w:rPr>
                <w:b/>
              </w:rPr>
              <w:t>сти</w:t>
            </w:r>
          </w:p>
        </w:tc>
        <w:tc>
          <w:tcPr>
            <w:tcW w:w="2836" w:type="dxa"/>
            <w:gridSpan w:val="2"/>
            <w:vAlign w:val="center"/>
          </w:tcPr>
          <w:p w:rsidR="00000000" w:rsidRDefault="00000000">
            <w:pPr>
              <w:spacing w:before="120" w:after="120"/>
              <w:jc w:val="center"/>
              <w:rPr>
                <w:b/>
              </w:rPr>
            </w:pPr>
            <w:r>
              <w:rPr>
                <w:b/>
              </w:rPr>
              <w:t>Процентная доля женщин</w:t>
            </w:r>
          </w:p>
        </w:tc>
      </w:tr>
      <w:tr w:rsidR="00000000">
        <w:tblPrEx>
          <w:tblCellMar>
            <w:top w:w="0" w:type="dxa"/>
            <w:bottom w:w="0" w:type="dxa"/>
          </w:tblCellMar>
        </w:tblPrEx>
        <w:trPr>
          <w:cantSplit/>
          <w:jc w:val="center"/>
        </w:trPr>
        <w:tc>
          <w:tcPr>
            <w:tcW w:w="3969" w:type="dxa"/>
            <w:vMerge/>
            <w:vAlign w:val="center"/>
          </w:tcPr>
          <w:p w:rsidR="00000000" w:rsidRDefault="00000000">
            <w:pPr>
              <w:spacing w:before="120" w:after="120"/>
              <w:jc w:val="center"/>
            </w:pPr>
          </w:p>
        </w:tc>
        <w:tc>
          <w:tcPr>
            <w:tcW w:w="1418" w:type="dxa"/>
            <w:vAlign w:val="center"/>
          </w:tcPr>
          <w:p w:rsidR="00000000" w:rsidRDefault="00000000">
            <w:pPr>
              <w:spacing w:before="120" w:after="120"/>
              <w:jc w:val="center"/>
              <w:rPr>
                <w:b/>
              </w:rPr>
            </w:pPr>
            <w:r>
              <w:rPr>
                <w:b/>
              </w:rPr>
              <w:t>1998 год</w:t>
            </w:r>
          </w:p>
        </w:tc>
        <w:tc>
          <w:tcPr>
            <w:tcW w:w="1418" w:type="dxa"/>
            <w:vAlign w:val="center"/>
          </w:tcPr>
          <w:p w:rsidR="00000000" w:rsidRDefault="00000000">
            <w:pPr>
              <w:spacing w:before="120" w:after="120"/>
              <w:jc w:val="center"/>
              <w:rPr>
                <w:b/>
              </w:rPr>
            </w:pPr>
            <w:r>
              <w:rPr>
                <w:b/>
              </w:rPr>
              <w:t>1999 год</w:t>
            </w:r>
          </w:p>
        </w:tc>
      </w:tr>
      <w:tr w:rsidR="00000000">
        <w:tblPrEx>
          <w:tblCellMar>
            <w:top w:w="0" w:type="dxa"/>
            <w:bottom w:w="0" w:type="dxa"/>
          </w:tblCellMar>
        </w:tblPrEx>
        <w:trPr>
          <w:cantSplit/>
          <w:jc w:val="center"/>
        </w:trPr>
        <w:tc>
          <w:tcPr>
            <w:tcW w:w="3969" w:type="dxa"/>
          </w:tcPr>
          <w:p w:rsidR="00000000" w:rsidRDefault="00000000">
            <w:pPr>
              <w:spacing w:before="120" w:after="120"/>
            </w:pPr>
            <w:r>
              <w:t>Женщины на всех должностях</w:t>
            </w:r>
          </w:p>
        </w:tc>
        <w:tc>
          <w:tcPr>
            <w:tcW w:w="1418" w:type="dxa"/>
          </w:tcPr>
          <w:p w:rsidR="00000000" w:rsidRDefault="00000000">
            <w:pPr>
              <w:spacing w:before="120" w:after="120"/>
              <w:jc w:val="center"/>
            </w:pPr>
            <w:r>
              <w:t>27,0</w:t>
            </w:r>
          </w:p>
        </w:tc>
        <w:tc>
          <w:tcPr>
            <w:tcW w:w="1418" w:type="dxa"/>
          </w:tcPr>
          <w:p w:rsidR="00000000" w:rsidRDefault="00000000">
            <w:pPr>
              <w:spacing w:before="120" w:after="120"/>
              <w:jc w:val="center"/>
            </w:pPr>
            <w:r>
              <w:t>30,0</w:t>
            </w:r>
          </w:p>
        </w:tc>
      </w:tr>
      <w:tr w:rsidR="00000000">
        <w:tblPrEx>
          <w:tblCellMar>
            <w:top w:w="0" w:type="dxa"/>
            <w:bottom w:w="0" w:type="dxa"/>
          </w:tblCellMar>
        </w:tblPrEx>
        <w:trPr>
          <w:cantSplit/>
          <w:jc w:val="center"/>
        </w:trPr>
        <w:tc>
          <w:tcPr>
            <w:tcW w:w="3969" w:type="dxa"/>
          </w:tcPr>
          <w:p w:rsidR="00000000" w:rsidRDefault="00000000">
            <w:pPr>
              <w:spacing w:before="120" w:after="120"/>
            </w:pPr>
            <w:r>
              <w:t>Начальник отдела</w:t>
            </w:r>
          </w:p>
        </w:tc>
        <w:tc>
          <w:tcPr>
            <w:tcW w:w="1418" w:type="dxa"/>
          </w:tcPr>
          <w:p w:rsidR="00000000" w:rsidRDefault="00000000">
            <w:pPr>
              <w:spacing w:before="120" w:after="120"/>
              <w:jc w:val="center"/>
            </w:pPr>
            <w:r>
              <w:t>30,0</w:t>
            </w:r>
          </w:p>
        </w:tc>
        <w:tc>
          <w:tcPr>
            <w:tcW w:w="1418" w:type="dxa"/>
          </w:tcPr>
          <w:p w:rsidR="00000000" w:rsidRDefault="00000000">
            <w:pPr>
              <w:spacing w:before="120" w:after="120"/>
              <w:jc w:val="center"/>
            </w:pPr>
            <w:r>
              <w:t>30,6</w:t>
            </w:r>
          </w:p>
        </w:tc>
      </w:tr>
      <w:tr w:rsidR="00000000">
        <w:tblPrEx>
          <w:tblCellMar>
            <w:top w:w="0" w:type="dxa"/>
            <w:bottom w:w="0" w:type="dxa"/>
          </w:tblCellMar>
        </w:tblPrEx>
        <w:trPr>
          <w:cantSplit/>
          <w:jc w:val="center"/>
        </w:trPr>
        <w:tc>
          <w:tcPr>
            <w:tcW w:w="3969" w:type="dxa"/>
          </w:tcPr>
          <w:p w:rsidR="00000000" w:rsidRDefault="00000000">
            <w:pPr>
              <w:spacing w:before="120" w:after="120"/>
            </w:pPr>
            <w:r>
              <w:t>Заместитель начальника управл</w:t>
            </w:r>
            <w:r>
              <w:t>е</w:t>
            </w:r>
            <w:r>
              <w:t>ния</w:t>
            </w:r>
          </w:p>
        </w:tc>
        <w:tc>
          <w:tcPr>
            <w:tcW w:w="1418" w:type="dxa"/>
          </w:tcPr>
          <w:p w:rsidR="00000000" w:rsidRDefault="00000000">
            <w:pPr>
              <w:spacing w:before="120" w:after="120"/>
              <w:jc w:val="center"/>
            </w:pPr>
            <w:r>
              <w:t>23,8</w:t>
            </w:r>
          </w:p>
        </w:tc>
        <w:tc>
          <w:tcPr>
            <w:tcW w:w="1418" w:type="dxa"/>
          </w:tcPr>
          <w:p w:rsidR="00000000" w:rsidRDefault="00000000">
            <w:pPr>
              <w:spacing w:before="120" w:after="120"/>
              <w:jc w:val="center"/>
            </w:pPr>
            <w:r>
              <w:t>28,2</w:t>
            </w:r>
          </w:p>
        </w:tc>
      </w:tr>
      <w:tr w:rsidR="00000000">
        <w:tblPrEx>
          <w:tblCellMar>
            <w:top w:w="0" w:type="dxa"/>
            <w:bottom w:w="0" w:type="dxa"/>
          </w:tblCellMar>
        </w:tblPrEx>
        <w:trPr>
          <w:cantSplit/>
          <w:jc w:val="center"/>
        </w:trPr>
        <w:tc>
          <w:tcPr>
            <w:tcW w:w="3969" w:type="dxa"/>
          </w:tcPr>
          <w:p w:rsidR="00000000" w:rsidRDefault="00000000">
            <w:pPr>
              <w:spacing w:before="120" w:after="120"/>
            </w:pPr>
            <w:r>
              <w:t>Начальник управления</w:t>
            </w:r>
          </w:p>
        </w:tc>
        <w:tc>
          <w:tcPr>
            <w:tcW w:w="1418" w:type="dxa"/>
          </w:tcPr>
          <w:p w:rsidR="00000000" w:rsidRDefault="00000000">
            <w:pPr>
              <w:spacing w:before="120" w:after="120"/>
              <w:jc w:val="center"/>
            </w:pPr>
            <w:r>
              <w:t>25,9</w:t>
            </w:r>
          </w:p>
        </w:tc>
        <w:tc>
          <w:tcPr>
            <w:tcW w:w="1418" w:type="dxa"/>
          </w:tcPr>
          <w:p w:rsidR="00000000" w:rsidRDefault="00000000">
            <w:pPr>
              <w:spacing w:before="120" w:after="120"/>
              <w:jc w:val="center"/>
            </w:pPr>
            <w:r>
              <w:t>36,0</w:t>
            </w:r>
          </w:p>
        </w:tc>
      </w:tr>
      <w:tr w:rsidR="00000000">
        <w:tblPrEx>
          <w:tblCellMar>
            <w:top w:w="0" w:type="dxa"/>
            <w:bottom w:w="0" w:type="dxa"/>
          </w:tblCellMar>
        </w:tblPrEx>
        <w:trPr>
          <w:cantSplit/>
          <w:jc w:val="center"/>
        </w:trPr>
        <w:tc>
          <w:tcPr>
            <w:tcW w:w="3969" w:type="dxa"/>
          </w:tcPr>
          <w:p w:rsidR="00000000" w:rsidRDefault="00000000">
            <w:pPr>
              <w:spacing w:before="120" w:after="120"/>
            </w:pPr>
            <w:r>
              <w:t>Советник</w:t>
            </w:r>
          </w:p>
        </w:tc>
        <w:tc>
          <w:tcPr>
            <w:tcW w:w="1418" w:type="dxa"/>
          </w:tcPr>
          <w:p w:rsidR="00000000" w:rsidRDefault="00000000">
            <w:pPr>
              <w:spacing w:before="120" w:after="120"/>
              <w:jc w:val="center"/>
            </w:pPr>
            <w:r>
              <w:t>30,1</w:t>
            </w:r>
          </w:p>
        </w:tc>
        <w:tc>
          <w:tcPr>
            <w:tcW w:w="1418" w:type="dxa"/>
          </w:tcPr>
          <w:p w:rsidR="00000000" w:rsidRDefault="00000000">
            <w:pPr>
              <w:spacing w:before="120" w:after="120"/>
              <w:jc w:val="center"/>
            </w:pPr>
            <w:r>
              <w:t>33,6</w:t>
            </w:r>
          </w:p>
        </w:tc>
      </w:tr>
      <w:tr w:rsidR="00000000">
        <w:tblPrEx>
          <w:tblCellMar>
            <w:top w:w="0" w:type="dxa"/>
            <w:bottom w:w="0" w:type="dxa"/>
          </w:tblCellMar>
        </w:tblPrEx>
        <w:trPr>
          <w:cantSplit/>
          <w:jc w:val="center"/>
        </w:trPr>
        <w:tc>
          <w:tcPr>
            <w:tcW w:w="3969" w:type="dxa"/>
          </w:tcPr>
          <w:p w:rsidR="00000000" w:rsidRDefault="00000000">
            <w:pPr>
              <w:spacing w:before="120" w:after="120"/>
            </w:pPr>
            <w:r>
              <w:t>Заместитель аудитора</w:t>
            </w:r>
          </w:p>
        </w:tc>
        <w:tc>
          <w:tcPr>
            <w:tcW w:w="1418" w:type="dxa"/>
          </w:tcPr>
          <w:p w:rsidR="00000000" w:rsidRDefault="00000000">
            <w:pPr>
              <w:spacing w:before="120" w:after="120"/>
              <w:jc w:val="center"/>
            </w:pPr>
            <w:r>
              <w:t>27,8</w:t>
            </w:r>
          </w:p>
        </w:tc>
        <w:tc>
          <w:tcPr>
            <w:tcW w:w="1418" w:type="dxa"/>
          </w:tcPr>
          <w:p w:rsidR="00000000" w:rsidRDefault="00000000">
            <w:pPr>
              <w:spacing w:before="120" w:after="120"/>
              <w:jc w:val="center"/>
            </w:pPr>
            <w:r>
              <w:t>24,8</w:t>
            </w:r>
          </w:p>
        </w:tc>
      </w:tr>
      <w:tr w:rsidR="00000000">
        <w:tblPrEx>
          <w:tblCellMar>
            <w:top w:w="0" w:type="dxa"/>
            <w:bottom w:w="0" w:type="dxa"/>
          </w:tblCellMar>
        </w:tblPrEx>
        <w:trPr>
          <w:cantSplit/>
          <w:jc w:val="center"/>
        </w:trPr>
        <w:tc>
          <w:tcPr>
            <w:tcW w:w="3969" w:type="dxa"/>
          </w:tcPr>
          <w:p w:rsidR="00000000" w:rsidRDefault="00000000">
            <w:pPr>
              <w:pStyle w:val="Header"/>
              <w:tabs>
                <w:tab w:val="clear" w:pos="4677"/>
                <w:tab w:val="clear" w:pos="9355"/>
              </w:tabs>
              <w:spacing w:before="120" w:after="120"/>
            </w:pPr>
            <w:r>
              <w:t>Генеральный директор</w:t>
            </w:r>
          </w:p>
        </w:tc>
        <w:tc>
          <w:tcPr>
            <w:tcW w:w="1418" w:type="dxa"/>
          </w:tcPr>
          <w:p w:rsidR="00000000" w:rsidRDefault="00000000">
            <w:pPr>
              <w:spacing w:before="120" w:after="120"/>
              <w:jc w:val="center"/>
            </w:pPr>
            <w:r>
              <w:t>14,3</w:t>
            </w:r>
          </w:p>
        </w:tc>
        <w:tc>
          <w:tcPr>
            <w:tcW w:w="1418" w:type="dxa"/>
          </w:tcPr>
          <w:p w:rsidR="00000000" w:rsidRDefault="00000000">
            <w:pPr>
              <w:spacing w:before="120" w:after="120"/>
              <w:jc w:val="center"/>
            </w:pPr>
            <w:r>
              <w:t>15,8</w:t>
            </w:r>
          </w:p>
        </w:tc>
      </w:tr>
      <w:tr w:rsidR="00000000">
        <w:tblPrEx>
          <w:tblCellMar>
            <w:top w:w="0" w:type="dxa"/>
            <w:bottom w:w="0" w:type="dxa"/>
          </w:tblCellMar>
        </w:tblPrEx>
        <w:trPr>
          <w:cantSplit/>
          <w:jc w:val="center"/>
        </w:trPr>
        <w:tc>
          <w:tcPr>
            <w:tcW w:w="3969" w:type="dxa"/>
          </w:tcPr>
          <w:p w:rsidR="00000000" w:rsidRDefault="00000000">
            <w:pPr>
              <w:spacing w:before="120" w:after="120"/>
            </w:pPr>
            <w:r>
              <w:t>Генеральный координатор</w:t>
            </w:r>
          </w:p>
        </w:tc>
        <w:tc>
          <w:tcPr>
            <w:tcW w:w="1418" w:type="dxa"/>
          </w:tcPr>
          <w:p w:rsidR="00000000" w:rsidRDefault="00000000">
            <w:pPr>
              <w:spacing w:before="120" w:after="120"/>
              <w:jc w:val="center"/>
            </w:pPr>
            <w:r>
              <w:t>21,1</w:t>
            </w:r>
          </w:p>
        </w:tc>
        <w:tc>
          <w:tcPr>
            <w:tcW w:w="1418" w:type="dxa"/>
          </w:tcPr>
          <w:p w:rsidR="00000000" w:rsidRDefault="00000000">
            <w:pPr>
              <w:spacing w:before="120" w:after="120"/>
              <w:jc w:val="center"/>
            </w:pPr>
            <w:r>
              <w:t>30,5</w:t>
            </w:r>
          </w:p>
        </w:tc>
      </w:tr>
      <w:tr w:rsidR="00000000">
        <w:tblPrEx>
          <w:tblCellMar>
            <w:top w:w="0" w:type="dxa"/>
            <w:bottom w:w="0" w:type="dxa"/>
          </w:tblCellMar>
        </w:tblPrEx>
        <w:trPr>
          <w:cantSplit/>
          <w:jc w:val="center"/>
        </w:trPr>
        <w:tc>
          <w:tcPr>
            <w:tcW w:w="3969" w:type="dxa"/>
          </w:tcPr>
          <w:p w:rsidR="00000000" w:rsidRDefault="00000000">
            <w:pPr>
              <w:spacing w:before="120" w:after="120"/>
            </w:pPr>
            <w:r>
              <w:t>Главный специалист</w:t>
            </w:r>
          </w:p>
        </w:tc>
        <w:tc>
          <w:tcPr>
            <w:tcW w:w="1418" w:type="dxa"/>
          </w:tcPr>
          <w:p w:rsidR="00000000" w:rsidRDefault="00000000">
            <w:pPr>
              <w:spacing w:before="120" w:after="120"/>
              <w:jc w:val="center"/>
            </w:pPr>
            <w:r>
              <w:t>10,6</w:t>
            </w:r>
          </w:p>
        </w:tc>
        <w:tc>
          <w:tcPr>
            <w:tcW w:w="1418" w:type="dxa"/>
          </w:tcPr>
          <w:p w:rsidR="00000000" w:rsidRDefault="00000000">
            <w:pPr>
              <w:spacing w:before="120" w:after="120"/>
              <w:jc w:val="center"/>
            </w:pPr>
            <w:r>
              <w:t>13,2</w:t>
            </w:r>
          </w:p>
        </w:tc>
      </w:tr>
      <w:tr w:rsidR="00000000">
        <w:tblPrEx>
          <w:tblCellMar>
            <w:top w:w="0" w:type="dxa"/>
            <w:bottom w:w="0" w:type="dxa"/>
          </w:tblCellMar>
        </w:tblPrEx>
        <w:trPr>
          <w:cantSplit/>
          <w:jc w:val="center"/>
        </w:trPr>
        <w:tc>
          <w:tcPr>
            <w:tcW w:w="3969" w:type="dxa"/>
            <w:tcBorders>
              <w:bottom w:val="nil"/>
            </w:tcBorders>
          </w:tcPr>
          <w:p w:rsidR="00000000" w:rsidRDefault="00000000">
            <w:pPr>
              <w:spacing w:before="120" w:after="120"/>
            </w:pPr>
            <w:r>
              <w:t>Заместитель министра</w:t>
            </w:r>
          </w:p>
        </w:tc>
        <w:tc>
          <w:tcPr>
            <w:tcW w:w="1418" w:type="dxa"/>
            <w:tcBorders>
              <w:bottom w:val="nil"/>
            </w:tcBorders>
          </w:tcPr>
          <w:p w:rsidR="00000000" w:rsidRDefault="00000000">
            <w:pPr>
              <w:spacing w:before="120" w:after="120"/>
              <w:jc w:val="center"/>
            </w:pPr>
            <w:r>
              <w:t>4,7</w:t>
            </w:r>
          </w:p>
        </w:tc>
        <w:tc>
          <w:tcPr>
            <w:tcW w:w="1418" w:type="dxa"/>
            <w:tcBorders>
              <w:bottom w:val="nil"/>
            </w:tcBorders>
          </w:tcPr>
          <w:p w:rsidR="00000000" w:rsidRDefault="00000000">
            <w:pPr>
              <w:spacing w:before="120" w:after="120"/>
              <w:jc w:val="center"/>
            </w:pPr>
            <w:r>
              <w:t>10,5</w:t>
            </w:r>
          </w:p>
        </w:tc>
      </w:tr>
      <w:tr w:rsidR="00000000">
        <w:tblPrEx>
          <w:tblCellMar>
            <w:top w:w="0" w:type="dxa"/>
            <w:bottom w:w="0" w:type="dxa"/>
          </w:tblCellMar>
        </w:tblPrEx>
        <w:trPr>
          <w:cantSplit/>
          <w:jc w:val="center"/>
        </w:trPr>
        <w:tc>
          <w:tcPr>
            <w:tcW w:w="3969" w:type="dxa"/>
            <w:tcBorders>
              <w:bottom w:val="single" w:sz="4" w:space="0" w:color="auto"/>
            </w:tcBorders>
          </w:tcPr>
          <w:p w:rsidR="00000000" w:rsidRDefault="00000000">
            <w:pPr>
              <w:spacing w:before="120" w:after="120"/>
            </w:pPr>
            <w:r>
              <w:t>Министр</w:t>
            </w:r>
          </w:p>
        </w:tc>
        <w:tc>
          <w:tcPr>
            <w:tcW w:w="1418" w:type="dxa"/>
            <w:tcBorders>
              <w:bottom w:val="single" w:sz="4" w:space="0" w:color="auto"/>
            </w:tcBorders>
          </w:tcPr>
          <w:p w:rsidR="00000000" w:rsidRDefault="00000000">
            <w:pPr>
              <w:spacing w:before="120" w:after="120"/>
              <w:jc w:val="center"/>
            </w:pPr>
            <w:r>
              <w:t>11,76</w:t>
            </w:r>
          </w:p>
        </w:tc>
        <w:tc>
          <w:tcPr>
            <w:tcW w:w="1418" w:type="dxa"/>
            <w:tcBorders>
              <w:bottom w:val="single" w:sz="4" w:space="0" w:color="auto"/>
            </w:tcBorders>
          </w:tcPr>
          <w:p w:rsidR="00000000" w:rsidRDefault="00000000">
            <w:pPr>
              <w:spacing w:before="120" w:after="120"/>
              <w:jc w:val="center"/>
            </w:pPr>
            <w:r>
              <w:t>11,76</w:t>
            </w:r>
          </w:p>
        </w:tc>
      </w:tr>
      <w:tr w:rsidR="00000000">
        <w:tblPrEx>
          <w:tblCellMar>
            <w:top w:w="0" w:type="dxa"/>
            <w:bottom w:w="0" w:type="dxa"/>
          </w:tblCellMar>
        </w:tblPrEx>
        <w:trPr>
          <w:cantSplit/>
          <w:jc w:val="center"/>
        </w:trPr>
        <w:tc>
          <w:tcPr>
            <w:tcW w:w="6805" w:type="dxa"/>
            <w:gridSpan w:val="3"/>
            <w:tcBorders>
              <w:top w:val="nil"/>
              <w:left w:val="nil"/>
              <w:bottom w:val="nil"/>
              <w:right w:val="nil"/>
            </w:tcBorders>
          </w:tcPr>
          <w:p w:rsidR="00000000" w:rsidRDefault="00000000">
            <w:pPr>
              <w:spacing w:before="120" w:after="120"/>
              <w:rPr>
                <w:sz w:val="18"/>
              </w:rPr>
            </w:pPr>
            <w:r>
              <w:rPr>
                <w:sz w:val="18"/>
              </w:rPr>
              <w:t>Источник: НКЖ, "Женщины-руководители: их роль в управлении государством на федеральном уровне (Справо</w:t>
            </w:r>
            <w:r>
              <w:rPr>
                <w:sz w:val="18"/>
              </w:rPr>
              <w:t>ч</w:t>
            </w:r>
            <w:r>
              <w:rPr>
                <w:sz w:val="18"/>
              </w:rPr>
              <w:t>ник по женщинам – государственным служащим)". 1999–2000 годы.</w:t>
            </w:r>
          </w:p>
          <w:p w:rsidR="00000000" w:rsidRDefault="00000000">
            <w:pPr>
              <w:pStyle w:val="Header"/>
              <w:tabs>
                <w:tab w:val="clear" w:pos="4677"/>
                <w:tab w:val="clear" w:pos="9355"/>
              </w:tabs>
              <w:spacing w:after="120"/>
            </w:pPr>
            <w:r>
              <w:rPr>
                <w:sz w:val="18"/>
              </w:rPr>
              <w:t>*</w:t>
            </w:r>
            <w:r>
              <w:rPr>
                <w:sz w:val="18"/>
                <w:vertAlign w:val="superscript"/>
              </w:rPr>
              <w:t xml:space="preserve"> </w:t>
            </w:r>
            <w:r>
              <w:rPr>
                <w:sz w:val="18"/>
              </w:rPr>
              <w:t>В 1998 году не было данных относительно мужчин – служащих четырех правительственных ведомств. В 1999 году не было данных того же рода по двум ведомствам.</w:t>
            </w:r>
            <w:r>
              <w:t xml:space="preserve"> </w:t>
            </w:r>
          </w:p>
        </w:tc>
      </w:tr>
    </w:tbl>
    <w:p w:rsidR="00000000" w:rsidRDefault="00000000"/>
    <w:p w:rsidR="00000000" w:rsidRDefault="00000000">
      <w:r>
        <w:t>368.</w:t>
      </w:r>
      <w:r>
        <w:tab/>
        <w:t>Национальный институт государственного управления постановил ввести в университетах тему для специ</w:t>
      </w:r>
      <w:r>
        <w:t>а</w:t>
      </w:r>
      <w:r>
        <w:t>лизации "Участие женщин в политике и руководстве государством".</w:t>
      </w:r>
    </w:p>
    <w:p w:rsidR="00000000" w:rsidRDefault="00000000">
      <w:pPr>
        <w:pStyle w:val="Heading3"/>
      </w:pPr>
      <w:r>
        <w:t>Участие в выборном процессе</w:t>
      </w:r>
    </w:p>
    <w:p w:rsidR="00000000" w:rsidRDefault="00000000">
      <w:r>
        <w:t>369.</w:t>
      </w:r>
      <w:r>
        <w:tab/>
        <w:t>2000 год стал исключительно важным периодом в политической жизни Мексики: в этом году прошли выб</w:t>
      </w:r>
      <w:r>
        <w:t>о</w:t>
      </w:r>
      <w:r>
        <w:t>ры Президента Республики, 128 сенаторов и 500 депутатов Федерального конгресса, а также главы правительства и депутатов Законодательной ассамблеи федерального округа. 2 июля состоялись также первые в истории выборы советов 16 административных районов федерального округа.</w:t>
      </w:r>
    </w:p>
    <w:p w:rsidR="00000000" w:rsidRDefault="00000000">
      <w:r>
        <w:t>370.</w:t>
      </w:r>
      <w:r>
        <w:tab/>
        <w:t xml:space="preserve">Ввиду приближения этих событий в январе 2000 года Консультативный совет и Общественная контрольная комиссия ПРОНАМ, а также Национальная комиссия по делам женщин обратились к </w:t>
      </w:r>
      <w:r>
        <w:br/>
        <w:t>11 политическим партиям страны с призывом предпринять необходимые организационные усилия, с тем чтобы обеспечить большее участие женщин в деятельности партий в ходе выборов. В обращении содержался также призыв обеспечить женщинам, по крайней мере, 30-процентное представительство в партийных списках кандидатов на выборные должности, как это установлено, в частности, в Федеральном кодексе выборных институтов и процедур выб</w:t>
      </w:r>
      <w:r>
        <w:t>о</w:t>
      </w:r>
      <w:r>
        <w:t>ров.</w:t>
      </w:r>
    </w:p>
    <w:p w:rsidR="00000000" w:rsidRDefault="00000000">
      <w:r>
        <w:t>371.</w:t>
      </w:r>
      <w:r>
        <w:tab/>
        <w:t>Те же организации направили приглашения каждому из кандидатов на пост Президента Республики, предл</w:t>
      </w:r>
      <w:r>
        <w:t>а</w:t>
      </w:r>
      <w:r>
        <w:t>гая им принять участие в дискуссии с женщинами – членами указанных организаций, с тем чтобы участницы встречи смогли ознакомиться с предвыборными платформами кандидатов в части, касающейся политики в отн</w:t>
      </w:r>
      <w:r>
        <w:t>о</w:t>
      </w:r>
      <w:r>
        <w:t>шении женщин, и конкретными обязательствами, взятыми на себя каждым кандидатом перед женской частью эле</w:t>
      </w:r>
      <w:r>
        <w:t>к</w:t>
      </w:r>
      <w:r>
        <w:t>тората. Кандидатам были разосланы перечни вопросов.</w:t>
      </w:r>
    </w:p>
    <w:p w:rsidR="00000000" w:rsidRDefault="00000000">
      <w:r>
        <w:t>372.</w:t>
      </w:r>
      <w:r>
        <w:tab/>
        <w:t>Ни одна из политических партий не выдвинула женщину в качестве кандидата в Президенты, хотя, следует отметить, в одной из партий одна женщина фигурировала в качестве кандидата на выдвижение. Та же партия – Партия социальной демократии – выдвинула женщину кандидатом в члены правительства федерального округа Мехико.</w:t>
      </w:r>
    </w:p>
    <w:p w:rsidR="00000000" w:rsidRDefault="00000000">
      <w:r>
        <w:t>373.</w:t>
      </w:r>
      <w:r>
        <w:tab/>
        <w:t>1 марта 2000 года в рамках программы "Равенство политических возможностей для женщин", принятой К</w:t>
      </w:r>
      <w:r>
        <w:t>о</w:t>
      </w:r>
      <w:r>
        <w:t>ординационным комитетом НКЖ, была проведена встреча под названием "Женщины в предвыборных программах политических партий". Целью проведения встречи было ознакомление с предвыборными программами и обсужд</w:t>
      </w:r>
      <w:r>
        <w:t>е</w:t>
      </w:r>
      <w:r>
        <w:t xml:space="preserve">ние, особенно тех их разделов, в которых содержатся обязательства, взятые на себя соответствующей партией в отношении женщин в период подготовки к выборам, состоявшимся 2 июля </w:t>
      </w:r>
      <w:r>
        <w:br/>
        <w:t>2000 года. Участники встречи пришли к выводу, что общенациональная избирательная кампания станет для политических партий серьезным испытанием на верность их уставным принципам, а также нормам Федерального кодекса выборных институтов и процедур выб</w:t>
      </w:r>
      <w:r>
        <w:t>о</w:t>
      </w:r>
      <w:r>
        <w:t>ров.</w:t>
      </w:r>
    </w:p>
    <w:p w:rsidR="00000000" w:rsidRDefault="00000000">
      <w:r>
        <w:t>374.</w:t>
      </w:r>
      <w:r>
        <w:tab/>
        <w:t>В ходе выборов 81 женщина были избраны депутатами Федерального парламента – по сравнению с составом депутатского корпуса предыдущего созыва, насчитывавшим 93 женщины-депутата. В Сенат Республики была и</w:t>
      </w:r>
      <w:r>
        <w:t>з</w:t>
      </w:r>
      <w:r>
        <w:t>брана 21 женщина, в то время как в состав Сената предыдущего созыва входили 19 женщин в начале срока его де</w:t>
      </w:r>
      <w:r>
        <w:t>й</w:t>
      </w:r>
      <w:r>
        <w:t>ствия и 23 женщины – в конце срока. В местных законодательных собраниях в ходе последних выборов на долю женщин приходилось лишь 10 процентов депутатов; за исключением лишь Законодательной ассамблеи федерал</w:t>
      </w:r>
      <w:r>
        <w:t>ь</w:t>
      </w:r>
      <w:r>
        <w:t>ного округа Мехико, где женщины составили 35 процентов, или – в абсолютных цифрах – 23 депутата.</w:t>
      </w:r>
    </w:p>
    <w:p w:rsidR="00000000" w:rsidRDefault="00000000">
      <w:pPr>
        <w:pStyle w:val="Heading3"/>
      </w:pPr>
      <w:r>
        <w:t>Участие женщин в местных органах власти</w:t>
      </w:r>
    </w:p>
    <w:p w:rsidR="00000000" w:rsidRDefault="00000000">
      <w:r>
        <w:t>375.</w:t>
      </w:r>
      <w:r>
        <w:tab/>
        <w:t>Представленность женщин в органах власти на местах пока еще невелика, хотя здесь можно отметить нек</w:t>
      </w:r>
      <w:r>
        <w:t>о</w:t>
      </w:r>
      <w:r>
        <w:t>торый рост: в 1991 году во главе лишь 2 процентов муниципалитетов стояли женщины; к 1998 году эта цифра в</w:t>
      </w:r>
      <w:r>
        <w:t>ы</w:t>
      </w:r>
      <w:r>
        <w:t>росла до 3,27 процента.</w:t>
      </w:r>
    </w:p>
    <w:p w:rsidR="00000000" w:rsidRDefault="00000000">
      <w:pPr>
        <w:pStyle w:val="Heading3"/>
      </w:pPr>
      <w:r>
        <w:t>Участие женщин в деятельности общественных организ</w:t>
      </w:r>
      <w:r>
        <w:t>а</w:t>
      </w:r>
      <w:r>
        <w:t>ций</w:t>
      </w:r>
    </w:p>
    <w:p w:rsidR="00000000" w:rsidRDefault="00000000">
      <w:r>
        <w:t>376.</w:t>
      </w:r>
      <w:r>
        <w:tab/>
        <w:t>По нашим оценкам, 2,5 млн. работающих женщин являются членами профсоюзов.</w:t>
      </w:r>
    </w:p>
    <w:p w:rsidR="00000000" w:rsidRDefault="00000000">
      <w:r>
        <w:t>377.</w:t>
      </w:r>
      <w:r>
        <w:tab/>
        <w:t>Согласно данным Реестра общественных организаций Министерства труда и социального обеспечения, в 1999 году из общего числа 1134 зарегистрированных организаций женщины стояли во главе 3 процентов исполк</w:t>
      </w:r>
      <w:r>
        <w:t>о</w:t>
      </w:r>
      <w:r>
        <w:t>мов организаций. При этом ни одна женщина не занимала поста председателя профсоюзных конфедераций; 4 же</w:t>
      </w:r>
      <w:r>
        <w:t>н</w:t>
      </w:r>
      <w:r>
        <w:t>щины стояли во главе федераций и 35 – во главе отдельных про</w:t>
      </w:r>
      <w:r>
        <w:t>ф</w:t>
      </w:r>
      <w:r>
        <w:t>союзов.</w:t>
      </w:r>
    </w:p>
    <w:p w:rsidR="00000000" w:rsidRDefault="00000000">
      <w:pPr>
        <w:pStyle w:val="Heading3"/>
        <w:spacing w:before="0" w:after="0"/>
        <w:jc w:val="center"/>
      </w:pPr>
      <w:r>
        <w:br w:type="page"/>
        <w:t xml:space="preserve">Основные показатели участия женщин в деятельности </w:t>
      </w:r>
      <w:r>
        <w:br/>
        <w:t>представительных органов власти в сельских общинах</w:t>
      </w:r>
    </w:p>
    <w:p w:rsidR="00000000" w:rsidRDefault="00000000">
      <w:pPr>
        <w:pStyle w:val="Heading3"/>
        <w:spacing w:before="0" w:after="0"/>
        <w:jc w:val="center"/>
      </w:pPr>
      <w:r>
        <w:t>(в процентах)</w:t>
      </w:r>
    </w:p>
    <w:p w:rsidR="00000000" w:rsidRDefault="00000000">
      <w:pPr>
        <w:rPr>
          <w:lang w:val="en-US"/>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2"/>
        <w:gridCol w:w="1928"/>
        <w:gridCol w:w="1871"/>
        <w:gridCol w:w="1644"/>
        <w:gridCol w:w="1644"/>
      </w:tblGrid>
      <w:tr w:rsidR="00000000">
        <w:tblPrEx>
          <w:tblCellMar>
            <w:top w:w="0" w:type="dxa"/>
            <w:bottom w:w="0" w:type="dxa"/>
          </w:tblCellMar>
        </w:tblPrEx>
        <w:tc>
          <w:tcPr>
            <w:tcW w:w="2552" w:type="dxa"/>
          </w:tcPr>
          <w:p w:rsidR="00000000" w:rsidRDefault="00000000">
            <w:pPr>
              <w:spacing w:before="80" w:after="80"/>
              <w:jc w:val="center"/>
              <w:rPr>
                <w:b/>
                <w:sz w:val="18"/>
              </w:rPr>
            </w:pPr>
            <w:r>
              <w:rPr>
                <w:b/>
                <w:sz w:val="18"/>
              </w:rPr>
              <w:t>Тип сельской общ</w:t>
            </w:r>
            <w:r>
              <w:rPr>
                <w:b/>
                <w:sz w:val="18"/>
              </w:rPr>
              <w:t>и</w:t>
            </w:r>
            <w:r>
              <w:rPr>
                <w:b/>
                <w:sz w:val="18"/>
              </w:rPr>
              <w:t>ны</w:t>
            </w:r>
          </w:p>
        </w:tc>
        <w:tc>
          <w:tcPr>
            <w:tcW w:w="1928" w:type="dxa"/>
          </w:tcPr>
          <w:p w:rsidR="00000000" w:rsidRDefault="00000000">
            <w:pPr>
              <w:spacing w:before="80" w:after="80"/>
              <w:jc w:val="center"/>
              <w:rPr>
                <w:b/>
                <w:sz w:val="18"/>
              </w:rPr>
            </w:pPr>
            <w:r>
              <w:rPr>
                <w:b/>
                <w:sz w:val="18"/>
              </w:rPr>
              <w:t>Участие, по кра</w:t>
            </w:r>
            <w:r>
              <w:rPr>
                <w:b/>
                <w:sz w:val="18"/>
              </w:rPr>
              <w:t>й</w:t>
            </w:r>
            <w:r>
              <w:rPr>
                <w:b/>
                <w:sz w:val="18"/>
              </w:rPr>
              <w:t>ней мере, одной женщины</w:t>
            </w:r>
          </w:p>
        </w:tc>
        <w:tc>
          <w:tcPr>
            <w:tcW w:w="1871" w:type="dxa"/>
          </w:tcPr>
          <w:p w:rsidR="00000000" w:rsidRDefault="00000000">
            <w:pPr>
              <w:spacing w:before="80" w:after="80"/>
              <w:jc w:val="center"/>
              <w:rPr>
                <w:b/>
                <w:sz w:val="18"/>
              </w:rPr>
            </w:pPr>
            <w:r>
              <w:rPr>
                <w:b/>
                <w:sz w:val="18"/>
              </w:rPr>
              <w:t>Женщины-председатели</w:t>
            </w:r>
          </w:p>
        </w:tc>
        <w:tc>
          <w:tcPr>
            <w:tcW w:w="1644" w:type="dxa"/>
          </w:tcPr>
          <w:p w:rsidR="00000000" w:rsidRDefault="00000000">
            <w:pPr>
              <w:spacing w:before="80" w:after="80"/>
              <w:jc w:val="center"/>
              <w:rPr>
                <w:b/>
                <w:sz w:val="18"/>
              </w:rPr>
            </w:pPr>
            <w:r>
              <w:rPr>
                <w:b/>
                <w:sz w:val="18"/>
              </w:rPr>
              <w:t>Женщины-секретари</w:t>
            </w:r>
          </w:p>
        </w:tc>
        <w:tc>
          <w:tcPr>
            <w:tcW w:w="1644" w:type="dxa"/>
          </w:tcPr>
          <w:p w:rsidR="00000000" w:rsidRDefault="00000000">
            <w:pPr>
              <w:spacing w:before="80" w:after="80"/>
              <w:jc w:val="center"/>
              <w:rPr>
                <w:b/>
                <w:sz w:val="18"/>
              </w:rPr>
            </w:pPr>
            <w:r>
              <w:rPr>
                <w:b/>
                <w:sz w:val="18"/>
              </w:rPr>
              <w:t>Женщины-казначеи</w:t>
            </w:r>
          </w:p>
        </w:tc>
      </w:tr>
      <w:tr w:rsidR="00000000">
        <w:tblPrEx>
          <w:tblCellMar>
            <w:top w:w="0" w:type="dxa"/>
            <w:bottom w:w="0" w:type="dxa"/>
          </w:tblCellMar>
        </w:tblPrEx>
        <w:tc>
          <w:tcPr>
            <w:tcW w:w="2552" w:type="dxa"/>
          </w:tcPr>
          <w:p w:rsidR="00000000" w:rsidRDefault="00000000">
            <w:pPr>
              <w:spacing w:before="80" w:after="80"/>
            </w:pPr>
            <w:r>
              <w:t>Правления обществ сел</w:t>
            </w:r>
            <w:r>
              <w:t>ь</w:t>
            </w:r>
            <w:r>
              <w:t>ских производ</w:t>
            </w:r>
            <w:r>
              <w:t>и</w:t>
            </w:r>
            <w:r>
              <w:t>телей</w:t>
            </w:r>
          </w:p>
        </w:tc>
        <w:tc>
          <w:tcPr>
            <w:tcW w:w="1928" w:type="dxa"/>
          </w:tcPr>
          <w:p w:rsidR="00000000" w:rsidRDefault="00000000">
            <w:pPr>
              <w:spacing w:before="80" w:after="80"/>
              <w:jc w:val="center"/>
            </w:pPr>
            <w:r>
              <w:t>26</w:t>
            </w:r>
          </w:p>
        </w:tc>
        <w:tc>
          <w:tcPr>
            <w:tcW w:w="1871" w:type="dxa"/>
          </w:tcPr>
          <w:p w:rsidR="00000000" w:rsidRDefault="00000000">
            <w:pPr>
              <w:spacing w:before="80" w:after="80"/>
              <w:jc w:val="center"/>
            </w:pPr>
            <w:r>
              <w:t>8,0</w:t>
            </w:r>
          </w:p>
        </w:tc>
        <w:tc>
          <w:tcPr>
            <w:tcW w:w="1644" w:type="dxa"/>
          </w:tcPr>
          <w:p w:rsidR="00000000" w:rsidRDefault="00000000">
            <w:pPr>
              <w:spacing w:before="80" w:after="80"/>
              <w:jc w:val="center"/>
            </w:pPr>
            <w:r>
              <w:t>13,8</w:t>
            </w:r>
          </w:p>
        </w:tc>
        <w:tc>
          <w:tcPr>
            <w:tcW w:w="1644" w:type="dxa"/>
          </w:tcPr>
          <w:p w:rsidR="00000000" w:rsidRDefault="00000000">
            <w:pPr>
              <w:spacing w:before="80" w:after="80"/>
              <w:jc w:val="center"/>
            </w:pPr>
            <w:r>
              <w:t>15,2</w:t>
            </w:r>
          </w:p>
        </w:tc>
      </w:tr>
      <w:tr w:rsidR="00000000">
        <w:tblPrEx>
          <w:tblCellMar>
            <w:top w:w="0" w:type="dxa"/>
            <w:bottom w:w="0" w:type="dxa"/>
          </w:tblCellMar>
        </w:tblPrEx>
        <w:tc>
          <w:tcPr>
            <w:tcW w:w="2552" w:type="dxa"/>
          </w:tcPr>
          <w:p w:rsidR="00000000" w:rsidRDefault="00000000">
            <w:pPr>
              <w:spacing w:before="80" w:after="80"/>
            </w:pPr>
            <w:r>
              <w:t>Правления союзов о</w:t>
            </w:r>
            <w:r>
              <w:t>б</w:t>
            </w:r>
            <w:r>
              <w:t>ществ сельских произв</w:t>
            </w:r>
            <w:r>
              <w:t>о</w:t>
            </w:r>
            <w:r>
              <w:t>дителей</w:t>
            </w:r>
          </w:p>
        </w:tc>
        <w:tc>
          <w:tcPr>
            <w:tcW w:w="1928" w:type="dxa"/>
          </w:tcPr>
          <w:p w:rsidR="00000000" w:rsidRDefault="00000000">
            <w:pPr>
              <w:spacing w:before="80" w:after="80"/>
              <w:jc w:val="center"/>
            </w:pPr>
            <w:r>
              <w:t>25</w:t>
            </w:r>
          </w:p>
        </w:tc>
        <w:tc>
          <w:tcPr>
            <w:tcW w:w="1871" w:type="dxa"/>
          </w:tcPr>
          <w:p w:rsidR="00000000" w:rsidRDefault="00000000">
            <w:pPr>
              <w:spacing w:before="80" w:after="80"/>
              <w:jc w:val="center"/>
            </w:pPr>
            <w:r>
              <w:t xml:space="preserve">12,5 </w:t>
            </w:r>
            <w:r>
              <w:rPr>
                <w:lang w:val="en-US"/>
              </w:rPr>
              <w:br/>
            </w:r>
            <w:r>
              <w:t>(председ</w:t>
            </w:r>
            <w:r>
              <w:t>а</w:t>
            </w:r>
            <w:r>
              <w:t>тели)</w:t>
            </w:r>
          </w:p>
        </w:tc>
        <w:tc>
          <w:tcPr>
            <w:tcW w:w="1644" w:type="dxa"/>
          </w:tcPr>
          <w:p w:rsidR="00000000" w:rsidRDefault="00000000">
            <w:pPr>
              <w:spacing w:before="80" w:after="80"/>
              <w:jc w:val="center"/>
            </w:pPr>
          </w:p>
        </w:tc>
        <w:tc>
          <w:tcPr>
            <w:tcW w:w="1644" w:type="dxa"/>
          </w:tcPr>
          <w:p w:rsidR="00000000" w:rsidRDefault="00000000">
            <w:pPr>
              <w:spacing w:before="80" w:after="80"/>
              <w:jc w:val="center"/>
            </w:pPr>
          </w:p>
        </w:tc>
      </w:tr>
      <w:tr w:rsidR="00000000">
        <w:tblPrEx>
          <w:tblCellMar>
            <w:top w:w="0" w:type="dxa"/>
            <w:bottom w:w="0" w:type="dxa"/>
          </w:tblCellMar>
        </w:tblPrEx>
        <w:tc>
          <w:tcPr>
            <w:tcW w:w="2552" w:type="dxa"/>
          </w:tcPr>
          <w:p w:rsidR="00000000" w:rsidRDefault="00000000">
            <w:pPr>
              <w:spacing w:before="80" w:after="80"/>
            </w:pPr>
            <w:r>
              <w:t>Правления объединений животнов</w:t>
            </w:r>
            <w:r>
              <w:t>о</w:t>
            </w:r>
            <w:r>
              <w:t>дов</w:t>
            </w:r>
          </w:p>
        </w:tc>
        <w:tc>
          <w:tcPr>
            <w:tcW w:w="1928" w:type="dxa"/>
          </w:tcPr>
          <w:p w:rsidR="00000000" w:rsidRDefault="00000000">
            <w:pPr>
              <w:spacing w:before="80" w:after="80"/>
              <w:jc w:val="center"/>
            </w:pPr>
            <w:r>
              <w:t>9</w:t>
            </w:r>
          </w:p>
        </w:tc>
        <w:tc>
          <w:tcPr>
            <w:tcW w:w="1871" w:type="dxa"/>
          </w:tcPr>
          <w:p w:rsidR="00000000" w:rsidRDefault="00000000">
            <w:pPr>
              <w:spacing w:before="80" w:after="80"/>
              <w:jc w:val="center"/>
            </w:pPr>
            <w:r>
              <w:t>0,6</w:t>
            </w:r>
          </w:p>
        </w:tc>
        <w:tc>
          <w:tcPr>
            <w:tcW w:w="1644" w:type="dxa"/>
          </w:tcPr>
          <w:p w:rsidR="00000000" w:rsidRDefault="00000000">
            <w:pPr>
              <w:spacing w:before="80" w:after="80"/>
              <w:jc w:val="center"/>
            </w:pPr>
            <w:r>
              <w:t>4,5</w:t>
            </w:r>
          </w:p>
        </w:tc>
        <w:tc>
          <w:tcPr>
            <w:tcW w:w="1644" w:type="dxa"/>
          </w:tcPr>
          <w:p w:rsidR="00000000" w:rsidRDefault="00000000">
            <w:pPr>
              <w:spacing w:before="80" w:after="80"/>
              <w:jc w:val="center"/>
            </w:pPr>
            <w:r>
              <w:t>3,9</w:t>
            </w:r>
          </w:p>
        </w:tc>
      </w:tr>
      <w:tr w:rsidR="00000000">
        <w:tblPrEx>
          <w:tblCellMar>
            <w:top w:w="0" w:type="dxa"/>
            <w:bottom w:w="0" w:type="dxa"/>
          </w:tblCellMar>
        </w:tblPrEx>
        <w:tc>
          <w:tcPr>
            <w:tcW w:w="2552" w:type="dxa"/>
          </w:tcPr>
          <w:p w:rsidR="00000000" w:rsidRDefault="00000000">
            <w:pPr>
              <w:spacing w:before="80" w:after="80"/>
            </w:pPr>
            <w:r>
              <w:t>Исполнительные комит</w:t>
            </w:r>
            <w:r>
              <w:t>е</w:t>
            </w:r>
            <w:r>
              <w:t>ты обществ социальной солидарн</w:t>
            </w:r>
            <w:r>
              <w:t>о</w:t>
            </w:r>
            <w:r>
              <w:t>сти</w:t>
            </w:r>
          </w:p>
        </w:tc>
        <w:tc>
          <w:tcPr>
            <w:tcW w:w="1928" w:type="dxa"/>
          </w:tcPr>
          <w:p w:rsidR="00000000" w:rsidRDefault="00000000">
            <w:pPr>
              <w:spacing w:before="80" w:after="80"/>
              <w:jc w:val="center"/>
            </w:pPr>
            <w:r>
              <w:t>41,7</w:t>
            </w:r>
          </w:p>
        </w:tc>
        <w:tc>
          <w:tcPr>
            <w:tcW w:w="1871" w:type="dxa"/>
          </w:tcPr>
          <w:p w:rsidR="00000000" w:rsidRDefault="00000000">
            <w:pPr>
              <w:spacing w:before="80" w:after="80"/>
              <w:jc w:val="center"/>
            </w:pPr>
            <w:r>
              <w:t>26,7</w:t>
            </w:r>
          </w:p>
        </w:tc>
        <w:tc>
          <w:tcPr>
            <w:tcW w:w="1644" w:type="dxa"/>
          </w:tcPr>
          <w:p w:rsidR="00000000" w:rsidRDefault="00000000">
            <w:pPr>
              <w:spacing w:before="80" w:after="80"/>
              <w:jc w:val="center"/>
            </w:pPr>
            <w:r>
              <w:t>30,2</w:t>
            </w:r>
          </w:p>
        </w:tc>
        <w:tc>
          <w:tcPr>
            <w:tcW w:w="1644" w:type="dxa"/>
          </w:tcPr>
          <w:p w:rsidR="00000000" w:rsidRDefault="00000000">
            <w:pPr>
              <w:spacing w:before="80" w:after="80"/>
              <w:jc w:val="center"/>
            </w:pPr>
            <w:r>
              <w:t>32,1</w:t>
            </w:r>
          </w:p>
        </w:tc>
      </w:tr>
      <w:tr w:rsidR="00000000">
        <w:tblPrEx>
          <w:tblCellMar>
            <w:top w:w="0" w:type="dxa"/>
            <w:bottom w:w="0" w:type="dxa"/>
          </w:tblCellMar>
        </w:tblPrEx>
        <w:tc>
          <w:tcPr>
            <w:tcW w:w="2552" w:type="dxa"/>
          </w:tcPr>
          <w:p w:rsidR="00000000" w:rsidRDefault="00000000">
            <w:pPr>
              <w:spacing w:before="80" w:after="80"/>
            </w:pPr>
            <w:r>
              <w:t>Правления сельских ко</w:t>
            </w:r>
            <w:r>
              <w:t>о</w:t>
            </w:r>
            <w:r>
              <w:t>перат</w:t>
            </w:r>
            <w:r>
              <w:t>и</w:t>
            </w:r>
            <w:r>
              <w:t xml:space="preserve">вов </w:t>
            </w:r>
          </w:p>
        </w:tc>
        <w:tc>
          <w:tcPr>
            <w:tcW w:w="1928" w:type="dxa"/>
          </w:tcPr>
          <w:p w:rsidR="00000000" w:rsidRDefault="00000000">
            <w:pPr>
              <w:spacing w:before="80" w:after="80"/>
              <w:jc w:val="center"/>
            </w:pPr>
            <w:r>
              <w:t>15</w:t>
            </w:r>
          </w:p>
        </w:tc>
        <w:tc>
          <w:tcPr>
            <w:tcW w:w="1871" w:type="dxa"/>
          </w:tcPr>
          <w:p w:rsidR="00000000" w:rsidRDefault="00000000">
            <w:pPr>
              <w:spacing w:before="80" w:after="80"/>
              <w:jc w:val="center"/>
            </w:pPr>
            <w:r>
              <w:t>4,9</w:t>
            </w:r>
          </w:p>
        </w:tc>
        <w:tc>
          <w:tcPr>
            <w:tcW w:w="1644" w:type="dxa"/>
          </w:tcPr>
          <w:p w:rsidR="00000000" w:rsidRDefault="00000000">
            <w:pPr>
              <w:spacing w:before="80" w:after="80"/>
              <w:jc w:val="center"/>
            </w:pPr>
            <w:r>
              <w:t>7,3</w:t>
            </w:r>
          </w:p>
        </w:tc>
        <w:tc>
          <w:tcPr>
            <w:tcW w:w="1644" w:type="dxa"/>
          </w:tcPr>
          <w:p w:rsidR="00000000" w:rsidRDefault="00000000">
            <w:pPr>
              <w:spacing w:before="80" w:after="80"/>
              <w:jc w:val="center"/>
            </w:pPr>
            <w:r>
              <w:t>7,3</w:t>
            </w:r>
          </w:p>
        </w:tc>
      </w:tr>
      <w:tr w:rsidR="00000000">
        <w:tblPrEx>
          <w:tblCellMar>
            <w:top w:w="0" w:type="dxa"/>
            <w:bottom w:w="0" w:type="dxa"/>
          </w:tblCellMar>
        </w:tblPrEx>
        <w:tc>
          <w:tcPr>
            <w:tcW w:w="2552" w:type="dxa"/>
          </w:tcPr>
          <w:p w:rsidR="00000000" w:rsidRDefault="00000000">
            <w:pPr>
              <w:spacing w:before="80" w:after="80"/>
            </w:pPr>
            <w:r>
              <w:t>Животноводческие кооп</w:t>
            </w:r>
            <w:r>
              <w:t>е</w:t>
            </w:r>
            <w:r>
              <w:t>ративы и советы по охр</w:t>
            </w:r>
            <w:r>
              <w:t>а</w:t>
            </w:r>
            <w:r>
              <w:t>не пастб</w:t>
            </w:r>
            <w:r>
              <w:t>и</w:t>
            </w:r>
            <w:r>
              <w:t>щ</w:t>
            </w:r>
          </w:p>
        </w:tc>
        <w:tc>
          <w:tcPr>
            <w:tcW w:w="1928" w:type="dxa"/>
          </w:tcPr>
          <w:p w:rsidR="00000000" w:rsidRDefault="00000000">
            <w:pPr>
              <w:spacing w:before="80" w:after="80"/>
              <w:jc w:val="center"/>
            </w:pPr>
            <w:r>
              <w:t>32</w:t>
            </w:r>
          </w:p>
        </w:tc>
        <w:tc>
          <w:tcPr>
            <w:tcW w:w="1871" w:type="dxa"/>
          </w:tcPr>
          <w:p w:rsidR="00000000" w:rsidRDefault="00000000">
            <w:pPr>
              <w:spacing w:before="80" w:after="80"/>
              <w:jc w:val="center"/>
            </w:pPr>
            <w:r>
              <w:t xml:space="preserve">6,9 </w:t>
            </w:r>
            <w:r>
              <w:rPr>
                <w:lang w:val="en-US"/>
              </w:rPr>
              <w:br/>
            </w:r>
            <w:r>
              <w:t>(председатели правл</w:t>
            </w:r>
            <w:r>
              <w:t>е</w:t>
            </w:r>
            <w:r>
              <w:t>ний)</w:t>
            </w:r>
          </w:p>
          <w:p w:rsidR="00000000" w:rsidRDefault="00000000">
            <w:pPr>
              <w:spacing w:before="80" w:after="80"/>
              <w:jc w:val="center"/>
            </w:pPr>
            <w:r>
              <w:t xml:space="preserve">7,5 </w:t>
            </w:r>
            <w:r>
              <w:rPr>
                <w:lang w:val="en-US"/>
              </w:rPr>
              <w:br/>
            </w:r>
            <w:r>
              <w:t>(председатели сов</w:t>
            </w:r>
            <w:r>
              <w:t>е</w:t>
            </w:r>
            <w:r>
              <w:t>тов по охране пастбищ)</w:t>
            </w:r>
          </w:p>
        </w:tc>
        <w:tc>
          <w:tcPr>
            <w:tcW w:w="1644" w:type="dxa"/>
          </w:tcPr>
          <w:p w:rsidR="00000000" w:rsidRDefault="00000000">
            <w:pPr>
              <w:spacing w:before="80" w:after="80"/>
              <w:jc w:val="center"/>
            </w:pPr>
          </w:p>
        </w:tc>
        <w:tc>
          <w:tcPr>
            <w:tcW w:w="1644" w:type="dxa"/>
          </w:tcPr>
          <w:p w:rsidR="00000000" w:rsidRDefault="00000000">
            <w:pPr>
              <w:spacing w:before="80" w:after="80"/>
              <w:jc w:val="center"/>
            </w:pPr>
          </w:p>
        </w:tc>
      </w:tr>
      <w:tr w:rsidR="00000000">
        <w:tblPrEx>
          <w:tblCellMar>
            <w:top w:w="0" w:type="dxa"/>
            <w:bottom w:w="0" w:type="dxa"/>
          </w:tblCellMar>
        </w:tblPrEx>
        <w:tc>
          <w:tcPr>
            <w:tcW w:w="2552" w:type="dxa"/>
          </w:tcPr>
          <w:p w:rsidR="00000000" w:rsidRDefault="00000000">
            <w:pPr>
              <w:spacing w:before="80" w:after="80"/>
            </w:pPr>
            <w:r>
              <w:t>Комитеты охраны общи</w:t>
            </w:r>
            <w:r>
              <w:t>н</w:t>
            </w:r>
            <w:r>
              <w:t>ного имущества и советы по охр</w:t>
            </w:r>
            <w:r>
              <w:t>а</w:t>
            </w:r>
            <w:r>
              <w:t xml:space="preserve">не порядка </w:t>
            </w:r>
          </w:p>
        </w:tc>
        <w:tc>
          <w:tcPr>
            <w:tcW w:w="1928" w:type="dxa"/>
          </w:tcPr>
          <w:p w:rsidR="00000000" w:rsidRDefault="00000000">
            <w:pPr>
              <w:spacing w:before="80" w:after="80"/>
              <w:jc w:val="center"/>
            </w:pPr>
            <w:r>
              <w:t>17</w:t>
            </w:r>
          </w:p>
        </w:tc>
        <w:tc>
          <w:tcPr>
            <w:tcW w:w="1871" w:type="dxa"/>
          </w:tcPr>
          <w:p w:rsidR="00000000" w:rsidRDefault="00000000">
            <w:pPr>
              <w:spacing w:before="80" w:after="80"/>
              <w:jc w:val="center"/>
            </w:pPr>
            <w:r>
              <w:t>3,1 (председатели к</w:t>
            </w:r>
            <w:r>
              <w:t>о</w:t>
            </w:r>
            <w:r>
              <w:t>митетов охраны о</w:t>
            </w:r>
            <w:r>
              <w:t>б</w:t>
            </w:r>
            <w:r>
              <w:t>щинного имущес</w:t>
            </w:r>
            <w:r>
              <w:t>т</w:t>
            </w:r>
            <w:r>
              <w:t>ва)</w:t>
            </w:r>
          </w:p>
          <w:p w:rsidR="00000000" w:rsidRDefault="00000000">
            <w:pPr>
              <w:spacing w:before="80" w:after="80"/>
              <w:jc w:val="center"/>
            </w:pPr>
            <w:r>
              <w:t>3,6 (председатели сов</w:t>
            </w:r>
            <w:r>
              <w:t>е</w:t>
            </w:r>
            <w:r>
              <w:t>тов по охране порядка)</w:t>
            </w:r>
          </w:p>
        </w:tc>
        <w:tc>
          <w:tcPr>
            <w:tcW w:w="1644" w:type="dxa"/>
          </w:tcPr>
          <w:p w:rsidR="00000000" w:rsidRDefault="00000000">
            <w:pPr>
              <w:spacing w:before="80" w:after="80"/>
              <w:jc w:val="center"/>
            </w:pPr>
          </w:p>
        </w:tc>
        <w:tc>
          <w:tcPr>
            <w:tcW w:w="1644" w:type="dxa"/>
          </w:tcPr>
          <w:p w:rsidR="00000000" w:rsidRDefault="00000000">
            <w:pPr>
              <w:spacing w:before="80" w:after="80"/>
              <w:jc w:val="center"/>
            </w:pPr>
          </w:p>
        </w:tc>
      </w:tr>
    </w:tbl>
    <w:p w:rsidR="00000000" w:rsidRDefault="00000000">
      <w:pPr>
        <w:pStyle w:val="CommentText"/>
        <w:spacing w:after="0"/>
      </w:pPr>
    </w:p>
    <w:p w:rsidR="00000000" w:rsidRDefault="00000000">
      <w:pPr>
        <w:pStyle w:val="BodyText3"/>
      </w:pPr>
      <w:r>
        <w:t>Источник: Трехтомный справочник "Сельская женщина", изданный Национальной системой технического взаим</w:t>
      </w:r>
      <w:r>
        <w:t>о</w:t>
      </w:r>
      <w:r>
        <w:t xml:space="preserve">действия организаций и учреждений в поддержку сельской женщины. Комиссия по статистическим исследованиям, ИНЕГИ, </w:t>
      </w:r>
      <w:r>
        <w:rPr>
          <w:lang w:val="en-US"/>
        </w:rPr>
        <w:br/>
      </w:r>
      <w:r>
        <w:t>2000 год.</w:t>
      </w:r>
    </w:p>
    <w:p w:rsidR="00000000" w:rsidRDefault="00000000">
      <w:pPr>
        <w:pStyle w:val="Heading2"/>
      </w:pPr>
      <w:r>
        <w:br w:type="page"/>
        <w:t>СТАТЬЯ 8</w:t>
      </w:r>
    </w:p>
    <w:p w:rsidR="00000000" w:rsidRDefault="00000000">
      <w:pPr>
        <w:spacing w:after="200" w:line="221" w:lineRule="auto"/>
      </w:pPr>
      <w:r>
        <w:t>378.</w:t>
      </w:r>
      <w:r>
        <w:tab/>
        <w:t>Как отмечалось в предыдущих докладах, не существует каких-либо юридических или административных ограничений для участия женщин в определении и проведении внешней политики Мексики. Также следует по</w:t>
      </w:r>
      <w:r>
        <w:t>д</w:t>
      </w:r>
      <w:r>
        <w:t>черкнуть, что женщины имеют возможность представлять правительство Мексики перед правительствами других государств или перед международными организаци</w:t>
      </w:r>
      <w:r>
        <w:t>я</w:t>
      </w:r>
      <w:r>
        <w:t>ми.</w:t>
      </w:r>
    </w:p>
    <w:p w:rsidR="00000000" w:rsidRDefault="00000000">
      <w:pPr>
        <w:spacing w:after="200" w:line="221" w:lineRule="auto"/>
      </w:pPr>
      <w:r>
        <w:t>379.</w:t>
      </w:r>
      <w:r>
        <w:tab/>
        <w:t>В период с января 1998 года по сентябрь 2000 года участие женщин во внешнеполитической деятельности Мексики несколько активизировалось. Посты министра иностранных дел и заместителя министра иностранных дел по связям с Организацией Объединенных Наций, Африкой и Ближним Востоком занимают женщ</w:t>
      </w:r>
      <w:r>
        <w:t>и</w:t>
      </w:r>
      <w:r>
        <w:t>ны.</w:t>
      </w:r>
    </w:p>
    <w:p w:rsidR="00000000" w:rsidRDefault="00000000">
      <w:pPr>
        <w:spacing w:after="200" w:line="221" w:lineRule="auto"/>
      </w:pPr>
      <w:r>
        <w:t>380.</w:t>
      </w:r>
      <w:r>
        <w:tab/>
        <w:t xml:space="preserve">Кроме того, в 1998 году при назначении на высшие должности в системе мексиканской внешнеполитической службы (МВС) среди получивших ранг посла было 50 процентов женщин. Однако в </w:t>
      </w:r>
      <w:r>
        <w:br/>
        <w:t>1999 году их доля значительно сократилась. Так, среди пяти послов, назначенных из числа кадровых дипломатов мексиканской внешнеполитич</w:t>
      </w:r>
      <w:r>
        <w:t>е</w:t>
      </w:r>
      <w:r>
        <w:t>ской службы, была только одна женщина.</w:t>
      </w:r>
    </w:p>
    <w:p w:rsidR="00000000" w:rsidRDefault="00000000">
      <w:pPr>
        <w:spacing w:after="200" w:line="221" w:lineRule="auto"/>
      </w:pPr>
      <w:r>
        <w:t>381.</w:t>
      </w:r>
      <w:r>
        <w:tab/>
        <w:t>Представленность женщин на руководящих постах Министерства иностранных дел:</w:t>
      </w:r>
    </w:p>
    <w:p w:rsidR="00000000" w:rsidRDefault="00000000">
      <w:pPr>
        <w:pStyle w:val="Heading3"/>
        <w:spacing w:before="120" w:after="120" w:line="221" w:lineRule="auto"/>
        <w:jc w:val="center"/>
      </w:pPr>
      <w:r>
        <w:t>Руководители административных подразделений МИД Мексики,</w:t>
      </w:r>
      <w:r>
        <w:br/>
        <w:t>2000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1414"/>
        <w:gridCol w:w="3686"/>
        <w:gridCol w:w="2479"/>
      </w:tblGrid>
      <w:tr w:rsidR="00000000">
        <w:tblPrEx>
          <w:tblCellMar>
            <w:top w:w="0" w:type="dxa"/>
            <w:bottom w:w="0" w:type="dxa"/>
          </w:tblCellMar>
        </w:tblPrEx>
        <w:trPr>
          <w:jc w:val="center"/>
        </w:trPr>
        <w:tc>
          <w:tcPr>
            <w:tcW w:w="1414" w:type="dxa"/>
          </w:tcPr>
          <w:p w:rsidR="00000000" w:rsidRDefault="00000000">
            <w:pPr>
              <w:spacing w:before="40" w:after="40" w:line="221" w:lineRule="auto"/>
              <w:jc w:val="center"/>
              <w:rPr>
                <w:b/>
              </w:rPr>
            </w:pPr>
            <w:r>
              <w:rPr>
                <w:b/>
              </w:rPr>
              <w:t>Уровень</w:t>
            </w:r>
          </w:p>
        </w:tc>
        <w:tc>
          <w:tcPr>
            <w:tcW w:w="3686" w:type="dxa"/>
          </w:tcPr>
          <w:p w:rsidR="00000000" w:rsidRDefault="00000000">
            <w:pPr>
              <w:pStyle w:val="Header"/>
              <w:tabs>
                <w:tab w:val="clear" w:pos="4677"/>
                <w:tab w:val="clear" w:pos="9355"/>
              </w:tabs>
              <w:spacing w:before="40" w:after="40" w:line="221" w:lineRule="auto"/>
              <w:jc w:val="center"/>
              <w:rPr>
                <w:b/>
              </w:rPr>
            </w:pPr>
            <w:r>
              <w:rPr>
                <w:b/>
              </w:rPr>
              <w:t>Название должности</w:t>
            </w:r>
          </w:p>
        </w:tc>
        <w:tc>
          <w:tcPr>
            <w:tcW w:w="2479" w:type="dxa"/>
          </w:tcPr>
          <w:p w:rsidR="00000000" w:rsidRDefault="00000000">
            <w:pPr>
              <w:spacing w:before="40" w:after="40" w:line="221" w:lineRule="auto"/>
              <w:jc w:val="center"/>
              <w:rPr>
                <w:b/>
              </w:rPr>
            </w:pPr>
            <w:r>
              <w:rPr>
                <w:b/>
              </w:rPr>
              <w:t>Число служащих-женщин</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r>
              <w:t>29</w:t>
            </w:r>
          </w:p>
        </w:tc>
        <w:tc>
          <w:tcPr>
            <w:tcW w:w="3686" w:type="dxa"/>
          </w:tcPr>
          <w:p w:rsidR="00000000" w:rsidRDefault="00000000">
            <w:pPr>
              <w:spacing w:before="40" w:after="40" w:line="221" w:lineRule="auto"/>
              <w:jc w:val="center"/>
            </w:pPr>
            <w:r>
              <w:t>Заместитель начальника отдела</w:t>
            </w:r>
          </w:p>
        </w:tc>
        <w:tc>
          <w:tcPr>
            <w:tcW w:w="2479" w:type="dxa"/>
          </w:tcPr>
          <w:p w:rsidR="00000000" w:rsidRDefault="00000000">
            <w:pPr>
              <w:spacing w:before="40" w:after="40" w:line="221" w:lineRule="auto"/>
              <w:jc w:val="center"/>
            </w:pPr>
            <w:r>
              <w:t>59</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r>
              <w:t>30</w:t>
            </w:r>
          </w:p>
        </w:tc>
        <w:tc>
          <w:tcPr>
            <w:tcW w:w="3686" w:type="dxa"/>
          </w:tcPr>
          <w:p w:rsidR="00000000" w:rsidRDefault="00000000">
            <w:pPr>
              <w:spacing w:before="40" w:after="40" w:line="221" w:lineRule="auto"/>
              <w:jc w:val="center"/>
            </w:pPr>
            <w:r>
              <w:t>Начальник отдела</w:t>
            </w:r>
          </w:p>
        </w:tc>
        <w:tc>
          <w:tcPr>
            <w:tcW w:w="2479" w:type="dxa"/>
          </w:tcPr>
          <w:p w:rsidR="00000000" w:rsidRDefault="00000000">
            <w:pPr>
              <w:spacing w:before="40" w:after="40" w:line="221" w:lineRule="auto"/>
              <w:jc w:val="center"/>
            </w:pPr>
            <w:r>
              <w:t>5</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r>
              <w:t>30 Е</w:t>
            </w:r>
          </w:p>
        </w:tc>
        <w:tc>
          <w:tcPr>
            <w:tcW w:w="3686" w:type="dxa"/>
          </w:tcPr>
          <w:p w:rsidR="00000000" w:rsidRDefault="00000000">
            <w:pPr>
              <w:spacing w:before="40" w:after="40" w:line="221" w:lineRule="auto"/>
              <w:jc w:val="center"/>
            </w:pPr>
            <w:r>
              <w:t>Заместитель директора департ</w:t>
            </w:r>
            <w:r>
              <w:t>а</w:t>
            </w:r>
            <w:r>
              <w:t>мента по административным в</w:t>
            </w:r>
            <w:r>
              <w:t>о</w:t>
            </w:r>
            <w:r>
              <w:t>просам</w:t>
            </w:r>
          </w:p>
        </w:tc>
        <w:tc>
          <w:tcPr>
            <w:tcW w:w="2479" w:type="dxa"/>
          </w:tcPr>
          <w:p w:rsidR="00000000" w:rsidRDefault="00000000">
            <w:pPr>
              <w:spacing w:before="40" w:after="40" w:line="221" w:lineRule="auto"/>
              <w:jc w:val="center"/>
            </w:pPr>
            <w:r>
              <w:t>32</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r>
              <w:t>33</w:t>
            </w:r>
          </w:p>
        </w:tc>
        <w:tc>
          <w:tcPr>
            <w:tcW w:w="3686" w:type="dxa"/>
          </w:tcPr>
          <w:p w:rsidR="00000000" w:rsidRDefault="00000000">
            <w:pPr>
              <w:spacing w:before="40" w:after="40" w:line="221" w:lineRule="auto"/>
              <w:jc w:val="center"/>
            </w:pPr>
            <w:r>
              <w:t>Директор департамента</w:t>
            </w:r>
          </w:p>
        </w:tc>
        <w:tc>
          <w:tcPr>
            <w:tcW w:w="2479" w:type="dxa"/>
          </w:tcPr>
          <w:p w:rsidR="00000000" w:rsidRDefault="00000000">
            <w:pPr>
              <w:spacing w:before="40" w:after="40" w:line="221" w:lineRule="auto"/>
              <w:jc w:val="center"/>
            </w:pPr>
            <w:r>
              <w:t>2</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r>
              <w:t>33 Е</w:t>
            </w:r>
          </w:p>
        </w:tc>
        <w:tc>
          <w:tcPr>
            <w:tcW w:w="3686" w:type="dxa"/>
          </w:tcPr>
          <w:p w:rsidR="00000000" w:rsidRDefault="00000000">
            <w:pPr>
              <w:spacing w:before="40" w:after="40" w:line="221" w:lineRule="auto"/>
              <w:jc w:val="center"/>
            </w:pPr>
            <w:r>
              <w:t>Заместитель министра по админ</w:t>
            </w:r>
            <w:r>
              <w:t>и</w:t>
            </w:r>
            <w:r>
              <w:t>стр</w:t>
            </w:r>
            <w:r>
              <w:t>а</w:t>
            </w:r>
            <w:r>
              <w:t>тивным вопросам</w:t>
            </w:r>
          </w:p>
        </w:tc>
        <w:tc>
          <w:tcPr>
            <w:tcW w:w="2479" w:type="dxa"/>
          </w:tcPr>
          <w:p w:rsidR="00000000" w:rsidRDefault="00000000">
            <w:pPr>
              <w:spacing w:before="40" w:after="40" w:line="221" w:lineRule="auto"/>
              <w:jc w:val="center"/>
            </w:pPr>
            <w:r>
              <w:t>4</w:t>
            </w:r>
          </w:p>
        </w:tc>
      </w:tr>
      <w:tr w:rsidR="00000000">
        <w:tblPrEx>
          <w:tblCellMar>
            <w:top w:w="0" w:type="dxa"/>
            <w:bottom w:w="0" w:type="dxa"/>
          </w:tblCellMar>
        </w:tblPrEx>
        <w:trPr>
          <w:jc w:val="center"/>
        </w:trPr>
        <w:tc>
          <w:tcPr>
            <w:tcW w:w="1414" w:type="dxa"/>
          </w:tcPr>
          <w:p w:rsidR="00000000" w:rsidRDefault="00000000">
            <w:pPr>
              <w:spacing w:before="40" w:after="40" w:line="221" w:lineRule="auto"/>
              <w:jc w:val="center"/>
            </w:pPr>
          </w:p>
        </w:tc>
        <w:tc>
          <w:tcPr>
            <w:tcW w:w="3686" w:type="dxa"/>
          </w:tcPr>
          <w:p w:rsidR="00000000" w:rsidRDefault="00000000">
            <w:pPr>
              <w:spacing w:before="40" w:after="40" w:line="221" w:lineRule="auto"/>
              <w:jc w:val="center"/>
            </w:pPr>
            <w:r>
              <w:t>Всего</w:t>
            </w:r>
          </w:p>
        </w:tc>
        <w:tc>
          <w:tcPr>
            <w:tcW w:w="2479" w:type="dxa"/>
          </w:tcPr>
          <w:p w:rsidR="00000000" w:rsidRDefault="00000000">
            <w:pPr>
              <w:spacing w:before="40" w:after="40" w:line="221" w:lineRule="auto"/>
              <w:jc w:val="center"/>
            </w:pPr>
            <w:r>
              <w:t>102</w:t>
            </w:r>
          </w:p>
        </w:tc>
      </w:tr>
    </w:tbl>
    <w:p w:rsidR="00000000" w:rsidRDefault="00000000">
      <w:pPr>
        <w:pStyle w:val="Header"/>
        <w:tabs>
          <w:tab w:val="clear" w:pos="4677"/>
          <w:tab w:val="clear" w:pos="9355"/>
        </w:tabs>
        <w:spacing w:after="0" w:line="221" w:lineRule="auto"/>
      </w:pPr>
    </w:p>
    <w:p w:rsidR="00000000" w:rsidRDefault="00000000">
      <w:pPr>
        <w:spacing w:after="0" w:line="221" w:lineRule="auto"/>
        <w:ind w:left="992" w:right="998"/>
        <w:rPr>
          <w:sz w:val="18"/>
        </w:rPr>
      </w:pPr>
      <w:r>
        <w:rPr>
          <w:sz w:val="18"/>
        </w:rPr>
        <w:t>Источник: Главное управление внешнеполитической и кадровой службы, МИД Мексики, сентябрь 2000 года.</w:t>
      </w:r>
    </w:p>
    <w:p w:rsidR="00000000" w:rsidRDefault="00000000">
      <w:pPr>
        <w:spacing w:before="240" w:after="0" w:line="221" w:lineRule="auto"/>
      </w:pPr>
      <w:r>
        <w:t>382.</w:t>
      </w:r>
      <w:r>
        <w:tab/>
        <w:t>В отношении участия женщин в деятельности мексиканской внешнеполитической службы (МВС), в таблице представлены статистические данные о составе персонала МВС, с разби</w:t>
      </w:r>
      <w:r>
        <w:t>в</w:t>
      </w:r>
      <w:r>
        <w:t>кой по службам и полу:</w:t>
      </w:r>
    </w:p>
    <w:p w:rsidR="00000000" w:rsidRDefault="00000000">
      <w:pPr>
        <w:pStyle w:val="Header"/>
        <w:tabs>
          <w:tab w:val="clear" w:pos="4677"/>
          <w:tab w:val="clear" w:pos="9355"/>
        </w:tabs>
        <w:spacing w:after="0" w:line="221" w:lineRule="auto"/>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742"/>
        <w:gridCol w:w="1134"/>
        <w:gridCol w:w="1247"/>
        <w:gridCol w:w="1134"/>
        <w:gridCol w:w="1247"/>
        <w:gridCol w:w="1134"/>
      </w:tblGrid>
      <w:tr w:rsidR="00000000">
        <w:tblPrEx>
          <w:tblCellMar>
            <w:top w:w="0" w:type="dxa"/>
            <w:bottom w:w="0" w:type="dxa"/>
          </w:tblCellMar>
        </w:tblPrEx>
        <w:trPr>
          <w:cantSplit/>
        </w:trPr>
        <w:tc>
          <w:tcPr>
            <w:tcW w:w="3742" w:type="dxa"/>
            <w:vMerge w:val="restart"/>
            <w:vAlign w:val="center"/>
          </w:tcPr>
          <w:p w:rsidR="00000000" w:rsidRDefault="00000000">
            <w:pPr>
              <w:spacing w:before="40" w:after="40" w:line="221" w:lineRule="auto"/>
              <w:jc w:val="center"/>
              <w:rPr>
                <w:b/>
                <w:sz w:val="18"/>
              </w:rPr>
            </w:pPr>
            <w:r>
              <w:rPr>
                <w:b/>
                <w:sz w:val="18"/>
              </w:rPr>
              <w:t>Подразделение</w:t>
            </w:r>
          </w:p>
        </w:tc>
        <w:tc>
          <w:tcPr>
            <w:tcW w:w="2381" w:type="dxa"/>
            <w:gridSpan w:val="2"/>
            <w:vAlign w:val="center"/>
          </w:tcPr>
          <w:p w:rsidR="00000000" w:rsidRDefault="00000000">
            <w:pPr>
              <w:spacing w:before="40" w:after="40" w:line="221" w:lineRule="auto"/>
              <w:jc w:val="center"/>
              <w:rPr>
                <w:b/>
                <w:sz w:val="18"/>
              </w:rPr>
            </w:pPr>
            <w:r>
              <w:rPr>
                <w:b/>
                <w:sz w:val="18"/>
              </w:rPr>
              <w:t>Женщины</w:t>
            </w:r>
          </w:p>
        </w:tc>
        <w:tc>
          <w:tcPr>
            <w:tcW w:w="2381" w:type="dxa"/>
            <w:gridSpan w:val="2"/>
            <w:vAlign w:val="center"/>
          </w:tcPr>
          <w:p w:rsidR="00000000" w:rsidRDefault="00000000">
            <w:pPr>
              <w:spacing w:before="40" w:after="40" w:line="221" w:lineRule="auto"/>
              <w:jc w:val="center"/>
              <w:rPr>
                <w:b/>
                <w:sz w:val="18"/>
              </w:rPr>
            </w:pPr>
            <w:r>
              <w:rPr>
                <w:b/>
                <w:sz w:val="18"/>
              </w:rPr>
              <w:t>Мужчины</w:t>
            </w:r>
          </w:p>
        </w:tc>
        <w:tc>
          <w:tcPr>
            <w:tcW w:w="1134" w:type="dxa"/>
            <w:vMerge w:val="restart"/>
            <w:vAlign w:val="center"/>
          </w:tcPr>
          <w:p w:rsidR="00000000" w:rsidRDefault="00000000">
            <w:pPr>
              <w:spacing w:before="40" w:after="40" w:line="221" w:lineRule="auto"/>
              <w:jc w:val="center"/>
              <w:rPr>
                <w:b/>
                <w:sz w:val="18"/>
              </w:rPr>
            </w:pPr>
            <w:r>
              <w:rPr>
                <w:b/>
                <w:sz w:val="18"/>
              </w:rPr>
              <w:t>Итого</w:t>
            </w:r>
          </w:p>
        </w:tc>
      </w:tr>
      <w:tr w:rsidR="00000000">
        <w:tblPrEx>
          <w:tblCellMar>
            <w:top w:w="0" w:type="dxa"/>
            <w:bottom w:w="0" w:type="dxa"/>
          </w:tblCellMar>
        </w:tblPrEx>
        <w:trPr>
          <w:cantSplit/>
        </w:trPr>
        <w:tc>
          <w:tcPr>
            <w:tcW w:w="3742" w:type="dxa"/>
            <w:vMerge/>
            <w:vAlign w:val="center"/>
          </w:tcPr>
          <w:p w:rsidR="00000000" w:rsidRDefault="00000000">
            <w:pPr>
              <w:spacing w:before="40" w:after="40" w:line="221" w:lineRule="auto"/>
              <w:jc w:val="center"/>
              <w:rPr>
                <w:sz w:val="18"/>
              </w:rPr>
            </w:pPr>
          </w:p>
        </w:tc>
        <w:tc>
          <w:tcPr>
            <w:tcW w:w="1134" w:type="dxa"/>
            <w:vAlign w:val="center"/>
          </w:tcPr>
          <w:p w:rsidR="00000000" w:rsidRDefault="00000000">
            <w:pPr>
              <w:spacing w:before="40" w:after="40" w:line="221" w:lineRule="auto"/>
              <w:jc w:val="center"/>
              <w:rPr>
                <w:b/>
                <w:sz w:val="18"/>
              </w:rPr>
            </w:pPr>
            <w:r>
              <w:rPr>
                <w:b/>
                <w:sz w:val="18"/>
              </w:rPr>
              <w:t>число</w:t>
            </w:r>
          </w:p>
        </w:tc>
        <w:tc>
          <w:tcPr>
            <w:tcW w:w="1247" w:type="dxa"/>
            <w:vAlign w:val="center"/>
          </w:tcPr>
          <w:p w:rsidR="00000000" w:rsidRDefault="00000000">
            <w:pPr>
              <w:spacing w:before="40" w:after="40" w:line="221" w:lineRule="auto"/>
              <w:jc w:val="center"/>
              <w:rPr>
                <w:b/>
                <w:sz w:val="18"/>
              </w:rPr>
            </w:pPr>
            <w:r>
              <w:rPr>
                <w:b/>
                <w:sz w:val="18"/>
              </w:rPr>
              <w:t>процентная доля</w:t>
            </w:r>
          </w:p>
        </w:tc>
        <w:tc>
          <w:tcPr>
            <w:tcW w:w="1134" w:type="dxa"/>
            <w:vAlign w:val="center"/>
          </w:tcPr>
          <w:p w:rsidR="00000000" w:rsidRDefault="00000000">
            <w:pPr>
              <w:spacing w:before="40" w:after="40" w:line="221" w:lineRule="auto"/>
              <w:jc w:val="center"/>
              <w:rPr>
                <w:b/>
                <w:sz w:val="18"/>
              </w:rPr>
            </w:pPr>
            <w:r>
              <w:rPr>
                <w:b/>
                <w:sz w:val="18"/>
              </w:rPr>
              <w:t>число</w:t>
            </w:r>
          </w:p>
        </w:tc>
        <w:tc>
          <w:tcPr>
            <w:tcW w:w="1247" w:type="dxa"/>
            <w:vAlign w:val="center"/>
          </w:tcPr>
          <w:p w:rsidR="00000000" w:rsidRDefault="00000000">
            <w:pPr>
              <w:spacing w:before="40" w:after="40" w:line="221" w:lineRule="auto"/>
              <w:jc w:val="center"/>
              <w:rPr>
                <w:b/>
                <w:sz w:val="18"/>
              </w:rPr>
            </w:pPr>
            <w:r>
              <w:rPr>
                <w:b/>
                <w:sz w:val="18"/>
              </w:rPr>
              <w:t>процентная доля</w:t>
            </w:r>
          </w:p>
        </w:tc>
        <w:tc>
          <w:tcPr>
            <w:tcW w:w="1134" w:type="dxa"/>
            <w:vMerge/>
            <w:vAlign w:val="center"/>
          </w:tcPr>
          <w:p w:rsidR="00000000" w:rsidRDefault="00000000">
            <w:pPr>
              <w:spacing w:before="40" w:after="40" w:line="221" w:lineRule="auto"/>
              <w:jc w:val="center"/>
              <w:rPr>
                <w:b/>
              </w:rPr>
            </w:pPr>
          </w:p>
        </w:tc>
      </w:tr>
      <w:tr w:rsidR="00000000">
        <w:tblPrEx>
          <w:tblCellMar>
            <w:top w:w="0" w:type="dxa"/>
            <w:bottom w:w="0" w:type="dxa"/>
          </w:tblCellMar>
        </w:tblPrEx>
        <w:trPr>
          <w:cantSplit/>
        </w:trPr>
        <w:tc>
          <w:tcPr>
            <w:tcW w:w="3742" w:type="dxa"/>
          </w:tcPr>
          <w:p w:rsidR="00000000" w:rsidRDefault="00000000">
            <w:pPr>
              <w:spacing w:before="40" w:after="40" w:line="221" w:lineRule="auto"/>
            </w:pPr>
            <w:r>
              <w:t>Дипломатическая и ко</w:t>
            </w:r>
            <w:r>
              <w:t>н</w:t>
            </w:r>
            <w:r>
              <w:t>сульская</w:t>
            </w:r>
            <w:r>
              <w:rPr>
                <w:lang w:val="en-US"/>
              </w:rPr>
              <w:t xml:space="preserve"> </w:t>
            </w:r>
            <w:r>
              <w:t>служба</w:t>
            </w:r>
          </w:p>
        </w:tc>
        <w:tc>
          <w:tcPr>
            <w:tcW w:w="1134" w:type="dxa"/>
          </w:tcPr>
          <w:p w:rsidR="00000000" w:rsidRDefault="00000000">
            <w:pPr>
              <w:spacing w:before="40" w:after="40" w:line="221" w:lineRule="auto"/>
              <w:jc w:val="center"/>
            </w:pPr>
            <w:r>
              <w:t>186</w:t>
            </w:r>
          </w:p>
        </w:tc>
        <w:tc>
          <w:tcPr>
            <w:tcW w:w="1247" w:type="dxa"/>
          </w:tcPr>
          <w:p w:rsidR="00000000" w:rsidRDefault="00000000">
            <w:pPr>
              <w:pStyle w:val="Header"/>
              <w:tabs>
                <w:tab w:val="clear" w:pos="4677"/>
                <w:tab w:val="clear" w:pos="9355"/>
              </w:tabs>
              <w:spacing w:before="40" w:after="40" w:line="221" w:lineRule="auto"/>
              <w:jc w:val="center"/>
            </w:pPr>
            <w:r>
              <w:t>26</w:t>
            </w:r>
          </w:p>
        </w:tc>
        <w:tc>
          <w:tcPr>
            <w:tcW w:w="1134" w:type="dxa"/>
          </w:tcPr>
          <w:p w:rsidR="00000000" w:rsidRDefault="00000000">
            <w:pPr>
              <w:spacing w:before="40" w:after="40" w:line="221" w:lineRule="auto"/>
              <w:jc w:val="center"/>
            </w:pPr>
            <w:r>
              <w:t>539</w:t>
            </w:r>
          </w:p>
        </w:tc>
        <w:tc>
          <w:tcPr>
            <w:tcW w:w="1247" w:type="dxa"/>
          </w:tcPr>
          <w:p w:rsidR="00000000" w:rsidRDefault="00000000">
            <w:pPr>
              <w:spacing w:before="40" w:after="40" w:line="221" w:lineRule="auto"/>
              <w:jc w:val="center"/>
            </w:pPr>
            <w:r>
              <w:t>74</w:t>
            </w:r>
          </w:p>
        </w:tc>
        <w:tc>
          <w:tcPr>
            <w:tcW w:w="1134" w:type="dxa"/>
          </w:tcPr>
          <w:p w:rsidR="00000000" w:rsidRDefault="00000000">
            <w:pPr>
              <w:spacing w:before="40" w:after="40" w:line="221" w:lineRule="auto"/>
              <w:jc w:val="center"/>
              <w:rPr>
                <w:b/>
              </w:rPr>
            </w:pPr>
            <w:r>
              <w:rPr>
                <w:b/>
              </w:rPr>
              <w:t>725</w:t>
            </w:r>
          </w:p>
        </w:tc>
      </w:tr>
      <w:tr w:rsidR="00000000">
        <w:tblPrEx>
          <w:tblCellMar>
            <w:top w:w="0" w:type="dxa"/>
            <w:bottom w:w="0" w:type="dxa"/>
          </w:tblCellMar>
        </w:tblPrEx>
        <w:trPr>
          <w:cantSplit/>
        </w:trPr>
        <w:tc>
          <w:tcPr>
            <w:tcW w:w="3742" w:type="dxa"/>
          </w:tcPr>
          <w:p w:rsidR="00000000" w:rsidRDefault="00000000">
            <w:pPr>
              <w:spacing w:before="40" w:after="40" w:line="221" w:lineRule="auto"/>
            </w:pPr>
            <w:r>
              <w:t>Администрати</w:t>
            </w:r>
            <w:r>
              <w:t>в</w:t>
            </w:r>
            <w:r>
              <w:t>но-техническая</w:t>
            </w:r>
            <w:r>
              <w:rPr>
                <w:lang w:val="en-US"/>
              </w:rPr>
              <w:t xml:space="preserve"> </w:t>
            </w:r>
            <w:r>
              <w:t>служба</w:t>
            </w:r>
          </w:p>
        </w:tc>
        <w:tc>
          <w:tcPr>
            <w:tcW w:w="1134" w:type="dxa"/>
          </w:tcPr>
          <w:p w:rsidR="00000000" w:rsidRDefault="00000000">
            <w:pPr>
              <w:spacing w:before="40" w:after="40" w:line="221" w:lineRule="auto"/>
              <w:jc w:val="center"/>
            </w:pPr>
            <w:r>
              <w:t>292</w:t>
            </w:r>
          </w:p>
        </w:tc>
        <w:tc>
          <w:tcPr>
            <w:tcW w:w="1247" w:type="dxa"/>
          </w:tcPr>
          <w:p w:rsidR="00000000" w:rsidRDefault="00000000">
            <w:pPr>
              <w:spacing w:before="40" w:after="40" w:line="221" w:lineRule="auto"/>
              <w:jc w:val="center"/>
            </w:pPr>
            <w:r>
              <w:t>64</w:t>
            </w:r>
          </w:p>
        </w:tc>
        <w:tc>
          <w:tcPr>
            <w:tcW w:w="1134" w:type="dxa"/>
          </w:tcPr>
          <w:p w:rsidR="00000000" w:rsidRDefault="00000000">
            <w:pPr>
              <w:spacing w:before="40" w:after="40" w:line="221" w:lineRule="auto"/>
              <w:jc w:val="center"/>
            </w:pPr>
            <w:r>
              <w:t>167</w:t>
            </w:r>
          </w:p>
        </w:tc>
        <w:tc>
          <w:tcPr>
            <w:tcW w:w="1247" w:type="dxa"/>
          </w:tcPr>
          <w:p w:rsidR="00000000" w:rsidRDefault="00000000">
            <w:pPr>
              <w:spacing w:before="40" w:after="40" w:line="221" w:lineRule="auto"/>
              <w:jc w:val="center"/>
            </w:pPr>
            <w:r>
              <w:t>36</w:t>
            </w:r>
          </w:p>
        </w:tc>
        <w:tc>
          <w:tcPr>
            <w:tcW w:w="1134" w:type="dxa"/>
          </w:tcPr>
          <w:p w:rsidR="00000000" w:rsidRDefault="00000000">
            <w:pPr>
              <w:spacing w:before="40" w:after="40" w:line="221" w:lineRule="auto"/>
              <w:jc w:val="center"/>
              <w:rPr>
                <w:b/>
              </w:rPr>
            </w:pPr>
            <w:r>
              <w:rPr>
                <w:b/>
              </w:rPr>
              <w:t>459</w:t>
            </w:r>
          </w:p>
        </w:tc>
      </w:tr>
      <w:tr w:rsidR="00000000">
        <w:tblPrEx>
          <w:tblCellMar>
            <w:top w:w="0" w:type="dxa"/>
            <w:bottom w:w="0" w:type="dxa"/>
          </w:tblCellMar>
        </w:tblPrEx>
        <w:trPr>
          <w:cantSplit/>
        </w:trPr>
        <w:tc>
          <w:tcPr>
            <w:tcW w:w="3742" w:type="dxa"/>
          </w:tcPr>
          <w:p w:rsidR="00000000" w:rsidRDefault="00000000">
            <w:pPr>
              <w:spacing w:before="40" w:after="40" w:line="221" w:lineRule="auto"/>
            </w:pPr>
            <w:r>
              <w:t>Всего</w:t>
            </w:r>
          </w:p>
        </w:tc>
        <w:tc>
          <w:tcPr>
            <w:tcW w:w="1134" w:type="dxa"/>
          </w:tcPr>
          <w:p w:rsidR="00000000" w:rsidRDefault="00000000">
            <w:pPr>
              <w:spacing w:before="40" w:after="40" w:line="221" w:lineRule="auto"/>
              <w:jc w:val="center"/>
            </w:pPr>
            <w:r>
              <w:t>478</w:t>
            </w:r>
          </w:p>
        </w:tc>
        <w:tc>
          <w:tcPr>
            <w:tcW w:w="1247" w:type="dxa"/>
          </w:tcPr>
          <w:p w:rsidR="00000000" w:rsidRDefault="00000000">
            <w:pPr>
              <w:spacing w:before="40" w:after="40" w:line="221" w:lineRule="auto"/>
              <w:jc w:val="center"/>
            </w:pPr>
            <w:r>
              <w:t>40</w:t>
            </w:r>
          </w:p>
        </w:tc>
        <w:tc>
          <w:tcPr>
            <w:tcW w:w="1134" w:type="dxa"/>
          </w:tcPr>
          <w:p w:rsidR="00000000" w:rsidRDefault="00000000">
            <w:pPr>
              <w:spacing w:before="40" w:after="40" w:line="221" w:lineRule="auto"/>
              <w:jc w:val="center"/>
            </w:pPr>
            <w:r>
              <w:t>706</w:t>
            </w:r>
          </w:p>
        </w:tc>
        <w:tc>
          <w:tcPr>
            <w:tcW w:w="1247" w:type="dxa"/>
          </w:tcPr>
          <w:p w:rsidR="00000000" w:rsidRDefault="00000000">
            <w:pPr>
              <w:spacing w:before="40" w:after="40" w:line="221" w:lineRule="auto"/>
              <w:jc w:val="center"/>
            </w:pPr>
            <w:r>
              <w:t>60</w:t>
            </w:r>
          </w:p>
        </w:tc>
        <w:tc>
          <w:tcPr>
            <w:tcW w:w="1134" w:type="dxa"/>
          </w:tcPr>
          <w:p w:rsidR="00000000" w:rsidRDefault="00000000">
            <w:pPr>
              <w:spacing w:before="40" w:after="40" w:line="221" w:lineRule="auto"/>
              <w:jc w:val="center"/>
              <w:rPr>
                <w:b/>
              </w:rPr>
            </w:pPr>
            <w:r>
              <w:rPr>
                <w:b/>
              </w:rPr>
              <w:t>1 184</w:t>
            </w:r>
          </w:p>
        </w:tc>
      </w:tr>
    </w:tbl>
    <w:p w:rsidR="00000000" w:rsidRDefault="00000000">
      <w:pPr>
        <w:pStyle w:val="Header"/>
        <w:tabs>
          <w:tab w:val="clear" w:pos="4677"/>
          <w:tab w:val="clear" w:pos="9355"/>
        </w:tabs>
        <w:spacing w:after="0" w:line="221" w:lineRule="auto"/>
      </w:pPr>
    </w:p>
    <w:p w:rsidR="00000000" w:rsidRDefault="00000000">
      <w:pPr>
        <w:pStyle w:val="BodyText3"/>
        <w:spacing w:line="221" w:lineRule="auto"/>
      </w:pPr>
      <w:r>
        <w:t>Источник: Главное управление внешнеполитической и кадровой службы, МИД Мексики, сентябрь 2000 года.</w:t>
      </w:r>
    </w:p>
    <w:p w:rsidR="00000000" w:rsidRDefault="00000000">
      <w:pPr>
        <w:spacing w:after="200" w:line="221" w:lineRule="auto"/>
      </w:pPr>
      <w:r>
        <w:t>383.</w:t>
      </w:r>
      <w:r>
        <w:tab/>
        <w:t xml:space="preserve">В штате дипломатической и консульской службы на трех мужчин приходится одна женщина, то есть </w:t>
      </w:r>
      <w:r>
        <w:br/>
        <w:t>74 процента мужчин по отношению к 26 процентам женщин. При этом в структурах данной службы растет число м</w:t>
      </w:r>
      <w:r>
        <w:t>о</w:t>
      </w:r>
      <w:r>
        <w:t>лодых женщин.</w:t>
      </w:r>
    </w:p>
    <w:p w:rsidR="00000000" w:rsidRDefault="00000000">
      <w:pPr>
        <w:spacing w:line="221" w:lineRule="auto"/>
      </w:pPr>
      <w:r>
        <w:t>384.</w:t>
      </w:r>
      <w:r>
        <w:tab/>
        <w:t>Наблюдается также, что чем выше уровень иерархии дипломатической и консульской службы, тем меньше там представлены женщины. В то же время значительное число должностей низшего звена, таких как атташе, з</w:t>
      </w:r>
      <w:r>
        <w:t>а</w:t>
      </w:r>
      <w:r>
        <w:t>нимают женщины. Это объясняется тем, что должности этого звена имеют переходный характер.</w:t>
      </w:r>
    </w:p>
    <w:p w:rsidR="00000000" w:rsidRDefault="00000000">
      <w:pPr>
        <w:spacing w:line="221" w:lineRule="auto"/>
        <w:rPr>
          <w:lang w:val="en-US"/>
        </w:rPr>
      </w:pPr>
      <w:r>
        <w:t>385.</w:t>
      </w:r>
      <w:r>
        <w:tab/>
        <w:t xml:space="preserve">Следует отметить также, что среди сотрудников высшего ранга, то есть послов, женщины составляют </w:t>
      </w:r>
      <w:r>
        <w:br/>
        <w:t>15 процентов. Из 12 женщин-послов 7 возглавляют дипломатические миссии за рубежом и 5 занимают должности в центральном аппарате Министерства иностранных дел Мексики.</w:t>
      </w:r>
    </w:p>
    <w:p w:rsidR="00000000" w:rsidRDefault="00000000">
      <w:pPr>
        <w:pStyle w:val="Heading3"/>
        <w:spacing w:line="221" w:lineRule="auto"/>
        <w:jc w:val="center"/>
        <w:rPr>
          <w:sz w:val="20"/>
        </w:rPr>
      </w:pPr>
      <w:r>
        <w:rPr>
          <w:sz w:val="20"/>
        </w:rPr>
        <w:t>Дипломатическая и консульская служба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588"/>
        <w:gridCol w:w="1021"/>
        <w:gridCol w:w="1021"/>
        <w:gridCol w:w="794"/>
        <w:gridCol w:w="1077"/>
        <w:gridCol w:w="1021"/>
        <w:gridCol w:w="1021"/>
        <w:gridCol w:w="794"/>
        <w:gridCol w:w="1076"/>
        <w:gridCol w:w="1"/>
        <w:gridCol w:w="906"/>
        <w:gridCol w:w="1"/>
      </w:tblGrid>
      <w:tr w:rsidR="00000000">
        <w:tblPrEx>
          <w:tblCellMar>
            <w:top w:w="0" w:type="dxa"/>
            <w:bottom w:w="0" w:type="dxa"/>
          </w:tblCellMar>
        </w:tblPrEx>
        <w:trPr>
          <w:gridAfter w:val="1"/>
          <w:cantSplit/>
          <w:jc w:val="center"/>
        </w:trPr>
        <w:tc>
          <w:tcPr>
            <w:tcW w:w="1588" w:type="dxa"/>
            <w:vMerge w:val="restart"/>
            <w:vAlign w:val="center"/>
          </w:tcPr>
          <w:p w:rsidR="00000000" w:rsidRDefault="00000000">
            <w:pPr>
              <w:spacing w:before="40" w:after="40" w:line="221" w:lineRule="auto"/>
              <w:jc w:val="center"/>
              <w:rPr>
                <w:b/>
                <w:sz w:val="18"/>
              </w:rPr>
            </w:pPr>
            <w:r>
              <w:rPr>
                <w:b/>
                <w:sz w:val="18"/>
              </w:rPr>
              <w:t>Ранг</w:t>
            </w:r>
          </w:p>
        </w:tc>
        <w:tc>
          <w:tcPr>
            <w:tcW w:w="3913" w:type="dxa"/>
            <w:gridSpan w:val="4"/>
            <w:vAlign w:val="center"/>
          </w:tcPr>
          <w:p w:rsidR="00000000" w:rsidRDefault="00000000">
            <w:pPr>
              <w:spacing w:before="40" w:after="40" w:line="221" w:lineRule="auto"/>
              <w:jc w:val="center"/>
              <w:rPr>
                <w:b/>
                <w:sz w:val="18"/>
              </w:rPr>
            </w:pPr>
            <w:r>
              <w:rPr>
                <w:b/>
                <w:sz w:val="18"/>
              </w:rPr>
              <w:t>Женщ</w:t>
            </w:r>
            <w:r>
              <w:rPr>
                <w:b/>
                <w:sz w:val="18"/>
              </w:rPr>
              <w:t>и</w:t>
            </w:r>
            <w:r>
              <w:rPr>
                <w:b/>
                <w:sz w:val="18"/>
              </w:rPr>
              <w:t>ны</w:t>
            </w:r>
          </w:p>
        </w:tc>
        <w:tc>
          <w:tcPr>
            <w:tcW w:w="3912" w:type="dxa"/>
            <w:gridSpan w:val="4"/>
            <w:vAlign w:val="center"/>
          </w:tcPr>
          <w:p w:rsidR="00000000" w:rsidRDefault="00000000">
            <w:pPr>
              <w:spacing w:before="40" w:after="40" w:line="221" w:lineRule="auto"/>
              <w:jc w:val="center"/>
              <w:rPr>
                <w:b/>
                <w:sz w:val="18"/>
              </w:rPr>
            </w:pPr>
            <w:r>
              <w:rPr>
                <w:b/>
                <w:sz w:val="18"/>
              </w:rPr>
              <w:t>Мужч</w:t>
            </w:r>
            <w:r>
              <w:rPr>
                <w:b/>
                <w:sz w:val="18"/>
              </w:rPr>
              <w:t>и</w:t>
            </w:r>
            <w:r>
              <w:rPr>
                <w:b/>
                <w:sz w:val="18"/>
              </w:rPr>
              <w:t>ны</w:t>
            </w:r>
          </w:p>
        </w:tc>
        <w:tc>
          <w:tcPr>
            <w:tcW w:w="907" w:type="dxa"/>
            <w:gridSpan w:val="2"/>
            <w:vMerge w:val="restart"/>
            <w:vAlign w:val="center"/>
          </w:tcPr>
          <w:p w:rsidR="00000000" w:rsidRDefault="00000000">
            <w:pPr>
              <w:spacing w:before="40" w:after="40" w:line="221" w:lineRule="auto"/>
              <w:jc w:val="center"/>
              <w:rPr>
                <w:b/>
                <w:sz w:val="18"/>
              </w:rPr>
            </w:pPr>
            <w:r>
              <w:rPr>
                <w:b/>
                <w:sz w:val="18"/>
              </w:rPr>
              <w:t>Ит</w:t>
            </w:r>
            <w:r>
              <w:rPr>
                <w:b/>
                <w:sz w:val="18"/>
              </w:rPr>
              <w:t>о</w:t>
            </w:r>
            <w:r>
              <w:rPr>
                <w:b/>
                <w:sz w:val="18"/>
              </w:rPr>
              <w:t>го</w:t>
            </w:r>
          </w:p>
        </w:tc>
      </w:tr>
      <w:tr w:rsidR="00000000">
        <w:tblPrEx>
          <w:tblCellMar>
            <w:top w:w="0" w:type="dxa"/>
            <w:bottom w:w="0" w:type="dxa"/>
          </w:tblCellMar>
        </w:tblPrEx>
        <w:trPr>
          <w:cantSplit/>
          <w:jc w:val="center"/>
        </w:trPr>
        <w:tc>
          <w:tcPr>
            <w:tcW w:w="1588" w:type="dxa"/>
            <w:vMerge/>
          </w:tcPr>
          <w:p w:rsidR="00000000" w:rsidRDefault="00000000">
            <w:pPr>
              <w:spacing w:before="40" w:after="40" w:line="221" w:lineRule="auto"/>
              <w:jc w:val="center"/>
              <w:rPr>
                <w:sz w:val="18"/>
              </w:rPr>
            </w:pPr>
          </w:p>
        </w:tc>
        <w:tc>
          <w:tcPr>
            <w:tcW w:w="1021" w:type="dxa"/>
            <w:vAlign w:val="center"/>
          </w:tcPr>
          <w:p w:rsidR="00000000" w:rsidRDefault="00000000">
            <w:pPr>
              <w:spacing w:before="40" w:after="40" w:line="221" w:lineRule="auto"/>
              <w:jc w:val="center"/>
              <w:rPr>
                <w:sz w:val="18"/>
              </w:rPr>
            </w:pPr>
            <w:r>
              <w:rPr>
                <w:sz w:val="18"/>
              </w:rPr>
              <w:t>за руб</w:t>
            </w:r>
            <w:r>
              <w:rPr>
                <w:sz w:val="18"/>
              </w:rPr>
              <w:t>е</w:t>
            </w:r>
            <w:r>
              <w:rPr>
                <w:sz w:val="18"/>
              </w:rPr>
              <w:t>жом</w:t>
            </w:r>
          </w:p>
        </w:tc>
        <w:tc>
          <w:tcPr>
            <w:tcW w:w="1021" w:type="dxa"/>
            <w:vAlign w:val="center"/>
          </w:tcPr>
          <w:p w:rsidR="00000000" w:rsidRDefault="00000000">
            <w:pPr>
              <w:spacing w:before="40" w:after="40" w:line="221" w:lineRule="auto"/>
              <w:jc w:val="center"/>
              <w:rPr>
                <w:sz w:val="18"/>
              </w:rPr>
            </w:pPr>
            <w:r>
              <w:rPr>
                <w:sz w:val="18"/>
              </w:rPr>
              <w:t>в Ме</w:t>
            </w:r>
            <w:r>
              <w:rPr>
                <w:sz w:val="18"/>
              </w:rPr>
              <w:t>к</w:t>
            </w:r>
            <w:r>
              <w:rPr>
                <w:sz w:val="18"/>
              </w:rPr>
              <w:t>сике</w:t>
            </w:r>
          </w:p>
        </w:tc>
        <w:tc>
          <w:tcPr>
            <w:tcW w:w="794" w:type="dxa"/>
            <w:vAlign w:val="center"/>
          </w:tcPr>
          <w:p w:rsidR="00000000" w:rsidRDefault="00000000">
            <w:pPr>
              <w:spacing w:before="40" w:after="40" w:line="221" w:lineRule="auto"/>
              <w:jc w:val="center"/>
              <w:rPr>
                <w:sz w:val="18"/>
              </w:rPr>
            </w:pPr>
            <w:r>
              <w:rPr>
                <w:sz w:val="18"/>
              </w:rPr>
              <w:t>ит</w:t>
            </w:r>
            <w:r>
              <w:rPr>
                <w:sz w:val="18"/>
              </w:rPr>
              <w:t>о</w:t>
            </w:r>
            <w:r>
              <w:rPr>
                <w:sz w:val="18"/>
              </w:rPr>
              <w:t>го</w:t>
            </w:r>
          </w:p>
        </w:tc>
        <w:tc>
          <w:tcPr>
            <w:tcW w:w="1077" w:type="dxa"/>
            <w:vAlign w:val="center"/>
          </w:tcPr>
          <w:p w:rsidR="00000000" w:rsidRDefault="00000000">
            <w:pPr>
              <w:spacing w:before="40" w:after="40" w:line="221" w:lineRule="auto"/>
              <w:jc w:val="center"/>
              <w:rPr>
                <w:sz w:val="18"/>
              </w:rPr>
            </w:pPr>
            <w:r>
              <w:rPr>
                <w:sz w:val="18"/>
              </w:rPr>
              <w:t>пр</w:t>
            </w:r>
            <w:r>
              <w:rPr>
                <w:sz w:val="18"/>
              </w:rPr>
              <w:t>о</w:t>
            </w:r>
            <w:r>
              <w:rPr>
                <w:sz w:val="18"/>
              </w:rPr>
              <w:t>цен</w:t>
            </w:r>
            <w:r>
              <w:rPr>
                <w:sz w:val="18"/>
              </w:rPr>
              <w:t>т</w:t>
            </w:r>
            <w:r>
              <w:rPr>
                <w:sz w:val="18"/>
              </w:rPr>
              <w:t>ная доля</w:t>
            </w:r>
          </w:p>
        </w:tc>
        <w:tc>
          <w:tcPr>
            <w:tcW w:w="1021" w:type="dxa"/>
            <w:vAlign w:val="center"/>
          </w:tcPr>
          <w:p w:rsidR="00000000" w:rsidRDefault="00000000">
            <w:pPr>
              <w:spacing w:before="40" w:after="40" w:line="221" w:lineRule="auto"/>
              <w:jc w:val="center"/>
              <w:rPr>
                <w:sz w:val="18"/>
              </w:rPr>
            </w:pPr>
            <w:r>
              <w:rPr>
                <w:sz w:val="18"/>
              </w:rPr>
              <w:t>за руб</w:t>
            </w:r>
            <w:r>
              <w:rPr>
                <w:sz w:val="18"/>
              </w:rPr>
              <w:t>е</w:t>
            </w:r>
            <w:r>
              <w:rPr>
                <w:sz w:val="18"/>
              </w:rPr>
              <w:t>жом</w:t>
            </w:r>
          </w:p>
        </w:tc>
        <w:tc>
          <w:tcPr>
            <w:tcW w:w="1021" w:type="dxa"/>
            <w:vAlign w:val="center"/>
          </w:tcPr>
          <w:p w:rsidR="00000000" w:rsidRDefault="00000000">
            <w:pPr>
              <w:spacing w:before="40" w:after="40" w:line="221" w:lineRule="auto"/>
              <w:jc w:val="center"/>
              <w:rPr>
                <w:sz w:val="18"/>
              </w:rPr>
            </w:pPr>
            <w:r>
              <w:rPr>
                <w:sz w:val="18"/>
              </w:rPr>
              <w:t>в Ме</w:t>
            </w:r>
            <w:r>
              <w:rPr>
                <w:sz w:val="18"/>
              </w:rPr>
              <w:t>к</w:t>
            </w:r>
            <w:r>
              <w:rPr>
                <w:sz w:val="18"/>
              </w:rPr>
              <w:t>сике</w:t>
            </w:r>
          </w:p>
        </w:tc>
        <w:tc>
          <w:tcPr>
            <w:tcW w:w="794" w:type="dxa"/>
            <w:vAlign w:val="center"/>
          </w:tcPr>
          <w:p w:rsidR="00000000" w:rsidRDefault="00000000">
            <w:pPr>
              <w:spacing w:before="40" w:after="40" w:line="221" w:lineRule="auto"/>
              <w:jc w:val="center"/>
              <w:rPr>
                <w:sz w:val="18"/>
              </w:rPr>
            </w:pPr>
            <w:r>
              <w:rPr>
                <w:sz w:val="18"/>
              </w:rPr>
              <w:t>итого</w:t>
            </w:r>
          </w:p>
        </w:tc>
        <w:tc>
          <w:tcPr>
            <w:tcW w:w="1077" w:type="dxa"/>
            <w:gridSpan w:val="2"/>
            <w:vAlign w:val="center"/>
          </w:tcPr>
          <w:p w:rsidR="00000000" w:rsidRDefault="00000000">
            <w:pPr>
              <w:spacing w:before="40" w:after="40" w:line="221" w:lineRule="auto"/>
              <w:jc w:val="center"/>
              <w:rPr>
                <w:sz w:val="18"/>
              </w:rPr>
            </w:pPr>
            <w:r>
              <w:rPr>
                <w:sz w:val="18"/>
              </w:rPr>
              <w:t>пр</w:t>
            </w:r>
            <w:r>
              <w:rPr>
                <w:sz w:val="18"/>
              </w:rPr>
              <w:t>о</w:t>
            </w:r>
            <w:r>
              <w:rPr>
                <w:sz w:val="18"/>
              </w:rPr>
              <w:t>центная доля</w:t>
            </w:r>
          </w:p>
        </w:tc>
        <w:tc>
          <w:tcPr>
            <w:tcW w:w="907" w:type="dxa"/>
            <w:gridSpan w:val="2"/>
            <w:vMerge/>
          </w:tcPr>
          <w:p w:rsidR="00000000" w:rsidRDefault="00000000">
            <w:pPr>
              <w:spacing w:before="40" w:after="40" w:line="221" w:lineRule="auto"/>
              <w:jc w:val="center"/>
              <w:rPr>
                <w:b/>
                <w:sz w:val="18"/>
              </w:rPr>
            </w:pP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Посол</w:t>
            </w:r>
          </w:p>
        </w:tc>
        <w:tc>
          <w:tcPr>
            <w:tcW w:w="1021" w:type="dxa"/>
          </w:tcPr>
          <w:p w:rsidR="00000000" w:rsidRDefault="00000000">
            <w:pPr>
              <w:spacing w:before="40" w:after="40" w:line="221" w:lineRule="auto"/>
              <w:jc w:val="center"/>
              <w:rPr>
                <w:sz w:val="18"/>
              </w:rPr>
            </w:pPr>
            <w:r>
              <w:rPr>
                <w:sz w:val="18"/>
              </w:rPr>
              <w:t>7</w:t>
            </w:r>
          </w:p>
        </w:tc>
        <w:tc>
          <w:tcPr>
            <w:tcW w:w="1021" w:type="dxa"/>
          </w:tcPr>
          <w:p w:rsidR="00000000" w:rsidRDefault="00000000">
            <w:pPr>
              <w:spacing w:before="40" w:after="40" w:line="221" w:lineRule="auto"/>
              <w:jc w:val="center"/>
              <w:rPr>
                <w:sz w:val="18"/>
              </w:rPr>
            </w:pPr>
            <w:r>
              <w:rPr>
                <w:sz w:val="18"/>
              </w:rPr>
              <w:t>5</w:t>
            </w:r>
          </w:p>
        </w:tc>
        <w:tc>
          <w:tcPr>
            <w:tcW w:w="794" w:type="dxa"/>
          </w:tcPr>
          <w:p w:rsidR="00000000" w:rsidRDefault="00000000">
            <w:pPr>
              <w:spacing w:before="40" w:after="40" w:line="221" w:lineRule="auto"/>
              <w:jc w:val="center"/>
              <w:rPr>
                <w:sz w:val="18"/>
              </w:rPr>
            </w:pPr>
            <w:r>
              <w:rPr>
                <w:sz w:val="18"/>
              </w:rPr>
              <w:t>12</w:t>
            </w:r>
          </w:p>
        </w:tc>
        <w:tc>
          <w:tcPr>
            <w:tcW w:w="1077" w:type="dxa"/>
          </w:tcPr>
          <w:p w:rsidR="00000000" w:rsidRDefault="00000000">
            <w:pPr>
              <w:spacing w:before="40" w:after="40" w:line="221" w:lineRule="auto"/>
              <w:jc w:val="center"/>
              <w:rPr>
                <w:sz w:val="18"/>
              </w:rPr>
            </w:pPr>
            <w:r>
              <w:rPr>
                <w:sz w:val="18"/>
              </w:rPr>
              <w:t>15</w:t>
            </w:r>
          </w:p>
        </w:tc>
        <w:tc>
          <w:tcPr>
            <w:tcW w:w="1021" w:type="dxa"/>
          </w:tcPr>
          <w:p w:rsidR="00000000" w:rsidRDefault="00000000">
            <w:pPr>
              <w:spacing w:before="40" w:after="40" w:line="221" w:lineRule="auto"/>
              <w:jc w:val="center"/>
              <w:rPr>
                <w:sz w:val="18"/>
              </w:rPr>
            </w:pPr>
            <w:r>
              <w:rPr>
                <w:sz w:val="18"/>
              </w:rPr>
              <w:t>42</w:t>
            </w:r>
          </w:p>
        </w:tc>
        <w:tc>
          <w:tcPr>
            <w:tcW w:w="1021" w:type="dxa"/>
          </w:tcPr>
          <w:p w:rsidR="00000000" w:rsidRDefault="00000000">
            <w:pPr>
              <w:spacing w:before="40" w:after="40" w:line="221" w:lineRule="auto"/>
              <w:jc w:val="center"/>
              <w:rPr>
                <w:sz w:val="18"/>
              </w:rPr>
            </w:pPr>
            <w:r>
              <w:rPr>
                <w:sz w:val="18"/>
              </w:rPr>
              <w:t>24</w:t>
            </w:r>
          </w:p>
        </w:tc>
        <w:tc>
          <w:tcPr>
            <w:tcW w:w="794" w:type="dxa"/>
          </w:tcPr>
          <w:p w:rsidR="00000000" w:rsidRDefault="00000000">
            <w:pPr>
              <w:spacing w:before="40" w:after="40" w:line="221" w:lineRule="auto"/>
              <w:jc w:val="center"/>
              <w:rPr>
                <w:sz w:val="18"/>
              </w:rPr>
            </w:pPr>
            <w:r>
              <w:rPr>
                <w:sz w:val="18"/>
              </w:rPr>
              <w:t>66</w:t>
            </w:r>
          </w:p>
        </w:tc>
        <w:tc>
          <w:tcPr>
            <w:tcW w:w="1077" w:type="dxa"/>
            <w:gridSpan w:val="2"/>
          </w:tcPr>
          <w:p w:rsidR="00000000" w:rsidRDefault="00000000">
            <w:pPr>
              <w:spacing w:before="40" w:after="40" w:line="221" w:lineRule="auto"/>
              <w:jc w:val="center"/>
              <w:rPr>
                <w:sz w:val="18"/>
              </w:rPr>
            </w:pPr>
            <w:r>
              <w:rPr>
                <w:sz w:val="18"/>
              </w:rPr>
              <w:t>85</w:t>
            </w:r>
          </w:p>
        </w:tc>
        <w:tc>
          <w:tcPr>
            <w:tcW w:w="907" w:type="dxa"/>
            <w:gridSpan w:val="2"/>
          </w:tcPr>
          <w:p w:rsidR="00000000" w:rsidRDefault="00000000">
            <w:pPr>
              <w:spacing w:before="40" w:after="40" w:line="221" w:lineRule="auto"/>
              <w:jc w:val="center"/>
              <w:rPr>
                <w:b/>
                <w:sz w:val="18"/>
              </w:rPr>
            </w:pPr>
            <w:r>
              <w:rPr>
                <w:b/>
                <w:sz w:val="18"/>
              </w:rPr>
              <w:t>78</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Советник-посла</w:t>
            </w:r>
            <w:r>
              <w:rPr>
                <w:sz w:val="18"/>
              </w:rPr>
              <w:t>н</w:t>
            </w:r>
            <w:r>
              <w:rPr>
                <w:sz w:val="18"/>
              </w:rPr>
              <w:t>ник</w:t>
            </w:r>
          </w:p>
        </w:tc>
        <w:tc>
          <w:tcPr>
            <w:tcW w:w="1021" w:type="dxa"/>
          </w:tcPr>
          <w:p w:rsidR="00000000" w:rsidRDefault="00000000">
            <w:pPr>
              <w:spacing w:before="40" w:after="40" w:line="221" w:lineRule="auto"/>
              <w:jc w:val="center"/>
              <w:rPr>
                <w:sz w:val="18"/>
              </w:rPr>
            </w:pPr>
            <w:r>
              <w:rPr>
                <w:sz w:val="18"/>
              </w:rPr>
              <w:t>13</w:t>
            </w:r>
          </w:p>
        </w:tc>
        <w:tc>
          <w:tcPr>
            <w:tcW w:w="1021" w:type="dxa"/>
          </w:tcPr>
          <w:p w:rsidR="00000000" w:rsidRDefault="00000000">
            <w:pPr>
              <w:spacing w:before="40" w:after="40" w:line="221" w:lineRule="auto"/>
              <w:jc w:val="center"/>
              <w:rPr>
                <w:sz w:val="18"/>
              </w:rPr>
            </w:pPr>
            <w:r>
              <w:rPr>
                <w:sz w:val="18"/>
              </w:rPr>
              <w:t>7</w:t>
            </w:r>
          </w:p>
        </w:tc>
        <w:tc>
          <w:tcPr>
            <w:tcW w:w="794" w:type="dxa"/>
          </w:tcPr>
          <w:p w:rsidR="00000000" w:rsidRDefault="00000000">
            <w:pPr>
              <w:spacing w:before="40" w:after="40" w:line="221" w:lineRule="auto"/>
              <w:jc w:val="center"/>
              <w:rPr>
                <w:sz w:val="18"/>
              </w:rPr>
            </w:pPr>
            <w:r>
              <w:rPr>
                <w:sz w:val="18"/>
              </w:rPr>
              <w:t>20</w:t>
            </w:r>
          </w:p>
        </w:tc>
        <w:tc>
          <w:tcPr>
            <w:tcW w:w="1077" w:type="dxa"/>
          </w:tcPr>
          <w:p w:rsidR="00000000" w:rsidRDefault="00000000">
            <w:pPr>
              <w:spacing w:before="40" w:after="40" w:line="221" w:lineRule="auto"/>
              <w:jc w:val="center"/>
              <w:rPr>
                <w:sz w:val="18"/>
              </w:rPr>
            </w:pPr>
            <w:r>
              <w:rPr>
                <w:sz w:val="18"/>
              </w:rPr>
              <w:t>21</w:t>
            </w:r>
          </w:p>
        </w:tc>
        <w:tc>
          <w:tcPr>
            <w:tcW w:w="1021" w:type="dxa"/>
          </w:tcPr>
          <w:p w:rsidR="00000000" w:rsidRDefault="00000000">
            <w:pPr>
              <w:spacing w:before="40" w:after="40" w:line="221" w:lineRule="auto"/>
              <w:jc w:val="center"/>
              <w:rPr>
                <w:sz w:val="18"/>
              </w:rPr>
            </w:pPr>
            <w:r>
              <w:rPr>
                <w:sz w:val="18"/>
              </w:rPr>
              <w:t>56</w:t>
            </w:r>
          </w:p>
        </w:tc>
        <w:tc>
          <w:tcPr>
            <w:tcW w:w="1021" w:type="dxa"/>
          </w:tcPr>
          <w:p w:rsidR="00000000" w:rsidRDefault="00000000">
            <w:pPr>
              <w:spacing w:before="40" w:after="40" w:line="221" w:lineRule="auto"/>
              <w:jc w:val="center"/>
              <w:rPr>
                <w:sz w:val="18"/>
              </w:rPr>
            </w:pPr>
            <w:r>
              <w:rPr>
                <w:sz w:val="18"/>
              </w:rPr>
              <w:t>21</w:t>
            </w:r>
          </w:p>
        </w:tc>
        <w:tc>
          <w:tcPr>
            <w:tcW w:w="794" w:type="dxa"/>
          </w:tcPr>
          <w:p w:rsidR="00000000" w:rsidRDefault="00000000">
            <w:pPr>
              <w:spacing w:before="40" w:after="40" w:line="221" w:lineRule="auto"/>
              <w:jc w:val="center"/>
              <w:rPr>
                <w:sz w:val="18"/>
              </w:rPr>
            </w:pPr>
            <w:r>
              <w:rPr>
                <w:sz w:val="18"/>
              </w:rPr>
              <w:t>77</w:t>
            </w:r>
          </w:p>
        </w:tc>
        <w:tc>
          <w:tcPr>
            <w:tcW w:w="1077" w:type="dxa"/>
            <w:gridSpan w:val="2"/>
          </w:tcPr>
          <w:p w:rsidR="00000000" w:rsidRDefault="00000000">
            <w:pPr>
              <w:spacing w:before="40" w:after="40" w:line="221" w:lineRule="auto"/>
              <w:jc w:val="center"/>
              <w:rPr>
                <w:sz w:val="18"/>
              </w:rPr>
            </w:pPr>
            <w:r>
              <w:rPr>
                <w:sz w:val="18"/>
              </w:rPr>
              <w:t>79</w:t>
            </w:r>
          </w:p>
        </w:tc>
        <w:tc>
          <w:tcPr>
            <w:tcW w:w="907" w:type="dxa"/>
            <w:gridSpan w:val="2"/>
          </w:tcPr>
          <w:p w:rsidR="00000000" w:rsidRDefault="00000000">
            <w:pPr>
              <w:spacing w:before="40" w:after="40" w:line="221" w:lineRule="auto"/>
              <w:jc w:val="center"/>
              <w:rPr>
                <w:b/>
                <w:sz w:val="18"/>
              </w:rPr>
            </w:pPr>
            <w:r>
              <w:rPr>
                <w:b/>
                <w:sz w:val="18"/>
              </w:rPr>
              <w:t>97</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Сове</w:t>
            </w:r>
            <w:r>
              <w:rPr>
                <w:sz w:val="18"/>
              </w:rPr>
              <w:t>т</w:t>
            </w:r>
            <w:r>
              <w:rPr>
                <w:sz w:val="18"/>
              </w:rPr>
              <w:t>ник</w:t>
            </w:r>
          </w:p>
        </w:tc>
        <w:tc>
          <w:tcPr>
            <w:tcW w:w="1021" w:type="dxa"/>
          </w:tcPr>
          <w:p w:rsidR="00000000" w:rsidRDefault="00000000">
            <w:pPr>
              <w:spacing w:before="40" w:after="40" w:line="221" w:lineRule="auto"/>
              <w:jc w:val="center"/>
              <w:rPr>
                <w:sz w:val="18"/>
              </w:rPr>
            </w:pPr>
            <w:r>
              <w:rPr>
                <w:sz w:val="18"/>
              </w:rPr>
              <w:t>7</w:t>
            </w:r>
          </w:p>
        </w:tc>
        <w:tc>
          <w:tcPr>
            <w:tcW w:w="1021" w:type="dxa"/>
          </w:tcPr>
          <w:p w:rsidR="00000000" w:rsidRDefault="00000000">
            <w:pPr>
              <w:spacing w:before="40" w:after="40" w:line="221" w:lineRule="auto"/>
              <w:jc w:val="center"/>
              <w:rPr>
                <w:sz w:val="18"/>
              </w:rPr>
            </w:pPr>
            <w:r>
              <w:rPr>
                <w:sz w:val="18"/>
              </w:rPr>
              <w:t>12</w:t>
            </w:r>
          </w:p>
        </w:tc>
        <w:tc>
          <w:tcPr>
            <w:tcW w:w="794" w:type="dxa"/>
          </w:tcPr>
          <w:p w:rsidR="00000000" w:rsidRDefault="00000000">
            <w:pPr>
              <w:spacing w:before="40" w:after="40" w:line="221" w:lineRule="auto"/>
              <w:jc w:val="center"/>
              <w:rPr>
                <w:sz w:val="18"/>
              </w:rPr>
            </w:pPr>
            <w:r>
              <w:rPr>
                <w:sz w:val="18"/>
              </w:rPr>
              <w:t>19</w:t>
            </w:r>
          </w:p>
        </w:tc>
        <w:tc>
          <w:tcPr>
            <w:tcW w:w="1077" w:type="dxa"/>
          </w:tcPr>
          <w:p w:rsidR="00000000" w:rsidRDefault="00000000">
            <w:pPr>
              <w:spacing w:before="40" w:after="40" w:line="221" w:lineRule="auto"/>
              <w:jc w:val="center"/>
              <w:rPr>
                <w:sz w:val="18"/>
              </w:rPr>
            </w:pPr>
            <w:r>
              <w:rPr>
                <w:sz w:val="18"/>
              </w:rPr>
              <w:t>20</w:t>
            </w:r>
          </w:p>
        </w:tc>
        <w:tc>
          <w:tcPr>
            <w:tcW w:w="1021" w:type="dxa"/>
          </w:tcPr>
          <w:p w:rsidR="00000000" w:rsidRDefault="00000000">
            <w:pPr>
              <w:spacing w:before="40" w:after="40" w:line="221" w:lineRule="auto"/>
              <w:jc w:val="center"/>
              <w:rPr>
                <w:sz w:val="18"/>
              </w:rPr>
            </w:pPr>
            <w:r>
              <w:rPr>
                <w:sz w:val="18"/>
              </w:rPr>
              <w:t>49</w:t>
            </w:r>
          </w:p>
        </w:tc>
        <w:tc>
          <w:tcPr>
            <w:tcW w:w="1021" w:type="dxa"/>
          </w:tcPr>
          <w:p w:rsidR="00000000" w:rsidRDefault="00000000">
            <w:pPr>
              <w:spacing w:before="40" w:after="40" w:line="221" w:lineRule="auto"/>
              <w:jc w:val="center"/>
              <w:rPr>
                <w:sz w:val="18"/>
              </w:rPr>
            </w:pPr>
            <w:r>
              <w:rPr>
                <w:sz w:val="18"/>
              </w:rPr>
              <w:t>29</w:t>
            </w:r>
          </w:p>
        </w:tc>
        <w:tc>
          <w:tcPr>
            <w:tcW w:w="794" w:type="dxa"/>
          </w:tcPr>
          <w:p w:rsidR="00000000" w:rsidRDefault="00000000">
            <w:pPr>
              <w:spacing w:before="40" w:after="40" w:line="221" w:lineRule="auto"/>
              <w:jc w:val="center"/>
              <w:rPr>
                <w:sz w:val="18"/>
              </w:rPr>
            </w:pPr>
            <w:r>
              <w:rPr>
                <w:sz w:val="18"/>
              </w:rPr>
              <w:t>78</w:t>
            </w:r>
          </w:p>
        </w:tc>
        <w:tc>
          <w:tcPr>
            <w:tcW w:w="1077" w:type="dxa"/>
            <w:gridSpan w:val="2"/>
          </w:tcPr>
          <w:p w:rsidR="00000000" w:rsidRDefault="00000000">
            <w:pPr>
              <w:spacing w:before="40" w:after="40" w:line="221" w:lineRule="auto"/>
              <w:jc w:val="center"/>
              <w:rPr>
                <w:sz w:val="18"/>
              </w:rPr>
            </w:pPr>
            <w:r>
              <w:rPr>
                <w:sz w:val="18"/>
              </w:rPr>
              <w:t>80</w:t>
            </w:r>
          </w:p>
        </w:tc>
        <w:tc>
          <w:tcPr>
            <w:tcW w:w="907" w:type="dxa"/>
            <w:gridSpan w:val="2"/>
          </w:tcPr>
          <w:p w:rsidR="00000000" w:rsidRDefault="00000000">
            <w:pPr>
              <w:spacing w:before="40" w:after="40" w:line="221" w:lineRule="auto"/>
              <w:jc w:val="center"/>
              <w:rPr>
                <w:b/>
                <w:sz w:val="18"/>
              </w:rPr>
            </w:pPr>
            <w:r>
              <w:rPr>
                <w:b/>
                <w:sz w:val="18"/>
              </w:rPr>
              <w:t>97</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Первый секр</w:t>
            </w:r>
            <w:r>
              <w:rPr>
                <w:sz w:val="18"/>
              </w:rPr>
              <w:t>е</w:t>
            </w:r>
            <w:r>
              <w:rPr>
                <w:sz w:val="18"/>
              </w:rPr>
              <w:t>тарь</w:t>
            </w:r>
          </w:p>
        </w:tc>
        <w:tc>
          <w:tcPr>
            <w:tcW w:w="1021" w:type="dxa"/>
          </w:tcPr>
          <w:p w:rsidR="00000000" w:rsidRDefault="00000000">
            <w:pPr>
              <w:spacing w:before="40" w:after="40" w:line="221" w:lineRule="auto"/>
              <w:jc w:val="center"/>
              <w:rPr>
                <w:sz w:val="18"/>
              </w:rPr>
            </w:pPr>
            <w:r>
              <w:rPr>
                <w:sz w:val="18"/>
              </w:rPr>
              <w:t>17</w:t>
            </w:r>
          </w:p>
        </w:tc>
        <w:tc>
          <w:tcPr>
            <w:tcW w:w="1021" w:type="dxa"/>
          </w:tcPr>
          <w:p w:rsidR="00000000" w:rsidRDefault="00000000">
            <w:pPr>
              <w:spacing w:before="40" w:after="40" w:line="221" w:lineRule="auto"/>
              <w:jc w:val="center"/>
              <w:rPr>
                <w:sz w:val="18"/>
              </w:rPr>
            </w:pPr>
            <w:r>
              <w:rPr>
                <w:sz w:val="18"/>
              </w:rPr>
              <w:t>12</w:t>
            </w:r>
          </w:p>
        </w:tc>
        <w:tc>
          <w:tcPr>
            <w:tcW w:w="794" w:type="dxa"/>
          </w:tcPr>
          <w:p w:rsidR="00000000" w:rsidRDefault="00000000">
            <w:pPr>
              <w:spacing w:before="40" w:after="40" w:line="221" w:lineRule="auto"/>
              <w:jc w:val="center"/>
              <w:rPr>
                <w:sz w:val="18"/>
              </w:rPr>
            </w:pPr>
            <w:r>
              <w:rPr>
                <w:sz w:val="18"/>
              </w:rPr>
              <w:t>29</w:t>
            </w:r>
          </w:p>
        </w:tc>
        <w:tc>
          <w:tcPr>
            <w:tcW w:w="1077" w:type="dxa"/>
          </w:tcPr>
          <w:p w:rsidR="00000000" w:rsidRDefault="00000000">
            <w:pPr>
              <w:spacing w:before="40" w:after="40" w:line="221" w:lineRule="auto"/>
              <w:jc w:val="center"/>
              <w:rPr>
                <w:sz w:val="18"/>
              </w:rPr>
            </w:pPr>
            <w:r>
              <w:rPr>
                <w:sz w:val="18"/>
              </w:rPr>
              <w:t>24</w:t>
            </w:r>
          </w:p>
        </w:tc>
        <w:tc>
          <w:tcPr>
            <w:tcW w:w="1021" w:type="dxa"/>
          </w:tcPr>
          <w:p w:rsidR="00000000" w:rsidRDefault="00000000">
            <w:pPr>
              <w:spacing w:before="40" w:after="40" w:line="221" w:lineRule="auto"/>
              <w:jc w:val="center"/>
              <w:rPr>
                <w:sz w:val="18"/>
              </w:rPr>
            </w:pPr>
            <w:r>
              <w:rPr>
                <w:sz w:val="18"/>
              </w:rPr>
              <w:t>61</w:t>
            </w:r>
          </w:p>
        </w:tc>
        <w:tc>
          <w:tcPr>
            <w:tcW w:w="1021" w:type="dxa"/>
          </w:tcPr>
          <w:p w:rsidR="00000000" w:rsidRDefault="00000000">
            <w:pPr>
              <w:spacing w:before="40" w:after="40" w:line="221" w:lineRule="auto"/>
              <w:jc w:val="center"/>
              <w:rPr>
                <w:sz w:val="18"/>
              </w:rPr>
            </w:pPr>
            <w:r>
              <w:rPr>
                <w:sz w:val="18"/>
              </w:rPr>
              <w:t>30</w:t>
            </w:r>
          </w:p>
        </w:tc>
        <w:tc>
          <w:tcPr>
            <w:tcW w:w="794" w:type="dxa"/>
          </w:tcPr>
          <w:p w:rsidR="00000000" w:rsidRDefault="00000000">
            <w:pPr>
              <w:spacing w:before="40" w:after="40" w:line="221" w:lineRule="auto"/>
              <w:jc w:val="center"/>
              <w:rPr>
                <w:sz w:val="18"/>
              </w:rPr>
            </w:pPr>
            <w:r>
              <w:rPr>
                <w:sz w:val="18"/>
              </w:rPr>
              <w:t>91</w:t>
            </w:r>
          </w:p>
        </w:tc>
        <w:tc>
          <w:tcPr>
            <w:tcW w:w="1077" w:type="dxa"/>
            <w:gridSpan w:val="2"/>
          </w:tcPr>
          <w:p w:rsidR="00000000" w:rsidRDefault="00000000">
            <w:pPr>
              <w:spacing w:before="40" w:after="40" w:line="221" w:lineRule="auto"/>
              <w:jc w:val="center"/>
              <w:rPr>
                <w:sz w:val="18"/>
              </w:rPr>
            </w:pPr>
            <w:r>
              <w:rPr>
                <w:sz w:val="18"/>
              </w:rPr>
              <w:t>76</w:t>
            </w:r>
          </w:p>
        </w:tc>
        <w:tc>
          <w:tcPr>
            <w:tcW w:w="907" w:type="dxa"/>
            <w:gridSpan w:val="2"/>
          </w:tcPr>
          <w:p w:rsidR="00000000" w:rsidRDefault="00000000">
            <w:pPr>
              <w:spacing w:before="40" w:after="40" w:line="221" w:lineRule="auto"/>
              <w:jc w:val="center"/>
              <w:rPr>
                <w:b/>
                <w:sz w:val="18"/>
              </w:rPr>
            </w:pPr>
            <w:r>
              <w:rPr>
                <w:b/>
                <w:sz w:val="18"/>
              </w:rPr>
              <w:t>120</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Второй секр</w:t>
            </w:r>
            <w:r>
              <w:rPr>
                <w:sz w:val="18"/>
              </w:rPr>
              <w:t>е</w:t>
            </w:r>
            <w:r>
              <w:rPr>
                <w:sz w:val="18"/>
              </w:rPr>
              <w:t>тарь</w:t>
            </w:r>
          </w:p>
        </w:tc>
        <w:tc>
          <w:tcPr>
            <w:tcW w:w="1021" w:type="dxa"/>
          </w:tcPr>
          <w:p w:rsidR="00000000" w:rsidRDefault="00000000">
            <w:pPr>
              <w:spacing w:before="40" w:after="40" w:line="221" w:lineRule="auto"/>
              <w:jc w:val="center"/>
              <w:rPr>
                <w:sz w:val="18"/>
              </w:rPr>
            </w:pPr>
            <w:r>
              <w:rPr>
                <w:sz w:val="18"/>
              </w:rPr>
              <w:t>25</w:t>
            </w:r>
          </w:p>
        </w:tc>
        <w:tc>
          <w:tcPr>
            <w:tcW w:w="1021" w:type="dxa"/>
          </w:tcPr>
          <w:p w:rsidR="00000000" w:rsidRDefault="00000000">
            <w:pPr>
              <w:spacing w:before="40" w:after="40" w:line="221" w:lineRule="auto"/>
              <w:jc w:val="center"/>
              <w:rPr>
                <w:sz w:val="18"/>
              </w:rPr>
            </w:pPr>
            <w:r>
              <w:rPr>
                <w:sz w:val="18"/>
              </w:rPr>
              <w:t>8</w:t>
            </w:r>
          </w:p>
        </w:tc>
        <w:tc>
          <w:tcPr>
            <w:tcW w:w="794" w:type="dxa"/>
          </w:tcPr>
          <w:p w:rsidR="00000000" w:rsidRDefault="00000000">
            <w:pPr>
              <w:spacing w:before="40" w:after="40" w:line="221" w:lineRule="auto"/>
              <w:jc w:val="center"/>
              <w:rPr>
                <w:sz w:val="18"/>
              </w:rPr>
            </w:pPr>
            <w:r>
              <w:rPr>
                <w:sz w:val="18"/>
              </w:rPr>
              <w:t>33</w:t>
            </w:r>
          </w:p>
        </w:tc>
        <w:tc>
          <w:tcPr>
            <w:tcW w:w="1077" w:type="dxa"/>
          </w:tcPr>
          <w:p w:rsidR="00000000" w:rsidRDefault="00000000">
            <w:pPr>
              <w:spacing w:before="40" w:after="40" w:line="221" w:lineRule="auto"/>
              <w:jc w:val="center"/>
              <w:rPr>
                <w:sz w:val="18"/>
              </w:rPr>
            </w:pPr>
            <w:r>
              <w:rPr>
                <w:sz w:val="18"/>
              </w:rPr>
              <w:t>26</w:t>
            </w:r>
          </w:p>
        </w:tc>
        <w:tc>
          <w:tcPr>
            <w:tcW w:w="1021" w:type="dxa"/>
          </w:tcPr>
          <w:p w:rsidR="00000000" w:rsidRDefault="00000000">
            <w:pPr>
              <w:spacing w:before="40" w:after="40" w:line="221" w:lineRule="auto"/>
              <w:jc w:val="center"/>
              <w:rPr>
                <w:sz w:val="18"/>
              </w:rPr>
            </w:pPr>
            <w:r>
              <w:rPr>
                <w:sz w:val="18"/>
              </w:rPr>
              <w:t>73</w:t>
            </w:r>
          </w:p>
        </w:tc>
        <w:tc>
          <w:tcPr>
            <w:tcW w:w="1021" w:type="dxa"/>
          </w:tcPr>
          <w:p w:rsidR="00000000" w:rsidRDefault="00000000">
            <w:pPr>
              <w:spacing w:before="40" w:after="40" w:line="221" w:lineRule="auto"/>
              <w:jc w:val="center"/>
              <w:rPr>
                <w:sz w:val="18"/>
              </w:rPr>
            </w:pPr>
            <w:r>
              <w:rPr>
                <w:sz w:val="18"/>
              </w:rPr>
              <w:t>22</w:t>
            </w:r>
          </w:p>
        </w:tc>
        <w:tc>
          <w:tcPr>
            <w:tcW w:w="794" w:type="dxa"/>
          </w:tcPr>
          <w:p w:rsidR="00000000" w:rsidRDefault="00000000">
            <w:pPr>
              <w:spacing w:before="40" w:after="40" w:line="221" w:lineRule="auto"/>
              <w:jc w:val="center"/>
              <w:rPr>
                <w:sz w:val="18"/>
              </w:rPr>
            </w:pPr>
            <w:r>
              <w:rPr>
                <w:sz w:val="18"/>
              </w:rPr>
              <w:t>95</w:t>
            </w:r>
          </w:p>
        </w:tc>
        <w:tc>
          <w:tcPr>
            <w:tcW w:w="1077" w:type="dxa"/>
            <w:gridSpan w:val="2"/>
          </w:tcPr>
          <w:p w:rsidR="00000000" w:rsidRDefault="00000000">
            <w:pPr>
              <w:spacing w:before="40" w:after="40" w:line="221" w:lineRule="auto"/>
              <w:jc w:val="center"/>
              <w:rPr>
                <w:sz w:val="18"/>
              </w:rPr>
            </w:pPr>
            <w:r>
              <w:rPr>
                <w:sz w:val="18"/>
              </w:rPr>
              <w:t>74</w:t>
            </w:r>
          </w:p>
        </w:tc>
        <w:tc>
          <w:tcPr>
            <w:tcW w:w="907" w:type="dxa"/>
            <w:gridSpan w:val="2"/>
          </w:tcPr>
          <w:p w:rsidR="00000000" w:rsidRDefault="00000000">
            <w:pPr>
              <w:spacing w:before="40" w:after="40" w:line="221" w:lineRule="auto"/>
              <w:jc w:val="center"/>
              <w:rPr>
                <w:b/>
                <w:sz w:val="18"/>
              </w:rPr>
            </w:pPr>
            <w:r>
              <w:rPr>
                <w:b/>
                <w:sz w:val="18"/>
              </w:rPr>
              <w:t>128</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Третий секр</w:t>
            </w:r>
            <w:r>
              <w:rPr>
                <w:sz w:val="18"/>
              </w:rPr>
              <w:t>е</w:t>
            </w:r>
            <w:r>
              <w:rPr>
                <w:sz w:val="18"/>
              </w:rPr>
              <w:t>тарь</w:t>
            </w:r>
          </w:p>
        </w:tc>
        <w:tc>
          <w:tcPr>
            <w:tcW w:w="1021" w:type="dxa"/>
          </w:tcPr>
          <w:p w:rsidR="00000000" w:rsidRDefault="00000000">
            <w:pPr>
              <w:spacing w:before="40" w:after="40" w:line="221" w:lineRule="auto"/>
              <w:jc w:val="center"/>
              <w:rPr>
                <w:sz w:val="18"/>
              </w:rPr>
            </w:pPr>
            <w:r>
              <w:rPr>
                <w:sz w:val="18"/>
              </w:rPr>
              <w:t>28</w:t>
            </w:r>
          </w:p>
        </w:tc>
        <w:tc>
          <w:tcPr>
            <w:tcW w:w="1021" w:type="dxa"/>
          </w:tcPr>
          <w:p w:rsidR="00000000" w:rsidRDefault="00000000">
            <w:pPr>
              <w:spacing w:before="40" w:after="40" w:line="221" w:lineRule="auto"/>
              <w:jc w:val="center"/>
              <w:rPr>
                <w:sz w:val="18"/>
              </w:rPr>
            </w:pPr>
            <w:r>
              <w:rPr>
                <w:sz w:val="18"/>
              </w:rPr>
              <w:t>19</w:t>
            </w:r>
          </w:p>
        </w:tc>
        <w:tc>
          <w:tcPr>
            <w:tcW w:w="794" w:type="dxa"/>
          </w:tcPr>
          <w:p w:rsidR="00000000" w:rsidRDefault="00000000">
            <w:pPr>
              <w:spacing w:before="40" w:after="40" w:line="221" w:lineRule="auto"/>
              <w:jc w:val="center"/>
              <w:rPr>
                <w:sz w:val="18"/>
              </w:rPr>
            </w:pPr>
            <w:r>
              <w:rPr>
                <w:sz w:val="18"/>
              </w:rPr>
              <w:t>47</w:t>
            </w:r>
          </w:p>
        </w:tc>
        <w:tc>
          <w:tcPr>
            <w:tcW w:w="1077" w:type="dxa"/>
          </w:tcPr>
          <w:p w:rsidR="00000000" w:rsidRDefault="00000000">
            <w:pPr>
              <w:spacing w:before="40" w:after="40" w:line="221" w:lineRule="auto"/>
              <w:jc w:val="center"/>
              <w:rPr>
                <w:sz w:val="18"/>
              </w:rPr>
            </w:pPr>
            <w:r>
              <w:rPr>
                <w:sz w:val="18"/>
              </w:rPr>
              <w:t>34</w:t>
            </w:r>
          </w:p>
        </w:tc>
        <w:tc>
          <w:tcPr>
            <w:tcW w:w="1021" w:type="dxa"/>
          </w:tcPr>
          <w:p w:rsidR="00000000" w:rsidRDefault="00000000">
            <w:pPr>
              <w:spacing w:before="40" w:after="40" w:line="221" w:lineRule="auto"/>
              <w:jc w:val="center"/>
              <w:rPr>
                <w:sz w:val="18"/>
              </w:rPr>
            </w:pPr>
            <w:r>
              <w:rPr>
                <w:sz w:val="18"/>
              </w:rPr>
              <w:t>73</w:t>
            </w:r>
          </w:p>
        </w:tc>
        <w:tc>
          <w:tcPr>
            <w:tcW w:w="1021" w:type="dxa"/>
          </w:tcPr>
          <w:p w:rsidR="00000000" w:rsidRDefault="00000000">
            <w:pPr>
              <w:spacing w:before="40" w:after="40" w:line="221" w:lineRule="auto"/>
              <w:jc w:val="center"/>
              <w:rPr>
                <w:sz w:val="18"/>
              </w:rPr>
            </w:pPr>
            <w:r>
              <w:rPr>
                <w:sz w:val="18"/>
              </w:rPr>
              <w:t>20</w:t>
            </w:r>
          </w:p>
        </w:tc>
        <w:tc>
          <w:tcPr>
            <w:tcW w:w="794" w:type="dxa"/>
          </w:tcPr>
          <w:p w:rsidR="00000000" w:rsidRDefault="00000000">
            <w:pPr>
              <w:spacing w:before="40" w:after="40" w:line="221" w:lineRule="auto"/>
              <w:jc w:val="center"/>
              <w:rPr>
                <w:sz w:val="18"/>
              </w:rPr>
            </w:pPr>
            <w:r>
              <w:rPr>
                <w:sz w:val="18"/>
              </w:rPr>
              <w:t>93</w:t>
            </w:r>
          </w:p>
        </w:tc>
        <w:tc>
          <w:tcPr>
            <w:tcW w:w="1077" w:type="dxa"/>
            <w:gridSpan w:val="2"/>
          </w:tcPr>
          <w:p w:rsidR="00000000" w:rsidRDefault="00000000">
            <w:pPr>
              <w:spacing w:before="40" w:after="40" w:line="221" w:lineRule="auto"/>
              <w:jc w:val="center"/>
              <w:rPr>
                <w:sz w:val="18"/>
              </w:rPr>
            </w:pPr>
            <w:r>
              <w:rPr>
                <w:sz w:val="18"/>
              </w:rPr>
              <w:t>66</w:t>
            </w:r>
          </w:p>
        </w:tc>
        <w:tc>
          <w:tcPr>
            <w:tcW w:w="907" w:type="dxa"/>
            <w:gridSpan w:val="2"/>
          </w:tcPr>
          <w:p w:rsidR="00000000" w:rsidRDefault="00000000">
            <w:pPr>
              <w:spacing w:before="40" w:after="40" w:line="221" w:lineRule="auto"/>
              <w:jc w:val="center"/>
              <w:rPr>
                <w:b/>
                <w:sz w:val="18"/>
              </w:rPr>
            </w:pPr>
            <w:r>
              <w:rPr>
                <w:b/>
                <w:sz w:val="18"/>
              </w:rPr>
              <w:t>140</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Атт</w:t>
            </w:r>
            <w:r>
              <w:rPr>
                <w:sz w:val="18"/>
              </w:rPr>
              <w:t>а</w:t>
            </w:r>
            <w:r>
              <w:rPr>
                <w:sz w:val="18"/>
              </w:rPr>
              <w:t>ше</w:t>
            </w:r>
          </w:p>
        </w:tc>
        <w:tc>
          <w:tcPr>
            <w:tcW w:w="1021" w:type="dxa"/>
          </w:tcPr>
          <w:p w:rsidR="00000000" w:rsidRDefault="00000000">
            <w:pPr>
              <w:spacing w:before="40" w:after="40" w:line="221" w:lineRule="auto"/>
              <w:jc w:val="center"/>
              <w:rPr>
                <w:sz w:val="18"/>
              </w:rPr>
            </w:pPr>
            <w:r>
              <w:rPr>
                <w:sz w:val="18"/>
              </w:rPr>
              <w:t>1</w:t>
            </w:r>
          </w:p>
        </w:tc>
        <w:tc>
          <w:tcPr>
            <w:tcW w:w="1021" w:type="dxa"/>
          </w:tcPr>
          <w:p w:rsidR="00000000" w:rsidRDefault="00000000">
            <w:pPr>
              <w:spacing w:before="40" w:after="40" w:line="221" w:lineRule="auto"/>
              <w:jc w:val="center"/>
              <w:rPr>
                <w:sz w:val="18"/>
              </w:rPr>
            </w:pPr>
            <w:r>
              <w:rPr>
                <w:sz w:val="18"/>
              </w:rPr>
              <w:t>25</w:t>
            </w:r>
          </w:p>
        </w:tc>
        <w:tc>
          <w:tcPr>
            <w:tcW w:w="794" w:type="dxa"/>
          </w:tcPr>
          <w:p w:rsidR="00000000" w:rsidRDefault="00000000">
            <w:pPr>
              <w:spacing w:before="40" w:after="40" w:line="221" w:lineRule="auto"/>
              <w:jc w:val="center"/>
              <w:rPr>
                <w:sz w:val="18"/>
              </w:rPr>
            </w:pPr>
            <w:r>
              <w:rPr>
                <w:sz w:val="18"/>
              </w:rPr>
              <w:t>26</w:t>
            </w:r>
          </w:p>
        </w:tc>
        <w:tc>
          <w:tcPr>
            <w:tcW w:w="1077" w:type="dxa"/>
          </w:tcPr>
          <w:p w:rsidR="00000000" w:rsidRDefault="00000000">
            <w:pPr>
              <w:spacing w:before="40" w:after="40" w:line="221" w:lineRule="auto"/>
              <w:jc w:val="center"/>
              <w:rPr>
                <w:sz w:val="18"/>
              </w:rPr>
            </w:pPr>
            <w:r>
              <w:rPr>
                <w:sz w:val="18"/>
              </w:rPr>
              <w:t>40</w:t>
            </w:r>
          </w:p>
        </w:tc>
        <w:tc>
          <w:tcPr>
            <w:tcW w:w="1021" w:type="dxa"/>
          </w:tcPr>
          <w:p w:rsidR="00000000" w:rsidRDefault="00000000">
            <w:pPr>
              <w:spacing w:before="40" w:after="40" w:line="221" w:lineRule="auto"/>
              <w:jc w:val="center"/>
              <w:rPr>
                <w:sz w:val="18"/>
              </w:rPr>
            </w:pPr>
            <w:r>
              <w:rPr>
                <w:sz w:val="18"/>
              </w:rPr>
              <w:t>6</w:t>
            </w:r>
          </w:p>
        </w:tc>
        <w:tc>
          <w:tcPr>
            <w:tcW w:w="1021" w:type="dxa"/>
          </w:tcPr>
          <w:p w:rsidR="00000000" w:rsidRDefault="00000000">
            <w:pPr>
              <w:spacing w:before="40" w:after="40" w:line="221" w:lineRule="auto"/>
              <w:jc w:val="center"/>
              <w:rPr>
                <w:sz w:val="18"/>
              </w:rPr>
            </w:pPr>
            <w:r>
              <w:rPr>
                <w:sz w:val="18"/>
              </w:rPr>
              <w:t>33</w:t>
            </w:r>
          </w:p>
        </w:tc>
        <w:tc>
          <w:tcPr>
            <w:tcW w:w="794" w:type="dxa"/>
          </w:tcPr>
          <w:p w:rsidR="00000000" w:rsidRDefault="00000000">
            <w:pPr>
              <w:spacing w:before="40" w:after="40" w:line="221" w:lineRule="auto"/>
              <w:jc w:val="center"/>
              <w:rPr>
                <w:sz w:val="18"/>
              </w:rPr>
            </w:pPr>
            <w:r>
              <w:rPr>
                <w:sz w:val="18"/>
              </w:rPr>
              <w:t>39</w:t>
            </w:r>
          </w:p>
        </w:tc>
        <w:tc>
          <w:tcPr>
            <w:tcW w:w="1077" w:type="dxa"/>
            <w:gridSpan w:val="2"/>
          </w:tcPr>
          <w:p w:rsidR="00000000" w:rsidRDefault="00000000">
            <w:pPr>
              <w:spacing w:before="40" w:after="40" w:line="221" w:lineRule="auto"/>
              <w:jc w:val="center"/>
              <w:rPr>
                <w:sz w:val="18"/>
              </w:rPr>
            </w:pPr>
            <w:r>
              <w:rPr>
                <w:sz w:val="18"/>
              </w:rPr>
              <w:t>60</w:t>
            </w:r>
          </w:p>
        </w:tc>
        <w:tc>
          <w:tcPr>
            <w:tcW w:w="907" w:type="dxa"/>
            <w:gridSpan w:val="2"/>
          </w:tcPr>
          <w:p w:rsidR="00000000" w:rsidRDefault="00000000">
            <w:pPr>
              <w:spacing w:before="40" w:after="40" w:line="221" w:lineRule="auto"/>
              <w:jc w:val="center"/>
              <w:rPr>
                <w:b/>
                <w:sz w:val="18"/>
              </w:rPr>
            </w:pPr>
            <w:r>
              <w:rPr>
                <w:b/>
                <w:sz w:val="18"/>
              </w:rPr>
              <w:t>65</w:t>
            </w:r>
          </w:p>
        </w:tc>
      </w:tr>
      <w:tr w:rsidR="00000000">
        <w:tblPrEx>
          <w:tblCellMar>
            <w:top w:w="0" w:type="dxa"/>
            <w:bottom w:w="0" w:type="dxa"/>
          </w:tblCellMar>
        </w:tblPrEx>
        <w:trPr>
          <w:jc w:val="center"/>
        </w:trPr>
        <w:tc>
          <w:tcPr>
            <w:tcW w:w="1588" w:type="dxa"/>
          </w:tcPr>
          <w:p w:rsidR="00000000" w:rsidRDefault="00000000">
            <w:pPr>
              <w:spacing w:before="40" w:after="40" w:line="221" w:lineRule="auto"/>
              <w:rPr>
                <w:sz w:val="18"/>
              </w:rPr>
            </w:pPr>
            <w:r>
              <w:rPr>
                <w:sz w:val="18"/>
              </w:rPr>
              <w:t>Всего</w:t>
            </w:r>
          </w:p>
        </w:tc>
        <w:tc>
          <w:tcPr>
            <w:tcW w:w="1021" w:type="dxa"/>
          </w:tcPr>
          <w:p w:rsidR="00000000" w:rsidRDefault="00000000">
            <w:pPr>
              <w:spacing w:before="40" w:after="40" w:line="221" w:lineRule="auto"/>
              <w:jc w:val="center"/>
              <w:rPr>
                <w:sz w:val="18"/>
              </w:rPr>
            </w:pPr>
            <w:r>
              <w:rPr>
                <w:sz w:val="18"/>
              </w:rPr>
              <w:t>98</w:t>
            </w:r>
          </w:p>
        </w:tc>
        <w:tc>
          <w:tcPr>
            <w:tcW w:w="1021" w:type="dxa"/>
          </w:tcPr>
          <w:p w:rsidR="00000000" w:rsidRDefault="00000000">
            <w:pPr>
              <w:spacing w:before="40" w:after="40" w:line="221" w:lineRule="auto"/>
              <w:jc w:val="center"/>
              <w:rPr>
                <w:sz w:val="18"/>
              </w:rPr>
            </w:pPr>
            <w:r>
              <w:rPr>
                <w:sz w:val="18"/>
              </w:rPr>
              <w:t>88</w:t>
            </w:r>
          </w:p>
        </w:tc>
        <w:tc>
          <w:tcPr>
            <w:tcW w:w="794" w:type="dxa"/>
          </w:tcPr>
          <w:p w:rsidR="00000000" w:rsidRDefault="00000000">
            <w:pPr>
              <w:spacing w:before="40" w:after="40" w:line="221" w:lineRule="auto"/>
              <w:jc w:val="center"/>
              <w:rPr>
                <w:sz w:val="18"/>
              </w:rPr>
            </w:pPr>
            <w:r>
              <w:rPr>
                <w:sz w:val="18"/>
              </w:rPr>
              <w:t>186</w:t>
            </w:r>
          </w:p>
        </w:tc>
        <w:tc>
          <w:tcPr>
            <w:tcW w:w="1077" w:type="dxa"/>
          </w:tcPr>
          <w:p w:rsidR="00000000" w:rsidRDefault="00000000">
            <w:pPr>
              <w:spacing w:before="40" w:after="40" w:line="221" w:lineRule="auto"/>
              <w:jc w:val="center"/>
              <w:rPr>
                <w:sz w:val="18"/>
              </w:rPr>
            </w:pPr>
            <w:r>
              <w:rPr>
                <w:sz w:val="18"/>
              </w:rPr>
              <w:t>26</w:t>
            </w:r>
          </w:p>
        </w:tc>
        <w:tc>
          <w:tcPr>
            <w:tcW w:w="1021" w:type="dxa"/>
          </w:tcPr>
          <w:p w:rsidR="00000000" w:rsidRDefault="00000000">
            <w:pPr>
              <w:spacing w:before="40" w:after="40" w:line="221" w:lineRule="auto"/>
              <w:jc w:val="center"/>
              <w:rPr>
                <w:sz w:val="18"/>
              </w:rPr>
            </w:pPr>
            <w:r>
              <w:rPr>
                <w:sz w:val="18"/>
              </w:rPr>
              <w:t>360</w:t>
            </w:r>
          </w:p>
        </w:tc>
        <w:tc>
          <w:tcPr>
            <w:tcW w:w="1021" w:type="dxa"/>
          </w:tcPr>
          <w:p w:rsidR="00000000" w:rsidRDefault="00000000">
            <w:pPr>
              <w:spacing w:before="40" w:after="40" w:line="221" w:lineRule="auto"/>
              <w:jc w:val="center"/>
              <w:rPr>
                <w:sz w:val="18"/>
              </w:rPr>
            </w:pPr>
            <w:r>
              <w:rPr>
                <w:sz w:val="18"/>
              </w:rPr>
              <w:t>179</w:t>
            </w:r>
          </w:p>
        </w:tc>
        <w:tc>
          <w:tcPr>
            <w:tcW w:w="794" w:type="dxa"/>
          </w:tcPr>
          <w:p w:rsidR="00000000" w:rsidRDefault="00000000">
            <w:pPr>
              <w:spacing w:before="40" w:after="40" w:line="221" w:lineRule="auto"/>
              <w:jc w:val="center"/>
              <w:rPr>
                <w:sz w:val="18"/>
              </w:rPr>
            </w:pPr>
            <w:r>
              <w:rPr>
                <w:sz w:val="18"/>
              </w:rPr>
              <w:t>539</w:t>
            </w:r>
          </w:p>
        </w:tc>
        <w:tc>
          <w:tcPr>
            <w:tcW w:w="1077" w:type="dxa"/>
            <w:gridSpan w:val="2"/>
          </w:tcPr>
          <w:p w:rsidR="00000000" w:rsidRDefault="00000000">
            <w:pPr>
              <w:spacing w:before="40" w:after="40" w:line="221" w:lineRule="auto"/>
              <w:jc w:val="center"/>
              <w:rPr>
                <w:sz w:val="18"/>
              </w:rPr>
            </w:pPr>
            <w:r>
              <w:rPr>
                <w:sz w:val="18"/>
              </w:rPr>
              <w:t>74</w:t>
            </w:r>
          </w:p>
        </w:tc>
        <w:tc>
          <w:tcPr>
            <w:tcW w:w="907" w:type="dxa"/>
            <w:gridSpan w:val="2"/>
          </w:tcPr>
          <w:p w:rsidR="00000000" w:rsidRDefault="00000000">
            <w:pPr>
              <w:spacing w:before="40" w:after="40" w:line="221" w:lineRule="auto"/>
              <w:jc w:val="center"/>
              <w:rPr>
                <w:b/>
                <w:sz w:val="18"/>
              </w:rPr>
            </w:pPr>
            <w:r>
              <w:rPr>
                <w:b/>
                <w:sz w:val="18"/>
              </w:rPr>
              <w:t>725</w:t>
            </w:r>
          </w:p>
        </w:tc>
      </w:tr>
    </w:tbl>
    <w:p w:rsidR="00000000" w:rsidRDefault="00000000">
      <w:pPr>
        <w:pStyle w:val="Header"/>
        <w:tabs>
          <w:tab w:val="clear" w:pos="4677"/>
          <w:tab w:val="clear" w:pos="9355"/>
        </w:tabs>
        <w:spacing w:after="0" w:line="221" w:lineRule="auto"/>
      </w:pPr>
    </w:p>
    <w:p w:rsidR="00000000" w:rsidRDefault="00000000">
      <w:pPr>
        <w:pStyle w:val="BodyText3"/>
        <w:spacing w:line="221" w:lineRule="auto"/>
      </w:pPr>
      <w:r>
        <w:t>Источник: Главное управление внешнеполитической и кадровой службы МИД Мексики, сентябрь 2000 года.</w:t>
      </w:r>
    </w:p>
    <w:p w:rsidR="00000000" w:rsidRDefault="00000000">
      <w:pPr>
        <w:spacing w:before="120" w:line="221" w:lineRule="auto"/>
      </w:pPr>
      <w:r>
        <w:t>386.</w:t>
      </w:r>
      <w:r>
        <w:tab/>
        <w:t>В штате административно-технического подразделения МВС работают в основном женщины, которые зан</w:t>
      </w:r>
      <w:r>
        <w:t>и</w:t>
      </w:r>
      <w:r>
        <w:t>мают 64 процента должностей (мужчины составляют 36 процентов всего персон</w:t>
      </w:r>
      <w:r>
        <w:t>а</w:t>
      </w:r>
      <w:r>
        <w:t>ла).</w:t>
      </w:r>
    </w:p>
    <w:p w:rsidR="00000000" w:rsidRDefault="00000000">
      <w:pPr>
        <w:spacing w:line="221" w:lineRule="auto"/>
      </w:pPr>
      <w:r>
        <w:t>387.</w:t>
      </w:r>
      <w:r>
        <w:tab/>
        <w:t>Так же как в дипломатической и консульской службе, женщины представлены в основном на должностях низшего звена. В то же время значительное число женщин имеют ранг специал</w:t>
      </w:r>
      <w:r>
        <w:t>и</w:t>
      </w:r>
      <w:r>
        <w:t>ста категории "С".</w:t>
      </w:r>
    </w:p>
    <w:p w:rsidR="00000000" w:rsidRDefault="00000000">
      <w:pPr>
        <w:pStyle w:val="Heading3"/>
        <w:spacing w:before="120" w:line="221" w:lineRule="auto"/>
        <w:jc w:val="center"/>
        <w:rPr>
          <w:sz w:val="20"/>
        </w:rPr>
      </w:pPr>
      <w:r>
        <w:rPr>
          <w:sz w:val="20"/>
        </w:rPr>
        <w:t>Административно-техническая служба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1021"/>
        <w:gridCol w:w="1021"/>
        <w:gridCol w:w="794"/>
        <w:gridCol w:w="1077"/>
        <w:gridCol w:w="1021"/>
        <w:gridCol w:w="1021"/>
        <w:gridCol w:w="794"/>
        <w:gridCol w:w="1077"/>
        <w:gridCol w:w="907"/>
      </w:tblGrid>
      <w:tr w:rsidR="00000000">
        <w:tblPrEx>
          <w:tblCellMar>
            <w:top w:w="0" w:type="dxa"/>
            <w:bottom w:w="0" w:type="dxa"/>
          </w:tblCellMar>
        </w:tblPrEx>
        <w:trPr>
          <w:cantSplit/>
          <w:jc w:val="center"/>
        </w:trPr>
        <w:tc>
          <w:tcPr>
            <w:tcW w:w="1701" w:type="dxa"/>
            <w:vMerge w:val="restart"/>
            <w:vAlign w:val="center"/>
          </w:tcPr>
          <w:p w:rsidR="00000000" w:rsidRDefault="00000000">
            <w:pPr>
              <w:spacing w:before="60" w:after="60" w:line="221" w:lineRule="auto"/>
              <w:jc w:val="center"/>
              <w:rPr>
                <w:b/>
                <w:sz w:val="18"/>
              </w:rPr>
            </w:pPr>
            <w:r>
              <w:rPr>
                <w:b/>
                <w:sz w:val="18"/>
              </w:rPr>
              <w:t>Ранг</w:t>
            </w:r>
          </w:p>
        </w:tc>
        <w:tc>
          <w:tcPr>
            <w:tcW w:w="3913" w:type="dxa"/>
            <w:gridSpan w:val="4"/>
            <w:vAlign w:val="center"/>
          </w:tcPr>
          <w:p w:rsidR="00000000" w:rsidRDefault="00000000">
            <w:pPr>
              <w:spacing w:before="60" w:after="60" w:line="221" w:lineRule="auto"/>
              <w:jc w:val="center"/>
              <w:rPr>
                <w:b/>
                <w:sz w:val="18"/>
              </w:rPr>
            </w:pPr>
            <w:r>
              <w:rPr>
                <w:b/>
                <w:sz w:val="18"/>
              </w:rPr>
              <w:t>Же</w:t>
            </w:r>
            <w:r>
              <w:rPr>
                <w:b/>
                <w:sz w:val="18"/>
              </w:rPr>
              <w:t>н</w:t>
            </w:r>
            <w:r>
              <w:rPr>
                <w:b/>
                <w:sz w:val="18"/>
              </w:rPr>
              <w:t>щины</w:t>
            </w:r>
          </w:p>
        </w:tc>
        <w:tc>
          <w:tcPr>
            <w:tcW w:w="3913" w:type="dxa"/>
            <w:gridSpan w:val="4"/>
            <w:vAlign w:val="center"/>
          </w:tcPr>
          <w:p w:rsidR="00000000" w:rsidRDefault="00000000">
            <w:pPr>
              <w:spacing w:before="60" w:after="60" w:line="221" w:lineRule="auto"/>
              <w:jc w:val="center"/>
              <w:rPr>
                <w:b/>
                <w:sz w:val="18"/>
              </w:rPr>
            </w:pPr>
            <w:r>
              <w:rPr>
                <w:b/>
                <w:sz w:val="18"/>
              </w:rPr>
              <w:t>Му</w:t>
            </w:r>
            <w:r>
              <w:rPr>
                <w:b/>
                <w:sz w:val="18"/>
              </w:rPr>
              <w:t>ж</w:t>
            </w:r>
            <w:r>
              <w:rPr>
                <w:b/>
                <w:sz w:val="18"/>
              </w:rPr>
              <w:t>чины</w:t>
            </w:r>
          </w:p>
        </w:tc>
        <w:tc>
          <w:tcPr>
            <w:tcW w:w="907" w:type="dxa"/>
            <w:vAlign w:val="center"/>
          </w:tcPr>
          <w:p w:rsidR="00000000" w:rsidRDefault="00000000">
            <w:pPr>
              <w:spacing w:before="60" w:after="60" w:line="221" w:lineRule="auto"/>
              <w:jc w:val="center"/>
              <w:rPr>
                <w:b/>
                <w:sz w:val="18"/>
              </w:rPr>
            </w:pPr>
            <w:r>
              <w:rPr>
                <w:b/>
                <w:sz w:val="18"/>
              </w:rPr>
              <w:t>Ит</w:t>
            </w:r>
            <w:r>
              <w:rPr>
                <w:b/>
                <w:sz w:val="18"/>
              </w:rPr>
              <w:t>о</w:t>
            </w:r>
            <w:r>
              <w:rPr>
                <w:b/>
                <w:sz w:val="18"/>
              </w:rPr>
              <w:t>го</w:t>
            </w:r>
          </w:p>
        </w:tc>
      </w:tr>
      <w:tr w:rsidR="00000000">
        <w:tblPrEx>
          <w:tblCellMar>
            <w:top w:w="0" w:type="dxa"/>
            <w:bottom w:w="0" w:type="dxa"/>
          </w:tblCellMar>
        </w:tblPrEx>
        <w:trPr>
          <w:cantSplit/>
          <w:jc w:val="center"/>
        </w:trPr>
        <w:tc>
          <w:tcPr>
            <w:tcW w:w="1701" w:type="dxa"/>
            <w:vMerge/>
            <w:vAlign w:val="center"/>
          </w:tcPr>
          <w:p w:rsidR="00000000" w:rsidRDefault="00000000">
            <w:pPr>
              <w:spacing w:before="60" w:after="60" w:line="221" w:lineRule="auto"/>
              <w:jc w:val="center"/>
              <w:rPr>
                <w:b/>
                <w:sz w:val="18"/>
              </w:rPr>
            </w:pPr>
          </w:p>
        </w:tc>
        <w:tc>
          <w:tcPr>
            <w:tcW w:w="1021" w:type="dxa"/>
            <w:vAlign w:val="center"/>
          </w:tcPr>
          <w:p w:rsidR="00000000" w:rsidRDefault="00000000">
            <w:pPr>
              <w:spacing w:before="60" w:after="60" w:line="221" w:lineRule="auto"/>
              <w:jc w:val="center"/>
              <w:rPr>
                <w:sz w:val="18"/>
              </w:rPr>
            </w:pPr>
            <w:r>
              <w:rPr>
                <w:sz w:val="18"/>
              </w:rPr>
              <w:t>за руб</w:t>
            </w:r>
            <w:r>
              <w:rPr>
                <w:sz w:val="18"/>
              </w:rPr>
              <w:t>е</w:t>
            </w:r>
            <w:r>
              <w:rPr>
                <w:sz w:val="18"/>
              </w:rPr>
              <w:t>жом</w:t>
            </w:r>
          </w:p>
        </w:tc>
        <w:tc>
          <w:tcPr>
            <w:tcW w:w="1021" w:type="dxa"/>
            <w:vAlign w:val="center"/>
          </w:tcPr>
          <w:p w:rsidR="00000000" w:rsidRDefault="00000000">
            <w:pPr>
              <w:spacing w:before="60" w:after="60" w:line="221" w:lineRule="auto"/>
              <w:jc w:val="center"/>
              <w:rPr>
                <w:sz w:val="18"/>
              </w:rPr>
            </w:pPr>
            <w:r>
              <w:rPr>
                <w:sz w:val="18"/>
              </w:rPr>
              <w:t>в Ме</w:t>
            </w:r>
            <w:r>
              <w:rPr>
                <w:sz w:val="18"/>
              </w:rPr>
              <w:t>к</w:t>
            </w:r>
            <w:r>
              <w:rPr>
                <w:sz w:val="18"/>
              </w:rPr>
              <w:t>сике</w:t>
            </w:r>
          </w:p>
        </w:tc>
        <w:tc>
          <w:tcPr>
            <w:tcW w:w="794" w:type="dxa"/>
            <w:vAlign w:val="center"/>
          </w:tcPr>
          <w:p w:rsidR="00000000" w:rsidRDefault="00000000">
            <w:pPr>
              <w:spacing w:before="60" w:after="60" w:line="221" w:lineRule="auto"/>
              <w:jc w:val="center"/>
              <w:rPr>
                <w:sz w:val="18"/>
              </w:rPr>
            </w:pPr>
            <w:r>
              <w:rPr>
                <w:sz w:val="18"/>
              </w:rPr>
              <w:t>ит</w:t>
            </w:r>
            <w:r>
              <w:rPr>
                <w:sz w:val="18"/>
              </w:rPr>
              <w:t>о</w:t>
            </w:r>
            <w:r>
              <w:rPr>
                <w:sz w:val="18"/>
              </w:rPr>
              <w:t>го</w:t>
            </w:r>
          </w:p>
        </w:tc>
        <w:tc>
          <w:tcPr>
            <w:tcW w:w="1077" w:type="dxa"/>
            <w:vAlign w:val="center"/>
          </w:tcPr>
          <w:p w:rsidR="00000000" w:rsidRDefault="00000000">
            <w:pPr>
              <w:spacing w:before="60" w:after="60" w:line="221" w:lineRule="auto"/>
              <w:jc w:val="center"/>
              <w:rPr>
                <w:sz w:val="18"/>
              </w:rPr>
            </w:pPr>
            <w:r>
              <w:rPr>
                <w:sz w:val="18"/>
              </w:rPr>
              <w:t>пр</w:t>
            </w:r>
            <w:r>
              <w:rPr>
                <w:sz w:val="18"/>
              </w:rPr>
              <w:t>о</w:t>
            </w:r>
            <w:r>
              <w:rPr>
                <w:sz w:val="18"/>
              </w:rPr>
              <w:t>центная доля</w:t>
            </w:r>
          </w:p>
        </w:tc>
        <w:tc>
          <w:tcPr>
            <w:tcW w:w="1021" w:type="dxa"/>
            <w:vAlign w:val="center"/>
          </w:tcPr>
          <w:p w:rsidR="00000000" w:rsidRDefault="00000000">
            <w:pPr>
              <w:spacing w:before="60" w:after="60" w:line="221" w:lineRule="auto"/>
              <w:jc w:val="center"/>
              <w:rPr>
                <w:sz w:val="18"/>
              </w:rPr>
            </w:pPr>
            <w:r>
              <w:rPr>
                <w:sz w:val="18"/>
              </w:rPr>
              <w:t>за руб</w:t>
            </w:r>
            <w:r>
              <w:rPr>
                <w:sz w:val="18"/>
              </w:rPr>
              <w:t>е</w:t>
            </w:r>
            <w:r>
              <w:rPr>
                <w:sz w:val="18"/>
              </w:rPr>
              <w:t>жом</w:t>
            </w:r>
          </w:p>
        </w:tc>
        <w:tc>
          <w:tcPr>
            <w:tcW w:w="1021" w:type="dxa"/>
            <w:vAlign w:val="center"/>
          </w:tcPr>
          <w:p w:rsidR="00000000" w:rsidRDefault="00000000">
            <w:pPr>
              <w:spacing w:before="60" w:after="60" w:line="221" w:lineRule="auto"/>
              <w:jc w:val="center"/>
              <w:rPr>
                <w:sz w:val="18"/>
              </w:rPr>
            </w:pPr>
            <w:r>
              <w:rPr>
                <w:sz w:val="18"/>
              </w:rPr>
              <w:t>в Ме</w:t>
            </w:r>
            <w:r>
              <w:rPr>
                <w:sz w:val="18"/>
              </w:rPr>
              <w:t>к</w:t>
            </w:r>
            <w:r>
              <w:rPr>
                <w:sz w:val="18"/>
              </w:rPr>
              <w:t>сике</w:t>
            </w:r>
          </w:p>
        </w:tc>
        <w:tc>
          <w:tcPr>
            <w:tcW w:w="794" w:type="dxa"/>
            <w:vAlign w:val="center"/>
          </w:tcPr>
          <w:p w:rsidR="00000000" w:rsidRDefault="00000000">
            <w:pPr>
              <w:spacing w:before="60" w:after="60" w:line="221" w:lineRule="auto"/>
              <w:jc w:val="center"/>
              <w:rPr>
                <w:sz w:val="18"/>
              </w:rPr>
            </w:pPr>
            <w:r>
              <w:rPr>
                <w:sz w:val="18"/>
              </w:rPr>
              <w:t>итого</w:t>
            </w:r>
          </w:p>
        </w:tc>
        <w:tc>
          <w:tcPr>
            <w:tcW w:w="1077" w:type="dxa"/>
            <w:vAlign w:val="center"/>
          </w:tcPr>
          <w:p w:rsidR="00000000" w:rsidRDefault="00000000">
            <w:pPr>
              <w:spacing w:before="60" w:after="60" w:line="221" w:lineRule="auto"/>
              <w:jc w:val="center"/>
              <w:rPr>
                <w:sz w:val="18"/>
              </w:rPr>
            </w:pPr>
            <w:r>
              <w:rPr>
                <w:sz w:val="18"/>
              </w:rPr>
              <w:t>пр</w:t>
            </w:r>
            <w:r>
              <w:rPr>
                <w:sz w:val="18"/>
              </w:rPr>
              <w:t>о</w:t>
            </w:r>
            <w:r>
              <w:rPr>
                <w:sz w:val="18"/>
              </w:rPr>
              <w:t>центная доля</w:t>
            </w:r>
          </w:p>
        </w:tc>
        <w:tc>
          <w:tcPr>
            <w:tcW w:w="907" w:type="dxa"/>
            <w:vAlign w:val="center"/>
          </w:tcPr>
          <w:p w:rsidR="00000000" w:rsidRDefault="00000000">
            <w:pPr>
              <w:spacing w:before="60" w:after="60" w:line="221" w:lineRule="auto"/>
              <w:jc w:val="center"/>
              <w:rPr>
                <w:b/>
                <w:sz w:val="18"/>
              </w:rPr>
            </w:pP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highlight w:val="yellow"/>
              </w:rPr>
            </w:pPr>
            <w:r>
              <w:rPr>
                <w:sz w:val="18"/>
              </w:rPr>
              <w:t>Секретарь по адм</w:t>
            </w:r>
            <w:r>
              <w:rPr>
                <w:sz w:val="18"/>
              </w:rPr>
              <w:t>и</w:t>
            </w:r>
            <w:r>
              <w:rPr>
                <w:sz w:val="18"/>
              </w:rPr>
              <w:t>нистративным в</w:t>
            </w:r>
            <w:r>
              <w:rPr>
                <w:sz w:val="18"/>
              </w:rPr>
              <w:t>о</w:t>
            </w:r>
            <w:r>
              <w:rPr>
                <w:sz w:val="18"/>
              </w:rPr>
              <w:t>просам</w:t>
            </w:r>
          </w:p>
        </w:tc>
        <w:tc>
          <w:tcPr>
            <w:tcW w:w="1021" w:type="dxa"/>
          </w:tcPr>
          <w:p w:rsidR="00000000" w:rsidRDefault="00000000">
            <w:pPr>
              <w:spacing w:before="60" w:after="60" w:line="221" w:lineRule="auto"/>
              <w:jc w:val="center"/>
              <w:rPr>
                <w:sz w:val="18"/>
              </w:rPr>
            </w:pPr>
            <w:r>
              <w:rPr>
                <w:sz w:val="18"/>
              </w:rPr>
              <w:t>4</w:t>
            </w:r>
          </w:p>
        </w:tc>
        <w:tc>
          <w:tcPr>
            <w:tcW w:w="1021" w:type="dxa"/>
          </w:tcPr>
          <w:p w:rsidR="00000000" w:rsidRDefault="00000000">
            <w:pPr>
              <w:spacing w:before="60" w:after="60" w:line="221" w:lineRule="auto"/>
              <w:jc w:val="center"/>
              <w:rPr>
                <w:sz w:val="18"/>
              </w:rPr>
            </w:pPr>
            <w:r>
              <w:rPr>
                <w:sz w:val="18"/>
              </w:rPr>
              <w:t>1</w:t>
            </w:r>
          </w:p>
        </w:tc>
        <w:tc>
          <w:tcPr>
            <w:tcW w:w="794" w:type="dxa"/>
          </w:tcPr>
          <w:p w:rsidR="00000000" w:rsidRDefault="00000000">
            <w:pPr>
              <w:spacing w:before="60" w:after="60" w:line="221" w:lineRule="auto"/>
              <w:jc w:val="center"/>
              <w:rPr>
                <w:sz w:val="18"/>
              </w:rPr>
            </w:pPr>
            <w:r>
              <w:rPr>
                <w:sz w:val="18"/>
              </w:rPr>
              <w:t>5</w:t>
            </w:r>
          </w:p>
        </w:tc>
        <w:tc>
          <w:tcPr>
            <w:tcW w:w="1077" w:type="dxa"/>
          </w:tcPr>
          <w:p w:rsidR="00000000" w:rsidRDefault="00000000">
            <w:pPr>
              <w:spacing w:before="60" w:after="60" w:line="221" w:lineRule="auto"/>
              <w:jc w:val="center"/>
              <w:rPr>
                <w:sz w:val="18"/>
              </w:rPr>
            </w:pPr>
            <w:r>
              <w:rPr>
                <w:sz w:val="18"/>
              </w:rPr>
              <w:t>25</w:t>
            </w:r>
          </w:p>
        </w:tc>
        <w:tc>
          <w:tcPr>
            <w:tcW w:w="1021" w:type="dxa"/>
          </w:tcPr>
          <w:p w:rsidR="00000000" w:rsidRDefault="00000000">
            <w:pPr>
              <w:spacing w:before="60" w:after="60" w:line="221" w:lineRule="auto"/>
              <w:jc w:val="center"/>
              <w:rPr>
                <w:sz w:val="18"/>
              </w:rPr>
            </w:pPr>
            <w:r>
              <w:rPr>
                <w:sz w:val="18"/>
              </w:rPr>
              <w:t>13</w:t>
            </w:r>
          </w:p>
        </w:tc>
        <w:tc>
          <w:tcPr>
            <w:tcW w:w="1021" w:type="dxa"/>
          </w:tcPr>
          <w:p w:rsidR="00000000" w:rsidRDefault="00000000">
            <w:pPr>
              <w:spacing w:before="60" w:after="60" w:line="221" w:lineRule="auto"/>
              <w:jc w:val="center"/>
              <w:rPr>
                <w:sz w:val="18"/>
              </w:rPr>
            </w:pPr>
            <w:r>
              <w:rPr>
                <w:sz w:val="18"/>
              </w:rPr>
              <w:t>2</w:t>
            </w:r>
          </w:p>
        </w:tc>
        <w:tc>
          <w:tcPr>
            <w:tcW w:w="794" w:type="dxa"/>
          </w:tcPr>
          <w:p w:rsidR="00000000" w:rsidRDefault="00000000">
            <w:pPr>
              <w:spacing w:before="60" w:after="60" w:line="221" w:lineRule="auto"/>
              <w:jc w:val="center"/>
              <w:rPr>
                <w:sz w:val="18"/>
              </w:rPr>
            </w:pPr>
            <w:r>
              <w:rPr>
                <w:sz w:val="18"/>
              </w:rPr>
              <w:t>15</w:t>
            </w:r>
          </w:p>
        </w:tc>
        <w:tc>
          <w:tcPr>
            <w:tcW w:w="1077" w:type="dxa"/>
          </w:tcPr>
          <w:p w:rsidR="00000000" w:rsidRDefault="00000000">
            <w:pPr>
              <w:spacing w:before="60" w:after="60" w:line="221" w:lineRule="auto"/>
              <w:jc w:val="center"/>
              <w:rPr>
                <w:sz w:val="18"/>
              </w:rPr>
            </w:pPr>
            <w:r>
              <w:rPr>
                <w:sz w:val="18"/>
              </w:rPr>
              <w:t>75</w:t>
            </w:r>
          </w:p>
        </w:tc>
        <w:tc>
          <w:tcPr>
            <w:tcW w:w="907" w:type="dxa"/>
          </w:tcPr>
          <w:p w:rsidR="00000000" w:rsidRDefault="00000000">
            <w:pPr>
              <w:spacing w:before="60" w:after="60" w:line="221" w:lineRule="auto"/>
              <w:jc w:val="center"/>
              <w:rPr>
                <w:b/>
                <w:sz w:val="18"/>
              </w:rPr>
            </w:pPr>
            <w:r>
              <w:rPr>
                <w:b/>
                <w:sz w:val="18"/>
              </w:rPr>
              <w:t>20</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Технический атт</w:t>
            </w:r>
            <w:r>
              <w:rPr>
                <w:sz w:val="18"/>
              </w:rPr>
              <w:t>а</w:t>
            </w:r>
            <w:r>
              <w:rPr>
                <w:sz w:val="18"/>
              </w:rPr>
              <w:t>ше категории "А"</w:t>
            </w:r>
          </w:p>
        </w:tc>
        <w:tc>
          <w:tcPr>
            <w:tcW w:w="1021" w:type="dxa"/>
          </w:tcPr>
          <w:p w:rsidR="00000000" w:rsidRDefault="00000000">
            <w:pPr>
              <w:spacing w:before="60" w:after="60" w:line="221" w:lineRule="auto"/>
              <w:jc w:val="center"/>
              <w:rPr>
                <w:sz w:val="18"/>
              </w:rPr>
            </w:pPr>
            <w:r>
              <w:rPr>
                <w:sz w:val="18"/>
              </w:rPr>
              <w:t>15</w:t>
            </w:r>
          </w:p>
        </w:tc>
        <w:tc>
          <w:tcPr>
            <w:tcW w:w="1021" w:type="dxa"/>
          </w:tcPr>
          <w:p w:rsidR="00000000" w:rsidRDefault="00000000">
            <w:pPr>
              <w:spacing w:before="60" w:after="60" w:line="221" w:lineRule="auto"/>
              <w:jc w:val="center"/>
              <w:rPr>
                <w:sz w:val="18"/>
              </w:rPr>
            </w:pPr>
            <w:r>
              <w:rPr>
                <w:sz w:val="18"/>
              </w:rPr>
              <w:t>7</w:t>
            </w:r>
          </w:p>
        </w:tc>
        <w:tc>
          <w:tcPr>
            <w:tcW w:w="794" w:type="dxa"/>
          </w:tcPr>
          <w:p w:rsidR="00000000" w:rsidRDefault="00000000">
            <w:pPr>
              <w:spacing w:before="60" w:after="60" w:line="221" w:lineRule="auto"/>
              <w:jc w:val="center"/>
              <w:rPr>
                <w:sz w:val="18"/>
              </w:rPr>
            </w:pPr>
            <w:r>
              <w:rPr>
                <w:sz w:val="18"/>
              </w:rPr>
              <w:t>22</w:t>
            </w:r>
          </w:p>
        </w:tc>
        <w:tc>
          <w:tcPr>
            <w:tcW w:w="1077" w:type="dxa"/>
          </w:tcPr>
          <w:p w:rsidR="00000000" w:rsidRDefault="00000000">
            <w:pPr>
              <w:spacing w:before="60" w:after="60" w:line="221" w:lineRule="auto"/>
              <w:jc w:val="center"/>
              <w:rPr>
                <w:sz w:val="18"/>
              </w:rPr>
            </w:pPr>
            <w:r>
              <w:rPr>
                <w:sz w:val="18"/>
              </w:rPr>
              <w:t>59</w:t>
            </w:r>
          </w:p>
        </w:tc>
        <w:tc>
          <w:tcPr>
            <w:tcW w:w="1021" w:type="dxa"/>
          </w:tcPr>
          <w:p w:rsidR="00000000" w:rsidRDefault="00000000">
            <w:pPr>
              <w:spacing w:before="60" w:after="60" w:line="221" w:lineRule="auto"/>
              <w:jc w:val="center"/>
              <w:rPr>
                <w:sz w:val="18"/>
              </w:rPr>
            </w:pPr>
            <w:r>
              <w:rPr>
                <w:sz w:val="18"/>
              </w:rPr>
              <w:t>12</w:t>
            </w:r>
          </w:p>
        </w:tc>
        <w:tc>
          <w:tcPr>
            <w:tcW w:w="1021" w:type="dxa"/>
          </w:tcPr>
          <w:p w:rsidR="00000000" w:rsidRDefault="00000000">
            <w:pPr>
              <w:spacing w:before="60" w:after="60" w:line="221" w:lineRule="auto"/>
              <w:jc w:val="center"/>
              <w:rPr>
                <w:sz w:val="18"/>
              </w:rPr>
            </w:pPr>
            <w:r>
              <w:rPr>
                <w:sz w:val="18"/>
              </w:rPr>
              <w:t>3</w:t>
            </w:r>
          </w:p>
        </w:tc>
        <w:tc>
          <w:tcPr>
            <w:tcW w:w="794" w:type="dxa"/>
          </w:tcPr>
          <w:p w:rsidR="00000000" w:rsidRDefault="00000000">
            <w:pPr>
              <w:spacing w:before="60" w:after="60" w:line="221" w:lineRule="auto"/>
              <w:jc w:val="center"/>
              <w:rPr>
                <w:sz w:val="18"/>
              </w:rPr>
            </w:pPr>
            <w:r>
              <w:rPr>
                <w:sz w:val="18"/>
              </w:rPr>
              <w:t>15</w:t>
            </w:r>
          </w:p>
        </w:tc>
        <w:tc>
          <w:tcPr>
            <w:tcW w:w="1077" w:type="dxa"/>
          </w:tcPr>
          <w:p w:rsidR="00000000" w:rsidRDefault="00000000">
            <w:pPr>
              <w:spacing w:before="60" w:after="60" w:line="221" w:lineRule="auto"/>
              <w:jc w:val="center"/>
              <w:rPr>
                <w:sz w:val="18"/>
              </w:rPr>
            </w:pPr>
            <w:r>
              <w:rPr>
                <w:sz w:val="18"/>
              </w:rPr>
              <w:t>41</w:t>
            </w:r>
          </w:p>
        </w:tc>
        <w:tc>
          <w:tcPr>
            <w:tcW w:w="907" w:type="dxa"/>
          </w:tcPr>
          <w:p w:rsidR="00000000" w:rsidRDefault="00000000">
            <w:pPr>
              <w:spacing w:before="60" w:after="60" w:line="221" w:lineRule="auto"/>
              <w:jc w:val="center"/>
              <w:rPr>
                <w:b/>
                <w:sz w:val="18"/>
              </w:rPr>
            </w:pPr>
            <w:r>
              <w:rPr>
                <w:b/>
                <w:sz w:val="18"/>
              </w:rPr>
              <w:t>37</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Технический атт</w:t>
            </w:r>
            <w:r>
              <w:rPr>
                <w:sz w:val="18"/>
              </w:rPr>
              <w:t>а</w:t>
            </w:r>
            <w:r>
              <w:rPr>
                <w:sz w:val="18"/>
              </w:rPr>
              <w:t>ше категории "В"</w:t>
            </w:r>
          </w:p>
        </w:tc>
        <w:tc>
          <w:tcPr>
            <w:tcW w:w="1021" w:type="dxa"/>
          </w:tcPr>
          <w:p w:rsidR="00000000" w:rsidRDefault="00000000">
            <w:pPr>
              <w:spacing w:before="60" w:after="60" w:line="221" w:lineRule="auto"/>
              <w:jc w:val="center"/>
              <w:rPr>
                <w:sz w:val="18"/>
              </w:rPr>
            </w:pPr>
            <w:r>
              <w:rPr>
                <w:sz w:val="18"/>
              </w:rPr>
              <w:t>13</w:t>
            </w:r>
          </w:p>
        </w:tc>
        <w:tc>
          <w:tcPr>
            <w:tcW w:w="1021" w:type="dxa"/>
          </w:tcPr>
          <w:p w:rsidR="00000000" w:rsidRDefault="00000000">
            <w:pPr>
              <w:spacing w:before="60" w:after="60" w:line="221" w:lineRule="auto"/>
              <w:jc w:val="center"/>
              <w:rPr>
                <w:sz w:val="18"/>
              </w:rPr>
            </w:pPr>
            <w:r>
              <w:rPr>
                <w:sz w:val="18"/>
              </w:rPr>
              <w:t>2</w:t>
            </w:r>
          </w:p>
        </w:tc>
        <w:tc>
          <w:tcPr>
            <w:tcW w:w="794" w:type="dxa"/>
          </w:tcPr>
          <w:p w:rsidR="00000000" w:rsidRDefault="00000000">
            <w:pPr>
              <w:spacing w:before="60" w:after="60" w:line="221" w:lineRule="auto"/>
              <w:jc w:val="center"/>
              <w:rPr>
                <w:sz w:val="18"/>
              </w:rPr>
            </w:pPr>
            <w:r>
              <w:rPr>
                <w:sz w:val="18"/>
              </w:rPr>
              <w:t>15</w:t>
            </w:r>
          </w:p>
        </w:tc>
        <w:tc>
          <w:tcPr>
            <w:tcW w:w="1077" w:type="dxa"/>
          </w:tcPr>
          <w:p w:rsidR="00000000" w:rsidRDefault="00000000">
            <w:pPr>
              <w:spacing w:before="60" w:after="60" w:line="221" w:lineRule="auto"/>
              <w:jc w:val="center"/>
              <w:rPr>
                <w:sz w:val="18"/>
              </w:rPr>
            </w:pPr>
            <w:r>
              <w:rPr>
                <w:sz w:val="18"/>
              </w:rPr>
              <w:t>56</w:t>
            </w:r>
          </w:p>
        </w:tc>
        <w:tc>
          <w:tcPr>
            <w:tcW w:w="1021" w:type="dxa"/>
          </w:tcPr>
          <w:p w:rsidR="00000000" w:rsidRDefault="00000000">
            <w:pPr>
              <w:spacing w:before="60" w:after="60" w:line="221" w:lineRule="auto"/>
              <w:jc w:val="center"/>
              <w:rPr>
                <w:sz w:val="18"/>
              </w:rPr>
            </w:pPr>
            <w:r>
              <w:rPr>
                <w:sz w:val="18"/>
              </w:rPr>
              <w:t>10</w:t>
            </w:r>
          </w:p>
        </w:tc>
        <w:tc>
          <w:tcPr>
            <w:tcW w:w="1021" w:type="dxa"/>
          </w:tcPr>
          <w:p w:rsidR="00000000" w:rsidRDefault="00000000">
            <w:pPr>
              <w:spacing w:before="60" w:after="60" w:line="221" w:lineRule="auto"/>
              <w:jc w:val="center"/>
              <w:rPr>
                <w:sz w:val="18"/>
              </w:rPr>
            </w:pPr>
            <w:r>
              <w:rPr>
                <w:sz w:val="18"/>
              </w:rPr>
              <w:t>2</w:t>
            </w:r>
          </w:p>
        </w:tc>
        <w:tc>
          <w:tcPr>
            <w:tcW w:w="794" w:type="dxa"/>
          </w:tcPr>
          <w:p w:rsidR="00000000" w:rsidRDefault="00000000">
            <w:pPr>
              <w:spacing w:before="60" w:after="60" w:line="221" w:lineRule="auto"/>
              <w:jc w:val="center"/>
              <w:rPr>
                <w:sz w:val="18"/>
              </w:rPr>
            </w:pPr>
            <w:r>
              <w:rPr>
                <w:sz w:val="18"/>
              </w:rPr>
              <w:t>12</w:t>
            </w:r>
          </w:p>
        </w:tc>
        <w:tc>
          <w:tcPr>
            <w:tcW w:w="1077" w:type="dxa"/>
          </w:tcPr>
          <w:p w:rsidR="00000000" w:rsidRDefault="00000000">
            <w:pPr>
              <w:spacing w:before="60" w:after="60" w:line="221" w:lineRule="auto"/>
              <w:jc w:val="center"/>
              <w:rPr>
                <w:sz w:val="18"/>
              </w:rPr>
            </w:pPr>
            <w:r>
              <w:rPr>
                <w:sz w:val="18"/>
              </w:rPr>
              <w:t>44</w:t>
            </w:r>
          </w:p>
        </w:tc>
        <w:tc>
          <w:tcPr>
            <w:tcW w:w="907" w:type="dxa"/>
          </w:tcPr>
          <w:p w:rsidR="00000000" w:rsidRDefault="00000000">
            <w:pPr>
              <w:spacing w:before="60" w:after="60" w:line="221" w:lineRule="auto"/>
              <w:jc w:val="center"/>
              <w:rPr>
                <w:b/>
                <w:sz w:val="18"/>
              </w:rPr>
            </w:pPr>
            <w:r>
              <w:rPr>
                <w:b/>
                <w:sz w:val="18"/>
              </w:rPr>
              <w:t>27</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Технический атт</w:t>
            </w:r>
            <w:r>
              <w:rPr>
                <w:sz w:val="18"/>
              </w:rPr>
              <w:t>а</w:t>
            </w:r>
            <w:r>
              <w:rPr>
                <w:sz w:val="18"/>
              </w:rPr>
              <w:t>ше категории "С"</w:t>
            </w:r>
          </w:p>
        </w:tc>
        <w:tc>
          <w:tcPr>
            <w:tcW w:w="1021" w:type="dxa"/>
          </w:tcPr>
          <w:p w:rsidR="00000000" w:rsidRDefault="00000000">
            <w:pPr>
              <w:spacing w:before="60" w:after="60" w:line="221" w:lineRule="auto"/>
              <w:jc w:val="center"/>
              <w:rPr>
                <w:sz w:val="18"/>
              </w:rPr>
            </w:pPr>
            <w:r>
              <w:rPr>
                <w:sz w:val="18"/>
              </w:rPr>
              <w:t>23</w:t>
            </w:r>
          </w:p>
        </w:tc>
        <w:tc>
          <w:tcPr>
            <w:tcW w:w="1021" w:type="dxa"/>
          </w:tcPr>
          <w:p w:rsidR="00000000" w:rsidRDefault="00000000">
            <w:pPr>
              <w:spacing w:before="60" w:after="60" w:line="221" w:lineRule="auto"/>
              <w:jc w:val="center"/>
              <w:rPr>
                <w:sz w:val="18"/>
              </w:rPr>
            </w:pPr>
            <w:r>
              <w:rPr>
                <w:sz w:val="18"/>
              </w:rPr>
              <w:t>1</w:t>
            </w:r>
          </w:p>
        </w:tc>
        <w:tc>
          <w:tcPr>
            <w:tcW w:w="794" w:type="dxa"/>
          </w:tcPr>
          <w:p w:rsidR="00000000" w:rsidRDefault="00000000">
            <w:pPr>
              <w:spacing w:before="60" w:after="60" w:line="221" w:lineRule="auto"/>
              <w:jc w:val="center"/>
              <w:rPr>
                <w:sz w:val="18"/>
              </w:rPr>
            </w:pPr>
            <w:r>
              <w:rPr>
                <w:sz w:val="18"/>
              </w:rPr>
              <w:t>24</w:t>
            </w:r>
          </w:p>
        </w:tc>
        <w:tc>
          <w:tcPr>
            <w:tcW w:w="1077" w:type="dxa"/>
          </w:tcPr>
          <w:p w:rsidR="00000000" w:rsidRDefault="00000000">
            <w:pPr>
              <w:spacing w:before="60" w:after="60" w:line="221" w:lineRule="auto"/>
              <w:jc w:val="center"/>
              <w:rPr>
                <w:sz w:val="18"/>
              </w:rPr>
            </w:pPr>
            <w:r>
              <w:rPr>
                <w:sz w:val="18"/>
              </w:rPr>
              <w:t>52</w:t>
            </w:r>
          </w:p>
        </w:tc>
        <w:tc>
          <w:tcPr>
            <w:tcW w:w="1021" w:type="dxa"/>
          </w:tcPr>
          <w:p w:rsidR="00000000" w:rsidRDefault="00000000">
            <w:pPr>
              <w:spacing w:before="60" w:after="60" w:line="221" w:lineRule="auto"/>
              <w:jc w:val="center"/>
              <w:rPr>
                <w:sz w:val="18"/>
              </w:rPr>
            </w:pPr>
            <w:r>
              <w:rPr>
                <w:sz w:val="18"/>
              </w:rPr>
              <w:t>19</w:t>
            </w:r>
          </w:p>
        </w:tc>
        <w:tc>
          <w:tcPr>
            <w:tcW w:w="1021" w:type="dxa"/>
          </w:tcPr>
          <w:p w:rsidR="00000000" w:rsidRDefault="00000000">
            <w:pPr>
              <w:spacing w:before="60" w:after="60" w:line="221" w:lineRule="auto"/>
              <w:jc w:val="center"/>
              <w:rPr>
                <w:sz w:val="18"/>
              </w:rPr>
            </w:pPr>
            <w:r>
              <w:rPr>
                <w:sz w:val="18"/>
              </w:rPr>
              <w:t>3</w:t>
            </w:r>
          </w:p>
        </w:tc>
        <w:tc>
          <w:tcPr>
            <w:tcW w:w="794" w:type="dxa"/>
          </w:tcPr>
          <w:p w:rsidR="00000000" w:rsidRDefault="00000000">
            <w:pPr>
              <w:spacing w:before="60" w:after="60" w:line="221" w:lineRule="auto"/>
              <w:jc w:val="center"/>
              <w:rPr>
                <w:sz w:val="18"/>
              </w:rPr>
            </w:pPr>
            <w:r>
              <w:rPr>
                <w:sz w:val="18"/>
              </w:rPr>
              <w:t>22</w:t>
            </w:r>
          </w:p>
        </w:tc>
        <w:tc>
          <w:tcPr>
            <w:tcW w:w="1077" w:type="dxa"/>
          </w:tcPr>
          <w:p w:rsidR="00000000" w:rsidRDefault="00000000">
            <w:pPr>
              <w:spacing w:before="60" w:after="60" w:line="221" w:lineRule="auto"/>
              <w:jc w:val="center"/>
              <w:rPr>
                <w:sz w:val="18"/>
              </w:rPr>
            </w:pPr>
            <w:r>
              <w:rPr>
                <w:sz w:val="18"/>
              </w:rPr>
              <w:t>48</w:t>
            </w:r>
          </w:p>
        </w:tc>
        <w:tc>
          <w:tcPr>
            <w:tcW w:w="907" w:type="dxa"/>
          </w:tcPr>
          <w:p w:rsidR="00000000" w:rsidRDefault="00000000">
            <w:pPr>
              <w:spacing w:before="60" w:after="60" w:line="221" w:lineRule="auto"/>
              <w:jc w:val="center"/>
              <w:rPr>
                <w:b/>
                <w:sz w:val="18"/>
              </w:rPr>
            </w:pPr>
            <w:r>
              <w:rPr>
                <w:b/>
                <w:sz w:val="18"/>
              </w:rPr>
              <w:t>46</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Специалист катег</w:t>
            </w:r>
            <w:r>
              <w:rPr>
                <w:sz w:val="18"/>
              </w:rPr>
              <w:t>о</w:t>
            </w:r>
            <w:r>
              <w:rPr>
                <w:sz w:val="18"/>
              </w:rPr>
              <w:t>рии "А"</w:t>
            </w:r>
          </w:p>
        </w:tc>
        <w:tc>
          <w:tcPr>
            <w:tcW w:w="1021" w:type="dxa"/>
          </w:tcPr>
          <w:p w:rsidR="00000000" w:rsidRDefault="00000000">
            <w:pPr>
              <w:spacing w:before="60" w:after="60" w:line="221" w:lineRule="auto"/>
              <w:jc w:val="center"/>
              <w:rPr>
                <w:sz w:val="18"/>
              </w:rPr>
            </w:pPr>
            <w:r>
              <w:rPr>
                <w:sz w:val="18"/>
              </w:rPr>
              <w:t>116</w:t>
            </w:r>
          </w:p>
        </w:tc>
        <w:tc>
          <w:tcPr>
            <w:tcW w:w="1021" w:type="dxa"/>
          </w:tcPr>
          <w:p w:rsidR="00000000" w:rsidRDefault="00000000">
            <w:pPr>
              <w:spacing w:before="60" w:after="60" w:line="221" w:lineRule="auto"/>
              <w:jc w:val="center"/>
              <w:rPr>
                <w:sz w:val="18"/>
              </w:rPr>
            </w:pPr>
            <w:r>
              <w:rPr>
                <w:sz w:val="18"/>
              </w:rPr>
              <w:t>12</w:t>
            </w:r>
          </w:p>
        </w:tc>
        <w:tc>
          <w:tcPr>
            <w:tcW w:w="794" w:type="dxa"/>
          </w:tcPr>
          <w:p w:rsidR="00000000" w:rsidRDefault="00000000">
            <w:pPr>
              <w:spacing w:before="60" w:after="60" w:line="221" w:lineRule="auto"/>
              <w:jc w:val="center"/>
              <w:rPr>
                <w:sz w:val="18"/>
              </w:rPr>
            </w:pPr>
            <w:r>
              <w:rPr>
                <w:sz w:val="18"/>
              </w:rPr>
              <w:t>128</w:t>
            </w:r>
          </w:p>
        </w:tc>
        <w:tc>
          <w:tcPr>
            <w:tcW w:w="1077" w:type="dxa"/>
          </w:tcPr>
          <w:p w:rsidR="00000000" w:rsidRDefault="00000000">
            <w:pPr>
              <w:spacing w:before="60" w:after="60" w:line="221" w:lineRule="auto"/>
              <w:jc w:val="center"/>
              <w:rPr>
                <w:sz w:val="18"/>
              </w:rPr>
            </w:pPr>
            <w:r>
              <w:rPr>
                <w:sz w:val="18"/>
              </w:rPr>
              <w:t>72</w:t>
            </w:r>
          </w:p>
        </w:tc>
        <w:tc>
          <w:tcPr>
            <w:tcW w:w="1021" w:type="dxa"/>
          </w:tcPr>
          <w:p w:rsidR="00000000" w:rsidRDefault="00000000">
            <w:pPr>
              <w:spacing w:before="60" w:after="60" w:line="221" w:lineRule="auto"/>
              <w:jc w:val="center"/>
              <w:rPr>
                <w:sz w:val="18"/>
              </w:rPr>
            </w:pPr>
            <w:r>
              <w:rPr>
                <w:sz w:val="18"/>
              </w:rPr>
              <w:t>43</w:t>
            </w:r>
          </w:p>
        </w:tc>
        <w:tc>
          <w:tcPr>
            <w:tcW w:w="1021" w:type="dxa"/>
          </w:tcPr>
          <w:p w:rsidR="00000000" w:rsidRDefault="00000000">
            <w:pPr>
              <w:spacing w:before="60" w:after="60" w:line="221" w:lineRule="auto"/>
              <w:jc w:val="center"/>
              <w:rPr>
                <w:sz w:val="18"/>
              </w:rPr>
            </w:pPr>
            <w:r>
              <w:rPr>
                <w:sz w:val="18"/>
              </w:rPr>
              <w:t>8</w:t>
            </w:r>
          </w:p>
        </w:tc>
        <w:tc>
          <w:tcPr>
            <w:tcW w:w="794" w:type="dxa"/>
          </w:tcPr>
          <w:p w:rsidR="00000000" w:rsidRDefault="00000000">
            <w:pPr>
              <w:spacing w:before="60" w:after="60" w:line="221" w:lineRule="auto"/>
              <w:jc w:val="center"/>
              <w:rPr>
                <w:sz w:val="18"/>
              </w:rPr>
            </w:pPr>
            <w:r>
              <w:rPr>
                <w:sz w:val="18"/>
              </w:rPr>
              <w:t>51</w:t>
            </w:r>
          </w:p>
        </w:tc>
        <w:tc>
          <w:tcPr>
            <w:tcW w:w="1077" w:type="dxa"/>
          </w:tcPr>
          <w:p w:rsidR="00000000" w:rsidRDefault="00000000">
            <w:pPr>
              <w:spacing w:before="60" w:after="60" w:line="221" w:lineRule="auto"/>
              <w:jc w:val="center"/>
              <w:rPr>
                <w:sz w:val="18"/>
              </w:rPr>
            </w:pPr>
            <w:r>
              <w:rPr>
                <w:sz w:val="18"/>
              </w:rPr>
              <w:t>28</w:t>
            </w:r>
          </w:p>
        </w:tc>
        <w:tc>
          <w:tcPr>
            <w:tcW w:w="907" w:type="dxa"/>
          </w:tcPr>
          <w:p w:rsidR="00000000" w:rsidRDefault="00000000">
            <w:pPr>
              <w:spacing w:before="60" w:after="60" w:line="221" w:lineRule="auto"/>
              <w:jc w:val="center"/>
              <w:rPr>
                <w:b/>
                <w:sz w:val="18"/>
              </w:rPr>
            </w:pPr>
            <w:r>
              <w:rPr>
                <w:b/>
                <w:sz w:val="18"/>
              </w:rPr>
              <w:t>179</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Специалист катег</w:t>
            </w:r>
            <w:r>
              <w:rPr>
                <w:sz w:val="18"/>
              </w:rPr>
              <w:t>о</w:t>
            </w:r>
            <w:r>
              <w:rPr>
                <w:sz w:val="18"/>
              </w:rPr>
              <w:t>рии "В"</w:t>
            </w:r>
          </w:p>
        </w:tc>
        <w:tc>
          <w:tcPr>
            <w:tcW w:w="1021" w:type="dxa"/>
          </w:tcPr>
          <w:p w:rsidR="00000000" w:rsidRDefault="00000000">
            <w:pPr>
              <w:spacing w:before="60" w:after="60" w:line="221" w:lineRule="auto"/>
              <w:jc w:val="center"/>
              <w:rPr>
                <w:sz w:val="18"/>
              </w:rPr>
            </w:pPr>
            <w:r>
              <w:rPr>
                <w:sz w:val="18"/>
              </w:rPr>
              <w:t>50</w:t>
            </w:r>
          </w:p>
        </w:tc>
        <w:tc>
          <w:tcPr>
            <w:tcW w:w="1021" w:type="dxa"/>
          </w:tcPr>
          <w:p w:rsidR="00000000" w:rsidRDefault="00000000">
            <w:pPr>
              <w:spacing w:before="60" w:after="60" w:line="221" w:lineRule="auto"/>
              <w:jc w:val="center"/>
              <w:rPr>
                <w:sz w:val="18"/>
              </w:rPr>
            </w:pPr>
            <w:r>
              <w:rPr>
                <w:sz w:val="18"/>
              </w:rPr>
              <w:t>9</w:t>
            </w:r>
          </w:p>
        </w:tc>
        <w:tc>
          <w:tcPr>
            <w:tcW w:w="794" w:type="dxa"/>
          </w:tcPr>
          <w:p w:rsidR="00000000" w:rsidRDefault="00000000">
            <w:pPr>
              <w:spacing w:before="60" w:after="60" w:line="221" w:lineRule="auto"/>
              <w:jc w:val="center"/>
              <w:rPr>
                <w:sz w:val="18"/>
              </w:rPr>
            </w:pPr>
            <w:r>
              <w:rPr>
                <w:sz w:val="18"/>
              </w:rPr>
              <w:t>59</w:t>
            </w:r>
          </w:p>
        </w:tc>
        <w:tc>
          <w:tcPr>
            <w:tcW w:w="1077" w:type="dxa"/>
          </w:tcPr>
          <w:p w:rsidR="00000000" w:rsidRDefault="00000000">
            <w:pPr>
              <w:spacing w:before="60" w:after="60" w:line="221" w:lineRule="auto"/>
              <w:jc w:val="center"/>
              <w:rPr>
                <w:sz w:val="18"/>
              </w:rPr>
            </w:pPr>
            <w:r>
              <w:rPr>
                <w:sz w:val="18"/>
              </w:rPr>
              <w:t>73</w:t>
            </w:r>
          </w:p>
        </w:tc>
        <w:tc>
          <w:tcPr>
            <w:tcW w:w="1021" w:type="dxa"/>
          </w:tcPr>
          <w:p w:rsidR="00000000" w:rsidRDefault="00000000">
            <w:pPr>
              <w:spacing w:before="60" w:after="60" w:line="221" w:lineRule="auto"/>
              <w:jc w:val="center"/>
              <w:rPr>
                <w:sz w:val="18"/>
              </w:rPr>
            </w:pPr>
            <w:r>
              <w:rPr>
                <w:sz w:val="18"/>
              </w:rPr>
              <w:t>21</w:t>
            </w:r>
          </w:p>
        </w:tc>
        <w:tc>
          <w:tcPr>
            <w:tcW w:w="1021" w:type="dxa"/>
          </w:tcPr>
          <w:p w:rsidR="00000000" w:rsidRDefault="00000000">
            <w:pPr>
              <w:spacing w:before="60" w:after="60" w:line="221" w:lineRule="auto"/>
              <w:jc w:val="center"/>
              <w:rPr>
                <w:sz w:val="18"/>
              </w:rPr>
            </w:pPr>
            <w:r>
              <w:rPr>
                <w:sz w:val="18"/>
              </w:rPr>
              <w:t>1</w:t>
            </w:r>
          </w:p>
        </w:tc>
        <w:tc>
          <w:tcPr>
            <w:tcW w:w="794" w:type="dxa"/>
          </w:tcPr>
          <w:p w:rsidR="00000000" w:rsidRDefault="00000000">
            <w:pPr>
              <w:spacing w:before="60" w:after="60" w:line="221" w:lineRule="auto"/>
              <w:jc w:val="center"/>
              <w:rPr>
                <w:sz w:val="18"/>
              </w:rPr>
            </w:pPr>
            <w:r>
              <w:rPr>
                <w:sz w:val="18"/>
              </w:rPr>
              <w:t>22</w:t>
            </w:r>
          </w:p>
        </w:tc>
        <w:tc>
          <w:tcPr>
            <w:tcW w:w="1077" w:type="dxa"/>
          </w:tcPr>
          <w:p w:rsidR="00000000" w:rsidRDefault="00000000">
            <w:pPr>
              <w:spacing w:before="60" w:after="60" w:line="221" w:lineRule="auto"/>
              <w:jc w:val="center"/>
              <w:rPr>
                <w:sz w:val="18"/>
              </w:rPr>
            </w:pPr>
            <w:r>
              <w:rPr>
                <w:sz w:val="18"/>
              </w:rPr>
              <w:t>27</w:t>
            </w:r>
          </w:p>
        </w:tc>
        <w:tc>
          <w:tcPr>
            <w:tcW w:w="907" w:type="dxa"/>
          </w:tcPr>
          <w:p w:rsidR="00000000" w:rsidRDefault="00000000">
            <w:pPr>
              <w:spacing w:before="60" w:after="60" w:line="221" w:lineRule="auto"/>
              <w:jc w:val="center"/>
              <w:rPr>
                <w:b/>
                <w:sz w:val="18"/>
              </w:rPr>
            </w:pPr>
            <w:r>
              <w:rPr>
                <w:b/>
                <w:sz w:val="18"/>
              </w:rPr>
              <w:t>81</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Специалист катег</w:t>
            </w:r>
            <w:r>
              <w:rPr>
                <w:sz w:val="18"/>
              </w:rPr>
              <w:t>о</w:t>
            </w:r>
            <w:r>
              <w:rPr>
                <w:sz w:val="18"/>
              </w:rPr>
              <w:t>рии "С"</w:t>
            </w:r>
          </w:p>
        </w:tc>
        <w:tc>
          <w:tcPr>
            <w:tcW w:w="1021" w:type="dxa"/>
          </w:tcPr>
          <w:p w:rsidR="00000000" w:rsidRDefault="00000000">
            <w:pPr>
              <w:spacing w:before="60" w:after="60" w:line="221" w:lineRule="auto"/>
              <w:jc w:val="center"/>
              <w:rPr>
                <w:sz w:val="18"/>
              </w:rPr>
            </w:pPr>
            <w:r>
              <w:rPr>
                <w:sz w:val="18"/>
              </w:rPr>
              <w:t>35</w:t>
            </w:r>
          </w:p>
        </w:tc>
        <w:tc>
          <w:tcPr>
            <w:tcW w:w="1021" w:type="dxa"/>
          </w:tcPr>
          <w:p w:rsidR="00000000" w:rsidRDefault="00000000">
            <w:pPr>
              <w:spacing w:before="60" w:after="60" w:line="221" w:lineRule="auto"/>
              <w:jc w:val="center"/>
              <w:rPr>
                <w:sz w:val="18"/>
              </w:rPr>
            </w:pPr>
            <w:r>
              <w:rPr>
                <w:sz w:val="18"/>
              </w:rPr>
              <w:t>4</w:t>
            </w:r>
          </w:p>
        </w:tc>
        <w:tc>
          <w:tcPr>
            <w:tcW w:w="794" w:type="dxa"/>
          </w:tcPr>
          <w:p w:rsidR="00000000" w:rsidRDefault="00000000">
            <w:pPr>
              <w:spacing w:before="60" w:after="60" w:line="221" w:lineRule="auto"/>
              <w:jc w:val="center"/>
              <w:rPr>
                <w:sz w:val="18"/>
              </w:rPr>
            </w:pPr>
            <w:r>
              <w:rPr>
                <w:sz w:val="18"/>
              </w:rPr>
              <w:t>39</w:t>
            </w:r>
          </w:p>
        </w:tc>
        <w:tc>
          <w:tcPr>
            <w:tcW w:w="1077" w:type="dxa"/>
          </w:tcPr>
          <w:p w:rsidR="00000000" w:rsidRDefault="00000000">
            <w:pPr>
              <w:spacing w:before="60" w:after="60" w:line="221" w:lineRule="auto"/>
              <w:jc w:val="center"/>
              <w:rPr>
                <w:sz w:val="18"/>
              </w:rPr>
            </w:pPr>
            <w:r>
              <w:rPr>
                <w:sz w:val="18"/>
              </w:rPr>
              <w:t>57</w:t>
            </w:r>
          </w:p>
        </w:tc>
        <w:tc>
          <w:tcPr>
            <w:tcW w:w="1021" w:type="dxa"/>
          </w:tcPr>
          <w:p w:rsidR="00000000" w:rsidRDefault="00000000">
            <w:pPr>
              <w:spacing w:before="60" w:after="60" w:line="221" w:lineRule="auto"/>
              <w:jc w:val="center"/>
              <w:rPr>
                <w:sz w:val="18"/>
              </w:rPr>
            </w:pPr>
            <w:r>
              <w:rPr>
                <w:sz w:val="18"/>
              </w:rPr>
              <w:t>29</w:t>
            </w:r>
          </w:p>
        </w:tc>
        <w:tc>
          <w:tcPr>
            <w:tcW w:w="1021" w:type="dxa"/>
          </w:tcPr>
          <w:p w:rsidR="00000000" w:rsidRDefault="00000000">
            <w:pPr>
              <w:spacing w:before="60" w:after="60" w:line="221" w:lineRule="auto"/>
              <w:jc w:val="center"/>
              <w:rPr>
                <w:sz w:val="18"/>
              </w:rPr>
            </w:pPr>
            <w:r>
              <w:rPr>
                <w:sz w:val="18"/>
              </w:rPr>
              <w:t>1</w:t>
            </w:r>
          </w:p>
        </w:tc>
        <w:tc>
          <w:tcPr>
            <w:tcW w:w="794" w:type="dxa"/>
          </w:tcPr>
          <w:p w:rsidR="00000000" w:rsidRDefault="00000000">
            <w:pPr>
              <w:spacing w:before="60" w:after="60" w:line="221" w:lineRule="auto"/>
              <w:jc w:val="center"/>
              <w:rPr>
                <w:sz w:val="18"/>
              </w:rPr>
            </w:pPr>
            <w:r>
              <w:rPr>
                <w:sz w:val="18"/>
              </w:rPr>
              <w:t>30</w:t>
            </w:r>
          </w:p>
        </w:tc>
        <w:tc>
          <w:tcPr>
            <w:tcW w:w="1077" w:type="dxa"/>
          </w:tcPr>
          <w:p w:rsidR="00000000" w:rsidRDefault="00000000">
            <w:pPr>
              <w:spacing w:before="60" w:after="60" w:line="221" w:lineRule="auto"/>
              <w:jc w:val="center"/>
              <w:rPr>
                <w:sz w:val="18"/>
              </w:rPr>
            </w:pPr>
            <w:r>
              <w:rPr>
                <w:sz w:val="18"/>
              </w:rPr>
              <w:t>43</w:t>
            </w:r>
          </w:p>
        </w:tc>
        <w:tc>
          <w:tcPr>
            <w:tcW w:w="907" w:type="dxa"/>
          </w:tcPr>
          <w:p w:rsidR="00000000" w:rsidRDefault="00000000">
            <w:pPr>
              <w:spacing w:before="60" w:after="60" w:line="221" w:lineRule="auto"/>
              <w:jc w:val="center"/>
              <w:rPr>
                <w:b/>
                <w:sz w:val="18"/>
              </w:rPr>
            </w:pPr>
            <w:r>
              <w:rPr>
                <w:b/>
                <w:sz w:val="18"/>
              </w:rPr>
              <w:t>69</w:t>
            </w:r>
          </w:p>
        </w:tc>
      </w:tr>
      <w:tr w:rsidR="00000000">
        <w:tblPrEx>
          <w:tblCellMar>
            <w:top w:w="0" w:type="dxa"/>
            <w:bottom w:w="0" w:type="dxa"/>
          </w:tblCellMar>
        </w:tblPrEx>
        <w:trPr>
          <w:jc w:val="center"/>
        </w:trPr>
        <w:tc>
          <w:tcPr>
            <w:tcW w:w="1701" w:type="dxa"/>
          </w:tcPr>
          <w:p w:rsidR="00000000" w:rsidRDefault="00000000">
            <w:pPr>
              <w:spacing w:before="60" w:after="60" w:line="221" w:lineRule="auto"/>
              <w:rPr>
                <w:sz w:val="18"/>
              </w:rPr>
            </w:pPr>
            <w:r>
              <w:rPr>
                <w:sz w:val="18"/>
              </w:rPr>
              <w:t>Всего</w:t>
            </w:r>
          </w:p>
        </w:tc>
        <w:tc>
          <w:tcPr>
            <w:tcW w:w="1021" w:type="dxa"/>
          </w:tcPr>
          <w:p w:rsidR="00000000" w:rsidRDefault="00000000">
            <w:pPr>
              <w:spacing w:before="60" w:after="60" w:line="221" w:lineRule="auto"/>
              <w:jc w:val="center"/>
              <w:rPr>
                <w:sz w:val="18"/>
              </w:rPr>
            </w:pPr>
            <w:r>
              <w:rPr>
                <w:sz w:val="18"/>
              </w:rPr>
              <w:t>256</w:t>
            </w:r>
          </w:p>
        </w:tc>
        <w:tc>
          <w:tcPr>
            <w:tcW w:w="1021" w:type="dxa"/>
          </w:tcPr>
          <w:p w:rsidR="00000000" w:rsidRDefault="00000000">
            <w:pPr>
              <w:spacing w:before="60" w:after="60" w:line="221" w:lineRule="auto"/>
              <w:jc w:val="center"/>
              <w:rPr>
                <w:sz w:val="18"/>
              </w:rPr>
            </w:pPr>
            <w:r>
              <w:rPr>
                <w:sz w:val="18"/>
              </w:rPr>
              <w:t>36</w:t>
            </w:r>
          </w:p>
        </w:tc>
        <w:tc>
          <w:tcPr>
            <w:tcW w:w="794" w:type="dxa"/>
          </w:tcPr>
          <w:p w:rsidR="00000000" w:rsidRDefault="00000000">
            <w:pPr>
              <w:spacing w:before="60" w:after="60" w:line="221" w:lineRule="auto"/>
              <w:jc w:val="center"/>
              <w:rPr>
                <w:sz w:val="18"/>
              </w:rPr>
            </w:pPr>
            <w:r>
              <w:rPr>
                <w:sz w:val="18"/>
              </w:rPr>
              <w:t>292</w:t>
            </w:r>
          </w:p>
        </w:tc>
        <w:tc>
          <w:tcPr>
            <w:tcW w:w="1077" w:type="dxa"/>
          </w:tcPr>
          <w:p w:rsidR="00000000" w:rsidRDefault="00000000">
            <w:pPr>
              <w:spacing w:before="60" w:after="60" w:line="221" w:lineRule="auto"/>
              <w:jc w:val="center"/>
              <w:rPr>
                <w:sz w:val="18"/>
              </w:rPr>
            </w:pPr>
            <w:r>
              <w:rPr>
                <w:sz w:val="18"/>
              </w:rPr>
              <w:t>64</w:t>
            </w:r>
          </w:p>
        </w:tc>
        <w:tc>
          <w:tcPr>
            <w:tcW w:w="1021" w:type="dxa"/>
          </w:tcPr>
          <w:p w:rsidR="00000000" w:rsidRDefault="00000000">
            <w:pPr>
              <w:spacing w:before="60" w:after="60" w:line="221" w:lineRule="auto"/>
              <w:jc w:val="center"/>
              <w:rPr>
                <w:sz w:val="18"/>
              </w:rPr>
            </w:pPr>
            <w:r>
              <w:rPr>
                <w:sz w:val="18"/>
              </w:rPr>
              <w:t>147</w:t>
            </w:r>
          </w:p>
        </w:tc>
        <w:tc>
          <w:tcPr>
            <w:tcW w:w="1021" w:type="dxa"/>
          </w:tcPr>
          <w:p w:rsidR="00000000" w:rsidRDefault="00000000">
            <w:pPr>
              <w:spacing w:before="60" w:after="60" w:line="221" w:lineRule="auto"/>
              <w:jc w:val="center"/>
              <w:rPr>
                <w:sz w:val="18"/>
              </w:rPr>
            </w:pPr>
            <w:r>
              <w:rPr>
                <w:sz w:val="18"/>
              </w:rPr>
              <w:t>20</w:t>
            </w:r>
          </w:p>
        </w:tc>
        <w:tc>
          <w:tcPr>
            <w:tcW w:w="794" w:type="dxa"/>
          </w:tcPr>
          <w:p w:rsidR="00000000" w:rsidRDefault="00000000">
            <w:pPr>
              <w:spacing w:before="60" w:after="60" w:line="221" w:lineRule="auto"/>
              <w:jc w:val="center"/>
              <w:rPr>
                <w:sz w:val="18"/>
              </w:rPr>
            </w:pPr>
            <w:r>
              <w:rPr>
                <w:sz w:val="18"/>
              </w:rPr>
              <w:t>167</w:t>
            </w:r>
          </w:p>
        </w:tc>
        <w:tc>
          <w:tcPr>
            <w:tcW w:w="1077" w:type="dxa"/>
          </w:tcPr>
          <w:p w:rsidR="00000000" w:rsidRDefault="00000000">
            <w:pPr>
              <w:spacing w:before="60" w:after="60" w:line="221" w:lineRule="auto"/>
              <w:jc w:val="center"/>
              <w:rPr>
                <w:sz w:val="18"/>
              </w:rPr>
            </w:pPr>
            <w:r>
              <w:rPr>
                <w:sz w:val="18"/>
              </w:rPr>
              <w:t>36</w:t>
            </w:r>
          </w:p>
        </w:tc>
        <w:tc>
          <w:tcPr>
            <w:tcW w:w="907" w:type="dxa"/>
          </w:tcPr>
          <w:p w:rsidR="00000000" w:rsidRDefault="00000000">
            <w:pPr>
              <w:spacing w:before="60" w:after="60" w:line="221" w:lineRule="auto"/>
              <w:jc w:val="center"/>
              <w:rPr>
                <w:b/>
                <w:sz w:val="18"/>
              </w:rPr>
            </w:pPr>
            <w:r>
              <w:rPr>
                <w:b/>
                <w:sz w:val="18"/>
              </w:rPr>
              <w:t>459</w:t>
            </w:r>
          </w:p>
        </w:tc>
      </w:tr>
    </w:tbl>
    <w:p w:rsidR="00000000" w:rsidRDefault="00000000">
      <w:pPr>
        <w:spacing w:after="0" w:line="221" w:lineRule="auto"/>
      </w:pPr>
    </w:p>
    <w:p w:rsidR="00000000" w:rsidRDefault="00000000">
      <w:pPr>
        <w:pStyle w:val="BodyText3"/>
        <w:spacing w:after="0" w:line="221" w:lineRule="auto"/>
      </w:pPr>
      <w:r>
        <w:t>Источник: Главное управление внешнеполитической и кадровой службы МИД Мексики, сентябрь 2000 года.</w:t>
      </w:r>
    </w:p>
    <w:p w:rsidR="00000000" w:rsidRDefault="00000000">
      <w:r>
        <w:t>388.</w:t>
      </w:r>
      <w:r>
        <w:tab/>
        <w:t>Говоря о кадровой политике МВС, следует отметить, что в 1998 году было проведено два открытых конку</w:t>
      </w:r>
      <w:r>
        <w:t>р</w:t>
      </w:r>
      <w:r>
        <w:t>са по приему новых сотрудников для работы в административно-технической, дипломатической и консульской службе, соответс</w:t>
      </w:r>
      <w:r>
        <w:t>т</w:t>
      </w:r>
      <w:r>
        <w:t>венно.</w:t>
      </w:r>
    </w:p>
    <w:p w:rsidR="00000000" w:rsidRDefault="00000000">
      <w:r>
        <w:t>389.</w:t>
      </w:r>
      <w:r>
        <w:tab/>
        <w:t xml:space="preserve">Так, по результатам конкурса на работу в административно-техническое подразделение МВС поступили 16 женщин и 24 мужчины. В то же время в состав консульской службы были приняты 21 женщина и </w:t>
      </w:r>
      <w:r>
        <w:br/>
        <w:t>17 мужчин.</w:t>
      </w:r>
    </w:p>
    <w:p w:rsidR="00000000" w:rsidRDefault="00000000">
      <w:r>
        <w:t>390.</w:t>
      </w:r>
      <w:r>
        <w:tab/>
        <w:t>Такая тенденция сохранилась к 1999 году, когда на работу в дипломатическую и консульскую службу пост</w:t>
      </w:r>
      <w:r>
        <w:t>у</w:t>
      </w:r>
      <w:r>
        <w:t>пило больше женщин (24), чем мужчин (15).</w:t>
      </w:r>
    </w:p>
    <w:p w:rsidR="00000000" w:rsidRDefault="00000000">
      <w:pPr>
        <w:pStyle w:val="Heading3"/>
        <w:jc w:val="center"/>
      </w:pPr>
      <w:r>
        <w:t>Конкурс по приему на работу в МВС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969"/>
        <w:gridCol w:w="1361"/>
        <w:gridCol w:w="1361"/>
        <w:gridCol w:w="1361"/>
      </w:tblGrid>
      <w:tr w:rsidR="00000000">
        <w:tblPrEx>
          <w:tblCellMar>
            <w:top w:w="0" w:type="dxa"/>
            <w:bottom w:w="0" w:type="dxa"/>
          </w:tblCellMar>
        </w:tblPrEx>
        <w:trPr>
          <w:jc w:val="center"/>
        </w:trPr>
        <w:tc>
          <w:tcPr>
            <w:tcW w:w="3969" w:type="dxa"/>
          </w:tcPr>
          <w:p w:rsidR="00000000" w:rsidRDefault="00000000">
            <w:pPr>
              <w:spacing w:before="80" w:after="80"/>
              <w:rPr>
                <w:b/>
              </w:rPr>
            </w:pPr>
            <w:r>
              <w:rPr>
                <w:b/>
              </w:rPr>
              <w:t>Конкурс по приему на работу в МВС</w:t>
            </w:r>
          </w:p>
        </w:tc>
        <w:tc>
          <w:tcPr>
            <w:tcW w:w="1361" w:type="dxa"/>
          </w:tcPr>
          <w:p w:rsidR="00000000" w:rsidRDefault="00000000">
            <w:pPr>
              <w:spacing w:before="80" w:after="80"/>
              <w:rPr>
                <w:b/>
              </w:rPr>
            </w:pPr>
            <w:r>
              <w:rPr>
                <w:b/>
              </w:rPr>
              <w:t>Женщины</w:t>
            </w:r>
          </w:p>
        </w:tc>
        <w:tc>
          <w:tcPr>
            <w:tcW w:w="1361" w:type="dxa"/>
          </w:tcPr>
          <w:p w:rsidR="00000000" w:rsidRDefault="00000000">
            <w:pPr>
              <w:spacing w:before="80" w:after="80"/>
              <w:rPr>
                <w:b/>
              </w:rPr>
            </w:pPr>
            <w:r>
              <w:rPr>
                <w:b/>
              </w:rPr>
              <w:t>Мужчины</w:t>
            </w:r>
          </w:p>
        </w:tc>
        <w:tc>
          <w:tcPr>
            <w:tcW w:w="1361" w:type="dxa"/>
          </w:tcPr>
          <w:p w:rsidR="00000000" w:rsidRDefault="00000000">
            <w:pPr>
              <w:spacing w:before="80" w:after="80"/>
              <w:rPr>
                <w:b/>
              </w:rPr>
            </w:pPr>
            <w:r>
              <w:rPr>
                <w:b/>
              </w:rPr>
              <w:t>Итого</w:t>
            </w:r>
          </w:p>
        </w:tc>
      </w:tr>
      <w:tr w:rsidR="00000000">
        <w:tblPrEx>
          <w:tblCellMar>
            <w:top w:w="0" w:type="dxa"/>
            <w:bottom w:w="0" w:type="dxa"/>
          </w:tblCellMar>
        </w:tblPrEx>
        <w:trPr>
          <w:jc w:val="center"/>
        </w:trPr>
        <w:tc>
          <w:tcPr>
            <w:tcW w:w="3969" w:type="dxa"/>
          </w:tcPr>
          <w:p w:rsidR="00000000" w:rsidRDefault="00000000">
            <w:pPr>
              <w:pStyle w:val="CommentText"/>
              <w:spacing w:before="80" w:after="80"/>
            </w:pPr>
            <w:r>
              <w:t>Конкурс 1998 года. Адм</w:t>
            </w:r>
            <w:r>
              <w:t>и</w:t>
            </w:r>
            <w:r>
              <w:t>нистративно-техническая служба</w:t>
            </w:r>
          </w:p>
        </w:tc>
        <w:tc>
          <w:tcPr>
            <w:tcW w:w="1361" w:type="dxa"/>
          </w:tcPr>
          <w:p w:rsidR="00000000" w:rsidRDefault="00000000">
            <w:pPr>
              <w:spacing w:before="80" w:after="80"/>
            </w:pPr>
            <w:r>
              <w:t>16</w:t>
            </w:r>
          </w:p>
        </w:tc>
        <w:tc>
          <w:tcPr>
            <w:tcW w:w="1361" w:type="dxa"/>
          </w:tcPr>
          <w:p w:rsidR="00000000" w:rsidRDefault="00000000">
            <w:pPr>
              <w:spacing w:before="80" w:after="80"/>
            </w:pPr>
            <w:r>
              <w:t xml:space="preserve">24 </w:t>
            </w:r>
          </w:p>
        </w:tc>
        <w:tc>
          <w:tcPr>
            <w:tcW w:w="1361" w:type="dxa"/>
          </w:tcPr>
          <w:p w:rsidR="00000000" w:rsidRDefault="00000000">
            <w:pPr>
              <w:spacing w:before="80" w:after="80"/>
            </w:pPr>
            <w:r>
              <w:t>40</w:t>
            </w:r>
          </w:p>
        </w:tc>
      </w:tr>
      <w:tr w:rsidR="00000000">
        <w:tblPrEx>
          <w:tblCellMar>
            <w:top w:w="0" w:type="dxa"/>
            <w:bottom w:w="0" w:type="dxa"/>
          </w:tblCellMar>
        </w:tblPrEx>
        <w:trPr>
          <w:jc w:val="center"/>
        </w:trPr>
        <w:tc>
          <w:tcPr>
            <w:tcW w:w="3969" w:type="dxa"/>
          </w:tcPr>
          <w:p w:rsidR="00000000" w:rsidRDefault="00000000">
            <w:pPr>
              <w:spacing w:before="80" w:after="80"/>
            </w:pPr>
            <w:r>
              <w:t>Конкурс 1998 года. Д</w:t>
            </w:r>
            <w:r>
              <w:t>и</w:t>
            </w:r>
            <w:r>
              <w:t>пломатическая и консул</w:t>
            </w:r>
            <w:r>
              <w:t>ь</w:t>
            </w:r>
            <w:r>
              <w:t>ская служба</w:t>
            </w:r>
          </w:p>
        </w:tc>
        <w:tc>
          <w:tcPr>
            <w:tcW w:w="1361" w:type="dxa"/>
          </w:tcPr>
          <w:p w:rsidR="00000000" w:rsidRDefault="00000000">
            <w:pPr>
              <w:spacing w:before="80" w:after="80"/>
            </w:pPr>
            <w:r>
              <w:t>21</w:t>
            </w:r>
          </w:p>
        </w:tc>
        <w:tc>
          <w:tcPr>
            <w:tcW w:w="1361" w:type="dxa"/>
          </w:tcPr>
          <w:p w:rsidR="00000000" w:rsidRDefault="00000000">
            <w:pPr>
              <w:spacing w:before="80" w:after="80"/>
            </w:pPr>
            <w:r>
              <w:t>17</w:t>
            </w:r>
          </w:p>
        </w:tc>
        <w:tc>
          <w:tcPr>
            <w:tcW w:w="1361" w:type="dxa"/>
          </w:tcPr>
          <w:p w:rsidR="00000000" w:rsidRDefault="00000000">
            <w:pPr>
              <w:spacing w:before="80" w:after="80"/>
            </w:pPr>
            <w:r>
              <w:t>38</w:t>
            </w:r>
          </w:p>
        </w:tc>
      </w:tr>
      <w:tr w:rsidR="00000000">
        <w:tblPrEx>
          <w:tblCellMar>
            <w:top w:w="0" w:type="dxa"/>
            <w:bottom w:w="0" w:type="dxa"/>
          </w:tblCellMar>
        </w:tblPrEx>
        <w:trPr>
          <w:jc w:val="center"/>
        </w:trPr>
        <w:tc>
          <w:tcPr>
            <w:tcW w:w="3969" w:type="dxa"/>
          </w:tcPr>
          <w:p w:rsidR="00000000" w:rsidRDefault="00000000">
            <w:pPr>
              <w:spacing w:before="80" w:after="80"/>
            </w:pPr>
            <w:r>
              <w:t>Конкурс 1999 года. Д</w:t>
            </w:r>
            <w:r>
              <w:t>и</w:t>
            </w:r>
            <w:r>
              <w:t>пломатическая и консул</w:t>
            </w:r>
            <w:r>
              <w:t>ь</w:t>
            </w:r>
            <w:r>
              <w:t>ская служба</w:t>
            </w:r>
          </w:p>
        </w:tc>
        <w:tc>
          <w:tcPr>
            <w:tcW w:w="1361" w:type="dxa"/>
          </w:tcPr>
          <w:p w:rsidR="00000000" w:rsidRDefault="00000000">
            <w:pPr>
              <w:spacing w:before="80" w:after="80"/>
            </w:pPr>
            <w:r>
              <w:t>24</w:t>
            </w:r>
          </w:p>
        </w:tc>
        <w:tc>
          <w:tcPr>
            <w:tcW w:w="1361" w:type="dxa"/>
          </w:tcPr>
          <w:p w:rsidR="00000000" w:rsidRDefault="00000000">
            <w:pPr>
              <w:spacing w:before="80" w:after="80"/>
            </w:pPr>
            <w:r>
              <w:t>15</w:t>
            </w:r>
          </w:p>
        </w:tc>
        <w:tc>
          <w:tcPr>
            <w:tcW w:w="1361" w:type="dxa"/>
          </w:tcPr>
          <w:p w:rsidR="00000000" w:rsidRDefault="00000000">
            <w:pPr>
              <w:spacing w:before="80" w:after="80"/>
            </w:pPr>
            <w:r>
              <w:t>39</w:t>
            </w:r>
          </w:p>
        </w:tc>
      </w:tr>
      <w:tr w:rsidR="00000000">
        <w:tblPrEx>
          <w:tblCellMar>
            <w:top w:w="0" w:type="dxa"/>
            <w:bottom w:w="0" w:type="dxa"/>
          </w:tblCellMar>
        </w:tblPrEx>
        <w:trPr>
          <w:jc w:val="center"/>
        </w:trPr>
        <w:tc>
          <w:tcPr>
            <w:tcW w:w="3969" w:type="dxa"/>
          </w:tcPr>
          <w:p w:rsidR="00000000" w:rsidRDefault="00000000">
            <w:pPr>
              <w:spacing w:before="80" w:after="80"/>
              <w:rPr>
                <w:b/>
              </w:rPr>
            </w:pPr>
            <w:r>
              <w:rPr>
                <w:b/>
              </w:rPr>
              <w:t>Всего</w:t>
            </w:r>
          </w:p>
        </w:tc>
        <w:tc>
          <w:tcPr>
            <w:tcW w:w="1361" w:type="dxa"/>
          </w:tcPr>
          <w:p w:rsidR="00000000" w:rsidRDefault="00000000">
            <w:pPr>
              <w:spacing w:before="80" w:after="80"/>
              <w:rPr>
                <w:b/>
              </w:rPr>
            </w:pPr>
            <w:r>
              <w:rPr>
                <w:b/>
              </w:rPr>
              <w:t>61</w:t>
            </w:r>
          </w:p>
        </w:tc>
        <w:tc>
          <w:tcPr>
            <w:tcW w:w="1361" w:type="dxa"/>
          </w:tcPr>
          <w:p w:rsidR="00000000" w:rsidRDefault="00000000">
            <w:pPr>
              <w:spacing w:before="80" w:after="80"/>
              <w:rPr>
                <w:b/>
              </w:rPr>
            </w:pPr>
            <w:r>
              <w:rPr>
                <w:b/>
              </w:rPr>
              <w:t>56</w:t>
            </w:r>
          </w:p>
        </w:tc>
        <w:tc>
          <w:tcPr>
            <w:tcW w:w="1361" w:type="dxa"/>
          </w:tcPr>
          <w:p w:rsidR="00000000" w:rsidRDefault="00000000">
            <w:pPr>
              <w:spacing w:before="80" w:after="80"/>
              <w:rPr>
                <w:b/>
              </w:rPr>
            </w:pPr>
            <w:r>
              <w:rPr>
                <w:b/>
              </w:rPr>
              <w:t>117</w:t>
            </w:r>
          </w:p>
        </w:tc>
      </w:tr>
    </w:tbl>
    <w:p w:rsidR="00000000" w:rsidRDefault="00000000">
      <w:pPr>
        <w:spacing w:before="240"/>
        <w:ind w:left="851" w:right="857"/>
        <w:rPr>
          <w:sz w:val="18"/>
        </w:rPr>
      </w:pPr>
      <w:r>
        <w:rPr>
          <w:sz w:val="18"/>
        </w:rPr>
        <w:t>Источник: Главное управление внешнеполитической и кадровой службы МИД Мексики, се</w:t>
      </w:r>
      <w:r>
        <w:rPr>
          <w:sz w:val="18"/>
        </w:rPr>
        <w:t>н</w:t>
      </w:r>
      <w:r>
        <w:rPr>
          <w:sz w:val="18"/>
        </w:rPr>
        <w:t>тябрь 2000 года.</w:t>
      </w:r>
    </w:p>
    <w:p w:rsidR="00000000" w:rsidRDefault="00000000">
      <w:pPr>
        <w:pStyle w:val="Heading2"/>
      </w:pPr>
      <w:r>
        <w:br w:type="page"/>
        <w:t>СТАТЬЯ 9</w:t>
      </w:r>
    </w:p>
    <w:p w:rsidR="00000000" w:rsidRDefault="00000000">
      <w:pPr>
        <w:spacing w:after="220"/>
      </w:pPr>
      <w:r>
        <w:t>391.</w:t>
      </w:r>
      <w:r>
        <w:tab/>
        <w:t>20 марта 1997 года в "Диарио Офисиаль де ла Федерасьон" был опубликован текст декрета, согласно кот</w:t>
      </w:r>
      <w:r>
        <w:t>о</w:t>
      </w:r>
      <w:r>
        <w:t>рому были изменены статьи 30, 32 и 37 Конституции Мексиканских Соединенных Штатов. Эти поправки к Конст</w:t>
      </w:r>
      <w:r>
        <w:t>и</w:t>
      </w:r>
      <w:r>
        <w:t>туции, вступившие в силу через год после опубликования декрета, имели целью дать четкое определение мекс</w:t>
      </w:r>
      <w:r>
        <w:t>и</w:t>
      </w:r>
      <w:r>
        <w:t>канскому гражданству как неотъемлемому атрибуту по праву рождения. Отсюда следует, что даже получение гр</w:t>
      </w:r>
      <w:r>
        <w:t>а</w:t>
      </w:r>
      <w:r>
        <w:t>жданином Мексики по рождению, будь то мужчина или женщина, гражданства другого государства не может стать причиной утраты им мексиканского гражданства.</w:t>
      </w:r>
    </w:p>
    <w:p w:rsidR="00000000" w:rsidRDefault="00000000">
      <w:pPr>
        <w:spacing w:after="220"/>
      </w:pPr>
      <w:r>
        <w:t>392.</w:t>
      </w:r>
      <w:r>
        <w:tab/>
        <w:t>Данное существенное изменение текста Конституции сопровождалось проведением ряда других реформ, утвердивших юридическое равенство между мужчинами и женщинами в получении, изменении и сохранении ме</w:t>
      </w:r>
      <w:r>
        <w:t>к</w:t>
      </w:r>
      <w:r>
        <w:t>сиканского гражданства по рождению или путем натурал</w:t>
      </w:r>
      <w:r>
        <w:t>и</w:t>
      </w:r>
      <w:r>
        <w:t>зации.</w:t>
      </w:r>
    </w:p>
    <w:p w:rsidR="00000000" w:rsidRDefault="00000000">
      <w:pPr>
        <w:spacing w:after="220"/>
      </w:pPr>
      <w:r>
        <w:t>393.</w:t>
      </w:r>
      <w:r>
        <w:tab/>
        <w:t>Ввиду особой важности статей 30, 32 и 37 Конституции Мексиканских Соединенных Штатов ниже прив</w:t>
      </w:r>
      <w:r>
        <w:t>о</w:t>
      </w:r>
      <w:r>
        <w:t>дятся их те</w:t>
      </w:r>
      <w:r>
        <w:t>к</w:t>
      </w:r>
      <w:r>
        <w:t>сты с поправками.</w:t>
      </w:r>
    </w:p>
    <w:p w:rsidR="00000000" w:rsidRDefault="00000000">
      <w:pPr>
        <w:tabs>
          <w:tab w:val="left" w:pos="284"/>
        </w:tabs>
        <w:spacing w:before="120" w:after="220"/>
        <w:ind w:left="284"/>
        <w:rPr>
          <w:b/>
        </w:rPr>
      </w:pPr>
      <w:r>
        <w:rPr>
          <w:b/>
        </w:rPr>
        <w:t>Статья 30</w:t>
      </w:r>
    </w:p>
    <w:p w:rsidR="00000000" w:rsidRDefault="00000000">
      <w:pPr>
        <w:tabs>
          <w:tab w:val="clear" w:pos="567"/>
          <w:tab w:val="left" w:pos="284"/>
        </w:tabs>
        <w:spacing w:after="220"/>
        <w:ind w:left="284"/>
        <w:rPr>
          <w:i/>
        </w:rPr>
      </w:pPr>
      <w:r>
        <w:rPr>
          <w:i/>
        </w:rPr>
        <w:t>"Гражданство Мексики приобретается при рождении или путем натурализ</w:t>
      </w:r>
      <w:r>
        <w:rPr>
          <w:i/>
        </w:rPr>
        <w:t>а</w:t>
      </w:r>
      <w:r>
        <w:rPr>
          <w:i/>
        </w:rPr>
        <w:t>ции.</w:t>
      </w:r>
    </w:p>
    <w:p w:rsidR="00000000" w:rsidRDefault="00000000">
      <w:pPr>
        <w:tabs>
          <w:tab w:val="clear" w:pos="567"/>
          <w:tab w:val="left" w:pos="284"/>
        </w:tabs>
        <w:spacing w:after="220"/>
        <w:ind w:left="284"/>
        <w:rPr>
          <w:i/>
        </w:rPr>
      </w:pPr>
      <w:r>
        <w:rPr>
          <w:i/>
        </w:rPr>
        <w:t>А)</w:t>
      </w:r>
      <w:r>
        <w:rPr>
          <w:i/>
        </w:rPr>
        <w:tab/>
        <w:t>Гражданами Мексики по рождению являются:</w:t>
      </w:r>
    </w:p>
    <w:p w:rsidR="00000000" w:rsidRDefault="00000000">
      <w:pPr>
        <w:tabs>
          <w:tab w:val="clear" w:pos="567"/>
          <w:tab w:val="left" w:pos="284"/>
        </w:tabs>
        <w:spacing w:after="220"/>
        <w:ind w:left="284"/>
        <w:rPr>
          <w:i/>
        </w:rPr>
      </w:pPr>
      <w:r>
        <w:rPr>
          <w:i/>
          <w:lang w:val="en-US"/>
        </w:rPr>
        <w:t>I</w:t>
      </w:r>
      <w:r>
        <w:rPr>
          <w:i/>
        </w:rPr>
        <w:t>.</w:t>
      </w:r>
      <w:r>
        <w:rPr>
          <w:i/>
        </w:rPr>
        <w:tab/>
        <w:t>Лица, родившиеся на территории Республики, независимо от гражданства их родителей.</w:t>
      </w:r>
    </w:p>
    <w:p w:rsidR="00000000" w:rsidRDefault="00000000">
      <w:pPr>
        <w:tabs>
          <w:tab w:val="clear" w:pos="567"/>
          <w:tab w:val="left" w:pos="284"/>
        </w:tabs>
        <w:spacing w:after="220"/>
        <w:ind w:left="284"/>
        <w:rPr>
          <w:i/>
        </w:rPr>
      </w:pPr>
      <w:r>
        <w:rPr>
          <w:i/>
          <w:lang w:val="en-US"/>
        </w:rPr>
        <w:t>II</w:t>
      </w:r>
      <w:r>
        <w:rPr>
          <w:i/>
        </w:rPr>
        <w:t>.</w:t>
      </w:r>
      <w:r>
        <w:rPr>
          <w:i/>
        </w:rPr>
        <w:tab/>
        <w:t>Лица, родившиеся за границей от родителей – мексиканцев по рождению, от отца – мексиканца по рожд</w:t>
      </w:r>
      <w:r>
        <w:rPr>
          <w:i/>
        </w:rPr>
        <w:t>е</w:t>
      </w:r>
      <w:r>
        <w:rPr>
          <w:i/>
        </w:rPr>
        <w:t>нию либо от матери – мексиканки по рожд</w:t>
      </w:r>
      <w:r>
        <w:rPr>
          <w:i/>
        </w:rPr>
        <w:t>е</w:t>
      </w:r>
      <w:r>
        <w:rPr>
          <w:i/>
        </w:rPr>
        <w:t>нию.</w:t>
      </w:r>
    </w:p>
    <w:p w:rsidR="00000000" w:rsidRDefault="00000000">
      <w:pPr>
        <w:tabs>
          <w:tab w:val="clear" w:pos="567"/>
          <w:tab w:val="left" w:pos="284"/>
        </w:tabs>
        <w:spacing w:after="220"/>
        <w:ind w:left="284"/>
        <w:rPr>
          <w:i/>
          <w:lang w:val="en-US"/>
        </w:rPr>
      </w:pPr>
      <w:r>
        <w:rPr>
          <w:i/>
          <w:lang w:val="en-US"/>
        </w:rPr>
        <w:t>III</w:t>
      </w:r>
      <w:r>
        <w:rPr>
          <w:i/>
        </w:rPr>
        <w:t>.</w:t>
      </w:r>
      <w:r>
        <w:rPr>
          <w:i/>
        </w:rPr>
        <w:tab/>
        <w:t>Лица, родившиеся за границей от родителей – мексиканцев по натурализации, от отца – мексиканца по н</w:t>
      </w:r>
      <w:r>
        <w:rPr>
          <w:i/>
        </w:rPr>
        <w:t>а</w:t>
      </w:r>
      <w:r>
        <w:rPr>
          <w:i/>
        </w:rPr>
        <w:t>турализации либо от матери – мексиканки по натур</w:t>
      </w:r>
      <w:r>
        <w:rPr>
          <w:i/>
        </w:rPr>
        <w:t>а</w:t>
      </w:r>
      <w:r>
        <w:rPr>
          <w:i/>
        </w:rPr>
        <w:t>лизации.</w:t>
      </w:r>
    </w:p>
    <w:p w:rsidR="00000000" w:rsidRDefault="00000000">
      <w:pPr>
        <w:tabs>
          <w:tab w:val="clear" w:pos="567"/>
          <w:tab w:val="left" w:pos="284"/>
        </w:tabs>
        <w:spacing w:after="220"/>
        <w:ind w:left="284"/>
        <w:rPr>
          <w:i/>
        </w:rPr>
      </w:pPr>
      <w:r>
        <w:rPr>
          <w:i/>
          <w:lang w:val="en-US"/>
        </w:rPr>
        <w:t>IV</w:t>
      </w:r>
      <w:r>
        <w:rPr>
          <w:i/>
        </w:rPr>
        <w:t>.</w:t>
      </w:r>
      <w:r>
        <w:rPr>
          <w:i/>
        </w:rPr>
        <w:tab/>
        <w:t>Лица, родившиеся на борту мексиканских морских или воздушных судов, военных или торговых.</w:t>
      </w:r>
    </w:p>
    <w:p w:rsidR="00000000" w:rsidRDefault="00000000">
      <w:pPr>
        <w:tabs>
          <w:tab w:val="clear" w:pos="567"/>
          <w:tab w:val="left" w:pos="284"/>
        </w:tabs>
        <w:spacing w:after="220"/>
        <w:ind w:left="284"/>
        <w:rPr>
          <w:i/>
        </w:rPr>
      </w:pPr>
      <w:r>
        <w:rPr>
          <w:i/>
        </w:rPr>
        <w:t>В)</w:t>
      </w:r>
      <w:r>
        <w:rPr>
          <w:i/>
        </w:rPr>
        <w:tab/>
        <w:t>Гражданами Мексики по натурализации являются:</w:t>
      </w:r>
    </w:p>
    <w:p w:rsidR="00000000" w:rsidRDefault="00000000">
      <w:pPr>
        <w:tabs>
          <w:tab w:val="clear" w:pos="567"/>
          <w:tab w:val="left" w:pos="284"/>
        </w:tabs>
        <w:spacing w:after="220"/>
        <w:ind w:left="284"/>
        <w:rPr>
          <w:i/>
        </w:rPr>
      </w:pPr>
      <w:r>
        <w:rPr>
          <w:i/>
          <w:lang w:val="en-US"/>
        </w:rPr>
        <w:t>I</w:t>
      </w:r>
      <w:r>
        <w:rPr>
          <w:i/>
        </w:rPr>
        <w:t>.</w:t>
      </w:r>
      <w:r>
        <w:rPr>
          <w:i/>
        </w:rPr>
        <w:tab/>
        <w:t>иностранные граждане, получившие в Министерстве иностранных дел свидетельство о натурализации, а также</w:t>
      </w:r>
    </w:p>
    <w:p w:rsidR="00000000" w:rsidRDefault="00000000">
      <w:pPr>
        <w:tabs>
          <w:tab w:val="clear" w:pos="567"/>
          <w:tab w:val="left" w:pos="284"/>
        </w:tabs>
        <w:spacing w:after="220"/>
        <w:ind w:left="284"/>
      </w:pPr>
      <w:r>
        <w:rPr>
          <w:i/>
          <w:lang w:val="en-US"/>
        </w:rPr>
        <w:t>II</w:t>
      </w:r>
      <w:r>
        <w:rPr>
          <w:i/>
        </w:rPr>
        <w:t>.</w:t>
      </w:r>
      <w:r>
        <w:rPr>
          <w:i/>
        </w:rPr>
        <w:tab/>
        <w:t>иностранные граждане, мужчины или женщины, вступившие в брак с гражданами Мексики и имеющие намерение проживать или постоянно проживающие на территории страны и выполняющие другие предписания зак</w:t>
      </w:r>
      <w:r>
        <w:rPr>
          <w:i/>
        </w:rPr>
        <w:t>о</w:t>
      </w:r>
      <w:r>
        <w:rPr>
          <w:i/>
        </w:rPr>
        <w:t>на".</w:t>
      </w:r>
    </w:p>
    <w:p w:rsidR="00000000" w:rsidRDefault="00000000">
      <w:pPr>
        <w:tabs>
          <w:tab w:val="clear" w:pos="567"/>
          <w:tab w:val="left" w:pos="284"/>
        </w:tabs>
        <w:spacing w:before="120" w:after="220"/>
        <w:ind w:left="284"/>
        <w:rPr>
          <w:b/>
        </w:rPr>
      </w:pPr>
      <w:r>
        <w:rPr>
          <w:b/>
        </w:rPr>
        <w:t>Статья 32</w:t>
      </w:r>
    </w:p>
    <w:p w:rsidR="00000000" w:rsidRDefault="00000000">
      <w:pPr>
        <w:tabs>
          <w:tab w:val="clear" w:pos="567"/>
          <w:tab w:val="left" w:pos="284"/>
        </w:tabs>
        <w:spacing w:after="220"/>
        <w:ind w:left="284"/>
        <w:rPr>
          <w:i/>
        </w:rPr>
      </w:pPr>
      <w:r>
        <w:rPr>
          <w:i/>
        </w:rPr>
        <w:t>"Законом регулируется соблюдение прав мексиканцев, являющихся также гражданами другого государства, и у</w:t>
      </w:r>
      <w:r>
        <w:rPr>
          <w:i/>
        </w:rPr>
        <w:t>с</w:t>
      </w:r>
      <w:r>
        <w:rPr>
          <w:i/>
        </w:rPr>
        <w:t>танавливаются нормы, контролирующие возникновение спорных ситуаций по причине двойного гражданства.</w:t>
      </w:r>
    </w:p>
    <w:p w:rsidR="00000000" w:rsidRDefault="00000000">
      <w:pPr>
        <w:tabs>
          <w:tab w:val="clear" w:pos="567"/>
          <w:tab w:val="left" w:pos="284"/>
        </w:tabs>
        <w:spacing w:after="220"/>
        <w:ind w:left="284"/>
        <w:rPr>
          <w:i/>
          <w:lang w:val="en-US"/>
        </w:rPr>
      </w:pPr>
      <w:r>
        <w:rPr>
          <w:i/>
        </w:rPr>
        <w:t>Согласно настоящей Конституции, существует ряд государственных постов, занимать которые могут только мексиканцы по рождению, не имеющие гражданства другого государства. Подобное ограничение действует также и на основании других парл</w:t>
      </w:r>
      <w:r>
        <w:rPr>
          <w:i/>
        </w:rPr>
        <w:t>а</w:t>
      </w:r>
      <w:r>
        <w:rPr>
          <w:i/>
        </w:rPr>
        <w:t>ментских законов.</w:t>
      </w:r>
    </w:p>
    <w:p w:rsidR="00000000" w:rsidRDefault="00000000">
      <w:pPr>
        <w:tabs>
          <w:tab w:val="clear" w:pos="567"/>
          <w:tab w:val="left" w:pos="284"/>
        </w:tabs>
        <w:spacing w:after="200"/>
        <w:ind w:left="284"/>
        <w:rPr>
          <w:i/>
        </w:rPr>
      </w:pPr>
      <w:r>
        <w:rPr>
          <w:i/>
        </w:rPr>
        <w:t>В мирное время ни один иностранный гражданин не может служить в национальной армии, в полиции или в орг</w:t>
      </w:r>
      <w:r>
        <w:rPr>
          <w:i/>
        </w:rPr>
        <w:t>а</w:t>
      </w:r>
      <w:r>
        <w:rPr>
          <w:i/>
        </w:rPr>
        <w:t>нах государственной безопасности Мексики. Чтобы в мирное время быть в личном составе армии либо служить в военно-морском флоте или военно-воздушных силах в любое время, а также для того, чтобы получить какое-то воинское звание, необходимым условием является наличие мексиканского гражданства по рождению. Отвечать этому требованию должны также капитаны, пилоты, шкиперы, машинисты, механики и весь экипаж любого морского или воздушного судна, имеющего государственный штандарт или торговый вымпел Мексики. Мексика</w:t>
      </w:r>
      <w:r>
        <w:rPr>
          <w:i/>
        </w:rPr>
        <w:t>н</w:t>
      </w:r>
      <w:r>
        <w:rPr>
          <w:i/>
        </w:rPr>
        <w:t>цами по рождению должны являться также начальники портов, работники навигационных служб, начальники аэродр</w:t>
      </w:r>
      <w:r>
        <w:rPr>
          <w:i/>
        </w:rPr>
        <w:t>о</w:t>
      </w:r>
      <w:r>
        <w:rPr>
          <w:i/>
        </w:rPr>
        <w:t>мов.</w:t>
      </w:r>
    </w:p>
    <w:p w:rsidR="00000000" w:rsidRDefault="00000000">
      <w:pPr>
        <w:tabs>
          <w:tab w:val="clear" w:pos="567"/>
          <w:tab w:val="left" w:pos="284"/>
        </w:tabs>
        <w:spacing w:after="200"/>
        <w:ind w:left="284"/>
        <w:rPr>
          <w:i/>
        </w:rPr>
      </w:pPr>
      <w:r>
        <w:rPr>
          <w:i/>
        </w:rPr>
        <w:t>При присуждении премий, приеме на работу, назначении на должность, формировании правительственных к</w:t>
      </w:r>
      <w:r>
        <w:rPr>
          <w:i/>
        </w:rPr>
        <w:t>о</w:t>
      </w:r>
      <w:r>
        <w:rPr>
          <w:i/>
        </w:rPr>
        <w:t xml:space="preserve">миссий </w:t>
      </w:r>
      <w:r>
        <w:t>–</w:t>
      </w:r>
      <w:r>
        <w:rPr>
          <w:i/>
        </w:rPr>
        <w:t xml:space="preserve"> там, где гражданство не является необходимым требованием, предпочтение отдается соискателям </w:t>
      </w:r>
      <w:r>
        <w:t xml:space="preserve">– </w:t>
      </w:r>
      <w:r>
        <w:rPr>
          <w:i/>
        </w:rPr>
        <w:t>гражданам Ме</w:t>
      </w:r>
      <w:r>
        <w:rPr>
          <w:i/>
        </w:rPr>
        <w:t>к</w:t>
      </w:r>
      <w:r>
        <w:rPr>
          <w:i/>
        </w:rPr>
        <w:t>сики".</w:t>
      </w:r>
    </w:p>
    <w:p w:rsidR="00000000" w:rsidRDefault="00000000">
      <w:pPr>
        <w:tabs>
          <w:tab w:val="clear" w:pos="567"/>
          <w:tab w:val="left" w:pos="284"/>
        </w:tabs>
        <w:spacing w:before="120" w:after="200"/>
        <w:ind w:left="284"/>
        <w:rPr>
          <w:b/>
        </w:rPr>
      </w:pPr>
      <w:r>
        <w:rPr>
          <w:b/>
        </w:rPr>
        <w:t>Статья 37</w:t>
      </w:r>
    </w:p>
    <w:p w:rsidR="00000000" w:rsidRDefault="00000000">
      <w:pPr>
        <w:tabs>
          <w:tab w:val="clear" w:pos="567"/>
          <w:tab w:val="left" w:pos="284"/>
        </w:tabs>
        <w:spacing w:after="200"/>
        <w:ind w:left="284"/>
        <w:rPr>
          <w:i/>
        </w:rPr>
      </w:pPr>
      <w:r>
        <w:rPr>
          <w:i/>
        </w:rPr>
        <w:t>"А)</w:t>
      </w:r>
      <w:r>
        <w:rPr>
          <w:i/>
        </w:rPr>
        <w:tab/>
        <w:t>Ни один мексиканец по праву рождения не может быть лишен гражданства Ме</w:t>
      </w:r>
      <w:r>
        <w:rPr>
          <w:i/>
        </w:rPr>
        <w:t>к</w:t>
      </w:r>
      <w:r>
        <w:rPr>
          <w:i/>
        </w:rPr>
        <w:t>сики.</w:t>
      </w:r>
    </w:p>
    <w:p w:rsidR="00000000" w:rsidRDefault="00000000">
      <w:pPr>
        <w:tabs>
          <w:tab w:val="clear" w:pos="567"/>
          <w:tab w:val="left" w:pos="284"/>
        </w:tabs>
        <w:spacing w:after="200"/>
        <w:ind w:left="680" w:hanging="396"/>
        <w:rPr>
          <w:i/>
        </w:rPr>
      </w:pPr>
      <w:r>
        <w:rPr>
          <w:i/>
        </w:rPr>
        <w:t>В)</w:t>
      </w:r>
      <w:r>
        <w:rPr>
          <w:i/>
        </w:rPr>
        <w:tab/>
        <w:t>Мексиканское гражданство, полученное путем натурализации, может быть утрачено в следующих случ</w:t>
      </w:r>
      <w:r>
        <w:rPr>
          <w:i/>
        </w:rPr>
        <w:t>а</w:t>
      </w:r>
      <w:r>
        <w:rPr>
          <w:i/>
        </w:rPr>
        <w:t>ях:</w:t>
      </w:r>
    </w:p>
    <w:p w:rsidR="00000000" w:rsidRDefault="00000000">
      <w:pPr>
        <w:tabs>
          <w:tab w:val="clear" w:pos="567"/>
          <w:tab w:val="left" w:pos="284"/>
        </w:tabs>
        <w:spacing w:after="200"/>
        <w:ind w:left="680" w:hanging="396"/>
        <w:rPr>
          <w:i/>
        </w:rPr>
      </w:pPr>
      <w:r>
        <w:rPr>
          <w:i/>
          <w:lang w:val="en-US"/>
        </w:rPr>
        <w:t>I</w:t>
      </w:r>
      <w:r>
        <w:rPr>
          <w:i/>
        </w:rPr>
        <w:t>.</w:t>
      </w:r>
      <w:r>
        <w:rPr>
          <w:i/>
        </w:rPr>
        <w:tab/>
        <w:t>В результате добровольного получения гражданства другого государства, в результате прохождения по какому-либо государственному документу в качестве иностранца, в результате использования иностранного па</w:t>
      </w:r>
      <w:r>
        <w:rPr>
          <w:i/>
        </w:rPr>
        <w:t>с</w:t>
      </w:r>
      <w:r>
        <w:rPr>
          <w:i/>
        </w:rPr>
        <w:t>порта, в результате получения или использования дворянского титула, предполагающего гражданство другого государства.</w:t>
      </w:r>
    </w:p>
    <w:p w:rsidR="00000000" w:rsidRDefault="00000000">
      <w:pPr>
        <w:tabs>
          <w:tab w:val="clear" w:pos="567"/>
          <w:tab w:val="left" w:pos="284"/>
        </w:tabs>
        <w:spacing w:after="200"/>
        <w:ind w:left="680" w:hanging="396"/>
        <w:rPr>
          <w:i/>
        </w:rPr>
      </w:pPr>
      <w:r>
        <w:rPr>
          <w:i/>
          <w:lang w:val="en-US"/>
        </w:rPr>
        <w:t>II</w:t>
      </w:r>
      <w:r>
        <w:rPr>
          <w:i/>
        </w:rPr>
        <w:t>.</w:t>
      </w:r>
      <w:r>
        <w:rPr>
          <w:i/>
        </w:rPr>
        <w:tab/>
        <w:t>В результате проживания в течение пяти лет подряд за пределами национальной те</w:t>
      </w:r>
      <w:r>
        <w:rPr>
          <w:i/>
        </w:rPr>
        <w:t>р</w:t>
      </w:r>
      <w:r>
        <w:rPr>
          <w:i/>
        </w:rPr>
        <w:t>ритории Мексики.</w:t>
      </w:r>
    </w:p>
    <w:p w:rsidR="00000000" w:rsidRDefault="00000000">
      <w:pPr>
        <w:tabs>
          <w:tab w:val="clear" w:pos="567"/>
          <w:tab w:val="left" w:pos="284"/>
        </w:tabs>
        <w:spacing w:after="200"/>
        <w:ind w:left="284"/>
        <w:rPr>
          <w:i/>
        </w:rPr>
      </w:pPr>
      <w:r>
        <w:rPr>
          <w:i/>
        </w:rPr>
        <w:t>С)</w:t>
      </w:r>
      <w:r>
        <w:rPr>
          <w:i/>
        </w:rPr>
        <w:tab/>
        <w:t>Гражданство Мексики утрачивается:</w:t>
      </w:r>
    </w:p>
    <w:p w:rsidR="00000000" w:rsidRDefault="00000000">
      <w:pPr>
        <w:tabs>
          <w:tab w:val="clear" w:pos="567"/>
          <w:tab w:val="left" w:pos="284"/>
        </w:tabs>
        <w:spacing w:after="200"/>
        <w:ind w:left="284"/>
        <w:rPr>
          <w:i/>
        </w:rPr>
      </w:pPr>
      <w:r>
        <w:rPr>
          <w:i/>
          <w:lang w:val="en-US"/>
        </w:rPr>
        <w:t>I</w:t>
      </w:r>
      <w:r>
        <w:rPr>
          <w:i/>
        </w:rPr>
        <w:t>.</w:t>
      </w:r>
      <w:r>
        <w:rPr>
          <w:i/>
        </w:rPr>
        <w:tab/>
        <w:t>В результате получения от иностранных правительств дворянских титулов или их и</w:t>
      </w:r>
      <w:r>
        <w:rPr>
          <w:i/>
        </w:rPr>
        <w:t>с</w:t>
      </w:r>
      <w:r>
        <w:rPr>
          <w:i/>
        </w:rPr>
        <w:t>пользования.</w:t>
      </w:r>
    </w:p>
    <w:p w:rsidR="00000000" w:rsidRDefault="00000000">
      <w:pPr>
        <w:tabs>
          <w:tab w:val="clear" w:pos="567"/>
          <w:tab w:val="left" w:pos="284"/>
        </w:tabs>
        <w:spacing w:after="200"/>
        <w:ind w:left="680" w:hanging="396"/>
        <w:rPr>
          <w:i/>
          <w:lang w:val="en-US"/>
        </w:rPr>
      </w:pPr>
      <w:r>
        <w:rPr>
          <w:i/>
          <w:lang w:val="en-US"/>
        </w:rPr>
        <w:t>II</w:t>
      </w:r>
      <w:r>
        <w:rPr>
          <w:i/>
        </w:rPr>
        <w:t>.</w:t>
      </w:r>
      <w:r>
        <w:rPr>
          <w:i/>
        </w:rPr>
        <w:tab/>
        <w:t>В результате добровольного предоставления услуг правительству какого-либо иностранного государства без разрешения Федерального конгресса или его Постоянной к</w:t>
      </w:r>
      <w:r>
        <w:rPr>
          <w:i/>
        </w:rPr>
        <w:t>о</w:t>
      </w:r>
      <w:r>
        <w:rPr>
          <w:i/>
        </w:rPr>
        <w:t>миссии.</w:t>
      </w:r>
    </w:p>
    <w:p w:rsidR="00000000" w:rsidRDefault="00000000">
      <w:pPr>
        <w:tabs>
          <w:tab w:val="clear" w:pos="567"/>
          <w:tab w:val="left" w:pos="284"/>
        </w:tabs>
        <w:spacing w:after="200"/>
        <w:ind w:left="680" w:hanging="396"/>
        <w:rPr>
          <w:i/>
        </w:rPr>
      </w:pPr>
      <w:r>
        <w:rPr>
          <w:i/>
          <w:lang w:val="en-US"/>
        </w:rPr>
        <w:t>III</w:t>
      </w:r>
      <w:r>
        <w:rPr>
          <w:i/>
        </w:rPr>
        <w:t>.</w:t>
      </w:r>
      <w:r>
        <w:rPr>
          <w:i/>
        </w:rPr>
        <w:tab/>
        <w:t>В результате принятия или использования иностранных наград без специального разрешения Федерального конгресса или его Постоянной коми</w:t>
      </w:r>
      <w:r>
        <w:rPr>
          <w:i/>
        </w:rPr>
        <w:t>с</w:t>
      </w:r>
      <w:r>
        <w:rPr>
          <w:i/>
        </w:rPr>
        <w:t>сии.</w:t>
      </w:r>
    </w:p>
    <w:p w:rsidR="00000000" w:rsidRDefault="00000000">
      <w:pPr>
        <w:tabs>
          <w:tab w:val="clear" w:pos="567"/>
          <w:tab w:val="left" w:pos="284"/>
        </w:tabs>
        <w:spacing w:after="200"/>
        <w:ind w:left="680" w:hanging="396"/>
        <w:rPr>
          <w:i/>
        </w:rPr>
      </w:pPr>
      <w:r>
        <w:rPr>
          <w:i/>
          <w:lang w:val="en-US"/>
        </w:rPr>
        <w:t>IV</w:t>
      </w:r>
      <w:r>
        <w:rPr>
          <w:i/>
        </w:rPr>
        <w:t>.</w:t>
      </w:r>
      <w:r>
        <w:rPr>
          <w:i/>
        </w:rPr>
        <w:tab/>
        <w:t>В результате принятия от правительства другого государства званий и функций без предварительного на то разрешения Федерального конгресса или его Постоянной комиссии, за исключением степеней и званий в обла</w:t>
      </w:r>
      <w:r>
        <w:rPr>
          <w:i/>
        </w:rPr>
        <w:t>с</w:t>
      </w:r>
      <w:r>
        <w:rPr>
          <w:i/>
        </w:rPr>
        <w:t>ти литературы, науки или гуманитарной деятельности, на получение которых не сущес</w:t>
      </w:r>
      <w:r>
        <w:rPr>
          <w:i/>
        </w:rPr>
        <w:t>т</w:t>
      </w:r>
      <w:r>
        <w:rPr>
          <w:i/>
        </w:rPr>
        <w:t>вует ограничений.</w:t>
      </w:r>
    </w:p>
    <w:p w:rsidR="00000000" w:rsidRDefault="00000000">
      <w:pPr>
        <w:tabs>
          <w:tab w:val="clear" w:pos="567"/>
          <w:tab w:val="left" w:pos="284"/>
        </w:tabs>
        <w:spacing w:after="200"/>
        <w:ind w:left="680" w:hanging="396"/>
        <w:rPr>
          <w:i/>
        </w:rPr>
      </w:pPr>
      <w:r>
        <w:rPr>
          <w:i/>
          <w:lang w:val="en-US"/>
        </w:rPr>
        <w:t>V</w:t>
      </w:r>
      <w:r>
        <w:rPr>
          <w:i/>
        </w:rPr>
        <w:t>.</w:t>
      </w:r>
      <w:r>
        <w:rPr>
          <w:i/>
        </w:rPr>
        <w:tab/>
        <w:t>В результате помощи иностранному гражданину или правительству другого государства в дипломат</w:t>
      </w:r>
      <w:r>
        <w:rPr>
          <w:i/>
        </w:rPr>
        <w:t>и</w:t>
      </w:r>
      <w:r>
        <w:rPr>
          <w:i/>
        </w:rPr>
        <w:t>ческом конфликте или перед международным трибуналом вопреки национальным интересам Мексики.</w:t>
      </w:r>
    </w:p>
    <w:p w:rsidR="00000000" w:rsidRDefault="00000000">
      <w:pPr>
        <w:tabs>
          <w:tab w:val="clear" w:pos="567"/>
          <w:tab w:val="left" w:pos="284"/>
        </w:tabs>
        <w:spacing w:after="200"/>
        <w:ind w:left="680" w:hanging="396"/>
        <w:rPr>
          <w:i/>
        </w:rPr>
      </w:pPr>
      <w:r>
        <w:rPr>
          <w:i/>
          <w:lang w:val="en-US"/>
        </w:rPr>
        <w:t>VI</w:t>
      </w:r>
      <w:r>
        <w:rPr>
          <w:i/>
        </w:rPr>
        <w:t>.</w:t>
      </w:r>
      <w:r>
        <w:rPr>
          <w:i/>
        </w:rPr>
        <w:tab/>
        <w:t>В остальных случаях, предусмотренных законом.</w:t>
      </w:r>
    </w:p>
    <w:p w:rsidR="00000000" w:rsidRDefault="00000000">
      <w:pPr>
        <w:tabs>
          <w:tab w:val="clear" w:pos="567"/>
          <w:tab w:val="left" w:pos="284"/>
        </w:tabs>
        <w:spacing w:after="200"/>
        <w:ind w:left="284"/>
        <w:rPr>
          <w:i/>
        </w:rPr>
      </w:pPr>
      <w:r>
        <w:rPr>
          <w:i/>
        </w:rPr>
        <w:t xml:space="preserve">Относительно пунктов </w:t>
      </w:r>
      <w:r>
        <w:rPr>
          <w:i/>
          <w:lang w:val="en-US"/>
        </w:rPr>
        <w:t>II</w:t>
      </w:r>
      <w:r>
        <w:rPr>
          <w:i/>
        </w:rPr>
        <w:t>–</w:t>
      </w:r>
      <w:r>
        <w:rPr>
          <w:i/>
          <w:lang w:val="en-US"/>
        </w:rPr>
        <w:t>IV</w:t>
      </w:r>
      <w:r>
        <w:rPr>
          <w:i/>
        </w:rPr>
        <w:t xml:space="preserve"> данного раздела парламент намерен принять необходимые подзаконные акты, в которых будут четко оговорены те исключительные случаи, когда разрешения и виды на жительство считаются предоставленными по истечении срока, установленного самим законом, на основании поданного заявления заи</w:t>
      </w:r>
      <w:r>
        <w:rPr>
          <w:i/>
        </w:rPr>
        <w:t>н</w:t>
      </w:r>
      <w:r>
        <w:rPr>
          <w:i/>
        </w:rPr>
        <w:t>тересованного лица"</w:t>
      </w:r>
      <w:r>
        <w:rPr>
          <w:vertAlign w:val="superscript"/>
        </w:rPr>
        <w:footnoteReference w:customMarkFollows="1" w:id="2"/>
        <w:t>1</w:t>
      </w:r>
      <w:r>
        <w:rPr>
          <w:i/>
        </w:rPr>
        <w:t>.</w:t>
      </w:r>
    </w:p>
    <w:p w:rsidR="00000000" w:rsidRDefault="00000000">
      <w:r>
        <w:t>394.</w:t>
      </w:r>
      <w:r>
        <w:tab/>
        <w:t>В связи с проведением реформы Конституции 23 января 1998 года в "Диарио Офисиаль де ла Федерасьон" был опубликован текст нового Закона о гражданстве, который вступил в силу 20 марта 1998 года. Данный Закон регламентирует процедуру натурализации иностранцев, в том числе мужчин и женщин, вступивших в брак с ме</w:t>
      </w:r>
      <w:r>
        <w:t>к</w:t>
      </w:r>
      <w:r>
        <w:t>сиканскими гражданами и желающих получить мексиканское гражданство. По этому поводу статья 20 настоящего Закона гл</w:t>
      </w:r>
      <w:r>
        <w:t>а</w:t>
      </w:r>
      <w:r>
        <w:t>сит:</w:t>
      </w:r>
    </w:p>
    <w:p w:rsidR="00000000" w:rsidRDefault="00000000">
      <w:pPr>
        <w:tabs>
          <w:tab w:val="clear" w:pos="567"/>
          <w:tab w:val="left" w:pos="284"/>
        </w:tabs>
        <w:ind w:left="284"/>
        <w:rPr>
          <w:i/>
        </w:rPr>
      </w:pPr>
      <w:r>
        <w:rPr>
          <w:i/>
        </w:rPr>
        <w:t>"Статья 20. – Иностранец, желающий получить мексиканское гражданство, должен представить документы, подтверждающие его непрерывное проживание на национальной территории Мексики в течение пяти лет, неп</w:t>
      </w:r>
      <w:r>
        <w:rPr>
          <w:i/>
        </w:rPr>
        <w:t>о</w:t>
      </w:r>
      <w:r>
        <w:rPr>
          <w:i/>
        </w:rPr>
        <w:t>средственно предшествующих моменту подачи заявления. Исключение составляют случаи, предусмотренные в следующих пунктах:</w:t>
      </w:r>
    </w:p>
    <w:p w:rsidR="00000000" w:rsidRDefault="00000000">
      <w:pPr>
        <w:tabs>
          <w:tab w:val="clear" w:pos="567"/>
          <w:tab w:val="left" w:pos="284"/>
        </w:tabs>
        <w:ind w:left="680" w:hanging="396"/>
        <w:rPr>
          <w:i/>
        </w:rPr>
      </w:pPr>
      <w:r>
        <w:rPr>
          <w:i/>
          <w:lang w:val="en-US"/>
        </w:rPr>
        <w:t>I</w:t>
      </w:r>
      <w:r>
        <w:rPr>
          <w:i/>
        </w:rPr>
        <w:t>.</w:t>
      </w:r>
      <w:r>
        <w:rPr>
          <w:i/>
        </w:rPr>
        <w:tab/>
        <w:t>Достаточно двух лет постоянного проживания, непосредственно предшествующих моменту подачи зая</w:t>
      </w:r>
      <w:r>
        <w:rPr>
          <w:i/>
        </w:rPr>
        <w:t>в</w:t>
      </w:r>
      <w:r>
        <w:rPr>
          <w:i/>
        </w:rPr>
        <w:t>ления в случае, если заинтересова</w:t>
      </w:r>
      <w:r>
        <w:rPr>
          <w:i/>
        </w:rPr>
        <w:t>н</w:t>
      </w:r>
      <w:r>
        <w:rPr>
          <w:i/>
        </w:rPr>
        <w:t>ное лицо:</w:t>
      </w:r>
    </w:p>
    <w:p w:rsidR="00000000" w:rsidRDefault="00000000">
      <w:pPr>
        <w:tabs>
          <w:tab w:val="clear" w:pos="567"/>
          <w:tab w:val="left" w:pos="284"/>
        </w:tabs>
        <w:ind w:left="284"/>
        <w:rPr>
          <w:i/>
        </w:rPr>
      </w:pPr>
      <w:r>
        <w:rPr>
          <w:i/>
          <w:lang w:val="en-US"/>
        </w:rPr>
        <w:t>a</w:t>
      </w:r>
      <w:r>
        <w:rPr>
          <w:i/>
        </w:rPr>
        <w:t>)</w:t>
      </w:r>
      <w:r>
        <w:rPr>
          <w:i/>
        </w:rPr>
        <w:tab/>
        <w:t>является потомком по прямой линии мексиканца по рожд</w:t>
      </w:r>
      <w:r>
        <w:rPr>
          <w:i/>
        </w:rPr>
        <w:t>е</w:t>
      </w:r>
      <w:r>
        <w:rPr>
          <w:i/>
        </w:rPr>
        <w:t>нию;</w:t>
      </w:r>
    </w:p>
    <w:p w:rsidR="00000000" w:rsidRDefault="00000000">
      <w:pPr>
        <w:tabs>
          <w:tab w:val="clear" w:pos="567"/>
          <w:tab w:val="left" w:pos="284"/>
        </w:tabs>
        <w:ind w:left="284"/>
        <w:rPr>
          <w:i/>
        </w:rPr>
      </w:pPr>
      <w:r>
        <w:rPr>
          <w:i/>
          <w:lang w:val="en-US"/>
        </w:rPr>
        <w:t>b</w:t>
      </w:r>
      <w:r>
        <w:rPr>
          <w:i/>
        </w:rPr>
        <w:t>)</w:t>
      </w:r>
      <w:r>
        <w:rPr>
          <w:i/>
        </w:rPr>
        <w:tab/>
        <w:t xml:space="preserve">имеет детей </w:t>
      </w:r>
      <w:r>
        <w:t xml:space="preserve">– </w:t>
      </w:r>
      <w:r>
        <w:rPr>
          <w:i/>
        </w:rPr>
        <w:t>мексиканцев по рождению;</w:t>
      </w:r>
    </w:p>
    <w:p w:rsidR="00000000" w:rsidRDefault="00000000">
      <w:pPr>
        <w:tabs>
          <w:tab w:val="clear" w:pos="567"/>
          <w:tab w:val="left" w:pos="284"/>
        </w:tabs>
        <w:ind w:left="680" w:hanging="396"/>
        <w:rPr>
          <w:i/>
        </w:rPr>
      </w:pPr>
      <w:r>
        <w:rPr>
          <w:i/>
        </w:rPr>
        <w:t>с)</w:t>
      </w:r>
      <w:r>
        <w:rPr>
          <w:i/>
        </w:rPr>
        <w:tab/>
        <w:t>является уроженцем какой-либо латиноамериканской страны или какой-либо страны Иберийского пол</w:t>
      </w:r>
      <w:r>
        <w:rPr>
          <w:i/>
        </w:rPr>
        <w:t>у</w:t>
      </w:r>
      <w:r>
        <w:rPr>
          <w:i/>
        </w:rPr>
        <w:t>острова / или</w:t>
      </w:r>
    </w:p>
    <w:p w:rsidR="00000000" w:rsidRDefault="00000000">
      <w:pPr>
        <w:tabs>
          <w:tab w:val="clear" w:pos="567"/>
          <w:tab w:val="left" w:pos="284"/>
        </w:tabs>
        <w:ind w:left="680" w:hanging="396"/>
        <w:rPr>
          <w:i/>
        </w:rPr>
      </w:pPr>
      <w:r>
        <w:rPr>
          <w:i/>
          <w:lang w:val="en-US"/>
        </w:rPr>
        <w:t>d</w:t>
      </w:r>
      <w:r>
        <w:rPr>
          <w:i/>
        </w:rPr>
        <w:t>)</w:t>
      </w:r>
      <w:r>
        <w:rPr>
          <w:i/>
        </w:rPr>
        <w:tab/>
        <w:t>по мнению МИД Мексики, оказало услуги государству или внесло вклад в культурное, научное, техническое развитие страны, имеет заслуги в области искусства, спорта Мексики, чья предпринимательская деятельность способствует росту благосостояния нации. В исключительных случаях, по решению главы федерального прав</w:t>
      </w:r>
      <w:r>
        <w:rPr>
          <w:i/>
        </w:rPr>
        <w:t>и</w:t>
      </w:r>
      <w:r>
        <w:rPr>
          <w:i/>
        </w:rPr>
        <w:t>тельства, иностранец не должен удостоверять факт постоянного проживания на национальной территории, как указано в этой части ст</w:t>
      </w:r>
      <w:r>
        <w:rPr>
          <w:i/>
        </w:rPr>
        <w:t>а</w:t>
      </w:r>
      <w:r>
        <w:rPr>
          <w:i/>
        </w:rPr>
        <w:t>тьи.</w:t>
      </w:r>
    </w:p>
    <w:p w:rsidR="00000000" w:rsidRDefault="00000000">
      <w:pPr>
        <w:tabs>
          <w:tab w:val="clear" w:pos="567"/>
          <w:tab w:val="left" w:pos="284"/>
        </w:tabs>
        <w:ind w:left="680" w:hanging="396"/>
        <w:rPr>
          <w:i/>
        </w:rPr>
      </w:pPr>
      <w:r>
        <w:rPr>
          <w:i/>
          <w:lang w:val="en-US"/>
        </w:rPr>
        <w:t>II</w:t>
      </w:r>
      <w:r>
        <w:rPr>
          <w:i/>
        </w:rPr>
        <w:t>.</w:t>
      </w:r>
      <w:r>
        <w:rPr>
          <w:i/>
        </w:rPr>
        <w:tab/>
        <w:t>Иностранцы, мужчины или женщины, вступившие в брак с мексиканскими гражданами, должны удостов</w:t>
      </w:r>
      <w:r>
        <w:rPr>
          <w:i/>
        </w:rPr>
        <w:t>е</w:t>
      </w:r>
      <w:r>
        <w:rPr>
          <w:i/>
        </w:rPr>
        <w:t>рить факт своего совместного проживания с супругом-мексиканцем по месту жительства последнего на наци</w:t>
      </w:r>
      <w:r>
        <w:rPr>
          <w:i/>
        </w:rPr>
        <w:t>о</w:t>
      </w:r>
      <w:r>
        <w:rPr>
          <w:i/>
        </w:rPr>
        <w:t>нальной территории в течение двух лет, непосредственно предшествующих моменту подачи заявления.</w:t>
      </w:r>
    </w:p>
    <w:p w:rsidR="00000000" w:rsidRDefault="00000000">
      <w:pPr>
        <w:tabs>
          <w:tab w:val="clear" w:pos="567"/>
          <w:tab w:val="left" w:pos="284"/>
        </w:tabs>
        <w:ind w:left="284"/>
        <w:rPr>
          <w:i/>
        </w:rPr>
      </w:pPr>
      <w:r>
        <w:rPr>
          <w:i/>
        </w:rPr>
        <w:t>Условие совместного проживания на национальной территории необязательно в случае, если супруг-мексиканец находится за рубежом по поручению мексиканского правительства или в командировке.</w:t>
      </w:r>
    </w:p>
    <w:p w:rsidR="00000000" w:rsidRDefault="00000000">
      <w:pPr>
        <w:tabs>
          <w:tab w:val="clear" w:pos="567"/>
          <w:tab w:val="left" w:pos="284"/>
        </w:tabs>
        <w:ind w:left="284"/>
        <w:rPr>
          <w:i/>
        </w:rPr>
      </w:pPr>
      <w:r>
        <w:rPr>
          <w:i/>
        </w:rPr>
        <w:t>В случае заключения брака между иностранцами получение мексиканского гражданства одним из супругов после регистрации брака позволяет второму супругу также стать гражданином Мексики при условии соответствия всем требованиям данной части Закона.</w:t>
      </w:r>
    </w:p>
    <w:p w:rsidR="00000000" w:rsidRDefault="00000000">
      <w:pPr>
        <w:tabs>
          <w:tab w:val="clear" w:pos="567"/>
          <w:tab w:val="left" w:pos="284"/>
        </w:tabs>
        <w:ind w:left="680" w:hanging="396"/>
        <w:rPr>
          <w:i/>
        </w:rPr>
      </w:pPr>
      <w:r>
        <w:rPr>
          <w:i/>
          <w:lang w:val="en-US"/>
        </w:rPr>
        <w:t>III</w:t>
      </w:r>
      <w:r>
        <w:rPr>
          <w:i/>
        </w:rPr>
        <w:t>.</w:t>
      </w:r>
      <w:r>
        <w:rPr>
          <w:i/>
        </w:rPr>
        <w:tab/>
        <w:t>Достаточно одного года постоянного проживания на территории Мексики на момент подачи заявления для усыновленных детей, а также для несовершеннолетних потомков до второго колена, находящихся на попеч</w:t>
      </w:r>
      <w:r>
        <w:rPr>
          <w:i/>
        </w:rPr>
        <w:t>и</w:t>
      </w:r>
      <w:r>
        <w:rPr>
          <w:i/>
        </w:rPr>
        <w:t>тельстве мексиканцев.</w:t>
      </w:r>
    </w:p>
    <w:p w:rsidR="00000000" w:rsidRDefault="00000000">
      <w:pPr>
        <w:tabs>
          <w:tab w:val="clear" w:pos="567"/>
          <w:tab w:val="left" w:pos="284"/>
        </w:tabs>
        <w:ind w:left="284"/>
        <w:rPr>
          <w:i/>
        </w:rPr>
      </w:pPr>
      <w:r>
        <w:rPr>
          <w:i/>
        </w:rPr>
        <w:t>Если опекуны не подали заявления о натурализации усыновленных ими детей или несовершеннолетних, находящи</w:t>
      </w:r>
      <w:r>
        <w:rPr>
          <w:i/>
        </w:rPr>
        <w:t>х</w:t>
      </w:r>
      <w:r>
        <w:rPr>
          <w:i/>
        </w:rPr>
        <w:t>ся на их попечении, последние могут сами сделать это в течение одного года с момента достижения ими сове</w:t>
      </w:r>
      <w:r>
        <w:rPr>
          <w:i/>
        </w:rPr>
        <w:t>р</w:t>
      </w:r>
      <w:r>
        <w:rPr>
          <w:i/>
        </w:rPr>
        <w:t>шеннолетия на основании положений данной части ст</w:t>
      </w:r>
      <w:r>
        <w:rPr>
          <w:i/>
        </w:rPr>
        <w:t>а</w:t>
      </w:r>
      <w:r>
        <w:rPr>
          <w:i/>
        </w:rPr>
        <w:t>тьи.</w:t>
      </w:r>
    </w:p>
    <w:p w:rsidR="00000000" w:rsidRDefault="00000000">
      <w:pPr>
        <w:tabs>
          <w:tab w:val="clear" w:pos="567"/>
          <w:tab w:val="left" w:pos="284"/>
        </w:tabs>
        <w:ind w:left="284"/>
        <w:rPr>
          <w:i/>
        </w:rPr>
      </w:pPr>
      <w:r>
        <w:rPr>
          <w:i/>
        </w:rPr>
        <w:t>Свидетельство о натурализации вступает в силу на следующий день с моме</w:t>
      </w:r>
      <w:r>
        <w:rPr>
          <w:i/>
        </w:rPr>
        <w:t>н</w:t>
      </w:r>
      <w:r>
        <w:rPr>
          <w:i/>
        </w:rPr>
        <w:t>та выдачи".</w:t>
      </w:r>
    </w:p>
    <w:p w:rsidR="00000000" w:rsidRDefault="00000000">
      <w:r>
        <w:t>395.</w:t>
      </w:r>
      <w:r>
        <w:tab/>
        <w:t>Статья 22 того же Закона предусматривает также:</w:t>
      </w:r>
    </w:p>
    <w:p w:rsidR="00000000" w:rsidRDefault="00000000">
      <w:pPr>
        <w:tabs>
          <w:tab w:val="left" w:pos="284"/>
        </w:tabs>
        <w:ind w:left="284"/>
        <w:rPr>
          <w:i/>
        </w:rPr>
      </w:pPr>
      <w:r>
        <w:rPr>
          <w:i/>
        </w:rPr>
        <w:t xml:space="preserve">"Статья 22. – Лица, получившие мексиканское гражданство на основании положений части </w:t>
      </w:r>
      <w:r>
        <w:rPr>
          <w:i/>
          <w:lang w:val="en-US"/>
        </w:rPr>
        <w:t>II</w:t>
      </w:r>
      <w:r>
        <w:rPr>
          <w:i/>
        </w:rPr>
        <w:t xml:space="preserve"> статьи 20 данного Закона, остаются гражданами Мексики даже после расторжения брака, за исключением тех случаев, когда брак признается недействительным по вине супруга, получивш</w:t>
      </w:r>
      <w:r>
        <w:rPr>
          <w:i/>
        </w:rPr>
        <w:t>е</w:t>
      </w:r>
      <w:r>
        <w:rPr>
          <w:i/>
        </w:rPr>
        <w:t>го гражданство".</w:t>
      </w:r>
    </w:p>
    <w:p w:rsidR="00000000" w:rsidRDefault="00000000">
      <w:r>
        <w:br w:type="page"/>
        <w:t>396.</w:t>
      </w:r>
      <w:r>
        <w:tab/>
        <w:t>Статья 29 гласит:</w:t>
      </w:r>
    </w:p>
    <w:p w:rsidR="00000000" w:rsidRDefault="00000000">
      <w:pPr>
        <w:tabs>
          <w:tab w:val="left" w:pos="284"/>
        </w:tabs>
        <w:ind w:left="284"/>
        <w:rPr>
          <w:i/>
        </w:rPr>
      </w:pPr>
      <w:r>
        <w:rPr>
          <w:i/>
        </w:rPr>
        <w:t>"Статья 29. – Возможность утраты мексиканского гражданства, полученного путем натурализации, существ</w:t>
      </w:r>
      <w:r>
        <w:rPr>
          <w:i/>
        </w:rPr>
        <w:t>у</w:t>
      </w:r>
      <w:r>
        <w:rPr>
          <w:i/>
        </w:rPr>
        <w:t>ет исключительно для лиц, в отношении которых вынесено соответствующее п</w:t>
      </w:r>
      <w:r>
        <w:rPr>
          <w:i/>
        </w:rPr>
        <w:t>о</w:t>
      </w:r>
      <w:r>
        <w:rPr>
          <w:i/>
        </w:rPr>
        <w:t>становление".</w:t>
      </w:r>
    </w:p>
    <w:p w:rsidR="00000000" w:rsidRDefault="00000000">
      <w:r>
        <w:t>397.</w:t>
      </w:r>
      <w:r>
        <w:tab/>
        <w:t xml:space="preserve">На основании предыдущих постановлений правительство Мексики вынесло решение об отмене ограничений, содержащихся в документе о ратификации Конвенции о гражданстве женщин, принятой </w:t>
      </w:r>
      <w:r>
        <w:br/>
        <w:t>26 декабря 1933 года в Монтевидео. Текст постановления об отмене ограничений, связанных с натурализацией женщин-иностранок, вст</w:t>
      </w:r>
      <w:r>
        <w:t>у</w:t>
      </w:r>
      <w:r>
        <w:t>пающих в брак с мексиканцами, был опубликован в "Диарио Офисиаль де ла Фед</w:t>
      </w:r>
      <w:r>
        <w:t>е</w:t>
      </w:r>
      <w:r>
        <w:t>расьон" 1 марта 2000 года.</w:t>
      </w:r>
    </w:p>
    <w:p w:rsidR="00000000" w:rsidRDefault="00000000"/>
    <w:p w:rsidR="00000000" w:rsidRDefault="00000000">
      <w:pPr>
        <w:pStyle w:val="Heading2"/>
      </w:pPr>
      <w:r>
        <w:br w:type="page"/>
        <w:t>СТАТЬЯ 10</w:t>
      </w:r>
    </w:p>
    <w:p w:rsidR="00000000" w:rsidRDefault="00000000">
      <w:pPr>
        <w:pStyle w:val="Heading3"/>
        <w:spacing w:before="0" w:after="200" w:line="235" w:lineRule="auto"/>
      </w:pPr>
      <w:r>
        <w:t>Введение</w:t>
      </w:r>
    </w:p>
    <w:p w:rsidR="00000000" w:rsidRDefault="00000000">
      <w:pPr>
        <w:spacing w:after="200" w:line="235" w:lineRule="auto"/>
      </w:pPr>
      <w:r>
        <w:t>398.</w:t>
      </w:r>
      <w:r>
        <w:tab/>
        <w:t>Одной из важнейших задач политики в области образования является расширение доступа к системе образ</w:t>
      </w:r>
      <w:r>
        <w:t>о</w:t>
      </w:r>
      <w:r>
        <w:t>вания, особенно малоимущих слоев населения. В 2000 году 29,6 процента бюджетных ассигнований было выделено на эти цели.</w:t>
      </w:r>
    </w:p>
    <w:p w:rsidR="00000000" w:rsidRDefault="00000000">
      <w:pPr>
        <w:spacing w:after="200" w:line="235" w:lineRule="auto"/>
      </w:pPr>
      <w:r>
        <w:t>399.</w:t>
      </w:r>
      <w:r>
        <w:tab/>
        <w:t xml:space="preserve">Расширение сектора образовательных услуг особенно заметно в наименее развитых в социальном отношении регионах. По результатам переписи населения 1990 года, 2,8 млн. детей и молодежи в возрасте от </w:t>
      </w:r>
      <w:r>
        <w:br/>
        <w:t>6 до 14 лет не п</w:t>
      </w:r>
      <w:r>
        <w:t>о</w:t>
      </w:r>
      <w:r>
        <w:t>сещали школу. Через пять лет в ходе переписи населения было зарегистрировано снижение этого показателя до 1,5 млн., причем большинство тех, кто не посещал школу, проживали в отдаленных районах и зонах с малой плотн</w:t>
      </w:r>
      <w:r>
        <w:t>о</w:t>
      </w:r>
      <w:r>
        <w:t>стью населения, что затрудняло им доступ к образовательным услугам. По предварительным данным переписи н</w:t>
      </w:r>
      <w:r>
        <w:t>а</w:t>
      </w:r>
      <w:r>
        <w:t>селения за 2000 год, 92,1 процента детей и подростков в возрасте от 6 до 14 лет регулярно посещают школу, тогда как в 1990 году этот показатель с</w:t>
      </w:r>
      <w:r>
        <w:t>о</w:t>
      </w:r>
      <w:r>
        <w:t>ставлял только 88,4 процента.</w:t>
      </w:r>
    </w:p>
    <w:p w:rsidR="00000000" w:rsidRDefault="00000000">
      <w:pPr>
        <w:spacing w:after="200" w:line="235" w:lineRule="auto"/>
      </w:pPr>
      <w:r>
        <w:t>400.</w:t>
      </w:r>
      <w:r>
        <w:tab/>
        <w:t>В течение 1999/2000 учебного года обучением были охвачены в целом 29,2 млн. учащихся на различных уровнях национальной системы школьного образования. 1,4 млн. преподавателей и учителей вели учебные курсы в 214 201 учебном заведении. По сравнению с 1998/99 учебным годом число учащихся увеличилось на 534 тыс. человек. В текущем 2000/2001 учебном году ожидается 29,7 млн. учащихся.</w:t>
      </w:r>
    </w:p>
    <w:p w:rsidR="00000000" w:rsidRDefault="00000000">
      <w:pPr>
        <w:spacing w:after="200" w:line="235" w:lineRule="auto"/>
      </w:pPr>
      <w:r>
        <w:t>401.</w:t>
      </w:r>
      <w:r>
        <w:tab/>
        <w:t xml:space="preserve">88,3 процента учащихся, зарегистрированных в государственной системе образования в </w:t>
      </w:r>
      <w:r>
        <w:br/>
        <w:t>1999/2000 учебном году, обучались в государственных школах и 11,7 процента – в частных учебных заведениях.</w:t>
      </w:r>
    </w:p>
    <w:p w:rsidR="00000000" w:rsidRDefault="00000000">
      <w:pPr>
        <w:spacing w:after="200" w:line="235" w:lineRule="auto"/>
      </w:pPr>
      <w:r>
        <w:t>402.</w:t>
      </w:r>
      <w:r>
        <w:tab/>
        <w:t>Большинство правительственных инициатив были направлены на повышение качества образования и на приведение в соответствие его содержания и методов с нуждами общества и потребностями личности. Среди таких н</w:t>
      </w:r>
      <w:r>
        <w:t>а</w:t>
      </w:r>
      <w:r>
        <w:t>чинаний следует отметить обновление содержания среднего образования и учебных материалов, поддержку пед</w:t>
      </w:r>
      <w:r>
        <w:t>а</w:t>
      </w:r>
      <w:r>
        <w:t>гогической деятельности, профессиональную подготовку и повышение квалификации учителей и преподавателей разного рода учебных заведений всех уровней системы образования, придание гибкости и разнообразия формам обучения в старших классах средней школы и в высших учебных заведениях, а также обеспечение связи образ</w:t>
      </w:r>
      <w:r>
        <w:t>о</w:t>
      </w:r>
      <w:r>
        <w:t>в</w:t>
      </w:r>
      <w:r>
        <w:t>а</w:t>
      </w:r>
      <w:r>
        <w:t>ния с потребностями рынка и модернизацию образовательных услуг для взрослых.</w:t>
      </w:r>
    </w:p>
    <w:p w:rsidR="00000000" w:rsidRDefault="00000000">
      <w:pPr>
        <w:spacing w:after="200" w:line="235" w:lineRule="auto"/>
      </w:pPr>
      <w:r>
        <w:t>403.</w:t>
      </w:r>
      <w:r>
        <w:tab/>
        <w:t>По данным на 2000 год, средняя продолжительность обучения среди мужчин незначительно выше, чем среди женщин (7,8 года по отн</w:t>
      </w:r>
      <w:r>
        <w:t>о</w:t>
      </w:r>
      <w:r>
        <w:t>шению к 7,3 года, соответственно).</w:t>
      </w:r>
    </w:p>
    <w:p w:rsidR="00000000" w:rsidRDefault="00000000">
      <w:pPr>
        <w:spacing w:before="120" w:line="235" w:lineRule="auto"/>
        <w:jc w:val="center"/>
        <w:rPr>
          <w:b/>
        </w:rPr>
      </w:pPr>
      <w:r>
        <w:rPr>
          <w:b/>
        </w:rPr>
        <w:t>Уровень образования населения в возрасте от 15 до 19 лет с разбивкой по полу, 1997 год</w:t>
      </w:r>
    </w:p>
    <w:p w:rsidR="00000000" w:rsidRDefault="00000000">
      <w:pPr>
        <w:spacing w:line="235" w:lineRule="auto"/>
        <w:jc w:val="center"/>
        <w:rPr>
          <w:lang w:val="en-US"/>
        </w:rPr>
      </w:pPr>
      <w:r>
        <w:rPr>
          <w:lang w:val="en-US"/>
        </w:rPr>
        <w:pict>
          <v:shape id="_x0000_i1027" type="#_x0000_t75" style="width:342pt;height:180.75pt" fillcolor="window">
            <v:imagedata r:id="rId17" o:title="Graphic-3"/>
          </v:shape>
        </w:pict>
      </w:r>
    </w:p>
    <w:p w:rsidR="00000000" w:rsidRDefault="00000000">
      <w:pPr>
        <w:spacing w:line="235" w:lineRule="auto"/>
        <w:ind w:left="1418" w:right="1424"/>
        <w:rPr>
          <w:sz w:val="18"/>
        </w:rPr>
      </w:pPr>
      <w:r>
        <w:rPr>
          <w:sz w:val="18"/>
        </w:rPr>
        <w:t>Источник: ИНЕГИ (Национальный институт статистики, географии и информатики), Национальное исследование изменений демографической с</w:t>
      </w:r>
      <w:r>
        <w:rPr>
          <w:sz w:val="18"/>
        </w:rPr>
        <w:t>и</w:t>
      </w:r>
      <w:r>
        <w:rPr>
          <w:sz w:val="18"/>
        </w:rPr>
        <w:t>туации, 1997 год.</w:t>
      </w:r>
    </w:p>
    <w:p w:rsidR="00000000" w:rsidRDefault="00000000">
      <w:r>
        <w:t>Среди молодых людей, получивших предуниверситетскую подготовку или имеющих высшее образование, бол</w:t>
      </w:r>
      <w:r>
        <w:t>ь</w:t>
      </w:r>
      <w:r>
        <w:t>ший процент девушек, чем юношей. В то же время среди тех, кто не имеет образования вообще, и тех, кто окончил шесть классов начальной школы, больше молодых женщин, чем му</w:t>
      </w:r>
      <w:r>
        <w:t>ж</w:t>
      </w:r>
      <w:r>
        <w:t>чин.</w:t>
      </w:r>
    </w:p>
    <w:p w:rsidR="00000000" w:rsidRDefault="00000000">
      <w:pPr>
        <w:pStyle w:val="Heading3"/>
      </w:pPr>
      <w:r>
        <w:t>Базовое образование</w:t>
      </w:r>
    </w:p>
    <w:p w:rsidR="00000000" w:rsidRDefault="00000000">
      <w:pPr>
        <w:pStyle w:val="Heading4"/>
      </w:pPr>
      <w:r>
        <w:t>Обзор</w:t>
      </w:r>
    </w:p>
    <w:p w:rsidR="00000000" w:rsidRDefault="00000000">
      <w:r>
        <w:t>404.</w:t>
      </w:r>
      <w:r>
        <w:tab/>
        <w:t>В течение 1999/2000 учебного года 23,4 млн. детей и молодежи, что составляет 80,2 процента всех зачисле</w:t>
      </w:r>
      <w:r>
        <w:t>н</w:t>
      </w:r>
      <w:r>
        <w:t>ных в государственные учебные заведения страны, обучались в системе базового образования (дошкольные учре</w:t>
      </w:r>
      <w:r>
        <w:t>ж</w:t>
      </w:r>
      <w:r>
        <w:t>дения, начальная школа, средняя школа). Количество школ за этот учебный год выросло до 196 тыс.</w:t>
      </w:r>
    </w:p>
    <w:p w:rsidR="00000000" w:rsidRDefault="00000000">
      <w:r>
        <w:t>405.</w:t>
      </w:r>
      <w:r>
        <w:tab/>
        <w:t>В 1999/2000 учебном году 63,2 процента учащихся посещали начальную школу, 22,3 процента – среднюю и оставшиеся 14,5 процента – дошкольные образовательные учреждения. В 2000/2001 учебном году насчитывается 23,6 млн. учащихся, что на 244 тыс. больше по сравнению с предыд</w:t>
      </w:r>
      <w:r>
        <w:t>у</w:t>
      </w:r>
      <w:r>
        <w:t>щим учебным годом.</w:t>
      </w:r>
    </w:p>
    <w:p w:rsidR="00000000" w:rsidRDefault="00000000">
      <w:r>
        <w:t>406.</w:t>
      </w:r>
      <w:r>
        <w:tab/>
        <w:t>За период с 1994 по 2000 год на 41 процент возросло число детей, посещающих дошкольные учреждения и начальную школу. Подобный прогресс достигнут в результате эффективного действия программ компенсирующего обучения, отмены системы отсева, а также в результате притока в школы детей коренного населения, в том числе проживающих в отдаленных районах и небольших населенных пунктах. Следует отметить, что в ходе перечисле</w:t>
      </w:r>
      <w:r>
        <w:t>н</w:t>
      </w:r>
      <w:r>
        <w:t>ных мероприятий постоянно учитывался критерий гендерного равенства. В настоящее время внедряются экспер</w:t>
      </w:r>
      <w:r>
        <w:t>и</w:t>
      </w:r>
      <w:r>
        <w:t>ментальные фо</w:t>
      </w:r>
      <w:r>
        <w:t>р</w:t>
      </w:r>
      <w:r>
        <w:t>мы образования для детей, чьи семьи ведут кочевой образ жизни.</w:t>
      </w:r>
    </w:p>
    <w:p w:rsidR="00000000" w:rsidRDefault="00000000">
      <w:pPr>
        <w:spacing w:before="120"/>
        <w:jc w:val="center"/>
        <w:rPr>
          <w:b/>
        </w:rPr>
      </w:pPr>
      <w:r>
        <w:rPr>
          <w:b/>
        </w:rPr>
        <w:t>Число учащихся, учителей и школ в системе базового образов</w:t>
      </w:r>
      <w:r>
        <w:rPr>
          <w:b/>
        </w:rPr>
        <w:t>а</w:t>
      </w:r>
      <w:r>
        <w:rPr>
          <w:b/>
        </w:rPr>
        <w:t>ния,</w:t>
      </w:r>
      <w:r>
        <w:rPr>
          <w:b/>
          <w:lang w:val="en-US"/>
        </w:rPr>
        <w:t xml:space="preserve"> </w:t>
      </w:r>
      <w:r>
        <w:rPr>
          <w:b/>
          <w:lang w:val="en-US"/>
        </w:rPr>
        <w:br/>
      </w:r>
      <w:r>
        <w:rPr>
          <w:b/>
        </w:rPr>
        <w:t>1994/95–2000/2001 учебные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37"/>
        <w:gridCol w:w="851"/>
        <w:gridCol w:w="852"/>
        <w:gridCol w:w="964"/>
        <w:gridCol w:w="1021"/>
        <w:gridCol w:w="851"/>
        <w:gridCol w:w="697"/>
        <w:gridCol w:w="697"/>
        <w:gridCol w:w="709"/>
        <w:gridCol w:w="552"/>
        <w:gridCol w:w="552"/>
      </w:tblGrid>
      <w:tr w:rsidR="00000000">
        <w:tblPrEx>
          <w:tblCellMar>
            <w:top w:w="0" w:type="dxa"/>
            <w:bottom w:w="0" w:type="dxa"/>
          </w:tblCellMar>
        </w:tblPrEx>
        <w:trPr>
          <w:cantSplit/>
          <w:jc w:val="center"/>
        </w:trPr>
        <w:tc>
          <w:tcPr>
            <w:tcW w:w="2237" w:type="dxa"/>
            <w:vMerge w:val="restart"/>
            <w:vAlign w:val="center"/>
          </w:tcPr>
          <w:p w:rsidR="00000000" w:rsidRDefault="00000000">
            <w:pPr>
              <w:spacing w:before="40" w:after="40"/>
              <w:jc w:val="center"/>
              <w:rPr>
                <w:b/>
                <w:sz w:val="18"/>
              </w:rPr>
            </w:pPr>
            <w:r>
              <w:rPr>
                <w:b/>
                <w:sz w:val="18"/>
              </w:rPr>
              <w:t>Наименование</w:t>
            </w:r>
          </w:p>
        </w:tc>
        <w:tc>
          <w:tcPr>
            <w:tcW w:w="3688" w:type="dxa"/>
            <w:gridSpan w:val="4"/>
            <w:vAlign w:val="center"/>
          </w:tcPr>
          <w:p w:rsidR="00000000" w:rsidRDefault="00000000">
            <w:pPr>
              <w:spacing w:before="40" w:after="40"/>
              <w:jc w:val="center"/>
              <w:rPr>
                <w:b/>
                <w:sz w:val="18"/>
              </w:rPr>
            </w:pPr>
            <w:r>
              <w:rPr>
                <w:b/>
                <w:sz w:val="18"/>
              </w:rPr>
              <w:t>Уче</w:t>
            </w:r>
            <w:r>
              <w:rPr>
                <w:b/>
                <w:sz w:val="18"/>
              </w:rPr>
              <w:t>б</w:t>
            </w:r>
            <w:r>
              <w:rPr>
                <w:b/>
                <w:sz w:val="18"/>
              </w:rPr>
              <w:t>ные годы</w:t>
            </w:r>
          </w:p>
        </w:tc>
        <w:tc>
          <w:tcPr>
            <w:tcW w:w="2245" w:type="dxa"/>
            <w:gridSpan w:val="3"/>
            <w:vAlign w:val="center"/>
          </w:tcPr>
          <w:p w:rsidR="00000000" w:rsidRDefault="00000000">
            <w:pPr>
              <w:spacing w:before="40" w:after="40"/>
              <w:jc w:val="center"/>
              <w:rPr>
                <w:b/>
                <w:sz w:val="18"/>
              </w:rPr>
            </w:pPr>
            <w:r>
              <w:rPr>
                <w:b/>
                <w:sz w:val="18"/>
              </w:rPr>
              <w:t>Изм</w:t>
            </w:r>
            <w:r>
              <w:rPr>
                <w:b/>
                <w:sz w:val="18"/>
              </w:rPr>
              <w:t>е</w:t>
            </w:r>
            <w:r>
              <w:rPr>
                <w:b/>
                <w:sz w:val="18"/>
              </w:rPr>
              <w:t>нения в абс</w:t>
            </w:r>
            <w:r>
              <w:rPr>
                <w:b/>
                <w:sz w:val="18"/>
              </w:rPr>
              <w:t>о</w:t>
            </w:r>
            <w:r>
              <w:rPr>
                <w:b/>
                <w:sz w:val="18"/>
              </w:rPr>
              <w:t>лю</w:t>
            </w:r>
            <w:r>
              <w:rPr>
                <w:b/>
                <w:sz w:val="18"/>
              </w:rPr>
              <w:t>т</w:t>
            </w:r>
            <w:r>
              <w:rPr>
                <w:b/>
                <w:sz w:val="18"/>
              </w:rPr>
              <w:t>ных цифрах</w:t>
            </w:r>
          </w:p>
        </w:tc>
        <w:tc>
          <w:tcPr>
            <w:tcW w:w="1813" w:type="dxa"/>
            <w:gridSpan w:val="3"/>
            <w:vAlign w:val="center"/>
          </w:tcPr>
          <w:p w:rsidR="00000000" w:rsidRDefault="00000000">
            <w:pPr>
              <w:spacing w:before="40" w:after="40"/>
              <w:jc w:val="center"/>
              <w:rPr>
                <w:b/>
                <w:sz w:val="18"/>
              </w:rPr>
            </w:pPr>
            <w:r>
              <w:rPr>
                <w:b/>
                <w:sz w:val="18"/>
              </w:rPr>
              <w:t>И</w:t>
            </w:r>
            <w:r>
              <w:rPr>
                <w:b/>
                <w:sz w:val="18"/>
              </w:rPr>
              <w:t>з</w:t>
            </w:r>
            <w:r>
              <w:rPr>
                <w:b/>
                <w:sz w:val="18"/>
              </w:rPr>
              <w:t>м</w:t>
            </w:r>
            <w:r>
              <w:rPr>
                <w:b/>
                <w:sz w:val="18"/>
              </w:rPr>
              <w:t>е</w:t>
            </w:r>
            <w:r>
              <w:rPr>
                <w:b/>
                <w:sz w:val="18"/>
              </w:rPr>
              <w:t>н</w:t>
            </w:r>
            <w:r>
              <w:rPr>
                <w:b/>
                <w:sz w:val="18"/>
              </w:rPr>
              <w:t>е</w:t>
            </w:r>
            <w:r>
              <w:rPr>
                <w:b/>
                <w:sz w:val="18"/>
              </w:rPr>
              <w:t>ния в пр</w:t>
            </w:r>
            <w:r>
              <w:rPr>
                <w:b/>
                <w:sz w:val="18"/>
              </w:rPr>
              <w:t>о</w:t>
            </w:r>
            <w:r>
              <w:rPr>
                <w:b/>
                <w:sz w:val="18"/>
              </w:rPr>
              <w:t>це</w:t>
            </w:r>
            <w:r>
              <w:rPr>
                <w:b/>
                <w:sz w:val="18"/>
              </w:rPr>
              <w:t>н</w:t>
            </w:r>
            <w:r>
              <w:rPr>
                <w:b/>
                <w:sz w:val="18"/>
              </w:rPr>
              <w:t>тах</w:t>
            </w:r>
          </w:p>
        </w:tc>
      </w:tr>
      <w:tr w:rsidR="00000000">
        <w:tblPrEx>
          <w:tblCellMar>
            <w:top w:w="0" w:type="dxa"/>
            <w:bottom w:w="0" w:type="dxa"/>
          </w:tblCellMar>
        </w:tblPrEx>
        <w:trPr>
          <w:cantSplit/>
          <w:jc w:val="center"/>
        </w:trPr>
        <w:tc>
          <w:tcPr>
            <w:tcW w:w="2237" w:type="dxa"/>
            <w:vMerge/>
            <w:vAlign w:val="center"/>
          </w:tcPr>
          <w:p w:rsidR="00000000" w:rsidRDefault="00000000">
            <w:pPr>
              <w:spacing w:before="40" w:after="40"/>
              <w:jc w:val="center"/>
              <w:rPr>
                <w:b/>
                <w:sz w:val="18"/>
              </w:rPr>
            </w:pPr>
          </w:p>
        </w:tc>
        <w:tc>
          <w:tcPr>
            <w:tcW w:w="851" w:type="dxa"/>
            <w:vAlign w:val="center"/>
          </w:tcPr>
          <w:p w:rsidR="00000000" w:rsidRDefault="00000000">
            <w:pPr>
              <w:spacing w:before="40" w:after="40"/>
              <w:jc w:val="center"/>
              <w:rPr>
                <w:b/>
                <w:sz w:val="18"/>
              </w:rPr>
            </w:pPr>
            <w:r>
              <w:rPr>
                <w:b/>
                <w:sz w:val="18"/>
              </w:rPr>
              <w:t>1994/95</w:t>
            </w:r>
            <w:r>
              <w:rPr>
                <w:b/>
                <w:sz w:val="18"/>
              </w:rPr>
              <w:br/>
              <w:t>(1)</w:t>
            </w:r>
          </w:p>
        </w:tc>
        <w:tc>
          <w:tcPr>
            <w:tcW w:w="852" w:type="dxa"/>
            <w:vAlign w:val="center"/>
          </w:tcPr>
          <w:p w:rsidR="00000000" w:rsidRDefault="00000000">
            <w:pPr>
              <w:spacing w:before="40" w:after="40"/>
              <w:jc w:val="center"/>
              <w:rPr>
                <w:b/>
                <w:sz w:val="18"/>
              </w:rPr>
            </w:pPr>
            <w:r>
              <w:rPr>
                <w:b/>
                <w:sz w:val="18"/>
              </w:rPr>
              <w:t>1998/99</w:t>
            </w:r>
            <w:r>
              <w:rPr>
                <w:b/>
                <w:sz w:val="18"/>
              </w:rPr>
              <w:br/>
              <w:t>(2)</w:t>
            </w:r>
          </w:p>
        </w:tc>
        <w:tc>
          <w:tcPr>
            <w:tcW w:w="964" w:type="dxa"/>
            <w:vAlign w:val="center"/>
          </w:tcPr>
          <w:p w:rsidR="00000000" w:rsidRDefault="00000000">
            <w:pPr>
              <w:spacing w:before="40" w:after="40"/>
              <w:jc w:val="center"/>
              <w:rPr>
                <w:b/>
                <w:sz w:val="18"/>
              </w:rPr>
            </w:pPr>
            <w:r>
              <w:rPr>
                <w:b/>
                <w:sz w:val="18"/>
              </w:rPr>
              <w:t>1999/2000</w:t>
            </w:r>
            <w:r>
              <w:rPr>
                <w:b/>
                <w:sz w:val="18"/>
              </w:rPr>
              <w:br/>
              <w:t>(3)</w:t>
            </w:r>
          </w:p>
        </w:tc>
        <w:tc>
          <w:tcPr>
            <w:tcW w:w="1021" w:type="dxa"/>
            <w:vAlign w:val="center"/>
          </w:tcPr>
          <w:p w:rsidR="00000000" w:rsidRDefault="00000000">
            <w:pPr>
              <w:spacing w:before="40" w:after="40"/>
              <w:jc w:val="center"/>
              <w:rPr>
                <w:b/>
                <w:sz w:val="18"/>
              </w:rPr>
            </w:pPr>
            <w:r>
              <w:rPr>
                <w:b/>
                <w:sz w:val="18"/>
              </w:rPr>
              <w:t>2000/2001</w:t>
            </w:r>
            <w:r>
              <w:rPr>
                <w:b/>
                <w:sz w:val="18"/>
                <w:vertAlign w:val="superscript"/>
                <w:lang w:val="es-ES_tradnl"/>
              </w:rPr>
              <w:t>e</w:t>
            </w:r>
            <w:r>
              <w:rPr>
                <w:b/>
                <w:sz w:val="18"/>
                <w:vertAlign w:val="superscript"/>
              </w:rPr>
              <w:br/>
            </w:r>
            <w:r>
              <w:rPr>
                <w:b/>
                <w:sz w:val="18"/>
              </w:rPr>
              <w:t>(4)</w:t>
            </w:r>
          </w:p>
        </w:tc>
        <w:tc>
          <w:tcPr>
            <w:tcW w:w="851" w:type="dxa"/>
            <w:vAlign w:val="center"/>
          </w:tcPr>
          <w:p w:rsidR="00000000" w:rsidRDefault="00000000">
            <w:pPr>
              <w:spacing w:before="40" w:after="40"/>
              <w:jc w:val="center"/>
              <w:rPr>
                <w:b/>
                <w:sz w:val="18"/>
              </w:rPr>
            </w:pPr>
            <w:r>
              <w:rPr>
                <w:b/>
                <w:sz w:val="18"/>
              </w:rPr>
              <w:t>(3-1)</w:t>
            </w:r>
          </w:p>
        </w:tc>
        <w:tc>
          <w:tcPr>
            <w:tcW w:w="697" w:type="dxa"/>
            <w:vAlign w:val="center"/>
          </w:tcPr>
          <w:p w:rsidR="00000000" w:rsidRDefault="00000000">
            <w:pPr>
              <w:spacing w:before="40" w:after="40"/>
              <w:jc w:val="center"/>
              <w:rPr>
                <w:b/>
                <w:sz w:val="18"/>
              </w:rPr>
            </w:pPr>
            <w:r>
              <w:rPr>
                <w:b/>
                <w:sz w:val="18"/>
              </w:rPr>
              <w:t>(3-2)</w:t>
            </w:r>
          </w:p>
        </w:tc>
        <w:tc>
          <w:tcPr>
            <w:tcW w:w="697" w:type="dxa"/>
            <w:vAlign w:val="center"/>
          </w:tcPr>
          <w:p w:rsidR="00000000" w:rsidRDefault="00000000">
            <w:pPr>
              <w:spacing w:before="40" w:after="40"/>
              <w:jc w:val="center"/>
              <w:rPr>
                <w:b/>
                <w:sz w:val="18"/>
              </w:rPr>
            </w:pPr>
            <w:r>
              <w:rPr>
                <w:b/>
                <w:sz w:val="18"/>
              </w:rPr>
              <w:t>(4-3)</w:t>
            </w:r>
          </w:p>
        </w:tc>
        <w:tc>
          <w:tcPr>
            <w:tcW w:w="709" w:type="dxa"/>
            <w:vAlign w:val="center"/>
          </w:tcPr>
          <w:p w:rsidR="00000000" w:rsidRDefault="00000000">
            <w:pPr>
              <w:spacing w:before="40" w:after="40"/>
              <w:jc w:val="center"/>
              <w:rPr>
                <w:b/>
                <w:sz w:val="18"/>
              </w:rPr>
            </w:pPr>
            <w:r>
              <w:rPr>
                <w:b/>
                <w:sz w:val="18"/>
              </w:rPr>
              <w:t>(3/1)</w:t>
            </w:r>
          </w:p>
        </w:tc>
        <w:tc>
          <w:tcPr>
            <w:tcW w:w="552" w:type="dxa"/>
            <w:vAlign w:val="center"/>
          </w:tcPr>
          <w:p w:rsidR="00000000" w:rsidRDefault="00000000">
            <w:pPr>
              <w:spacing w:before="40" w:after="40"/>
              <w:jc w:val="center"/>
              <w:rPr>
                <w:b/>
                <w:sz w:val="18"/>
              </w:rPr>
            </w:pPr>
            <w:r>
              <w:rPr>
                <w:b/>
                <w:sz w:val="18"/>
              </w:rPr>
              <w:t>(3/2)</w:t>
            </w:r>
          </w:p>
        </w:tc>
        <w:tc>
          <w:tcPr>
            <w:tcW w:w="552" w:type="dxa"/>
            <w:vAlign w:val="center"/>
          </w:tcPr>
          <w:p w:rsidR="00000000" w:rsidRDefault="00000000">
            <w:pPr>
              <w:spacing w:before="40" w:after="40"/>
              <w:jc w:val="center"/>
              <w:rPr>
                <w:b/>
                <w:sz w:val="18"/>
              </w:rPr>
            </w:pPr>
            <w:r>
              <w:rPr>
                <w:b/>
                <w:sz w:val="18"/>
              </w:rPr>
              <w:t>(4/3)</w:t>
            </w:r>
          </w:p>
        </w:tc>
      </w:tr>
      <w:tr w:rsidR="00000000">
        <w:tblPrEx>
          <w:tblCellMar>
            <w:top w:w="0" w:type="dxa"/>
            <w:bottom w:w="0" w:type="dxa"/>
          </w:tblCellMar>
        </w:tblPrEx>
        <w:trPr>
          <w:jc w:val="center"/>
        </w:trPr>
        <w:tc>
          <w:tcPr>
            <w:tcW w:w="2237" w:type="dxa"/>
          </w:tcPr>
          <w:p w:rsidR="00000000" w:rsidRDefault="00000000">
            <w:pPr>
              <w:spacing w:before="40" w:after="40"/>
              <w:rPr>
                <w:b/>
                <w:sz w:val="18"/>
              </w:rPr>
            </w:pPr>
            <w:r>
              <w:rPr>
                <w:b/>
                <w:sz w:val="18"/>
              </w:rPr>
              <w:t>Число уч</w:t>
            </w:r>
            <w:r>
              <w:rPr>
                <w:b/>
                <w:sz w:val="18"/>
              </w:rPr>
              <w:t>а</w:t>
            </w:r>
            <w:r>
              <w:rPr>
                <w:b/>
                <w:sz w:val="18"/>
              </w:rPr>
              <w:t>щихся</w:t>
            </w:r>
            <w:r>
              <w:rPr>
                <w:b/>
                <w:sz w:val="18"/>
                <w:vertAlign w:val="superscript"/>
              </w:rPr>
              <w:t>1</w:t>
            </w:r>
          </w:p>
        </w:tc>
        <w:tc>
          <w:tcPr>
            <w:tcW w:w="851" w:type="dxa"/>
          </w:tcPr>
          <w:p w:rsidR="00000000" w:rsidRDefault="00000000">
            <w:pPr>
              <w:spacing w:before="40" w:after="40"/>
              <w:ind w:right="57"/>
              <w:jc w:val="right"/>
              <w:rPr>
                <w:b/>
                <w:sz w:val="18"/>
              </w:rPr>
            </w:pPr>
            <w:r>
              <w:rPr>
                <w:b/>
                <w:sz w:val="18"/>
              </w:rPr>
              <w:t>22 160,2</w:t>
            </w:r>
          </w:p>
        </w:tc>
        <w:tc>
          <w:tcPr>
            <w:tcW w:w="852" w:type="dxa"/>
          </w:tcPr>
          <w:p w:rsidR="00000000" w:rsidRDefault="00000000">
            <w:pPr>
              <w:spacing w:before="40" w:after="40"/>
              <w:ind w:right="57"/>
              <w:jc w:val="right"/>
              <w:rPr>
                <w:b/>
                <w:sz w:val="18"/>
              </w:rPr>
            </w:pPr>
            <w:r>
              <w:rPr>
                <w:b/>
                <w:sz w:val="18"/>
              </w:rPr>
              <w:t>23 120</w:t>
            </w:r>
          </w:p>
        </w:tc>
        <w:tc>
          <w:tcPr>
            <w:tcW w:w="964" w:type="dxa"/>
          </w:tcPr>
          <w:p w:rsidR="00000000" w:rsidRDefault="00000000">
            <w:pPr>
              <w:spacing w:before="40" w:after="40"/>
              <w:ind w:right="113"/>
              <w:jc w:val="right"/>
              <w:rPr>
                <w:b/>
                <w:sz w:val="18"/>
              </w:rPr>
            </w:pPr>
            <w:r>
              <w:rPr>
                <w:b/>
                <w:sz w:val="18"/>
              </w:rPr>
              <w:t>23 362</w:t>
            </w:r>
          </w:p>
        </w:tc>
        <w:tc>
          <w:tcPr>
            <w:tcW w:w="1021" w:type="dxa"/>
          </w:tcPr>
          <w:p w:rsidR="00000000" w:rsidRDefault="00000000">
            <w:pPr>
              <w:spacing w:before="40" w:after="40"/>
              <w:ind w:right="113"/>
              <w:jc w:val="right"/>
              <w:rPr>
                <w:b/>
                <w:sz w:val="18"/>
              </w:rPr>
            </w:pPr>
            <w:r>
              <w:rPr>
                <w:b/>
                <w:sz w:val="18"/>
              </w:rPr>
              <w:t>23 612,5</w:t>
            </w:r>
          </w:p>
        </w:tc>
        <w:tc>
          <w:tcPr>
            <w:tcW w:w="851" w:type="dxa"/>
          </w:tcPr>
          <w:p w:rsidR="00000000" w:rsidRDefault="00000000">
            <w:pPr>
              <w:spacing w:before="40" w:after="40"/>
              <w:ind w:right="113"/>
              <w:jc w:val="right"/>
              <w:rPr>
                <w:b/>
                <w:sz w:val="18"/>
              </w:rPr>
            </w:pPr>
            <w:r>
              <w:rPr>
                <w:b/>
                <w:sz w:val="18"/>
              </w:rPr>
              <w:t>1 208,0</w:t>
            </w:r>
          </w:p>
        </w:tc>
        <w:tc>
          <w:tcPr>
            <w:tcW w:w="697" w:type="dxa"/>
          </w:tcPr>
          <w:p w:rsidR="00000000" w:rsidRDefault="00000000">
            <w:pPr>
              <w:spacing w:before="40" w:after="40"/>
              <w:ind w:right="57"/>
              <w:jc w:val="right"/>
              <w:rPr>
                <w:b/>
                <w:sz w:val="18"/>
              </w:rPr>
            </w:pPr>
            <w:r>
              <w:rPr>
                <w:b/>
                <w:sz w:val="18"/>
              </w:rPr>
              <w:t>239,2</w:t>
            </w:r>
          </w:p>
        </w:tc>
        <w:tc>
          <w:tcPr>
            <w:tcW w:w="697" w:type="dxa"/>
          </w:tcPr>
          <w:p w:rsidR="00000000" w:rsidRDefault="00000000">
            <w:pPr>
              <w:spacing w:before="40" w:after="40"/>
              <w:ind w:right="57"/>
              <w:jc w:val="right"/>
              <w:rPr>
                <w:b/>
                <w:sz w:val="18"/>
              </w:rPr>
            </w:pPr>
            <w:r>
              <w:rPr>
                <w:b/>
                <w:sz w:val="18"/>
              </w:rPr>
              <w:t>244,3</w:t>
            </w:r>
          </w:p>
        </w:tc>
        <w:tc>
          <w:tcPr>
            <w:tcW w:w="709" w:type="dxa"/>
          </w:tcPr>
          <w:p w:rsidR="00000000" w:rsidRDefault="00000000">
            <w:pPr>
              <w:spacing w:before="40" w:after="40"/>
              <w:ind w:right="170"/>
              <w:jc w:val="right"/>
              <w:rPr>
                <w:b/>
                <w:sz w:val="18"/>
              </w:rPr>
            </w:pPr>
            <w:r>
              <w:rPr>
                <w:b/>
                <w:sz w:val="18"/>
              </w:rPr>
              <w:t>5,5</w:t>
            </w:r>
          </w:p>
        </w:tc>
        <w:tc>
          <w:tcPr>
            <w:tcW w:w="552" w:type="dxa"/>
          </w:tcPr>
          <w:p w:rsidR="00000000" w:rsidRDefault="00000000">
            <w:pPr>
              <w:spacing w:before="40" w:after="40"/>
              <w:ind w:right="113"/>
              <w:jc w:val="right"/>
              <w:rPr>
                <w:b/>
                <w:sz w:val="18"/>
              </w:rPr>
            </w:pPr>
            <w:r>
              <w:rPr>
                <w:b/>
                <w:sz w:val="18"/>
              </w:rPr>
              <w:t>1,0</w:t>
            </w:r>
          </w:p>
        </w:tc>
        <w:tc>
          <w:tcPr>
            <w:tcW w:w="552" w:type="dxa"/>
          </w:tcPr>
          <w:p w:rsidR="00000000" w:rsidRDefault="00000000">
            <w:pPr>
              <w:spacing w:before="40" w:after="40"/>
              <w:ind w:right="113"/>
              <w:jc w:val="right"/>
              <w:rPr>
                <w:b/>
                <w:sz w:val="18"/>
              </w:rPr>
            </w:pPr>
            <w:r>
              <w:rPr>
                <w:b/>
                <w:sz w:val="18"/>
              </w:rPr>
              <w:t>1,0</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Дошкольники</w:t>
            </w:r>
          </w:p>
        </w:tc>
        <w:tc>
          <w:tcPr>
            <w:tcW w:w="851" w:type="dxa"/>
          </w:tcPr>
          <w:p w:rsidR="00000000" w:rsidRDefault="00000000">
            <w:pPr>
              <w:spacing w:before="40" w:after="40"/>
              <w:ind w:right="57"/>
              <w:jc w:val="right"/>
              <w:rPr>
                <w:sz w:val="18"/>
              </w:rPr>
            </w:pPr>
            <w:r>
              <w:rPr>
                <w:sz w:val="18"/>
              </w:rPr>
              <w:t>3 092,8</w:t>
            </w:r>
          </w:p>
        </w:tc>
        <w:tc>
          <w:tcPr>
            <w:tcW w:w="852" w:type="dxa"/>
          </w:tcPr>
          <w:p w:rsidR="00000000" w:rsidRDefault="00000000">
            <w:pPr>
              <w:spacing w:before="40" w:after="40"/>
              <w:ind w:right="57"/>
              <w:jc w:val="right"/>
              <w:rPr>
                <w:sz w:val="18"/>
              </w:rPr>
            </w:pPr>
            <w:r>
              <w:rPr>
                <w:sz w:val="18"/>
              </w:rPr>
              <w:t>3 360,5</w:t>
            </w:r>
          </w:p>
        </w:tc>
        <w:tc>
          <w:tcPr>
            <w:tcW w:w="964" w:type="dxa"/>
          </w:tcPr>
          <w:p w:rsidR="00000000" w:rsidRDefault="00000000">
            <w:pPr>
              <w:spacing w:before="40" w:after="40"/>
              <w:ind w:right="113"/>
              <w:jc w:val="right"/>
              <w:rPr>
                <w:sz w:val="18"/>
              </w:rPr>
            </w:pPr>
            <w:r>
              <w:rPr>
                <w:sz w:val="18"/>
              </w:rPr>
              <w:t>3 393,7</w:t>
            </w:r>
          </w:p>
        </w:tc>
        <w:tc>
          <w:tcPr>
            <w:tcW w:w="1021" w:type="dxa"/>
          </w:tcPr>
          <w:p w:rsidR="00000000" w:rsidRDefault="00000000">
            <w:pPr>
              <w:spacing w:before="40" w:after="40"/>
              <w:ind w:right="113"/>
              <w:jc w:val="right"/>
              <w:rPr>
                <w:sz w:val="18"/>
              </w:rPr>
            </w:pPr>
            <w:r>
              <w:rPr>
                <w:sz w:val="18"/>
              </w:rPr>
              <w:t>3 456,1</w:t>
            </w:r>
          </w:p>
        </w:tc>
        <w:tc>
          <w:tcPr>
            <w:tcW w:w="851" w:type="dxa"/>
          </w:tcPr>
          <w:p w:rsidR="00000000" w:rsidRDefault="00000000">
            <w:pPr>
              <w:spacing w:before="40" w:after="40"/>
              <w:ind w:right="113"/>
              <w:jc w:val="right"/>
              <w:rPr>
                <w:sz w:val="18"/>
              </w:rPr>
            </w:pPr>
            <w:r>
              <w:rPr>
                <w:sz w:val="18"/>
              </w:rPr>
              <w:t>300,9</w:t>
            </w:r>
          </w:p>
        </w:tc>
        <w:tc>
          <w:tcPr>
            <w:tcW w:w="697" w:type="dxa"/>
          </w:tcPr>
          <w:p w:rsidR="00000000" w:rsidRDefault="00000000">
            <w:pPr>
              <w:spacing w:before="40" w:after="40"/>
              <w:ind w:right="57"/>
              <w:jc w:val="right"/>
              <w:rPr>
                <w:sz w:val="18"/>
              </w:rPr>
            </w:pPr>
            <w:r>
              <w:rPr>
                <w:sz w:val="18"/>
              </w:rPr>
              <w:t>33,2</w:t>
            </w:r>
          </w:p>
        </w:tc>
        <w:tc>
          <w:tcPr>
            <w:tcW w:w="697" w:type="dxa"/>
          </w:tcPr>
          <w:p w:rsidR="00000000" w:rsidRDefault="00000000">
            <w:pPr>
              <w:spacing w:before="40" w:after="40"/>
              <w:ind w:right="57"/>
              <w:jc w:val="right"/>
              <w:rPr>
                <w:sz w:val="18"/>
              </w:rPr>
            </w:pPr>
            <w:r>
              <w:rPr>
                <w:sz w:val="18"/>
              </w:rPr>
              <w:t>62,4</w:t>
            </w:r>
          </w:p>
        </w:tc>
        <w:tc>
          <w:tcPr>
            <w:tcW w:w="709" w:type="dxa"/>
          </w:tcPr>
          <w:p w:rsidR="00000000" w:rsidRDefault="00000000">
            <w:pPr>
              <w:spacing w:before="40" w:after="40"/>
              <w:ind w:right="170"/>
              <w:jc w:val="right"/>
              <w:rPr>
                <w:sz w:val="18"/>
              </w:rPr>
            </w:pPr>
            <w:r>
              <w:rPr>
                <w:sz w:val="18"/>
              </w:rPr>
              <w:t>9,7</w:t>
            </w:r>
          </w:p>
        </w:tc>
        <w:tc>
          <w:tcPr>
            <w:tcW w:w="552" w:type="dxa"/>
          </w:tcPr>
          <w:p w:rsidR="00000000" w:rsidRDefault="00000000">
            <w:pPr>
              <w:spacing w:before="40" w:after="40"/>
              <w:ind w:right="113"/>
              <w:jc w:val="right"/>
              <w:rPr>
                <w:sz w:val="18"/>
              </w:rPr>
            </w:pPr>
            <w:r>
              <w:rPr>
                <w:sz w:val="18"/>
              </w:rPr>
              <w:t>1,0</w:t>
            </w:r>
          </w:p>
        </w:tc>
        <w:tc>
          <w:tcPr>
            <w:tcW w:w="552" w:type="dxa"/>
          </w:tcPr>
          <w:p w:rsidR="00000000" w:rsidRDefault="00000000">
            <w:pPr>
              <w:spacing w:before="40" w:after="40"/>
              <w:ind w:right="113"/>
              <w:jc w:val="right"/>
              <w:rPr>
                <w:sz w:val="18"/>
              </w:rPr>
            </w:pPr>
            <w:r>
              <w:rPr>
                <w:sz w:val="18"/>
              </w:rPr>
              <w:t>1,8</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Учащиеся начальной школы</w:t>
            </w:r>
          </w:p>
        </w:tc>
        <w:tc>
          <w:tcPr>
            <w:tcW w:w="851" w:type="dxa"/>
          </w:tcPr>
          <w:p w:rsidR="00000000" w:rsidRDefault="00000000">
            <w:pPr>
              <w:spacing w:before="40" w:after="40"/>
              <w:ind w:right="57"/>
              <w:jc w:val="right"/>
              <w:rPr>
                <w:sz w:val="18"/>
              </w:rPr>
            </w:pPr>
            <w:r>
              <w:rPr>
                <w:sz w:val="18"/>
              </w:rPr>
              <w:t>14 574,2</w:t>
            </w:r>
          </w:p>
        </w:tc>
        <w:tc>
          <w:tcPr>
            <w:tcW w:w="852" w:type="dxa"/>
          </w:tcPr>
          <w:p w:rsidR="00000000" w:rsidRDefault="00000000">
            <w:pPr>
              <w:spacing w:before="40" w:after="40"/>
              <w:ind w:right="57"/>
              <w:jc w:val="right"/>
              <w:rPr>
                <w:sz w:val="18"/>
              </w:rPr>
            </w:pPr>
            <w:r>
              <w:rPr>
                <w:sz w:val="18"/>
              </w:rPr>
              <w:t>14 697,9</w:t>
            </w:r>
          </w:p>
        </w:tc>
        <w:tc>
          <w:tcPr>
            <w:tcW w:w="964" w:type="dxa"/>
          </w:tcPr>
          <w:p w:rsidR="00000000" w:rsidRDefault="00000000">
            <w:pPr>
              <w:spacing w:before="40" w:after="40"/>
              <w:ind w:right="113"/>
              <w:jc w:val="right"/>
              <w:rPr>
                <w:sz w:val="18"/>
              </w:rPr>
            </w:pPr>
            <w:r>
              <w:rPr>
                <w:sz w:val="18"/>
              </w:rPr>
              <w:t>14 765,6</w:t>
            </w:r>
          </w:p>
        </w:tc>
        <w:tc>
          <w:tcPr>
            <w:tcW w:w="1021" w:type="dxa"/>
          </w:tcPr>
          <w:p w:rsidR="00000000" w:rsidRDefault="00000000">
            <w:pPr>
              <w:spacing w:before="40" w:after="40"/>
              <w:ind w:right="113"/>
              <w:jc w:val="right"/>
              <w:rPr>
                <w:sz w:val="18"/>
              </w:rPr>
            </w:pPr>
            <w:r>
              <w:rPr>
                <w:sz w:val="18"/>
              </w:rPr>
              <w:t>14 808,3</w:t>
            </w:r>
          </w:p>
        </w:tc>
        <w:tc>
          <w:tcPr>
            <w:tcW w:w="851" w:type="dxa"/>
          </w:tcPr>
          <w:p w:rsidR="00000000" w:rsidRDefault="00000000">
            <w:pPr>
              <w:spacing w:before="40" w:after="40"/>
              <w:ind w:right="113"/>
              <w:jc w:val="right"/>
              <w:rPr>
                <w:sz w:val="18"/>
              </w:rPr>
            </w:pPr>
            <w:r>
              <w:rPr>
                <w:sz w:val="18"/>
              </w:rPr>
              <w:t>191,4</w:t>
            </w:r>
          </w:p>
        </w:tc>
        <w:tc>
          <w:tcPr>
            <w:tcW w:w="697" w:type="dxa"/>
          </w:tcPr>
          <w:p w:rsidR="00000000" w:rsidRDefault="00000000">
            <w:pPr>
              <w:spacing w:before="40" w:after="40"/>
              <w:ind w:right="57"/>
              <w:jc w:val="right"/>
              <w:rPr>
                <w:sz w:val="18"/>
              </w:rPr>
            </w:pPr>
            <w:r>
              <w:rPr>
                <w:sz w:val="18"/>
              </w:rPr>
              <w:t>67,7</w:t>
            </w:r>
          </w:p>
        </w:tc>
        <w:tc>
          <w:tcPr>
            <w:tcW w:w="697" w:type="dxa"/>
          </w:tcPr>
          <w:p w:rsidR="00000000" w:rsidRDefault="00000000">
            <w:pPr>
              <w:spacing w:before="40" w:after="40"/>
              <w:ind w:right="57"/>
              <w:jc w:val="right"/>
              <w:rPr>
                <w:sz w:val="18"/>
              </w:rPr>
            </w:pPr>
            <w:r>
              <w:rPr>
                <w:sz w:val="18"/>
              </w:rPr>
              <w:t>42,7</w:t>
            </w:r>
          </w:p>
        </w:tc>
        <w:tc>
          <w:tcPr>
            <w:tcW w:w="709" w:type="dxa"/>
          </w:tcPr>
          <w:p w:rsidR="00000000" w:rsidRDefault="00000000">
            <w:pPr>
              <w:spacing w:before="40" w:after="40"/>
              <w:ind w:right="170"/>
              <w:jc w:val="right"/>
              <w:rPr>
                <w:sz w:val="18"/>
              </w:rPr>
            </w:pPr>
            <w:r>
              <w:rPr>
                <w:sz w:val="18"/>
              </w:rPr>
              <w:t>1,3</w:t>
            </w:r>
          </w:p>
        </w:tc>
        <w:tc>
          <w:tcPr>
            <w:tcW w:w="552" w:type="dxa"/>
          </w:tcPr>
          <w:p w:rsidR="00000000" w:rsidRDefault="00000000">
            <w:pPr>
              <w:spacing w:before="40" w:after="40"/>
              <w:ind w:right="113"/>
              <w:jc w:val="right"/>
              <w:rPr>
                <w:sz w:val="18"/>
              </w:rPr>
            </w:pPr>
            <w:r>
              <w:rPr>
                <w:sz w:val="18"/>
              </w:rPr>
              <w:t>0,5</w:t>
            </w:r>
          </w:p>
        </w:tc>
        <w:tc>
          <w:tcPr>
            <w:tcW w:w="552" w:type="dxa"/>
          </w:tcPr>
          <w:p w:rsidR="00000000" w:rsidRDefault="00000000">
            <w:pPr>
              <w:spacing w:before="40" w:after="40"/>
              <w:ind w:right="113"/>
              <w:jc w:val="right"/>
              <w:rPr>
                <w:sz w:val="18"/>
              </w:rPr>
            </w:pPr>
            <w:r>
              <w:rPr>
                <w:sz w:val="18"/>
              </w:rPr>
              <w:t>0,3</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Учащиеся средней школы</w:t>
            </w:r>
          </w:p>
        </w:tc>
        <w:tc>
          <w:tcPr>
            <w:tcW w:w="851" w:type="dxa"/>
          </w:tcPr>
          <w:p w:rsidR="00000000" w:rsidRDefault="00000000">
            <w:pPr>
              <w:spacing w:before="40" w:after="40"/>
              <w:ind w:right="57"/>
              <w:jc w:val="right"/>
              <w:rPr>
                <w:sz w:val="18"/>
              </w:rPr>
            </w:pPr>
            <w:r>
              <w:rPr>
                <w:sz w:val="18"/>
              </w:rPr>
              <w:t>4 493,2</w:t>
            </w:r>
          </w:p>
        </w:tc>
        <w:tc>
          <w:tcPr>
            <w:tcW w:w="852" w:type="dxa"/>
          </w:tcPr>
          <w:p w:rsidR="00000000" w:rsidRDefault="00000000">
            <w:pPr>
              <w:spacing w:before="40" w:after="40"/>
              <w:ind w:right="57"/>
              <w:jc w:val="right"/>
              <w:rPr>
                <w:sz w:val="18"/>
              </w:rPr>
            </w:pPr>
            <w:r>
              <w:rPr>
                <w:sz w:val="18"/>
              </w:rPr>
              <w:t>5 070,6</w:t>
            </w:r>
          </w:p>
        </w:tc>
        <w:tc>
          <w:tcPr>
            <w:tcW w:w="964" w:type="dxa"/>
          </w:tcPr>
          <w:p w:rsidR="00000000" w:rsidRDefault="00000000">
            <w:pPr>
              <w:spacing w:before="40" w:after="40"/>
              <w:ind w:right="113"/>
              <w:jc w:val="right"/>
              <w:rPr>
                <w:sz w:val="18"/>
              </w:rPr>
            </w:pPr>
            <w:r>
              <w:rPr>
                <w:sz w:val="18"/>
              </w:rPr>
              <w:t>5 208,9</w:t>
            </w:r>
          </w:p>
        </w:tc>
        <w:tc>
          <w:tcPr>
            <w:tcW w:w="1021" w:type="dxa"/>
          </w:tcPr>
          <w:p w:rsidR="00000000" w:rsidRDefault="00000000">
            <w:pPr>
              <w:spacing w:before="40" w:after="40"/>
              <w:ind w:right="113"/>
              <w:jc w:val="right"/>
              <w:rPr>
                <w:sz w:val="18"/>
              </w:rPr>
            </w:pPr>
            <w:r>
              <w:rPr>
                <w:sz w:val="18"/>
              </w:rPr>
              <w:t>5 348,1</w:t>
            </w:r>
          </w:p>
        </w:tc>
        <w:tc>
          <w:tcPr>
            <w:tcW w:w="851" w:type="dxa"/>
          </w:tcPr>
          <w:p w:rsidR="00000000" w:rsidRDefault="00000000">
            <w:pPr>
              <w:spacing w:before="40" w:after="40"/>
              <w:ind w:right="113"/>
              <w:jc w:val="right"/>
              <w:rPr>
                <w:sz w:val="18"/>
              </w:rPr>
            </w:pPr>
            <w:r>
              <w:rPr>
                <w:sz w:val="18"/>
              </w:rPr>
              <w:t>715,7</w:t>
            </w:r>
          </w:p>
        </w:tc>
        <w:tc>
          <w:tcPr>
            <w:tcW w:w="697" w:type="dxa"/>
          </w:tcPr>
          <w:p w:rsidR="00000000" w:rsidRDefault="00000000">
            <w:pPr>
              <w:spacing w:before="40" w:after="40"/>
              <w:ind w:right="57"/>
              <w:jc w:val="right"/>
              <w:rPr>
                <w:sz w:val="18"/>
              </w:rPr>
            </w:pPr>
            <w:r>
              <w:rPr>
                <w:sz w:val="18"/>
              </w:rPr>
              <w:t>138,3</w:t>
            </w:r>
          </w:p>
        </w:tc>
        <w:tc>
          <w:tcPr>
            <w:tcW w:w="697" w:type="dxa"/>
          </w:tcPr>
          <w:p w:rsidR="00000000" w:rsidRDefault="00000000">
            <w:pPr>
              <w:spacing w:before="40" w:after="40"/>
              <w:ind w:right="57"/>
              <w:jc w:val="right"/>
              <w:rPr>
                <w:sz w:val="18"/>
              </w:rPr>
            </w:pPr>
            <w:r>
              <w:rPr>
                <w:sz w:val="18"/>
              </w:rPr>
              <w:t>139,2</w:t>
            </w:r>
          </w:p>
        </w:tc>
        <w:tc>
          <w:tcPr>
            <w:tcW w:w="709" w:type="dxa"/>
          </w:tcPr>
          <w:p w:rsidR="00000000" w:rsidRDefault="00000000">
            <w:pPr>
              <w:spacing w:before="40" w:after="40"/>
              <w:ind w:right="170"/>
              <w:jc w:val="right"/>
              <w:rPr>
                <w:sz w:val="18"/>
              </w:rPr>
            </w:pPr>
            <w:r>
              <w:rPr>
                <w:sz w:val="18"/>
              </w:rPr>
              <w:t>15,9</w:t>
            </w:r>
          </w:p>
        </w:tc>
        <w:tc>
          <w:tcPr>
            <w:tcW w:w="552" w:type="dxa"/>
          </w:tcPr>
          <w:p w:rsidR="00000000" w:rsidRDefault="00000000">
            <w:pPr>
              <w:spacing w:before="40" w:after="40"/>
              <w:ind w:right="113"/>
              <w:jc w:val="right"/>
              <w:rPr>
                <w:sz w:val="18"/>
              </w:rPr>
            </w:pPr>
            <w:r>
              <w:rPr>
                <w:sz w:val="18"/>
              </w:rPr>
              <w:t>2,7</w:t>
            </w:r>
          </w:p>
        </w:tc>
        <w:tc>
          <w:tcPr>
            <w:tcW w:w="552" w:type="dxa"/>
          </w:tcPr>
          <w:p w:rsidR="00000000" w:rsidRDefault="00000000">
            <w:pPr>
              <w:spacing w:before="40" w:after="40"/>
              <w:ind w:right="113"/>
              <w:jc w:val="right"/>
              <w:rPr>
                <w:sz w:val="18"/>
              </w:rPr>
            </w:pPr>
            <w:r>
              <w:rPr>
                <w:sz w:val="18"/>
              </w:rPr>
              <w:t>2,7</w:t>
            </w:r>
          </w:p>
        </w:tc>
      </w:tr>
      <w:tr w:rsidR="00000000">
        <w:tblPrEx>
          <w:tblCellMar>
            <w:top w:w="0" w:type="dxa"/>
            <w:bottom w:w="0" w:type="dxa"/>
          </w:tblCellMar>
        </w:tblPrEx>
        <w:trPr>
          <w:jc w:val="center"/>
        </w:trPr>
        <w:tc>
          <w:tcPr>
            <w:tcW w:w="2237" w:type="dxa"/>
          </w:tcPr>
          <w:p w:rsidR="00000000" w:rsidRDefault="00000000">
            <w:pPr>
              <w:spacing w:before="40" w:after="40"/>
              <w:rPr>
                <w:b/>
                <w:sz w:val="18"/>
              </w:rPr>
            </w:pPr>
            <w:r>
              <w:rPr>
                <w:b/>
                <w:sz w:val="18"/>
              </w:rPr>
              <w:t>Учителя</w:t>
            </w:r>
          </w:p>
        </w:tc>
        <w:tc>
          <w:tcPr>
            <w:tcW w:w="851" w:type="dxa"/>
          </w:tcPr>
          <w:p w:rsidR="00000000" w:rsidRDefault="00000000">
            <w:pPr>
              <w:spacing w:before="40" w:after="40"/>
              <w:ind w:right="57"/>
              <w:jc w:val="right"/>
              <w:rPr>
                <w:b/>
                <w:sz w:val="18"/>
              </w:rPr>
            </w:pPr>
            <w:r>
              <w:rPr>
                <w:b/>
                <w:sz w:val="18"/>
              </w:rPr>
              <w:t>894 076</w:t>
            </w:r>
          </w:p>
        </w:tc>
        <w:tc>
          <w:tcPr>
            <w:tcW w:w="852" w:type="dxa"/>
          </w:tcPr>
          <w:p w:rsidR="00000000" w:rsidRDefault="00000000">
            <w:pPr>
              <w:spacing w:before="40" w:after="40"/>
              <w:ind w:right="57"/>
              <w:jc w:val="right"/>
              <w:rPr>
                <w:b/>
                <w:sz w:val="18"/>
              </w:rPr>
            </w:pPr>
            <w:r>
              <w:rPr>
                <w:b/>
                <w:sz w:val="18"/>
              </w:rPr>
              <w:t>982 925</w:t>
            </w:r>
          </w:p>
        </w:tc>
        <w:tc>
          <w:tcPr>
            <w:tcW w:w="964" w:type="dxa"/>
          </w:tcPr>
          <w:p w:rsidR="00000000" w:rsidRDefault="00000000">
            <w:pPr>
              <w:spacing w:before="40" w:after="40"/>
              <w:ind w:right="113"/>
              <w:jc w:val="right"/>
              <w:rPr>
                <w:b/>
                <w:sz w:val="18"/>
              </w:rPr>
            </w:pPr>
            <w:r>
              <w:rPr>
                <w:b/>
                <w:sz w:val="18"/>
              </w:rPr>
              <w:t>995 486</w:t>
            </w:r>
          </w:p>
        </w:tc>
        <w:tc>
          <w:tcPr>
            <w:tcW w:w="1021" w:type="dxa"/>
          </w:tcPr>
          <w:p w:rsidR="00000000" w:rsidRDefault="00000000">
            <w:pPr>
              <w:spacing w:before="40" w:after="40"/>
              <w:ind w:right="113"/>
              <w:jc w:val="right"/>
              <w:rPr>
                <w:b/>
                <w:sz w:val="18"/>
              </w:rPr>
            </w:pPr>
            <w:r>
              <w:rPr>
                <w:b/>
                <w:sz w:val="18"/>
              </w:rPr>
              <w:t>1 009 257</w:t>
            </w:r>
          </w:p>
        </w:tc>
        <w:tc>
          <w:tcPr>
            <w:tcW w:w="851" w:type="dxa"/>
          </w:tcPr>
          <w:p w:rsidR="00000000" w:rsidRDefault="00000000">
            <w:pPr>
              <w:spacing w:before="40" w:after="40"/>
              <w:ind w:right="113"/>
              <w:jc w:val="right"/>
              <w:rPr>
                <w:b/>
                <w:sz w:val="18"/>
              </w:rPr>
            </w:pPr>
            <w:r>
              <w:rPr>
                <w:b/>
                <w:sz w:val="18"/>
              </w:rPr>
              <w:t>101 410</w:t>
            </w:r>
          </w:p>
        </w:tc>
        <w:tc>
          <w:tcPr>
            <w:tcW w:w="697" w:type="dxa"/>
          </w:tcPr>
          <w:p w:rsidR="00000000" w:rsidRDefault="00000000">
            <w:pPr>
              <w:spacing w:before="40" w:after="40"/>
              <w:ind w:right="57"/>
              <w:jc w:val="right"/>
              <w:rPr>
                <w:b/>
                <w:sz w:val="18"/>
              </w:rPr>
            </w:pPr>
            <w:r>
              <w:rPr>
                <w:b/>
                <w:sz w:val="18"/>
              </w:rPr>
              <w:t>12 561</w:t>
            </w:r>
          </w:p>
        </w:tc>
        <w:tc>
          <w:tcPr>
            <w:tcW w:w="697" w:type="dxa"/>
          </w:tcPr>
          <w:p w:rsidR="00000000" w:rsidRDefault="00000000">
            <w:pPr>
              <w:spacing w:before="40" w:after="40"/>
              <w:ind w:right="57"/>
              <w:jc w:val="right"/>
              <w:rPr>
                <w:b/>
                <w:sz w:val="18"/>
              </w:rPr>
            </w:pPr>
            <w:r>
              <w:rPr>
                <w:b/>
                <w:sz w:val="18"/>
              </w:rPr>
              <w:t>13 771</w:t>
            </w:r>
          </w:p>
        </w:tc>
        <w:tc>
          <w:tcPr>
            <w:tcW w:w="709" w:type="dxa"/>
          </w:tcPr>
          <w:p w:rsidR="00000000" w:rsidRDefault="00000000">
            <w:pPr>
              <w:spacing w:before="40" w:after="40"/>
              <w:ind w:right="170"/>
              <w:jc w:val="right"/>
              <w:rPr>
                <w:b/>
                <w:sz w:val="18"/>
              </w:rPr>
            </w:pPr>
            <w:r>
              <w:rPr>
                <w:b/>
                <w:sz w:val="18"/>
              </w:rPr>
              <w:t>11,3</w:t>
            </w:r>
          </w:p>
        </w:tc>
        <w:tc>
          <w:tcPr>
            <w:tcW w:w="552" w:type="dxa"/>
          </w:tcPr>
          <w:p w:rsidR="00000000" w:rsidRDefault="00000000">
            <w:pPr>
              <w:spacing w:before="40" w:after="40"/>
              <w:ind w:right="113"/>
              <w:jc w:val="right"/>
              <w:rPr>
                <w:b/>
                <w:sz w:val="18"/>
              </w:rPr>
            </w:pPr>
            <w:r>
              <w:rPr>
                <w:b/>
                <w:sz w:val="18"/>
              </w:rPr>
              <w:t>1,3</w:t>
            </w:r>
          </w:p>
        </w:tc>
        <w:tc>
          <w:tcPr>
            <w:tcW w:w="552" w:type="dxa"/>
          </w:tcPr>
          <w:p w:rsidR="00000000" w:rsidRDefault="00000000">
            <w:pPr>
              <w:spacing w:before="40" w:after="40"/>
              <w:ind w:right="113"/>
              <w:jc w:val="right"/>
              <w:rPr>
                <w:b/>
                <w:sz w:val="18"/>
              </w:rPr>
            </w:pPr>
            <w:r>
              <w:rPr>
                <w:b/>
                <w:sz w:val="18"/>
              </w:rPr>
              <w:t>1,4</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Дошкольных учрежд</w:t>
            </w:r>
            <w:r>
              <w:rPr>
                <w:sz w:val="18"/>
              </w:rPr>
              <w:t>е</w:t>
            </w:r>
            <w:r>
              <w:rPr>
                <w:sz w:val="18"/>
              </w:rPr>
              <w:t>ний</w:t>
            </w:r>
          </w:p>
        </w:tc>
        <w:tc>
          <w:tcPr>
            <w:tcW w:w="851" w:type="dxa"/>
          </w:tcPr>
          <w:p w:rsidR="00000000" w:rsidRDefault="00000000">
            <w:pPr>
              <w:spacing w:before="40" w:after="40"/>
              <w:ind w:right="57"/>
              <w:jc w:val="right"/>
              <w:rPr>
                <w:sz w:val="18"/>
              </w:rPr>
            </w:pPr>
            <w:r>
              <w:rPr>
                <w:sz w:val="18"/>
              </w:rPr>
              <w:t>129 576</w:t>
            </w:r>
          </w:p>
        </w:tc>
        <w:tc>
          <w:tcPr>
            <w:tcW w:w="852" w:type="dxa"/>
          </w:tcPr>
          <w:p w:rsidR="00000000" w:rsidRDefault="00000000">
            <w:pPr>
              <w:spacing w:before="40" w:after="40"/>
              <w:ind w:right="57"/>
              <w:jc w:val="right"/>
              <w:rPr>
                <w:sz w:val="18"/>
              </w:rPr>
            </w:pPr>
            <w:r>
              <w:rPr>
                <w:sz w:val="18"/>
              </w:rPr>
              <w:t>150 064</w:t>
            </w:r>
          </w:p>
        </w:tc>
        <w:tc>
          <w:tcPr>
            <w:tcW w:w="964" w:type="dxa"/>
          </w:tcPr>
          <w:p w:rsidR="00000000" w:rsidRDefault="00000000">
            <w:pPr>
              <w:spacing w:before="40" w:after="40"/>
              <w:ind w:right="113"/>
              <w:jc w:val="right"/>
              <w:rPr>
                <w:sz w:val="18"/>
              </w:rPr>
            </w:pPr>
            <w:r>
              <w:rPr>
                <w:sz w:val="18"/>
              </w:rPr>
              <w:t>151 793</w:t>
            </w:r>
          </w:p>
        </w:tc>
        <w:tc>
          <w:tcPr>
            <w:tcW w:w="1021" w:type="dxa"/>
          </w:tcPr>
          <w:p w:rsidR="00000000" w:rsidRDefault="00000000">
            <w:pPr>
              <w:spacing w:before="40" w:after="40"/>
              <w:ind w:right="113"/>
              <w:jc w:val="right"/>
              <w:rPr>
                <w:sz w:val="18"/>
              </w:rPr>
            </w:pPr>
            <w:r>
              <w:rPr>
                <w:sz w:val="18"/>
              </w:rPr>
              <w:t>155 777</w:t>
            </w:r>
          </w:p>
        </w:tc>
        <w:tc>
          <w:tcPr>
            <w:tcW w:w="851" w:type="dxa"/>
          </w:tcPr>
          <w:p w:rsidR="00000000" w:rsidRDefault="00000000">
            <w:pPr>
              <w:spacing w:before="40" w:after="40"/>
              <w:ind w:right="113"/>
              <w:jc w:val="right"/>
              <w:rPr>
                <w:sz w:val="18"/>
              </w:rPr>
            </w:pPr>
            <w:r>
              <w:rPr>
                <w:sz w:val="18"/>
              </w:rPr>
              <w:t>22 217</w:t>
            </w:r>
          </w:p>
        </w:tc>
        <w:tc>
          <w:tcPr>
            <w:tcW w:w="697" w:type="dxa"/>
          </w:tcPr>
          <w:p w:rsidR="00000000" w:rsidRDefault="00000000">
            <w:pPr>
              <w:spacing w:before="40" w:after="40"/>
              <w:ind w:right="57"/>
              <w:jc w:val="right"/>
              <w:rPr>
                <w:sz w:val="18"/>
              </w:rPr>
            </w:pPr>
            <w:r>
              <w:rPr>
                <w:sz w:val="18"/>
              </w:rPr>
              <w:t>1 729</w:t>
            </w:r>
          </w:p>
        </w:tc>
        <w:tc>
          <w:tcPr>
            <w:tcW w:w="697" w:type="dxa"/>
          </w:tcPr>
          <w:p w:rsidR="00000000" w:rsidRDefault="00000000">
            <w:pPr>
              <w:spacing w:before="40" w:after="40"/>
              <w:ind w:right="57"/>
              <w:jc w:val="right"/>
              <w:rPr>
                <w:sz w:val="18"/>
              </w:rPr>
            </w:pPr>
            <w:r>
              <w:rPr>
                <w:sz w:val="18"/>
              </w:rPr>
              <w:t>3 984</w:t>
            </w:r>
          </w:p>
        </w:tc>
        <w:tc>
          <w:tcPr>
            <w:tcW w:w="709" w:type="dxa"/>
          </w:tcPr>
          <w:p w:rsidR="00000000" w:rsidRDefault="00000000">
            <w:pPr>
              <w:spacing w:before="40" w:after="40"/>
              <w:ind w:right="170"/>
              <w:jc w:val="right"/>
              <w:rPr>
                <w:sz w:val="18"/>
              </w:rPr>
            </w:pPr>
            <w:r>
              <w:rPr>
                <w:sz w:val="18"/>
              </w:rPr>
              <w:t>17,1</w:t>
            </w:r>
          </w:p>
        </w:tc>
        <w:tc>
          <w:tcPr>
            <w:tcW w:w="552" w:type="dxa"/>
          </w:tcPr>
          <w:p w:rsidR="00000000" w:rsidRDefault="00000000">
            <w:pPr>
              <w:spacing w:before="40" w:after="40"/>
              <w:ind w:right="113"/>
              <w:jc w:val="right"/>
              <w:rPr>
                <w:sz w:val="18"/>
              </w:rPr>
            </w:pPr>
            <w:r>
              <w:rPr>
                <w:sz w:val="18"/>
              </w:rPr>
              <w:t>1,2</w:t>
            </w:r>
          </w:p>
        </w:tc>
        <w:tc>
          <w:tcPr>
            <w:tcW w:w="552" w:type="dxa"/>
          </w:tcPr>
          <w:p w:rsidR="00000000" w:rsidRDefault="00000000">
            <w:pPr>
              <w:spacing w:before="40" w:after="40"/>
              <w:ind w:right="113"/>
              <w:jc w:val="right"/>
              <w:rPr>
                <w:sz w:val="18"/>
              </w:rPr>
            </w:pPr>
            <w:r>
              <w:rPr>
                <w:sz w:val="18"/>
              </w:rPr>
              <w:t>2,6</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Начальной шк</w:t>
            </w:r>
            <w:r>
              <w:rPr>
                <w:sz w:val="18"/>
              </w:rPr>
              <w:t>о</w:t>
            </w:r>
            <w:r>
              <w:rPr>
                <w:sz w:val="18"/>
              </w:rPr>
              <w:t>лы</w:t>
            </w:r>
          </w:p>
        </w:tc>
        <w:tc>
          <w:tcPr>
            <w:tcW w:w="851" w:type="dxa"/>
          </w:tcPr>
          <w:p w:rsidR="00000000" w:rsidRDefault="00000000">
            <w:pPr>
              <w:spacing w:before="40" w:after="40"/>
              <w:ind w:right="57"/>
              <w:jc w:val="right"/>
              <w:rPr>
                <w:sz w:val="18"/>
              </w:rPr>
            </w:pPr>
            <w:r>
              <w:rPr>
                <w:sz w:val="18"/>
              </w:rPr>
              <w:t>507 669</w:t>
            </w:r>
          </w:p>
        </w:tc>
        <w:tc>
          <w:tcPr>
            <w:tcW w:w="852" w:type="dxa"/>
          </w:tcPr>
          <w:p w:rsidR="00000000" w:rsidRDefault="00000000">
            <w:pPr>
              <w:spacing w:before="40" w:after="40"/>
              <w:ind w:right="57"/>
              <w:jc w:val="right"/>
              <w:rPr>
                <w:sz w:val="18"/>
              </w:rPr>
            </w:pPr>
            <w:r>
              <w:rPr>
                <w:sz w:val="18"/>
              </w:rPr>
              <w:t>539 853</w:t>
            </w:r>
          </w:p>
        </w:tc>
        <w:tc>
          <w:tcPr>
            <w:tcW w:w="964" w:type="dxa"/>
          </w:tcPr>
          <w:p w:rsidR="00000000" w:rsidRDefault="00000000">
            <w:pPr>
              <w:spacing w:before="40" w:after="40"/>
              <w:ind w:right="113"/>
              <w:jc w:val="right"/>
              <w:rPr>
                <w:sz w:val="18"/>
              </w:rPr>
            </w:pPr>
            <w:r>
              <w:rPr>
                <w:sz w:val="18"/>
              </w:rPr>
              <w:t>543 694</w:t>
            </w:r>
          </w:p>
        </w:tc>
        <w:tc>
          <w:tcPr>
            <w:tcW w:w="1021" w:type="dxa"/>
          </w:tcPr>
          <w:p w:rsidR="00000000" w:rsidRDefault="00000000">
            <w:pPr>
              <w:spacing w:before="40" w:after="40"/>
              <w:ind w:right="113"/>
              <w:jc w:val="right"/>
              <w:rPr>
                <w:sz w:val="18"/>
              </w:rPr>
            </w:pPr>
            <w:r>
              <w:rPr>
                <w:sz w:val="18"/>
              </w:rPr>
              <w:t>545 717</w:t>
            </w:r>
          </w:p>
        </w:tc>
        <w:tc>
          <w:tcPr>
            <w:tcW w:w="851" w:type="dxa"/>
          </w:tcPr>
          <w:p w:rsidR="00000000" w:rsidRDefault="00000000">
            <w:pPr>
              <w:spacing w:before="40" w:after="40"/>
              <w:ind w:right="113"/>
              <w:jc w:val="right"/>
              <w:rPr>
                <w:sz w:val="18"/>
              </w:rPr>
            </w:pPr>
            <w:r>
              <w:rPr>
                <w:sz w:val="18"/>
              </w:rPr>
              <w:t>36 025</w:t>
            </w:r>
          </w:p>
        </w:tc>
        <w:tc>
          <w:tcPr>
            <w:tcW w:w="697" w:type="dxa"/>
          </w:tcPr>
          <w:p w:rsidR="00000000" w:rsidRDefault="00000000">
            <w:pPr>
              <w:spacing w:before="40" w:after="40"/>
              <w:ind w:right="57"/>
              <w:jc w:val="right"/>
              <w:rPr>
                <w:sz w:val="18"/>
              </w:rPr>
            </w:pPr>
            <w:r>
              <w:rPr>
                <w:sz w:val="18"/>
              </w:rPr>
              <w:t>3 841</w:t>
            </w:r>
          </w:p>
        </w:tc>
        <w:tc>
          <w:tcPr>
            <w:tcW w:w="697" w:type="dxa"/>
          </w:tcPr>
          <w:p w:rsidR="00000000" w:rsidRDefault="00000000">
            <w:pPr>
              <w:spacing w:before="40" w:after="40"/>
              <w:ind w:right="57"/>
              <w:jc w:val="right"/>
              <w:rPr>
                <w:sz w:val="18"/>
              </w:rPr>
            </w:pPr>
            <w:r>
              <w:rPr>
                <w:sz w:val="18"/>
              </w:rPr>
              <w:t>2 023</w:t>
            </w:r>
          </w:p>
        </w:tc>
        <w:tc>
          <w:tcPr>
            <w:tcW w:w="709" w:type="dxa"/>
          </w:tcPr>
          <w:p w:rsidR="00000000" w:rsidRDefault="00000000">
            <w:pPr>
              <w:spacing w:before="40" w:after="40"/>
              <w:ind w:right="170"/>
              <w:jc w:val="right"/>
              <w:rPr>
                <w:sz w:val="18"/>
              </w:rPr>
            </w:pPr>
            <w:r>
              <w:rPr>
                <w:sz w:val="18"/>
              </w:rPr>
              <w:t>7,1</w:t>
            </w:r>
          </w:p>
        </w:tc>
        <w:tc>
          <w:tcPr>
            <w:tcW w:w="552" w:type="dxa"/>
          </w:tcPr>
          <w:p w:rsidR="00000000" w:rsidRDefault="00000000">
            <w:pPr>
              <w:spacing w:before="40" w:after="40"/>
              <w:ind w:right="113"/>
              <w:jc w:val="right"/>
              <w:rPr>
                <w:sz w:val="18"/>
              </w:rPr>
            </w:pPr>
            <w:r>
              <w:rPr>
                <w:sz w:val="18"/>
              </w:rPr>
              <w:t>0,7</w:t>
            </w:r>
          </w:p>
        </w:tc>
        <w:tc>
          <w:tcPr>
            <w:tcW w:w="552" w:type="dxa"/>
          </w:tcPr>
          <w:p w:rsidR="00000000" w:rsidRDefault="00000000">
            <w:pPr>
              <w:spacing w:before="40" w:after="40"/>
              <w:ind w:right="113"/>
              <w:jc w:val="right"/>
              <w:rPr>
                <w:sz w:val="18"/>
              </w:rPr>
            </w:pPr>
            <w:r>
              <w:rPr>
                <w:sz w:val="18"/>
              </w:rPr>
              <w:t>0,4</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Средней школы</w:t>
            </w:r>
          </w:p>
        </w:tc>
        <w:tc>
          <w:tcPr>
            <w:tcW w:w="851" w:type="dxa"/>
          </w:tcPr>
          <w:p w:rsidR="00000000" w:rsidRDefault="00000000">
            <w:pPr>
              <w:spacing w:before="40" w:after="40"/>
              <w:ind w:right="57"/>
              <w:jc w:val="right"/>
              <w:rPr>
                <w:sz w:val="18"/>
              </w:rPr>
            </w:pPr>
            <w:r>
              <w:rPr>
                <w:sz w:val="18"/>
              </w:rPr>
              <w:t>256 831</w:t>
            </w:r>
          </w:p>
        </w:tc>
        <w:tc>
          <w:tcPr>
            <w:tcW w:w="852" w:type="dxa"/>
          </w:tcPr>
          <w:p w:rsidR="00000000" w:rsidRDefault="00000000">
            <w:pPr>
              <w:spacing w:before="40" w:after="40"/>
              <w:ind w:right="57"/>
              <w:jc w:val="right"/>
              <w:rPr>
                <w:sz w:val="18"/>
              </w:rPr>
            </w:pPr>
            <w:r>
              <w:rPr>
                <w:sz w:val="18"/>
              </w:rPr>
              <w:t>293 008</w:t>
            </w:r>
          </w:p>
        </w:tc>
        <w:tc>
          <w:tcPr>
            <w:tcW w:w="964" w:type="dxa"/>
          </w:tcPr>
          <w:p w:rsidR="00000000" w:rsidRDefault="00000000">
            <w:pPr>
              <w:spacing w:before="40" w:after="40"/>
              <w:ind w:right="113"/>
              <w:jc w:val="right"/>
              <w:rPr>
                <w:sz w:val="18"/>
              </w:rPr>
            </w:pPr>
            <w:r>
              <w:rPr>
                <w:sz w:val="18"/>
              </w:rPr>
              <w:t>299 999</w:t>
            </w:r>
          </w:p>
        </w:tc>
        <w:tc>
          <w:tcPr>
            <w:tcW w:w="1021" w:type="dxa"/>
          </w:tcPr>
          <w:p w:rsidR="00000000" w:rsidRDefault="00000000">
            <w:pPr>
              <w:spacing w:before="40" w:after="40"/>
              <w:ind w:right="113"/>
              <w:jc w:val="right"/>
              <w:rPr>
                <w:sz w:val="18"/>
              </w:rPr>
            </w:pPr>
            <w:r>
              <w:rPr>
                <w:sz w:val="18"/>
              </w:rPr>
              <w:t>307 763</w:t>
            </w:r>
          </w:p>
        </w:tc>
        <w:tc>
          <w:tcPr>
            <w:tcW w:w="851" w:type="dxa"/>
          </w:tcPr>
          <w:p w:rsidR="00000000" w:rsidRDefault="00000000">
            <w:pPr>
              <w:spacing w:before="40" w:after="40"/>
              <w:ind w:right="113"/>
              <w:jc w:val="right"/>
              <w:rPr>
                <w:sz w:val="18"/>
              </w:rPr>
            </w:pPr>
            <w:r>
              <w:rPr>
                <w:sz w:val="18"/>
              </w:rPr>
              <w:t>43 168</w:t>
            </w:r>
          </w:p>
        </w:tc>
        <w:tc>
          <w:tcPr>
            <w:tcW w:w="697" w:type="dxa"/>
          </w:tcPr>
          <w:p w:rsidR="00000000" w:rsidRDefault="00000000">
            <w:pPr>
              <w:spacing w:before="40" w:after="40"/>
              <w:ind w:right="57"/>
              <w:jc w:val="right"/>
              <w:rPr>
                <w:sz w:val="18"/>
              </w:rPr>
            </w:pPr>
            <w:r>
              <w:rPr>
                <w:sz w:val="18"/>
              </w:rPr>
              <w:t>6 991</w:t>
            </w:r>
          </w:p>
        </w:tc>
        <w:tc>
          <w:tcPr>
            <w:tcW w:w="697" w:type="dxa"/>
          </w:tcPr>
          <w:p w:rsidR="00000000" w:rsidRDefault="00000000">
            <w:pPr>
              <w:spacing w:before="40" w:after="40"/>
              <w:ind w:right="57"/>
              <w:jc w:val="right"/>
              <w:rPr>
                <w:sz w:val="18"/>
              </w:rPr>
            </w:pPr>
            <w:r>
              <w:rPr>
                <w:sz w:val="18"/>
              </w:rPr>
              <w:t>7 764</w:t>
            </w:r>
          </w:p>
        </w:tc>
        <w:tc>
          <w:tcPr>
            <w:tcW w:w="709" w:type="dxa"/>
          </w:tcPr>
          <w:p w:rsidR="00000000" w:rsidRDefault="00000000">
            <w:pPr>
              <w:spacing w:before="40" w:after="40"/>
              <w:ind w:right="170"/>
              <w:jc w:val="right"/>
              <w:rPr>
                <w:sz w:val="18"/>
              </w:rPr>
            </w:pPr>
            <w:r>
              <w:rPr>
                <w:sz w:val="18"/>
              </w:rPr>
              <w:t>16,8</w:t>
            </w:r>
          </w:p>
        </w:tc>
        <w:tc>
          <w:tcPr>
            <w:tcW w:w="552" w:type="dxa"/>
          </w:tcPr>
          <w:p w:rsidR="00000000" w:rsidRDefault="00000000">
            <w:pPr>
              <w:spacing w:before="40" w:after="40"/>
              <w:ind w:right="113"/>
              <w:jc w:val="right"/>
              <w:rPr>
                <w:sz w:val="18"/>
              </w:rPr>
            </w:pPr>
            <w:r>
              <w:rPr>
                <w:sz w:val="18"/>
              </w:rPr>
              <w:t>2,4</w:t>
            </w:r>
          </w:p>
        </w:tc>
        <w:tc>
          <w:tcPr>
            <w:tcW w:w="552" w:type="dxa"/>
          </w:tcPr>
          <w:p w:rsidR="00000000" w:rsidRDefault="00000000">
            <w:pPr>
              <w:spacing w:before="40" w:after="40"/>
              <w:ind w:right="113"/>
              <w:jc w:val="right"/>
              <w:rPr>
                <w:sz w:val="18"/>
              </w:rPr>
            </w:pPr>
            <w:r>
              <w:rPr>
                <w:sz w:val="18"/>
              </w:rPr>
              <w:t>2,6</w:t>
            </w:r>
          </w:p>
        </w:tc>
      </w:tr>
      <w:tr w:rsidR="00000000">
        <w:tblPrEx>
          <w:tblCellMar>
            <w:top w:w="0" w:type="dxa"/>
            <w:bottom w:w="0" w:type="dxa"/>
          </w:tblCellMar>
        </w:tblPrEx>
        <w:trPr>
          <w:jc w:val="center"/>
        </w:trPr>
        <w:tc>
          <w:tcPr>
            <w:tcW w:w="2237" w:type="dxa"/>
          </w:tcPr>
          <w:p w:rsidR="00000000" w:rsidRDefault="00000000">
            <w:pPr>
              <w:spacing w:before="40" w:after="40"/>
              <w:rPr>
                <w:b/>
                <w:sz w:val="18"/>
              </w:rPr>
            </w:pPr>
            <w:r>
              <w:rPr>
                <w:b/>
                <w:sz w:val="18"/>
              </w:rPr>
              <w:t>Школы</w:t>
            </w:r>
          </w:p>
        </w:tc>
        <w:tc>
          <w:tcPr>
            <w:tcW w:w="851" w:type="dxa"/>
          </w:tcPr>
          <w:p w:rsidR="00000000" w:rsidRDefault="00000000">
            <w:pPr>
              <w:spacing w:before="40" w:after="40"/>
              <w:ind w:right="57"/>
              <w:jc w:val="right"/>
              <w:rPr>
                <w:b/>
                <w:sz w:val="18"/>
              </w:rPr>
            </w:pPr>
            <w:r>
              <w:rPr>
                <w:b/>
                <w:sz w:val="18"/>
              </w:rPr>
              <w:t>172 980</w:t>
            </w:r>
          </w:p>
        </w:tc>
        <w:tc>
          <w:tcPr>
            <w:tcW w:w="852" w:type="dxa"/>
          </w:tcPr>
          <w:p w:rsidR="00000000" w:rsidRDefault="00000000">
            <w:pPr>
              <w:spacing w:before="40" w:after="40"/>
              <w:ind w:right="57"/>
              <w:jc w:val="right"/>
              <w:rPr>
                <w:b/>
                <w:sz w:val="18"/>
              </w:rPr>
            </w:pPr>
            <w:r>
              <w:rPr>
                <w:b/>
                <w:sz w:val="18"/>
              </w:rPr>
              <w:t>194 775</w:t>
            </w:r>
          </w:p>
        </w:tc>
        <w:tc>
          <w:tcPr>
            <w:tcW w:w="964" w:type="dxa"/>
          </w:tcPr>
          <w:p w:rsidR="00000000" w:rsidRDefault="00000000">
            <w:pPr>
              <w:spacing w:before="40" w:after="40"/>
              <w:ind w:right="113"/>
              <w:jc w:val="right"/>
              <w:rPr>
                <w:b/>
                <w:sz w:val="18"/>
              </w:rPr>
            </w:pPr>
            <w:r>
              <w:rPr>
                <w:b/>
                <w:sz w:val="18"/>
              </w:rPr>
              <w:t>195 714</w:t>
            </w:r>
          </w:p>
        </w:tc>
        <w:tc>
          <w:tcPr>
            <w:tcW w:w="1021" w:type="dxa"/>
          </w:tcPr>
          <w:p w:rsidR="00000000" w:rsidRDefault="00000000">
            <w:pPr>
              <w:spacing w:before="40" w:after="40"/>
              <w:ind w:right="113"/>
              <w:jc w:val="right"/>
              <w:rPr>
                <w:b/>
                <w:sz w:val="18"/>
              </w:rPr>
            </w:pPr>
            <w:r>
              <w:rPr>
                <w:b/>
                <w:sz w:val="18"/>
              </w:rPr>
              <w:t>200 833</w:t>
            </w:r>
          </w:p>
        </w:tc>
        <w:tc>
          <w:tcPr>
            <w:tcW w:w="851" w:type="dxa"/>
          </w:tcPr>
          <w:p w:rsidR="00000000" w:rsidRDefault="00000000">
            <w:pPr>
              <w:spacing w:before="40" w:after="40"/>
              <w:ind w:right="113"/>
              <w:jc w:val="right"/>
              <w:rPr>
                <w:b/>
                <w:sz w:val="18"/>
              </w:rPr>
            </w:pPr>
            <w:r>
              <w:rPr>
                <w:b/>
                <w:sz w:val="18"/>
              </w:rPr>
              <w:t>22 734</w:t>
            </w:r>
          </w:p>
        </w:tc>
        <w:tc>
          <w:tcPr>
            <w:tcW w:w="697" w:type="dxa"/>
          </w:tcPr>
          <w:p w:rsidR="00000000" w:rsidRDefault="00000000">
            <w:pPr>
              <w:spacing w:before="40" w:after="40"/>
              <w:ind w:right="57"/>
              <w:jc w:val="right"/>
              <w:rPr>
                <w:b/>
                <w:sz w:val="18"/>
              </w:rPr>
            </w:pPr>
            <w:r>
              <w:rPr>
                <w:b/>
                <w:sz w:val="18"/>
              </w:rPr>
              <w:t>939</w:t>
            </w:r>
          </w:p>
        </w:tc>
        <w:tc>
          <w:tcPr>
            <w:tcW w:w="697" w:type="dxa"/>
          </w:tcPr>
          <w:p w:rsidR="00000000" w:rsidRDefault="00000000">
            <w:pPr>
              <w:spacing w:before="40" w:after="40"/>
              <w:ind w:right="57"/>
              <w:jc w:val="right"/>
              <w:rPr>
                <w:b/>
                <w:sz w:val="18"/>
              </w:rPr>
            </w:pPr>
            <w:r>
              <w:rPr>
                <w:b/>
                <w:sz w:val="18"/>
              </w:rPr>
              <w:t>5 119</w:t>
            </w:r>
          </w:p>
        </w:tc>
        <w:tc>
          <w:tcPr>
            <w:tcW w:w="709" w:type="dxa"/>
          </w:tcPr>
          <w:p w:rsidR="00000000" w:rsidRDefault="00000000">
            <w:pPr>
              <w:spacing w:before="40" w:after="40"/>
              <w:ind w:right="170"/>
              <w:jc w:val="right"/>
              <w:rPr>
                <w:b/>
                <w:sz w:val="18"/>
              </w:rPr>
            </w:pPr>
            <w:r>
              <w:rPr>
                <w:b/>
                <w:sz w:val="18"/>
              </w:rPr>
              <w:t>3,1</w:t>
            </w:r>
          </w:p>
        </w:tc>
        <w:tc>
          <w:tcPr>
            <w:tcW w:w="552" w:type="dxa"/>
          </w:tcPr>
          <w:p w:rsidR="00000000" w:rsidRDefault="00000000">
            <w:pPr>
              <w:spacing w:before="40" w:after="40"/>
              <w:ind w:right="113"/>
              <w:jc w:val="right"/>
              <w:rPr>
                <w:b/>
                <w:sz w:val="18"/>
              </w:rPr>
            </w:pPr>
            <w:r>
              <w:rPr>
                <w:b/>
                <w:sz w:val="18"/>
              </w:rPr>
              <w:t>0,5</w:t>
            </w:r>
          </w:p>
        </w:tc>
        <w:tc>
          <w:tcPr>
            <w:tcW w:w="552" w:type="dxa"/>
          </w:tcPr>
          <w:p w:rsidR="00000000" w:rsidRDefault="00000000">
            <w:pPr>
              <w:spacing w:before="40" w:after="40"/>
              <w:ind w:right="113"/>
              <w:jc w:val="right"/>
              <w:rPr>
                <w:b/>
                <w:sz w:val="18"/>
              </w:rPr>
            </w:pPr>
            <w:r>
              <w:rPr>
                <w:b/>
                <w:sz w:val="18"/>
              </w:rPr>
              <w:t>2,6</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Дошкольные учрежд</w:t>
            </w:r>
            <w:r>
              <w:rPr>
                <w:sz w:val="18"/>
              </w:rPr>
              <w:t>е</w:t>
            </w:r>
            <w:r>
              <w:rPr>
                <w:sz w:val="18"/>
              </w:rPr>
              <w:t>ния</w:t>
            </w:r>
          </w:p>
        </w:tc>
        <w:tc>
          <w:tcPr>
            <w:tcW w:w="851" w:type="dxa"/>
          </w:tcPr>
          <w:p w:rsidR="00000000" w:rsidRDefault="00000000">
            <w:pPr>
              <w:spacing w:before="40" w:after="40"/>
              <w:ind w:right="57"/>
              <w:jc w:val="right"/>
              <w:rPr>
                <w:sz w:val="18"/>
              </w:rPr>
            </w:pPr>
            <w:r>
              <w:rPr>
                <w:sz w:val="18"/>
              </w:rPr>
              <w:t>58 868</w:t>
            </w:r>
          </w:p>
        </w:tc>
        <w:tc>
          <w:tcPr>
            <w:tcW w:w="852" w:type="dxa"/>
          </w:tcPr>
          <w:p w:rsidR="00000000" w:rsidRDefault="00000000">
            <w:pPr>
              <w:spacing w:before="40" w:after="40"/>
              <w:ind w:right="57"/>
              <w:jc w:val="right"/>
              <w:rPr>
                <w:sz w:val="18"/>
              </w:rPr>
            </w:pPr>
            <w:r>
              <w:rPr>
                <w:sz w:val="18"/>
              </w:rPr>
              <w:t>68 997</w:t>
            </w:r>
          </w:p>
        </w:tc>
        <w:tc>
          <w:tcPr>
            <w:tcW w:w="964" w:type="dxa"/>
          </w:tcPr>
          <w:p w:rsidR="00000000" w:rsidRDefault="00000000">
            <w:pPr>
              <w:spacing w:before="40" w:after="40"/>
              <w:ind w:right="113"/>
              <w:jc w:val="right"/>
              <w:rPr>
                <w:sz w:val="18"/>
              </w:rPr>
            </w:pPr>
            <w:r>
              <w:rPr>
                <w:sz w:val="18"/>
              </w:rPr>
              <w:t>69 916</w:t>
            </w:r>
          </w:p>
        </w:tc>
        <w:tc>
          <w:tcPr>
            <w:tcW w:w="1021" w:type="dxa"/>
          </w:tcPr>
          <w:p w:rsidR="00000000" w:rsidRDefault="00000000">
            <w:pPr>
              <w:spacing w:before="40" w:after="40"/>
              <w:ind w:right="113"/>
              <w:jc w:val="right"/>
              <w:rPr>
                <w:sz w:val="18"/>
              </w:rPr>
            </w:pPr>
            <w:r>
              <w:rPr>
                <w:sz w:val="18"/>
              </w:rPr>
              <w:t>72 650</w:t>
            </w:r>
          </w:p>
        </w:tc>
        <w:tc>
          <w:tcPr>
            <w:tcW w:w="851" w:type="dxa"/>
          </w:tcPr>
          <w:p w:rsidR="00000000" w:rsidRDefault="00000000">
            <w:pPr>
              <w:spacing w:before="40" w:after="40"/>
              <w:ind w:right="113"/>
              <w:jc w:val="right"/>
              <w:rPr>
                <w:sz w:val="18"/>
              </w:rPr>
            </w:pPr>
            <w:r>
              <w:rPr>
                <w:sz w:val="18"/>
              </w:rPr>
              <w:t>11 048</w:t>
            </w:r>
          </w:p>
        </w:tc>
        <w:tc>
          <w:tcPr>
            <w:tcW w:w="697" w:type="dxa"/>
          </w:tcPr>
          <w:p w:rsidR="00000000" w:rsidRDefault="00000000">
            <w:pPr>
              <w:spacing w:before="40" w:after="40"/>
              <w:ind w:right="57"/>
              <w:jc w:val="right"/>
              <w:rPr>
                <w:sz w:val="18"/>
              </w:rPr>
            </w:pPr>
            <w:r>
              <w:rPr>
                <w:sz w:val="18"/>
              </w:rPr>
              <w:t>919</w:t>
            </w:r>
          </w:p>
        </w:tc>
        <w:tc>
          <w:tcPr>
            <w:tcW w:w="697" w:type="dxa"/>
          </w:tcPr>
          <w:p w:rsidR="00000000" w:rsidRDefault="00000000">
            <w:pPr>
              <w:spacing w:before="40" w:after="40"/>
              <w:ind w:right="57"/>
              <w:jc w:val="right"/>
              <w:rPr>
                <w:sz w:val="18"/>
              </w:rPr>
            </w:pPr>
            <w:r>
              <w:rPr>
                <w:sz w:val="18"/>
              </w:rPr>
              <w:t>2 734</w:t>
            </w:r>
          </w:p>
        </w:tc>
        <w:tc>
          <w:tcPr>
            <w:tcW w:w="709" w:type="dxa"/>
          </w:tcPr>
          <w:p w:rsidR="00000000" w:rsidRDefault="00000000">
            <w:pPr>
              <w:spacing w:before="40" w:after="40"/>
              <w:ind w:right="170"/>
              <w:jc w:val="right"/>
              <w:rPr>
                <w:sz w:val="18"/>
              </w:rPr>
            </w:pPr>
            <w:r>
              <w:rPr>
                <w:sz w:val="18"/>
              </w:rPr>
              <w:t>18,8</w:t>
            </w:r>
          </w:p>
        </w:tc>
        <w:tc>
          <w:tcPr>
            <w:tcW w:w="552" w:type="dxa"/>
          </w:tcPr>
          <w:p w:rsidR="00000000" w:rsidRDefault="00000000">
            <w:pPr>
              <w:spacing w:before="40" w:after="40"/>
              <w:ind w:right="113"/>
              <w:jc w:val="right"/>
              <w:rPr>
                <w:sz w:val="18"/>
              </w:rPr>
            </w:pPr>
            <w:r>
              <w:rPr>
                <w:sz w:val="18"/>
              </w:rPr>
              <w:t>1,3</w:t>
            </w:r>
          </w:p>
        </w:tc>
        <w:tc>
          <w:tcPr>
            <w:tcW w:w="552" w:type="dxa"/>
          </w:tcPr>
          <w:p w:rsidR="00000000" w:rsidRDefault="00000000">
            <w:pPr>
              <w:spacing w:before="40" w:after="40"/>
              <w:ind w:right="113"/>
              <w:jc w:val="right"/>
              <w:rPr>
                <w:sz w:val="18"/>
              </w:rPr>
            </w:pPr>
            <w:r>
              <w:rPr>
                <w:sz w:val="18"/>
              </w:rPr>
              <w:t>3,9</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Начальные шк</w:t>
            </w:r>
            <w:r>
              <w:rPr>
                <w:sz w:val="18"/>
              </w:rPr>
              <w:t>о</w:t>
            </w:r>
            <w:r>
              <w:rPr>
                <w:sz w:val="18"/>
              </w:rPr>
              <w:t>лы</w:t>
            </w:r>
          </w:p>
        </w:tc>
        <w:tc>
          <w:tcPr>
            <w:tcW w:w="851" w:type="dxa"/>
          </w:tcPr>
          <w:p w:rsidR="00000000" w:rsidRDefault="00000000">
            <w:pPr>
              <w:spacing w:before="40" w:after="40"/>
              <w:ind w:right="57"/>
              <w:jc w:val="right"/>
              <w:rPr>
                <w:sz w:val="18"/>
              </w:rPr>
            </w:pPr>
            <w:r>
              <w:rPr>
                <w:sz w:val="18"/>
              </w:rPr>
              <w:t>91 857</w:t>
            </w:r>
          </w:p>
        </w:tc>
        <w:tc>
          <w:tcPr>
            <w:tcW w:w="852" w:type="dxa"/>
          </w:tcPr>
          <w:p w:rsidR="00000000" w:rsidRDefault="00000000">
            <w:pPr>
              <w:spacing w:before="40" w:after="40"/>
              <w:ind w:right="57"/>
              <w:jc w:val="right"/>
              <w:rPr>
                <w:sz w:val="18"/>
              </w:rPr>
            </w:pPr>
            <w:r>
              <w:rPr>
                <w:sz w:val="18"/>
              </w:rPr>
              <w:t>99 068</w:t>
            </w:r>
          </w:p>
        </w:tc>
        <w:tc>
          <w:tcPr>
            <w:tcW w:w="964" w:type="dxa"/>
          </w:tcPr>
          <w:p w:rsidR="00000000" w:rsidRDefault="00000000">
            <w:pPr>
              <w:spacing w:before="40" w:after="40"/>
              <w:ind w:right="113"/>
              <w:jc w:val="right"/>
              <w:rPr>
                <w:sz w:val="18"/>
              </w:rPr>
            </w:pPr>
            <w:r>
              <w:rPr>
                <w:sz w:val="18"/>
              </w:rPr>
              <w:t>98 286</w:t>
            </w:r>
          </w:p>
        </w:tc>
        <w:tc>
          <w:tcPr>
            <w:tcW w:w="1021" w:type="dxa"/>
          </w:tcPr>
          <w:p w:rsidR="00000000" w:rsidRDefault="00000000">
            <w:pPr>
              <w:spacing w:before="40" w:after="40"/>
              <w:ind w:right="113"/>
              <w:jc w:val="right"/>
              <w:rPr>
                <w:sz w:val="18"/>
              </w:rPr>
            </w:pPr>
            <w:r>
              <w:rPr>
                <w:sz w:val="18"/>
              </w:rPr>
              <w:t>99 176</w:t>
            </w:r>
          </w:p>
        </w:tc>
        <w:tc>
          <w:tcPr>
            <w:tcW w:w="851" w:type="dxa"/>
          </w:tcPr>
          <w:p w:rsidR="00000000" w:rsidRDefault="00000000">
            <w:pPr>
              <w:spacing w:before="40" w:after="40"/>
              <w:ind w:right="113"/>
              <w:jc w:val="right"/>
              <w:rPr>
                <w:sz w:val="18"/>
              </w:rPr>
            </w:pPr>
            <w:r>
              <w:rPr>
                <w:sz w:val="18"/>
              </w:rPr>
              <w:t>6 429</w:t>
            </w:r>
          </w:p>
        </w:tc>
        <w:tc>
          <w:tcPr>
            <w:tcW w:w="697" w:type="dxa"/>
          </w:tcPr>
          <w:p w:rsidR="00000000" w:rsidRDefault="00000000">
            <w:pPr>
              <w:spacing w:before="40" w:after="40"/>
              <w:ind w:right="57"/>
              <w:jc w:val="right"/>
              <w:rPr>
                <w:sz w:val="18"/>
              </w:rPr>
            </w:pPr>
            <w:r>
              <w:rPr>
                <w:sz w:val="18"/>
              </w:rPr>
              <w:t>782</w:t>
            </w:r>
          </w:p>
        </w:tc>
        <w:tc>
          <w:tcPr>
            <w:tcW w:w="697" w:type="dxa"/>
          </w:tcPr>
          <w:p w:rsidR="00000000" w:rsidRDefault="00000000">
            <w:pPr>
              <w:spacing w:before="40" w:after="40"/>
              <w:ind w:right="57"/>
              <w:jc w:val="right"/>
              <w:rPr>
                <w:sz w:val="18"/>
              </w:rPr>
            </w:pPr>
            <w:r>
              <w:rPr>
                <w:sz w:val="18"/>
              </w:rPr>
              <w:t>890</w:t>
            </w:r>
          </w:p>
        </w:tc>
        <w:tc>
          <w:tcPr>
            <w:tcW w:w="709" w:type="dxa"/>
          </w:tcPr>
          <w:p w:rsidR="00000000" w:rsidRDefault="00000000">
            <w:pPr>
              <w:spacing w:before="40" w:after="40"/>
              <w:ind w:right="170"/>
              <w:jc w:val="right"/>
              <w:rPr>
                <w:sz w:val="18"/>
              </w:rPr>
            </w:pPr>
            <w:r>
              <w:rPr>
                <w:sz w:val="18"/>
              </w:rPr>
              <w:t>7,0</w:t>
            </w:r>
          </w:p>
        </w:tc>
        <w:tc>
          <w:tcPr>
            <w:tcW w:w="552" w:type="dxa"/>
          </w:tcPr>
          <w:p w:rsidR="00000000" w:rsidRDefault="00000000">
            <w:pPr>
              <w:spacing w:before="40" w:after="40"/>
              <w:ind w:right="113"/>
              <w:jc w:val="right"/>
              <w:rPr>
                <w:sz w:val="18"/>
              </w:rPr>
            </w:pPr>
            <w:r>
              <w:rPr>
                <w:sz w:val="18"/>
              </w:rPr>
              <w:t>0,8</w:t>
            </w:r>
          </w:p>
        </w:tc>
        <w:tc>
          <w:tcPr>
            <w:tcW w:w="552" w:type="dxa"/>
          </w:tcPr>
          <w:p w:rsidR="00000000" w:rsidRDefault="00000000">
            <w:pPr>
              <w:spacing w:before="40" w:after="40"/>
              <w:ind w:right="113"/>
              <w:jc w:val="right"/>
              <w:rPr>
                <w:sz w:val="18"/>
              </w:rPr>
            </w:pPr>
            <w:r>
              <w:rPr>
                <w:sz w:val="18"/>
              </w:rPr>
              <w:t>0,9</w:t>
            </w:r>
          </w:p>
        </w:tc>
      </w:tr>
      <w:tr w:rsidR="00000000">
        <w:tblPrEx>
          <w:tblCellMar>
            <w:top w:w="0" w:type="dxa"/>
            <w:bottom w:w="0" w:type="dxa"/>
          </w:tblCellMar>
        </w:tblPrEx>
        <w:trPr>
          <w:jc w:val="center"/>
        </w:trPr>
        <w:tc>
          <w:tcPr>
            <w:tcW w:w="2237" w:type="dxa"/>
          </w:tcPr>
          <w:p w:rsidR="00000000" w:rsidRDefault="00000000">
            <w:pPr>
              <w:spacing w:before="40" w:after="40"/>
              <w:rPr>
                <w:sz w:val="18"/>
              </w:rPr>
            </w:pPr>
            <w:r>
              <w:rPr>
                <w:sz w:val="18"/>
              </w:rPr>
              <w:t>Средние школы</w:t>
            </w:r>
          </w:p>
        </w:tc>
        <w:tc>
          <w:tcPr>
            <w:tcW w:w="851" w:type="dxa"/>
          </w:tcPr>
          <w:p w:rsidR="00000000" w:rsidRDefault="00000000">
            <w:pPr>
              <w:spacing w:before="40" w:after="40"/>
              <w:ind w:right="57"/>
              <w:jc w:val="right"/>
              <w:rPr>
                <w:sz w:val="18"/>
              </w:rPr>
            </w:pPr>
            <w:r>
              <w:rPr>
                <w:sz w:val="18"/>
              </w:rPr>
              <w:t>22 255</w:t>
            </w:r>
          </w:p>
        </w:tc>
        <w:tc>
          <w:tcPr>
            <w:tcW w:w="852" w:type="dxa"/>
          </w:tcPr>
          <w:p w:rsidR="00000000" w:rsidRDefault="00000000">
            <w:pPr>
              <w:spacing w:before="40" w:after="40"/>
              <w:ind w:right="57"/>
              <w:jc w:val="right"/>
              <w:rPr>
                <w:sz w:val="18"/>
              </w:rPr>
            </w:pPr>
            <w:r>
              <w:rPr>
                <w:sz w:val="18"/>
              </w:rPr>
              <w:t>26 710</w:t>
            </w:r>
          </w:p>
        </w:tc>
        <w:tc>
          <w:tcPr>
            <w:tcW w:w="964" w:type="dxa"/>
          </w:tcPr>
          <w:p w:rsidR="00000000" w:rsidRDefault="00000000">
            <w:pPr>
              <w:spacing w:before="40" w:after="40"/>
              <w:ind w:right="113"/>
              <w:jc w:val="right"/>
              <w:rPr>
                <w:sz w:val="18"/>
              </w:rPr>
            </w:pPr>
            <w:r>
              <w:rPr>
                <w:sz w:val="18"/>
              </w:rPr>
              <w:t>27 512</w:t>
            </w:r>
          </w:p>
        </w:tc>
        <w:tc>
          <w:tcPr>
            <w:tcW w:w="1021" w:type="dxa"/>
          </w:tcPr>
          <w:p w:rsidR="00000000" w:rsidRDefault="00000000">
            <w:pPr>
              <w:spacing w:before="40" w:after="40"/>
              <w:ind w:right="113"/>
              <w:jc w:val="right"/>
              <w:rPr>
                <w:sz w:val="18"/>
              </w:rPr>
            </w:pPr>
            <w:r>
              <w:rPr>
                <w:sz w:val="18"/>
              </w:rPr>
              <w:t>29 007</w:t>
            </w:r>
          </w:p>
        </w:tc>
        <w:tc>
          <w:tcPr>
            <w:tcW w:w="851" w:type="dxa"/>
          </w:tcPr>
          <w:p w:rsidR="00000000" w:rsidRDefault="00000000">
            <w:pPr>
              <w:spacing w:before="40" w:after="40"/>
              <w:ind w:right="113"/>
              <w:jc w:val="right"/>
              <w:rPr>
                <w:sz w:val="18"/>
              </w:rPr>
            </w:pPr>
            <w:r>
              <w:rPr>
                <w:sz w:val="18"/>
              </w:rPr>
              <w:t>5 257</w:t>
            </w:r>
          </w:p>
        </w:tc>
        <w:tc>
          <w:tcPr>
            <w:tcW w:w="697" w:type="dxa"/>
          </w:tcPr>
          <w:p w:rsidR="00000000" w:rsidRDefault="00000000">
            <w:pPr>
              <w:spacing w:before="40" w:after="40"/>
              <w:ind w:right="57"/>
              <w:jc w:val="right"/>
              <w:rPr>
                <w:sz w:val="18"/>
              </w:rPr>
            </w:pPr>
            <w:r>
              <w:rPr>
                <w:sz w:val="18"/>
              </w:rPr>
              <w:t>802</w:t>
            </w:r>
          </w:p>
        </w:tc>
        <w:tc>
          <w:tcPr>
            <w:tcW w:w="697" w:type="dxa"/>
          </w:tcPr>
          <w:p w:rsidR="00000000" w:rsidRDefault="00000000">
            <w:pPr>
              <w:spacing w:before="40" w:after="40"/>
              <w:ind w:right="57"/>
              <w:jc w:val="right"/>
              <w:rPr>
                <w:sz w:val="18"/>
              </w:rPr>
            </w:pPr>
            <w:r>
              <w:rPr>
                <w:sz w:val="18"/>
              </w:rPr>
              <w:t>1 495</w:t>
            </w:r>
          </w:p>
        </w:tc>
        <w:tc>
          <w:tcPr>
            <w:tcW w:w="709" w:type="dxa"/>
          </w:tcPr>
          <w:p w:rsidR="00000000" w:rsidRDefault="00000000">
            <w:pPr>
              <w:spacing w:before="40" w:after="40"/>
              <w:ind w:right="170"/>
              <w:jc w:val="right"/>
              <w:rPr>
                <w:sz w:val="18"/>
              </w:rPr>
            </w:pPr>
            <w:r>
              <w:rPr>
                <w:sz w:val="18"/>
              </w:rPr>
              <w:t>23,6</w:t>
            </w:r>
          </w:p>
        </w:tc>
        <w:tc>
          <w:tcPr>
            <w:tcW w:w="552" w:type="dxa"/>
          </w:tcPr>
          <w:p w:rsidR="00000000" w:rsidRDefault="00000000">
            <w:pPr>
              <w:spacing w:before="40" w:after="40"/>
              <w:ind w:right="113"/>
              <w:jc w:val="right"/>
              <w:rPr>
                <w:sz w:val="18"/>
              </w:rPr>
            </w:pPr>
            <w:r>
              <w:rPr>
                <w:sz w:val="18"/>
              </w:rPr>
              <w:t>3,0</w:t>
            </w:r>
          </w:p>
        </w:tc>
        <w:tc>
          <w:tcPr>
            <w:tcW w:w="552" w:type="dxa"/>
          </w:tcPr>
          <w:p w:rsidR="00000000" w:rsidRDefault="00000000">
            <w:pPr>
              <w:spacing w:before="40" w:after="40"/>
              <w:ind w:right="113"/>
              <w:jc w:val="right"/>
              <w:rPr>
                <w:sz w:val="18"/>
              </w:rPr>
            </w:pPr>
            <w:r>
              <w:rPr>
                <w:sz w:val="18"/>
              </w:rPr>
              <w:t>5,4</w:t>
            </w:r>
          </w:p>
        </w:tc>
      </w:tr>
    </w:tbl>
    <w:p w:rsidR="00000000" w:rsidRDefault="00000000">
      <w:pPr>
        <w:spacing w:before="120" w:after="0"/>
        <w:rPr>
          <w:sz w:val="18"/>
        </w:rPr>
      </w:pPr>
      <w:r>
        <w:rPr>
          <w:sz w:val="18"/>
          <w:vertAlign w:val="superscript"/>
        </w:rPr>
        <w:t xml:space="preserve">1 </w:t>
      </w:r>
      <w:r>
        <w:rPr>
          <w:sz w:val="18"/>
        </w:rPr>
        <w:t>В тысячах.</w:t>
      </w:r>
    </w:p>
    <w:p w:rsidR="00000000" w:rsidRDefault="00000000">
      <w:pPr>
        <w:spacing w:before="120" w:after="0"/>
        <w:rPr>
          <w:sz w:val="18"/>
          <w:vertAlign w:val="superscript"/>
        </w:rPr>
      </w:pPr>
      <w:r>
        <w:rPr>
          <w:sz w:val="18"/>
          <w:vertAlign w:val="superscript"/>
          <w:lang w:val="es-ES_tradnl"/>
        </w:rPr>
        <w:t xml:space="preserve">e </w:t>
      </w:r>
      <w:r>
        <w:rPr>
          <w:sz w:val="18"/>
        </w:rPr>
        <w:t>Оценка в цифрах.</w:t>
      </w:r>
    </w:p>
    <w:p w:rsidR="00000000" w:rsidRDefault="00000000">
      <w:pPr>
        <w:spacing w:before="120" w:after="0"/>
        <w:rPr>
          <w:sz w:val="18"/>
        </w:rPr>
      </w:pPr>
      <w:r>
        <w:rPr>
          <w:sz w:val="18"/>
        </w:rPr>
        <w:t>Источник: Министерство просвещения.</w:t>
      </w:r>
    </w:p>
    <w:p w:rsidR="00000000" w:rsidRDefault="00000000">
      <w:r>
        <w:br w:type="page"/>
        <w:t>407.</w:t>
      </w:r>
      <w:r>
        <w:tab/>
        <w:t>В результате предпринятых в 90-е годы усилий по повышению качества образовательных услуг удалось сн</w:t>
      </w:r>
      <w:r>
        <w:t>и</w:t>
      </w:r>
      <w:r>
        <w:t>зить показатель отсева учащихся базовой школы с 5,3 процента до 2,3 процента (1999 год) и показатель неуспева</w:t>
      </w:r>
      <w:r>
        <w:t>е</w:t>
      </w:r>
      <w:r>
        <w:t>мости – с 10,1 процента до 6,8 процента. Снижение данных показателей выразилось в тенденции к повышению числа заканчивающих базовую школу (пр</w:t>
      </w:r>
      <w:r>
        <w:t>и</w:t>
      </w:r>
      <w:r>
        <w:t>близительно 83,9 процента).</w:t>
      </w:r>
    </w:p>
    <w:p w:rsidR="00000000" w:rsidRDefault="00000000">
      <w:r>
        <w:t>408.</w:t>
      </w:r>
      <w:r>
        <w:tab/>
        <w:t>При анализе представленности девочек и женщин в учебных заведениях различного уровня заметен опред</w:t>
      </w:r>
      <w:r>
        <w:t>е</w:t>
      </w:r>
      <w:r>
        <w:t>ленный прогресс. Неравенство в сфере базового образования практически отсутствует, а если подобные случаи и имеют место, то в основном в районах, наименее развитых в социальном и экономическом отношении, где в знач</w:t>
      </w:r>
      <w:r>
        <w:t>и</w:t>
      </w:r>
      <w:r>
        <w:t>тельной степени сохраняются стереотипы мужского превосходства и женской экономической зависимости, что препятствует женщинам строить свою жизнь и отношения в обществе по новой схеме.</w:t>
      </w:r>
    </w:p>
    <w:p w:rsidR="00000000" w:rsidRDefault="00000000">
      <w:pPr>
        <w:pStyle w:val="Heading3"/>
      </w:pPr>
      <w:r>
        <w:t>Первоначальное воспитание</w:t>
      </w:r>
    </w:p>
    <w:p w:rsidR="00000000" w:rsidRDefault="00000000">
      <w:r>
        <w:t>409.</w:t>
      </w:r>
      <w:r>
        <w:tab/>
        <w:t>Сектор первоначального воспитания обслуживает детей в возрасте от 45 дней до трех лет одиннадцати мес</w:t>
      </w:r>
      <w:r>
        <w:t>я</w:t>
      </w:r>
      <w:r>
        <w:t>цев. В настоящее время услугами данного сектора охвачены более 622 тыс. мальчиков и девочек, что на 327 тыс. больше, чем в 1990 году. За последние десять лет показатель детей, получающих первоначальное воспитание вне дома, возрос с 3,3 процента до 7,2 процента от поте</w:t>
      </w:r>
      <w:r>
        <w:t>н</w:t>
      </w:r>
      <w:r>
        <w:t>циального спроса на эти услуги.</w:t>
      </w:r>
    </w:p>
    <w:p w:rsidR="00000000" w:rsidRDefault="00000000">
      <w:pPr>
        <w:spacing w:before="240" w:after="0"/>
        <w:jc w:val="center"/>
        <w:rPr>
          <w:b/>
        </w:rPr>
      </w:pPr>
      <w:r>
        <w:rPr>
          <w:b/>
        </w:rPr>
        <w:t>Количественные показатели охвата населения первоначальным</w:t>
      </w:r>
      <w:r>
        <w:rPr>
          <w:b/>
          <w:lang w:val="en-US"/>
        </w:rPr>
        <w:t xml:space="preserve"> </w:t>
      </w:r>
      <w:r>
        <w:rPr>
          <w:b/>
        </w:rPr>
        <w:t>воспитан</w:t>
      </w:r>
      <w:r>
        <w:rPr>
          <w:b/>
        </w:rPr>
        <w:t>и</w:t>
      </w:r>
      <w:r>
        <w:rPr>
          <w:b/>
        </w:rPr>
        <w:t>ем</w:t>
      </w:r>
    </w:p>
    <w:p w:rsidR="00000000" w:rsidRDefault="00000000">
      <w:pPr>
        <w:spacing w:after="0"/>
        <w:jc w:val="center"/>
        <w:rPr>
          <w:b/>
        </w:rPr>
      </w:pPr>
      <w:r>
        <w:rPr>
          <w:b/>
        </w:rPr>
        <w:t>в тыс. человек</w:t>
      </w:r>
    </w:p>
    <w:p w:rsidR="00000000" w:rsidRDefault="00000000">
      <w:pPr>
        <w:spacing w:after="0"/>
        <w:rPr>
          <w:sz w:val="18"/>
        </w:rPr>
      </w:pPr>
    </w:p>
    <w:p w:rsidR="00000000" w:rsidRDefault="00000000">
      <w:pPr>
        <w:spacing w:after="0"/>
        <w:jc w:val="center"/>
        <w:rPr>
          <w:sz w:val="18"/>
        </w:rPr>
      </w:pPr>
      <w:r>
        <w:rPr>
          <w:sz w:val="18"/>
        </w:rPr>
        <w:pict>
          <v:shape id="_x0000_i1028" type="#_x0000_t75" style="width:288.75pt;height:202.5pt" fillcolor="window">
            <v:imagedata r:id="rId18" o:title="Graphic-4"/>
          </v:shape>
        </w:pict>
      </w:r>
    </w:p>
    <w:p w:rsidR="00000000" w:rsidRDefault="00000000">
      <w:pPr>
        <w:spacing w:after="0"/>
        <w:rPr>
          <w:sz w:val="18"/>
        </w:rPr>
      </w:pPr>
    </w:p>
    <w:p w:rsidR="00000000" w:rsidRDefault="00000000">
      <w:pPr>
        <w:spacing w:after="0"/>
        <w:ind w:left="1276" w:right="1282"/>
        <w:rPr>
          <w:sz w:val="18"/>
        </w:rPr>
      </w:pPr>
      <w:r>
        <w:rPr>
          <w:sz w:val="18"/>
        </w:rPr>
        <w:t>Источник: Министерство просвещения, Главное управление по планированию, пр</w:t>
      </w:r>
      <w:r>
        <w:rPr>
          <w:sz w:val="18"/>
        </w:rPr>
        <w:t>о</w:t>
      </w:r>
      <w:r>
        <w:rPr>
          <w:sz w:val="18"/>
        </w:rPr>
        <w:t>граммам и бюджету.</w:t>
      </w:r>
    </w:p>
    <w:p w:rsidR="00000000" w:rsidRDefault="00000000">
      <w:pPr>
        <w:rPr>
          <w:lang w:val="en-US"/>
        </w:rPr>
      </w:pPr>
    </w:p>
    <w:p w:rsidR="00000000" w:rsidRDefault="00000000">
      <w:r>
        <w:t>410.</w:t>
      </w:r>
      <w:r>
        <w:tab/>
        <w:t>Первоначальное воспитание детей осуществляется в центрах детского развития (</w:t>
      </w:r>
      <w:r>
        <w:rPr>
          <w:lang w:val="en-US"/>
        </w:rPr>
        <w:t>СЕНДИ</w:t>
      </w:r>
      <w:r>
        <w:t>), которые особенно распространены в сельских районах, где с родителями одновременно проводится работа с целью обогащения тр</w:t>
      </w:r>
      <w:r>
        <w:t>а</w:t>
      </w:r>
      <w:r>
        <w:t>диционного воспитания новыми методами. Данный вид образования с учетом критерия гендерного равенства получил большое распространение в последние д</w:t>
      </w:r>
      <w:r>
        <w:t>е</w:t>
      </w:r>
      <w:r>
        <w:t>сять лет.</w:t>
      </w:r>
    </w:p>
    <w:p w:rsidR="00000000" w:rsidRDefault="00000000">
      <w:pPr>
        <w:pStyle w:val="Heading3"/>
      </w:pPr>
      <w:r>
        <w:t>Дошкольное образование</w:t>
      </w:r>
    </w:p>
    <w:p w:rsidR="00000000" w:rsidRDefault="00000000">
      <w:r>
        <w:t>411.</w:t>
      </w:r>
      <w:r>
        <w:tab/>
        <w:t xml:space="preserve">В 1999/2000 учебном году около 3,4 млн. детей посещали дошкольные детские учреждения, из них </w:t>
      </w:r>
      <w:r>
        <w:br/>
        <w:t>50,4 пр</w:t>
      </w:r>
      <w:r>
        <w:t>о</w:t>
      </w:r>
      <w:r>
        <w:t>цента – мальчики и 49,6 процента – девочки. По данным на 2000/2001 учебный год, отмечается увеличение числа детей, посещающих дошкольные учреждения, на 62 тыс. человек, то есть число дошкольников, получающих подг</w:t>
      </w:r>
      <w:r>
        <w:t>о</w:t>
      </w:r>
      <w:r>
        <w:t>товку вне дома, составит 3,5 млн.</w:t>
      </w:r>
    </w:p>
    <w:p w:rsidR="00000000" w:rsidRDefault="00000000">
      <w:r>
        <w:t>412.</w:t>
      </w:r>
      <w:r>
        <w:tab/>
        <w:t>В статистическом справочнике по Национальной системе образования Министерства просвещения публ</w:t>
      </w:r>
      <w:r>
        <w:t>и</w:t>
      </w:r>
      <w:r>
        <w:t>куются данные по уровням образования. Ранее имелась информация с разбивкой по полу только за 1994/95 уче</w:t>
      </w:r>
      <w:r>
        <w:t>б</w:t>
      </w:r>
      <w:r>
        <w:t>ный год. Однако начиная с 1997/98 учебного года все данные публик</w:t>
      </w:r>
      <w:r>
        <w:t>у</w:t>
      </w:r>
      <w:r>
        <w:t>ются с учетом гендерных факторов.</w:t>
      </w:r>
    </w:p>
    <w:p w:rsidR="00000000" w:rsidRDefault="00000000">
      <w:r>
        <w:t>413.</w:t>
      </w:r>
      <w:r>
        <w:tab/>
        <w:t>В настоящее время девять из десяти детей, поступающих в первый класс начальной школы, посещали д</w:t>
      </w:r>
      <w:r>
        <w:t>о</w:t>
      </w:r>
      <w:r>
        <w:t xml:space="preserve">школьные детские учреждения. В соответствии с Общим законом об образовании, предписывающим государству обеспечивать всем детям дошкольную подготовку в течение, по крайней мере, одного года, </w:t>
      </w:r>
      <w:r>
        <w:br/>
        <w:t>в 90-е годы в этой о</w:t>
      </w:r>
      <w:r>
        <w:t>б</w:t>
      </w:r>
      <w:r>
        <w:t>ласти был достигнут значительный прогресс.</w:t>
      </w:r>
    </w:p>
    <w:p w:rsidR="00000000" w:rsidRDefault="00000000">
      <w:pPr>
        <w:pStyle w:val="BodyText"/>
        <w:tabs>
          <w:tab w:val="left" w:pos="680"/>
        </w:tabs>
        <w:spacing w:before="240" w:after="240"/>
        <w:jc w:val="center"/>
      </w:pPr>
      <w:r>
        <w:t xml:space="preserve">Процентная доля учащихся первого класса начальной школы, </w:t>
      </w:r>
      <w:r>
        <w:br/>
        <w:t>посещавших дошкольные учреждения, с ра</w:t>
      </w:r>
      <w:r>
        <w:t>з</w:t>
      </w:r>
      <w:r>
        <w:t xml:space="preserve">бивкой по полу, </w:t>
      </w:r>
      <w:r>
        <w:br/>
        <w:t>1990–1999 годы</w:t>
      </w:r>
    </w:p>
    <w:p w:rsidR="00000000" w:rsidRDefault="00000000">
      <w:pPr>
        <w:spacing w:after="0"/>
        <w:jc w:val="center"/>
        <w:rPr>
          <w:sz w:val="18"/>
        </w:rPr>
      </w:pPr>
      <w:r>
        <w:rPr>
          <w:sz w:val="18"/>
        </w:rPr>
        <w:pict>
          <v:shape id="_x0000_i1029" type="#_x0000_t75" style="width:363.75pt;height:162.75pt" fillcolor="window">
            <v:imagedata r:id="rId19" o:title="Graphic-5"/>
          </v:shape>
        </w:pict>
      </w:r>
    </w:p>
    <w:p w:rsidR="00000000" w:rsidRDefault="00000000">
      <w:pPr>
        <w:spacing w:after="0"/>
        <w:rPr>
          <w:sz w:val="18"/>
        </w:rPr>
      </w:pPr>
    </w:p>
    <w:p w:rsidR="00000000" w:rsidRDefault="00000000">
      <w:pPr>
        <w:ind w:left="1134" w:right="1141"/>
        <w:rPr>
          <w:sz w:val="18"/>
        </w:rPr>
      </w:pPr>
      <w:r>
        <w:rPr>
          <w:sz w:val="18"/>
        </w:rPr>
        <w:t>Источник: Министерство просвещения, Главное управление по планиров</w:t>
      </w:r>
      <w:r>
        <w:rPr>
          <w:sz w:val="18"/>
        </w:rPr>
        <w:t>а</w:t>
      </w:r>
      <w:r>
        <w:rPr>
          <w:sz w:val="18"/>
        </w:rPr>
        <w:t>нию, программам и бюджету.</w:t>
      </w:r>
    </w:p>
    <w:p w:rsidR="00000000" w:rsidRDefault="00000000">
      <w:pPr>
        <w:pStyle w:val="Heading3"/>
      </w:pPr>
      <w:r>
        <w:t>Начальное образование</w:t>
      </w:r>
    </w:p>
    <w:p w:rsidR="00000000" w:rsidRDefault="00000000">
      <w:r>
        <w:t>414.</w:t>
      </w:r>
      <w:r>
        <w:tab/>
        <w:t>В конце ХХ века более 96 процентов населения соответствующего школьного возраста посещало начальную школу. В 90-е годы наблюдался постоянный прогресс в этой области. Процентный показатель посещаемости н</w:t>
      </w:r>
      <w:r>
        <w:t>а</w:t>
      </w:r>
      <w:r>
        <w:t>чальной школы возрос на шесть пунктов. Эти данные получены в результате регулярной переписи населения и о</w:t>
      </w:r>
      <w:r>
        <w:t>б</w:t>
      </w:r>
      <w:r>
        <w:t>следования демографической ситуации. В ходе переписи населения 2000 года подтвердилась устойчивая прогре</w:t>
      </w:r>
      <w:r>
        <w:t>с</w:t>
      </w:r>
      <w:r>
        <w:t>сивная тенденция, наметившаяся в предыдущее десятилетие, а также впервые были выявлены причины непосеща</w:t>
      </w:r>
      <w:r>
        <w:t>е</w:t>
      </w:r>
      <w:r>
        <w:t>мости и отсева из школ.</w:t>
      </w:r>
    </w:p>
    <w:p w:rsidR="00000000" w:rsidRDefault="00000000">
      <w:r>
        <w:t>415.</w:t>
      </w:r>
      <w:r>
        <w:tab/>
        <w:t>За 1999/2000 учебный год начальное образование в учебных заведениях получили около 14,8 млн. детей и молодежи. Демографические изменения обозначили тенденцию к снижению общего числа учащихся, поступа</w:t>
      </w:r>
      <w:r>
        <w:t>ю</w:t>
      </w:r>
      <w:r>
        <w:t>щих в начальную школу. Данная тенденция сохранится в ближайшие годы.</w:t>
      </w:r>
    </w:p>
    <w:p w:rsidR="00000000" w:rsidRDefault="00000000">
      <w:r>
        <w:t>416.</w:t>
      </w:r>
      <w:r>
        <w:tab/>
        <w:t>В 1996/97 учебном году девочки составляли 48,5 процента от общего числа учащихся начальной школы. К 1998/99 учебному году данный процентный показатель возрос до 48,6 процента, что в абсолютных цифрах соста</w:t>
      </w:r>
      <w:r>
        <w:t>в</w:t>
      </w:r>
      <w:r>
        <w:t>ляет 7 148 812.</w:t>
      </w:r>
    </w:p>
    <w:p w:rsidR="00000000" w:rsidRDefault="00000000">
      <w:pPr>
        <w:spacing w:line="221" w:lineRule="auto"/>
        <w:jc w:val="center"/>
        <w:rPr>
          <w:b/>
        </w:rPr>
      </w:pPr>
      <w:r>
        <w:rPr>
          <w:b/>
        </w:rPr>
        <w:br w:type="page"/>
        <w:t xml:space="preserve">Показатель числа учащихся начальной школы среди населения </w:t>
      </w:r>
      <w:r>
        <w:rPr>
          <w:b/>
          <w:lang w:val="en-US"/>
        </w:rPr>
        <w:br/>
      </w:r>
      <w:r>
        <w:rPr>
          <w:b/>
        </w:rPr>
        <w:t>в возрасте от 6 до 11 лет,</w:t>
      </w:r>
      <w:r>
        <w:rPr>
          <w:b/>
          <w:lang w:val="en-US"/>
        </w:rPr>
        <w:t xml:space="preserve"> </w:t>
      </w:r>
      <w:r>
        <w:rPr>
          <w:b/>
        </w:rPr>
        <w:t>1990–1997 годы</w:t>
      </w:r>
    </w:p>
    <w:p w:rsidR="00000000" w:rsidRDefault="00000000">
      <w:pPr>
        <w:spacing w:after="0" w:line="221" w:lineRule="auto"/>
        <w:jc w:val="center"/>
        <w:rPr>
          <w:sz w:val="18"/>
          <w:lang w:val="en-US"/>
        </w:rPr>
      </w:pPr>
      <w:r>
        <w:rPr>
          <w:sz w:val="18"/>
          <w:lang w:val="en-US"/>
        </w:rPr>
        <w:pict>
          <v:shape id="_x0000_i1030" type="#_x0000_t75" style="width:386.25pt;height:163.5pt" fillcolor="window">
            <v:imagedata r:id="rId20" o:title="Graphic-6"/>
          </v:shape>
        </w:pict>
      </w:r>
    </w:p>
    <w:p w:rsidR="00000000" w:rsidRDefault="00000000">
      <w:pPr>
        <w:spacing w:after="0" w:line="221" w:lineRule="auto"/>
        <w:rPr>
          <w:sz w:val="18"/>
          <w:lang w:val="en-US"/>
        </w:rPr>
      </w:pPr>
    </w:p>
    <w:p w:rsidR="00000000" w:rsidRDefault="00000000">
      <w:pPr>
        <w:spacing w:after="0" w:line="221" w:lineRule="auto"/>
        <w:ind w:left="993" w:right="999"/>
        <w:rPr>
          <w:sz w:val="18"/>
        </w:rPr>
      </w:pPr>
      <w:r>
        <w:rPr>
          <w:sz w:val="18"/>
        </w:rPr>
        <w:t xml:space="preserve">Источник: ИНЕГИ, </w:t>
      </w:r>
      <w:r>
        <w:rPr>
          <w:sz w:val="18"/>
          <w:lang w:val="en-US"/>
        </w:rPr>
        <w:t>XI</w:t>
      </w:r>
      <w:r>
        <w:rPr>
          <w:sz w:val="18"/>
        </w:rPr>
        <w:t xml:space="preserve"> всеобщая перепись населения и жилого фонда 1990 года, а также ИНЕГИ, Национальное исследование демографической ситуации, 1997 год.</w:t>
      </w:r>
    </w:p>
    <w:p w:rsidR="00000000" w:rsidRDefault="00000000">
      <w:pPr>
        <w:spacing w:line="221" w:lineRule="auto"/>
      </w:pPr>
    </w:p>
    <w:p w:rsidR="00000000" w:rsidRDefault="00000000">
      <w:pPr>
        <w:spacing w:line="221" w:lineRule="auto"/>
      </w:pPr>
      <w:r>
        <w:t>417.</w:t>
      </w:r>
      <w:r>
        <w:tab/>
        <w:t>Очевидно, что доступ к начальному образованию гарантирован практически всем детям Мексики. Однако по мере рассмотрения ситуации на всех ступенях начальной школы к последним классам отмечается снижение числа учащихся по причине отсева. Из опыта последних учебных лет больший процент отсева наблюдается среди мальчиков. За 1996/97 учебный год показатель отсева среди мальчиков был 3,2 процента, а среди девочек – 2,9 процента. Год спустя этот показатель составил 3 процента и 2,7 процента, соответственно. Разница в данных пок</w:t>
      </w:r>
      <w:r>
        <w:t>а</w:t>
      </w:r>
      <w:r>
        <w:t>зателях является отражением того факта, что для мальчиков наиболее характерны неуспеваемость и уход из школы.</w:t>
      </w:r>
    </w:p>
    <w:p w:rsidR="00000000" w:rsidRDefault="00000000">
      <w:pPr>
        <w:spacing w:before="120" w:line="221" w:lineRule="auto"/>
        <w:jc w:val="center"/>
        <w:rPr>
          <w:b/>
        </w:rPr>
      </w:pPr>
      <w:r>
        <w:rPr>
          <w:b/>
        </w:rPr>
        <w:t>Отсев учащихся из начальной школы</w:t>
      </w:r>
      <w:r>
        <w:rPr>
          <w:b/>
        </w:rPr>
        <w:br/>
        <w:t>с разбивкой по полу, 1990–1998 годы</w:t>
      </w:r>
    </w:p>
    <w:p w:rsidR="00000000" w:rsidRDefault="00000000">
      <w:pPr>
        <w:spacing w:after="0" w:line="221" w:lineRule="auto"/>
        <w:jc w:val="center"/>
        <w:rPr>
          <w:lang w:val="en-US"/>
        </w:rPr>
      </w:pPr>
      <w:r>
        <w:rPr>
          <w:lang w:val="en-US"/>
        </w:rPr>
        <w:pict>
          <v:shape id="_x0000_i1031" type="#_x0000_t75" style="width:366.75pt;height:165.75pt" fillcolor="window">
            <v:imagedata r:id="rId21" o:title="Graphic-7"/>
          </v:shape>
        </w:pict>
      </w:r>
    </w:p>
    <w:p w:rsidR="00000000" w:rsidRDefault="00000000">
      <w:pPr>
        <w:spacing w:after="0" w:line="221" w:lineRule="auto"/>
        <w:rPr>
          <w:lang w:val="en-US"/>
        </w:rPr>
      </w:pPr>
    </w:p>
    <w:p w:rsidR="00000000" w:rsidRDefault="00000000">
      <w:pPr>
        <w:spacing w:after="360" w:line="221" w:lineRule="auto"/>
        <w:ind w:left="1361" w:right="1281"/>
        <w:rPr>
          <w:sz w:val="18"/>
        </w:rPr>
      </w:pPr>
      <w:r>
        <w:rPr>
          <w:sz w:val="18"/>
        </w:rPr>
        <w:t>Источник: Министерство просвещения, Главное управление по планиров</w:t>
      </w:r>
      <w:r>
        <w:rPr>
          <w:sz w:val="18"/>
        </w:rPr>
        <w:t>а</w:t>
      </w:r>
      <w:r>
        <w:rPr>
          <w:sz w:val="18"/>
        </w:rPr>
        <w:t>нию, программам и бюджету.</w:t>
      </w:r>
    </w:p>
    <w:p w:rsidR="00000000" w:rsidRDefault="00000000">
      <w:pPr>
        <w:spacing w:line="221" w:lineRule="auto"/>
      </w:pPr>
      <w:r>
        <w:t>418.</w:t>
      </w:r>
      <w:r>
        <w:tab/>
        <w:t xml:space="preserve">Что касается итога обучения, показатель учащихся, окончивших курс начальной школы в </w:t>
      </w:r>
      <w:r>
        <w:br/>
        <w:t xml:space="preserve">1996/97 учебном году, был 82,5 процента среди мальчиков и 83,3 процента среди девочек. В 1997/98 учебном </w:t>
      </w:r>
      <w:r>
        <w:rPr>
          <w:spacing w:val="-4"/>
        </w:rPr>
        <w:t>году эти пропорции составили 84,2 процента и 85,6 процента, соответственно, а по данным за 1998/99 учебный год</w:t>
      </w:r>
      <w:r>
        <w:t xml:space="preserve"> – 85 процентов и 86,6 процента. Учащиеся, окончившие курс начальной школы в 1999/2000 учебном году, составили 83,3 процента среди мужского населения и 85,2 процента среди женской ча</w:t>
      </w:r>
      <w:r>
        <w:t>с</w:t>
      </w:r>
      <w:r>
        <w:t>ти населения.</w:t>
      </w:r>
    </w:p>
    <w:p w:rsidR="00000000" w:rsidRDefault="00000000">
      <w:pPr>
        <w:jc w:val="center"/>
        <w:rPr>
          <w:b/>
        </w:rPr>
      </w:pPr>
      <w:r>
        <w:rPr>
          <w:b/>
        </w:rPr>
        <w:t>Показатель окончивших курс обучения в начальной школе,</w:t>
      </w:r>
      <w:r>
        <w:rPr>
          <w:b/>
        </w:rPr>
        <w:br/>
        <w:t>1990–1999 годы</w:t>
      </w:r>
    </w:p>
    <w:p w:rsidR="00000000" w:rsidRDefault="00000000">
      <w:pPr>
        <w:jc w:val="center"/>
        <w:rPr>
          <w:sz w:val="18"/>
          <w:lang w:val="en-US"/>
        </w:rPr>
      </w:pPr>
      <w:r>
        <w:rPr>
          <w:sz w:val="18"/>
          <w:lang w:val="en-US"/>
        </w:rPr>
        <w:pict>
          <v:shape id="_x0000_i1032" type="#_x0000_t75" style="width:471pt;height:160.5pt" fillcolor="window">
            <v:imagedata r:id="rId22" o:title="Graphic-8"/>
          </v:shape>
        </w:pict>
      </w:r>
    </w:p>
    <w:p w:rsidR="00000000" w:rsidRDefault="00000000">
      <w:pPr>
        <w:ind w:left="142"/>
        <w:rPr>
          <w:sz w:val="18"/>
        </w:rPr>
      </w:pPr>
      <w:r>
        <w:rPr>
          <w:sz w:val="18"/>
        </w:rPr>
        <w:t>Источник: Министерство просвещения, Главное управление по планиров</w:t>
      </w:r>
      <w:r>
        <w:rPr>
          <w:sz w:val="18"/>
        </w:rPr>
        <w:t>а</w:t>
      </w:r>
      <w:r>
        <w:rPr>
          <w:sz w:val="18"/>
        </w:rPr>
        <w:t>нию, программам и бюджету.</w:t>
      </w:r>
    </w:p>
    <w:p w:rsidR="00000000" w:rsidRDefault="00000000">
      <w:pPr>
        <w:spacing w:before="240"/>
      </w:pPr>
      <w:r>
        <w:t>419.</w:t>
      </w:r>
      <w:r>
        <w:tab/>
        <w:t>В середине 90-х удалось достичь цели, намеченной в 1990 году Национальной программой действий по з</w:t>
      </w:r>
      <w:r>
        <w:t>а</w:t>
      </w:r>
      <w:r>
        <w:t xml:space="preserve">щите детства, которая состояла в том, чтобы обеспечить окончание полного курса начальной школы </w:t>
      </w:r>
      <w:r>
        <w:br/>
        <w:t>80 процентам детей, поступивших на учебу. За прошедшее десятилетие процентный показатель достижений в этой области вырос на 15 пунктов. Однако мы можем говорить и о большем прогрессе, если учесть число взрослого населения, пол</w:t>
      </w:r>
      <w:r>
        <w:t>у</w:t>
      </w:r>
      <w:r>
        <w:t>чившего начальное образование. Таким образом, 87 процентов молодых людей, достигших 15-летнего возраста, имеют законченное начальное образ</w:t>
      </w:r>
      <w:r>
        <w:t>о</w:t>
      </w:r>
      <w:r>
        <w:t>вание.</w:t>
      </w:r>
    </w:p>
    <w:p w:rsidR="00000000" w:rsidRDefault="00000000">
      <w:r>
        <w:t>420.</w:t>
      </w:r>
      <w:r>
        <w:tab/>
        <w:t>Благодаря принимаемым мерам по выделению средств и компенсации расходов на обучение семьям и шк</w:t>
      </w:r>
      <w:r>
        <w:t>о</w:t>
      </w:r>
      <w:r>
        <w:t>лам наиболее бедных районов страны, а также в результате распространения экспериментальных форм обучения среди коренного населения и в общинах была обеспечена большая посещаемость школ детьми. Это выразилось в снижении показателей неуспеваемости и отсева учащихся и в конечном счете в увеличении процента детей школьного возраста, заканчивающих полный шестилетний курс начальной школы.</w:t>
      </w:r>
    </w:p>
    <w:p w:rsidR="00000000" w:rsidRDefault="00000000">
      <w:pPr>
        <w:pStyle w:val="Heading3"/>
      </w:pPr>
      <w:r>
        <w:t>Среднее образование</w:t>
      </w:r>
    </w:p>
    <w:p w:rsidR="00000000" w:rsidRDefault="00000000">
      <w:r>
        <w:t>421.</w:t>
      </w:r>
      <w:r>
        <w:tab/>
        <w:t xml:space="preserve">За прошедшее десятилетие число учащихся средней школы возросло на 25,6 процента. Это произошло </w:t>
      </w:r>
      <w:r>
        <w:br/>
        <w:t xml:space="preserve">в значительной степени, благодаря тому, что с 1992 года среднее образование стало обязательным. </w:t>
      </w:r>
      <w:r>
        <w:br/>
        <w:t>В 1999/2000 учебном году насчитывалось 5,2 млн. учащихся средних учебных заведений, что на 138 тыс. больше, чем в пред</w:t>
      </w:r>
      <w:r>
        <w:t>ы</w:t>
      </w:r>
      <w:r>
        <w:t>дущем учебном году. В текущем учебном году число учащихся превысило 5,3 млн.</w:t>
      </w:r>
    </w:p>
    <w:p w:rsidR="00000000" w:rsidRDefault="00000000">
      <w:r>
        <w:t>422.</w:t>
      </w:r>
      <w:r>
        <w:tab/>
        <w:t>В 1999/2000 учебном году 993 тыс. учащихся обучались посредством дидактических телевизионных пр</w:t>
      </w:r>
      <w:r>
        <w:t>о</w:t>
      </w:r>
      <w:r>
        <w:t>грамм. Данная форма обучения наиболее характерна для беднейшего городского населения. По предварительным подсчетам, число учащихся средней школы возросло на 67,1 процента именно благодаря учебному телевидению, дающему возможность жителям сельских районов, маленьких и отдаленных поселков, а также проживающим в пригородной зоне Мехико не прерывать образования. В настоящее время с помощью телевидения обучается пр</w:t>
      </w:r>
      <w:r>
        <w:t>и</w:t>
      </w:r>
      <w:r>
        <w:t>мерно пятая часть всех учащихся в системе среднего образов</w:t>
      </w:r>
      <w:r>
        <w:t>а</w:t>
      </w:r>
      <w:r>
        <w:t>ния.</w:t>
      </w:r>
    </w:p>
    <w:p w:rsidR="00000000" w:rsidRDefault="00000000">
      <w:r>
        <w:t>423.</w:t>
      </w:r>
      <w:r>
        <w:tab/>
        <w:t>На сегодняшний день молодые люди составляют 48,6 процента всех обучающихся на этом уровне. Заметно растет показатель окончивших этот курс обучения среди молодежи. По данным на 1998/99 учебный год, 89,6 пр</w:t>
      </w:r>
      <w:r>
        <w:t>о</w:t>
      </w:r>
      <w:r>
        <w:t>цента мальчиков завершили курс средней школы, в то время как из девочек, поступивших в среднюю школу, по</w:t>
      </w:r>
      <w:r>
        <w:t>л</w:t>
      </w:r>
      <w:r>
        <w:t>ный ее курс окончили 92,1 процента. Среди мальчиков также наблюдается больший процент отсева, так 11,4 пр</w:t>
      </w:r>
      <w:r>
        <w:t>о</w:t>
      </w:r>
      <w:r>
        <w:t>цента мальчиков, поступивших в среднюю школу, оставили учебу. Среди девочек этот показатель составил 7,9 процента.</w:t>
      </w:r>
    </w:p>
    <w:p w:rsidR="00000000" w:rsidRDefault="00000000">
      <w:r>
        <w:t>424.</w:t>
      </w:r>
      <w:r>
        <w:tab/>
        <w:t>Несмотря на меньший процент отсева и на заметный прогресс, достигнутый в течение прошедшего десят</w:t>
      </w:r>
      <w:r>
        <w:t>и</w:t>
      </w:r>
      <w:r>
        <w:t>летия, девочки отстают от мальчиков на переходном этапе от начального к среднему образов</w:t>
      </w:r>
      <w:r>
        <w:t>а</w:t>
      </w:r>
      <w:r>
        <w:t>нию.</w:t>
      </w:r>
    </w:p>
    <w:p w:rsidR="00000000" w:rsidRDefault="00000000">
      <w:pPr>
        <w:spacing w:before="240"/>
        <w:jc w:val="center"/>
        <w:rPr>
          <w:b/>
        </w:rPr>
      </w:pPr>
      <w:r>
        <w:rPr>
          <w:b/>
        </w:rPr>
        <w:t>Переход из начальной школы в среднюю,</w:t>
      </w:r>
      <w:r>
        <w:rPr>
          <w:b/>
        </w:rPr>
        <w:br/>
        <w:t>1990</w:t>
      </w:r>
      <w:r>
        <w:t>–</w:t>
      </w:r>
      <w:r>
        <w:rPr>
          <w:b/>
        </w:rPr>
        <w:t>1999 годы</w:t>
      </w:r>
    </w:p>
    <w:p w:rsidR="00000000" w:rsidRDefault="00000000">
      <w:pPr>
        <w:jc w:val="center"/>
        <w:rPr>
          <w:sz w:val="18"/>
        </w:rPr>
      </w:pPr>
      <w:r>
        <w:rPr>
          <w:sz w:val="18"/>
        </w:rPr>
        <w:pict>
          <v:shape id="_x0000_i1033" type="#_x0000_t75" style="width:471pt;height:160.5pt" fillcolor="window">
            <v:imagedata r:id="rId23" o:title="Graphic-9"/>
          </v:shape>
        </w:pict>
      </w:r>
    </w:p>
    <w:p w:rsidR="00000000" w:rsidRDefault="00000000">
      <w:pPr>
        <w:spacing w:after="0"/>
        <w:ind w:left="142"/>
        <w:rPr>
          <w:sz w:val="18"/>
        </w:rPr>
      </w:pPr>
      <w:r>
        <w:rPr>
          <w:sz w:val="18"/>
        </w:rPr>
        <w:t>Источник: Министерство просвещения, Главное управление по планиров</w:t>
      </w:r>
      <w:r>
        <w:rPr>
          <w:sz w:val="18"/>
        </w:rPr>
        <w:t>а</w:t>
      </w:r>
      <w:r>
        <w:rPr>
          <w:sz w:val="18"/>
        </w:rPr>
        <w:t>нию, программам и бюджету.</w:t>
      </w:r>
    </w:p>
    <w:p w:rsidR="00000000" w:rsidRDefault="00000000">
      <w:pPr>
        <w:rPr>
          <w:b/>
          <w:lang w:val="en-US"/>
        </w:rPr>
      </w:pPr>
    </w:p>
    <w:p w:rsidR="00000000" w:rsidRDefault="00000000">
      <w:pPr>
        <w:pStyle w:val="Heading3"/>
      </w:pPr>
      <w:r>
        <w:t>Дополнительные просветительские программы и обеспечение равного доступа к образов</w:t>
      </w:r>
      <w:r>
        <w:t>а</w:t>
      </w:r>
      <w:r>
        <w:t>нию</w:t>
      </w:r>
    </w:p>
    <w:p w:rsidR="00000000" w:rsidRDefault="00000000">
      <w:r>
        <w:t>425.</w:t>
      </w:r>
      <w:r>
        <w:tab/>
        <w:t>В последние годы правительство Мексики приняло ряд важных мер по обеспечению детей из беднейших районов страны необходимыми средствами для получения базового образования. Среди мероприятий, проведенных в этом направлении, следует отметить программы помощи в получении образования, экспериментальную образов</w:t>
      </w:r>
      <w:r>
        <w:t>а</w:t>
      </w:r>
      <w:r>
        <w:t>тельную программу для коренного населения и жителей общин, программу для инвалидов, а также предоставление стипендий ПРОГРЕСА на образов</w:t>
      </w:r>
      <w:r>
        <w:t>а</w:t>
      </w:r>
      <w:r>
        <w:t>ние.</w:t>
      </w:r>
    </w:p>
    <w:p w:rsidR="00000000" w:rsidRDefault="00000000">
      <w:r>
        <w:t>426.</w:t>
      </w:r>
      <w:r>
        <w:tab/>
        <w:t>В текущем учебном году программы помощи в получении образования охватывают 5,2 млн. учащихся.</w:t>
      </w:r>
    </w:p>
    <w:p w:rsidR="00000000" w:rsidRDefault="00000000">
      <w:r>
        <w:t>427.</w:t>
      </w:r>
      <w:r>
        <w:tab/>
        <w:t>Национальный совет по развитию образования (КОНАФЕ) при Министерстве просвещения проводит сл</w:t>
      </w:r>
      <w:r>
        <w:t>е</w:t>
      </w:r>
      <w:r>
        <w:t>дующие дополнительные просветительские программы:</w:t>
      </w:r>
    </w:p>
    <w:p w:rsidR="00000000" w:rsidRDefault="00000000">
      <w:pPr>
        <w:tabs>
          <w:tab w:val="left" w:pos="284"/>
        </w:tabs>
      </w:pPr>
      <w:r>
        <w:tab/>
      </w:r>
      <w:r>
        <w:sym w:font="Symbol" w:char="F0B7"/>
      </w:r>
      <w:r>
        <w:tab/>
        <w:t>Программу повышения уровня образования (ПАРЕ).</w:t>
      </w:r>
    </w:p>
    <w:p w:rsidR="00000000" w:rsidRDefault="00000000">
      <w:pPr>
        <w:tabs>
          <w:tab w:val="left" w:pos="284"/>
        </w:tabs>
      </w:pPr>
      <w:r>
        <w:tab/>
      </w:r>
      <w:r>
        <w:sym w:font="Symbol" w:char="F0B7"/>
      </w:r>
      <w:r>
        <w:tab/>
        <w:t>Программу повышения уровня базового образования (ПАРЕБ).</w:t>
      </w:r>
    </w:p>
    <w:p w:rsidR="00000000" w:rsidRDefault="00000000">
      <w:pPr>
        <w:tabs>
          <w:tab w:val="left" w:pos="284"/>
        </w:tabs>
      </w:pPr>
      <w:r>
        <w:tab/>
      </w:r>
      <w:r>
        <w:sym w:font="Symbol" w:char="F0B7"/>
      </w:r>
      <w:r>
        <w:tab/>
        <w:t>Комплексную программу повышения уровня образования (ПИАРЕ).</w:t>
      </w:r>
    </w:p>
    <w:p w:rsidR="00000000" w:rsidRDefault="00000000">
      <w:pPr>
        <w:tabs>
          <w:tab w:val="left" w:pos="284"/>
        </w:tabs>
      </w:pPr>
      <w:r>
        <w:tab/>
      </w:r>
      <w:r>
        <w:sym w:font="Symbol" w:char="F0B7"/>
      </w:r>
      <w:r>
        <w:tab/>
        <w:t>Программу развития первоначального воспитания (ПРОДЕИ).</w:t>
      </w:r>
    </w:p>
    <w:p w:rsidR="00000000" w:rsidRDefault="00000000">
      <w:pPr>
        <w:tabs>
          <w:tab w:val="left" w:pos="284"/>
        </w:tabs>
      </w:pPr>
      <w:r>
        <w:tab/>
      </w:r>
      <w:r>
        <w:sym w:font="Symbol" w:char="F0B7"/>
      </w:r>
      <w:r>
        <w:tab/>
        <w:t>Программу помощи школам, испытывающим финансовые трудности (ПАЕД).</w:t>
      </w:r>
    </w:p>
    <w:p w:rsidR="00000000" w:rsidRDefault="00000000">
      <w:pPr>
        <w:tabs>
          <w:tab w:val="left" w:pos="284"/>
        </w:tabs>
      </w:pPr>
      <w:r>
        <w:tab/>
      </w:r>
      <w:r>
        <w:sym w:font="Symbol" w:char="F0B7"/>
      </w:r>
      <w:r>
        <w:tab/>
        <w:t>Программу повышения уровня первоначального воспитания и базового образования (ПАРЕИБ).</w:t>
      </w:r>
    </w:p>
    <w:p w:rsidR="00000000" w:rsidRDefault="00000000">
      <w:r>
        <w:t>428.</w:t>
      </w:r>
      <w:r>
        <w:tab/>
        <w:t>В 1997/98 учебном году программа ПАЕД стала частью программы ПИАРЕ, а программа ПАРЕБ вобрала в себя функции программ, занимающихся общим начальным образованием и первоначальным воспитанием ПАРЕ и ПРОДЕИ.</w:t>
      </w:r>
    </w:p>
    <w:p w:rsidR="00000000" w:rsidRDefault="00000000">
      <w:r>
        <w:t>429.</w:t>
      </w:r>
      <w:r>
        <w:tab/>
        <w:t>Программа КОНАФЕ проводится в тех же районах, которые обслуживает ПРОГРЕСА. Совместное действие программ оказывается более р</w:t>
      </w:r>
      <w:r>
        <w:t>е</w:t>
      </w:r>
      <w:r>
        <w:t>зультативным.</w:t>
      </w:r>
    </w:p>
    <w:p w:rsidR="00000000" w:rsidRDefault="00000000">
      <w:r>
        <w:t>430.</w:t>
      </w:r>
      <w:r>
        <w:tab/>
        <w:t>В помощь учащимся начальных школ, в том числе школ для коренного населения, в 1999/2000 учебном году было выделено 4,3 млн. комплектов школьных прина</w:t>
      </w:r>
      <w:r>
        <w:t>д</w:t>
      </w:r>
      <w:r>
        <w:t>лежностей.</w:t>
      </w:r>
    </w:p>
    <w:p w:rsidR="00000000" w:rsidRDefault="00000000">
      <w:r>
        <w:t>431.</w:t>
      </w:r>
      <w:r>
        <w:tab/>
        <w:t>В 1999/2000 учебном году в целях повышения качества образования в сельских общинах и среди малообе</w:t>
      </w:r>
      <w:r>
        <w:t>с</w:t>
      </w:r>
      <w:r>
        <w:t>печенных слоев коренного населения 88 тыс. учителей, директоров школ и инспекторов, работающих с этой кат</w:t>
      </w:r>
      <w:r>
        <w:t>е</w:t>
      </w:r>
      <w:r>
        <w:t>горией населения, получили специальную подготовку. Педагогические коллективы прошли также инструктаж по формированию школьных советов, занимающихся выявлением основных проблем школы и поиском возможных решений по преодолению трудностей.</w:t>
      </w:r>
    </w:p>
    <w:p w:rsidR="00000000" w:rsidRDefault="00000000">
      <w:r>
        <w:t>432.</w:t>
      </w:r>
      <w:r>
        <w:tab/>
        <w:t>Учитывая культурные особенности этнических групп, а также необходимость выбора методов обучения, соответствующих конкретной культурной среде и не противоречащих общественному укладу в целом, уже на пр</w:t>
      </w:r>
      <w:r>
        <w:t>о</w:t>
      </w:r>
      <w:r>
        <w:t>тяжении нескольких десятилетий практикуется двуязычная модель обучения детей, принадлежащих к различным этническим группам. Также следует отметить, что в рамках Программы обеспечения детей из числа коренного н</w:t>
      </w:r>
      <w:r>
        <w:t>а</w:t>
      </w:r>
      <w:r>
        <w:t>селения школьным пансионом, проводимой Национальным институтом по проблемам коренного населения (ИНИ), детям в возрасте от 6 до 14 лет предоставляются питание, медицинское обслуживание и панс</w:t>
      </w:r>
      <w:r>
        <w:t>и</w:t>
      </w:r>
      <w:r>
        <w:t>он.</w:t>
      </w:r>
    </w:p>
    <w:p w:rsidR="00000000" w:rsidRDefault="00000000">
      <w:r>
        <w:t>433.</w:t>
      </w:r>
      <w:r>
        <w:tab/>
        <w:t>В 1999/2000 учебном году почти 30 тыс. родительских ассоциаций школ, подпадающих под действие допо</w:t>
      </w:r>
      <w:r>
        <w:t>л</w:t>
      </w:r>
      <w:r>
        <w:t>нительных просветительских программ, получили специальную подготовку и денежные средства по каналам Пр</w:t>
      </w:r>
      <w:r>
        <w:t>о</w:t>
      </w:r>
      <w:r>
        <w:t>граммы помощи школьному управлению (АГЕ). Указанные средства предназначались для мелкого ремонта школ</w:t>
      </w:r>
      <w:r>
        <w:t>ь</w:t>
      </w:r>
      <w:r>
        <w:t xml:space="preserve">ных помещений и для закупки учебных пособий. На начальном этапе программы АГЕ </w:t>
      </w:r>
      <w:r>
        <w:br/>
        <w:t>в 1996/97 учебном году помощь получили 5200 родительских ассоци</w:t>
      </w:r>
      <w:r>
        <w:t>а</w:t>
      </w:r>
      <w:r>
        <w:t>ций.</w:t>
      </w:r>
    </w:p>
    <w:p w:rsidR="00000000" w:rsidRDefault="00000000">
      <w:r>
        <w:t>434.</w:t>
      </w:r>
      <w:r>
        <w:tab/>
        <w:t xml:space="preserve">В текущем учебном году в рамках мероприятий по поддержке образования, проводимых ПРОГРЕСА, </w:t>
      </w:r>
      <w:r>
        <w:br/>
        <w:t>2,5 млн. детей и молодежи из наименее благополучных регионов страны получают стипендии и пособия на покупку школьных принадлежностей. Таким образом, дети имеют возможность регулярно посещать занятия и завершить базовое образование. В целях обеспечения равного доступа к образовательным услугам малообеспеченного насел</w:t>
      </w:r>
      <w:r>
        <w:t>е</w:t>
      </w:r>
      <w:r>
        <w:t>ния ПРОГРЕСА предоставляет поощрительные льготы девочкам и мол</w:t>
      </w:r>
      <w:r>
        <w:t>о</w:t>
      </w:r>
      <w:r>
        <w:t>дым женщинам.</w:t>
      </w:r>
    </w:p>
    <w:p w:rsidR="00000000" w:rsidRDefault="00000000">
      <w:r>
        <w:t>435.</w:t>
      </w:r>
      <w:r>
        <w:tab/>
        <w:t>Следует отметить, что принцип равенства в получении образования действует не только в системе обяз</w:t>
      </w:r>
      <w:r>
        <w:t>а</w:t>
      </w:r>
      <w:r>
        <w:t>тельного базового образования, но в некоторой степени применяется и в сфере незаконченного высшего и высшего образования. То есть молодежь из малообеспеченных семей получает возможность продолжать свое образование. Среди мероприятий, проводимых в этом направлении, можно выделить программы предоставления стипендий и субсидий на транспорт, открытые формы обучения и об</w:t>
      </w:r>
      <w:r>
        <w:t>у</w:t>
      </w:r>
      <w:r>
        <w:t>чающие телепрограммы.</w:t>
      </w:r>
    </w:p>
    <w:p w:rsidR="00000000" w:rsidRDefault="00000000">
      <w:pPr>
        <w:pStyle w:val="Heading3"/>
      </w:pPr>
      <w:r>
        <w:t>Гендерные факторы в рамках базового образования</w:t>
      </w:r>
    </w:p>
    <w:p w:rsidR="00000000" w:rsidRDefault="00000000">
      <w:r>
        <w:t>436.</w:t>
      </w:r>
      <w:r>
        <w:tab/>
        <w:t>В сфере образования ведется непрерывная работа по искоренению всех проявлений неравенства по отнош</w:t>
      </w:r>
      <w:r>
        <w:t>е</w:t>
      </w:r>
      <w:r>
        <w:t>нию к девочкам и молодым женщинам. Предпринимаются также усилия по преодолению стереотипов, характерных для традиционных, патриархальных форм воспитания, а также дискриминации в отношении женщин. В этом н</w:t>
      </w:r>
      <w:r>
        <w:t>а</w:t>
      </w:r>
      <w:r>
        <w:t>правлении осуществляются специальные программы помощи жителям сельских районов, малообеспеченным слоям городского населения и коренному населению. Также представляется важным анализ ситуации в отдельных реги</w:t>
      </w:r>
      <w:r>
        <w:t>о</w:t>
      </w:r>
      <w:r>
        <w:t>нах в связи с отставанием женщин в получении базового образования. Некоторые из таких программ и проектов следует отметить особо.</w:t>
      </w:r>
    </w:p>
    <w:p w:rsidR="00000000" w:rsidRDefault="00000000">
      <w:r>
        <w:t>437.</w:t>
      </w:r>
      <w:r>
        <w:tab/>
        <w:t>При участии всех государственных структур и общественных организаций был проведен ряд образовател</w:t>
      </w:r>
      <w:r>
        <w:t>ь</w:t>
      </w:r>
      <w:r>
        <w:t>ных мероприятий в поддержку женщин. Характер каждого из этих мероприятий соответствовал направлениям де</w:t>
      </w:r>
      <w:r>
        <w:t>я</w:t>
      </w:r>
      <w:r>
        <w:t>тельности структуры, ответственной за его проведение. Среди таких мероприятий можно отметить проведение эк</w:t>
      </w:r>
      <w:r>
        <w:t>с</w:t>
      </w:r>
      <w:r>
        <w:t>периментальных семинаров для привлечения внимания общественности, педагогов, учащихся и родителей к пр</w:t>
      </w:r>
      <w:r>
        <w:t>о</w:t>
      </w:r>
      <w:r>
        <w:t>блеме важности среднего образования для девочек. Недавно Министерство просвещения завершило исследование ситуации в области образования в отдельных регионах и в целом по стране. В ходе данных исследований изучались причины и масштабы отставания в получении базового образования городских и сельских женщин с учетом ге</w:t>
      </w:r>
      <w:r>
        <w:t>о</w:t>
      </w:r>
      <w:r>
        <w:t>графического, этнолингвистического и других факторов, что позволило вывести ряд показателей на муниципал</w:t>
      </w:r>
      <w:r>
        <w:t>ь</w:t>
      </w:r>
      <w:r>
        <w:t>ном уровне. Давая детальное представление о причинах и характере отставания женщин в области базового образ</w:t>
      </w:r>
      <w:r>
        <w:t>о</w:t>
      </w:r>
      <w:r>
        <w:t>вания, эти региональные исследования явились важным инструментом для дальнейшей разработки мероприятий и программ по обеспечению большего доступа девочек к образованию и возможностей для продолжения обуч</w:t>
      </w:r>
      <w:r>
        <w:t>е</w:t>
      </w:r>
      <w:r>
        <w:t>ния.</w:t>
      </w:r>
    </w:p>
    <w:p w:rsidR="00000000" w:rsidRDefault="00000000">
      <w:r>
        <w:t>438.</w:t>
      </w:r>
      <w:r>
        <w:tab/>
        <w:t>Среди различных мероприятий, проводимых в области первоначального воспитания, дошкольной подгото</w:t>
      </w:r>
      <w:r>
        <w:t>в</w:t>
      </w:r>
      <w:r>
        <w:t>ки и базового образования (начального и среднего), следует отметить Программу развития первоначального восп</w:t>
      </w:r>
      <w:r>
        <w:t>и</w:t>
      </w:r>
      <w:r>
        <w:t>тания; Программу поощрения в получении базового образования; программу "На пути к среднему образованию"; программу «Школа для родителей. "Да" ради наших детей», а также проекты "Образование для общества"; "Выя</w:t>
      </w:r>
      <w:r>
        <w:t>в</w:t>
      </w:r>
      <w:r>
        <w:t xml:space="preserve">ление проблем детей, чьи матери работают в ночную смену"; </w:t>
      </w:r>
      <w:r>
        <w:br/>
        <w:t>"В многообразном мире"; "Первоначальные действия для определения и формирования ценностей"; "Ознакомление с результатами микрорегиональных исследований развития в области женского образования". Следует отметить также внедрение гендерного подхода в учебные пр</w:t>
      </w:r>
      <w:r>
        <w:t>о</w:t>
      </w:r>
      <w:r>
        <w:t>граммы и планы как для традицио</w:t>
      </w:r>
      <w:r>
        <w:t>н</w:t>
      </w:r>
      <w:r>
        <w:t>ных форм обучения, так и для телеобучения.</w:t>
      </w:r>
    </w:p>
    <w:p w:rsidR="00000000" w:rsidRDefault="00000000">
      <w:r>
        <w:t>439.</w:t>
      </w:r>
      <w:r>
        <w:tab/>
        <w:t>Задачей проекта "В многообразном мире" является пропаганда принципа гендерного равенства и необходим</w:t>
      </w:r>
      <w:r>
        <w:t>о</w:t>
      </w:r>
      <w:r>
        <w:t>сти его соблюдения уже на начальной стадии воспитания. То есть в ходе общения и игрового взаимодействия ме</w:t>
      </w:r>
      <w:r>
        <w:t>ж</w:t>
      </w:r>
      <w:r>
        <w:t>ду мальчиками и девочками следует предотвращать проявления дискриминации, обособления по половому призн</w:t>
      </w:r>
      <w:r>
        <w:t>а</w:t>
      </w:r>
      <w:r>
        <w:t>ку, способствуя тем самым формированию личности в целом. Данный правительственный проект, предназначе</w:t>
      </w:r>
      <w:r>
        <w:t>н</w:t>
      </w:r>
      <w:r>
        <w:t>ный главным образом для родителей, находится сейчас в стадии документального исследования.</w:t>
      </w:r>
    </w:p>
    <w:p w:rsidR="00000000" w:rsidRDefault="00000000">
      <w:r>
        <w:t>440.</w:t>
      </w:r>
      <w:r>
        <w:tab/>
        <w:t>В ходе осуществления проекта "Первоначальные действия для определения и формирования ценностей" предполагается сгладить и/или предотвратить проявления гендерного неравенства или дискриминации посре</w:t>
      </w:r>
      <w:r>
        <w:t>д</w:t>
      </w:r>
      <w:r>
        <w:t>ством проведения семинаров, организации курсов и распространения дидактических материалов. С этой целью уже был проведен вводный семинар на тему формирования ценностей и был организован курс "Развитие человека и формирование ценностей" для перс</w:t>
      </w:r>
      <w:r>
        <w:t>о</w:t>
      </w:r>
      <w:r>
        <w:t>нала Центра детского развития при Министерстве просвещения (СЕНДИ–СЕП). Также в рамках данного проекта был прочитан цикл лекций на тему "Альтернативное воспитание в целях обеспечения равноправия и равенства возможностей для мальчиков и девочек дошкольного возраста, наход</w:t>
      </w:r>
      <w:r>
        <w:t>я</w:t>
      </w:r>
      <w:r>
        <w:t>щихся на 9-м этапе системы образования".</w:t>
      </w:r>
    </w:p>
    <w:p w:rsidR="00000000" w:rsidRDefault="00000000">
      <w:r>
        <w:t>441.</w:t>
      </w:r>
      <w:r>
        <w:tab/>
        <w:t>В 1999 году Министерство просвещения совместно с ЮНИСЕФ начали проект под названием "Выявление проблем детей, чьи матери работают в ночную смену". Цель данного проекта – исправить положение с нехваткой специальных служб ухода за детьми, матери которых заняты на производстве и имеют скользящий график работы. К октябрю 1999 года в федеральном округе Мехико была проделана документально-исследовательская и библи</w:t>
      </w:r>
      <w:r>
        <w:t>о</w:t>
      </w:r>
      <w:r>
        <w:t>графическая работа по выявлению потребностей в уходе за детьми до четырех лет, матери которых работают в ночную смену и полный рабочий день. Эта работа была проделана также с целью определить, какие службы помощи да</w:t>
      </w:r>
      <w:r>
        <w:t>н</w:t>
      </w:r>
      <w:r>
        <w:t>ной категории населения существуют в федеральном округе Мехико, и в соответствии с выявленными потребност</w:t>
      </w:r>
      <w:r>
        <w:t>я</w:t>
      </w:r>
      <w:r>
        <w:t>ми выработать меры и/или методы оказания помощи и орг</w:t>
      </w:r>
      <w:r>
        <w:t>а</w:t>
      </w:r>
      <w:r>
        <w:t>низовать работу необходимых служб.</w:t>
      </w:r>
    </w:p>
    <w:p w:rsidR="00000000" w:rsidRDefault="00000000">
      <w:r>
        <w:t>442.</w:t>
      </w:r>
      <w:r>
        <w:tab/>
        <w:t>Программа "На пути к среднему образованию", с которой в 1998 году ознакомились жители 31 штата, пр</w:t>
      </w:r>
      <w:r>
        <w:t>о</w:t>
      </w:r>
      <w:r>
        <w:t>водится в рамках проекта "Поощрение перехода учащихся, особенно девочек, из 6-го класса начальной школы в 1-й класс средней школы". Программа осуществляется Сетью ответственных за проведение воспитательных меропри</w:t>
      </w:r>
      <w:r>
        <w:t>я</w:t>
      </w:r>
      <w:r>
        <w:t>тий и проходит под эгидой Организации американских государств (ОАГ). Целью данной программы является пр</w:t>
      </w:r>
      <w:r>
        <w:t>и</w:t>
      </w:r>
      <w:r>
        <w:t>влечение девочек и женщин к получению среднего образования и обеспечение непрерывности обучения. Такая п</w:t>
      </w:r>
      <w:r>
        <w:t>о</w:t>
      </w:r>
      <w:r>
        <w:t>литика дает возможность обсуждения с учащимися пользы среднего образования, особо подчеркивая при этом важность продолжения образования для девочек. С родителями проводятся беседы о последствиях проявлений дискриминации в повседневной жизни, а с педагогами о</w:t>
      </w:r>
      <w:r>
        <w:t>б</w:t>
      </w:r>
      <w:r>
        <w:t>суждается важность их профессиональной деятельности.</w:t>
      </w:r>
    </w:p>
    <w:p w:rsidR="00000000" w:rsidRDefault="00000000">
      <w:r>
        <w:t>443.</w:t>
      </w:r>
      <w:r>
        <w:tab/>
        <w:t>Министерство просвещения сочло нужным включить гендерную проблематику и некоторые аспекты пол</w:t>
      </w:r>
      <w:r>
        <w:t>о</w:t>
      </w:r>
      <w:r>
        <w:t>вого воспитания в учебные планы, программы и учебники базовой школы. В 1993 году начался процесс редактир</w:t>
      </w:r>
      <w:r>
        <w:t>о</w:t>
      </w:r>
      <w:r>
        <w:t>вания учебников для начальной школы. Новые учебники помогают детям познать самих себя, оценить свои во</w:t>
      </w:r>
      <w:r>
        <w:t>з</w:t>
      </w:r>
      <w:r>
        <w:t>можности и укрепить самоуважение; они обучают мерам безопасности для сохранения физического и психического здоровья. Ведется работа по воспитанию у детей таких человеческих ценностей, как взаимное уважение, терп</w:t>
      </w:r>
      <w:r>
        <w:t>и</w:t>
      </w:r>
      <w:r>
        <w:t xml:space="preserve">мость, готовность к согласию, равноправие между мужчинами и женщинами. </w:t>
      </w:r>
      <w:r>
        <w:br/>
        <w:t>В целях повышения качества преп</w:t>
      </w:r>
      <w:r>
        <w:t>о</w:t>
      </w:r>
      <w:r>
        <w:t>давательской работы учителя обеспечиваются различного рода дидактическими материалами. В настоящее время в распоряжении педагогов имеются вспомогательные материалы, содержащие гендерную проблематику, в которых рассматриваются также вопросы охраны здоровья, сексуального поведения и вредных прив</w:t>
      </w:r>
      <w:r>
        <w:t>ы</w:t>
      </w:r>
      <w:r>
        <w:t>чек.</w:t>
      </w:r>
    </w:p>
    <w:p w:rsidR="00000000" w:rsidRDefault="00000000">
      <w:r>
        <w:t>444.</w:t>
      </w:r>
      <w:r>
        <w:tab/>
        <w:t xml:space="preserve">С 1993 года в учебный план и программу для средней школы, утвержденные Министерством просвещения, включены курс "Культура поведения" и тема прав человека. Тема гендерного равенства включена </w:t>
      </w:r>
      <w:r>
        <w:br/>
        <w:t>в программу для пе</w:t>
      </w:r>
      <w:r>
        <w:t>р</w:t>
      </w:r>
      <w:r>
        <w:t>вого года обучения в средней школе, а в третьем классе средней школы изучается специальная дисциплина, пре</w:t>
      </w:r>
      <w:r>
        <w:t>д</w:t>
      </w:r>
      <w:r>
        <w:t xml:space="preserve">метами которой являются воспитание самоуважения у подростков, проблемы охраны здоровья, сексуальной жизни, вредных привычек и профессиональная ориентация. В 1999 году в связи </w:t>
      </w:r>
      <w:r>
        <w:br/>
        <w:t>с введением новой школьной дисциплины "Культура поведения и этика" были разработаны новые учебники. Отдел учебных телепрограмм для средней шк</w:t>
      </w:r>
      <w:r>
        <w:t>о</w:t>
      </w:r>
      <w:r>
        <w:t>лы выпустил печатные пособия к телепрограммам и отредактировал содержание самих программ, включив в них вопросы пропаганды гендерного равенства.</w:t>
      </w:r>
    </w:p>
    <w:p w:rsidR="00000000" w:rsidRDefault="00000000">
      <w:r>
        <w:t>445.</w:t>
      </w:r>
      <w:r>
        <w:tab/>
        <w:t>В конце 1998 года Спутниковая сеть учебного телевидения (ЕДУСАТ) располагала 30 тыс. антенн для приема образовательных программ, предназначенных для тех, кто получает среднее образование по телевидению, а также для обычной средней школы и профессионально-технических училищ. Важным шагом в этом направлении явилось осуществление проекта заочного обучения "Образование для общества". Суть данного проекта состоит в производстве и отборе серий учебных телепрограмм, которые должны способствовать изменению взглядов на п</w:t>
      </w:r>
      <w:r>
        <w:t>о</w:t>
      </w:r>
      <w:r>
        <w:t>ложение женщины в обществе, улучшению ее материального благосостояния, преодолению предрассудков и изм</w:t>
      </w:r>
      <w:r>
        <w:t>е</w:t>
      </w:r>
      <w:r>
        <w:t>нению модели поведения в сторону признания гендерного равенства. В настоящее время готовятся к показу 42 тел</w:t>
      </w:r>
      <w:r>
        <w:t>е</w:t>
      </w:r>
      <w:r>
        <w:t>передачи для детей (от 3 до 13 лет), молодежи (от14 до 20 лет) и взро</w:t>
      </w:r>
      <w:r>
        <w:t>с</w:t>
      </w:r>
      <w:r>
        <w:t>лых (от 21 до 59 лет), а также для родителей.</w:t>
      </w:r>
    </w:p>
    <w:p w:rsidR="00000000" w:rsidRDefault="00000000">
      <w:r>
        <w:t>446.</w:t>
      </w:r>
      <w:r>
        <w:tab/>
        <w:t>При осуществлении программы «Школа для родителей. "Да" ради наших детей» также используются эле</w:t>
      </w:r>
      <w:r>
        <w:t>к</w:t>
      </w:r>
      <w:r>
        <w:t>тронные средства (компьютер, видео и телевидение). Цель данной программы – оказание поддержки родителям, чьи дети получают базовое образование в различных учебных заведениях федерального округа Мехико. Меропри</w:t>
      </w:r>
      <w:r>
        <w:t>я</w:t>
      </w:r>
      <w:r>
        <w:t>тия, проводимые в рамках программы, сп</w:t>
      </w:r>
      <w:r>
        <w:t>о</w:t>
      </w:r>
      <w:r>
        <w:t>собствуют улучшению взаимопонимания в семьях.</w:t>
      </w:r>
    </w:p>
    <w:p w:rsidR="00000000" w:rsidRDefault="00000000">
      <w:pPr>
        <w:rPr>
          <w:b/>
          <w:lang w:val="en-US"/>
        </w:rPr>
      </w:pPr>
    </w:p>
    <w:p w:rsidR="00000000" w:rsidRDefault="00000000">
      <w:pPr>
        <w:pStyle w:val="Heading3"/>
      </w:pPr>
      <w:r>
        <w:t>ОБРАЗОВАНИЕ ДЛЯ ВЗРОСЛЫХ</w:t>
      </w:r>
    </w:p>
    <w:p w:rsidR="00000000" w:rsidRDefault="00000000">
      <w:pPr>
        <w:pStyle w:val="Heading3"/>
        <w:spacing w:before="120"/>
      </w:pPr>
      <w:r>
        <w:t>Неграмотность среди взрослого населения</w:t>
      </w:r>
    </w:p>
    <w:p w:rsidR="00000000" w:rsidRDefault="00000000">
      <w:r>
        <w:t>447.</w:t>
      </w:r>
      <w:r>
        <w:tab/>
        <w:t>Неграмотность среди взрослого населения в Мексике остается большой проблемой как для системы обр</w:t>
      </w:r>
      <w:r>
        <w:t>а</w:t>
      </w:r>
      <w:r>
        <w:t>зования, так и для общества в целом. В результате предпринятых в этом направлении усилий в течение десяти лет удалось достичь снижения этого показателя только на 2,9 процента.</w:t>
      </w:r>
    </w:p>
    <w:p w:rsidR="00000000" w:rsidRDefault="00000000">
      <w:r>
        <w:t>448.</w:t>
      </w:r>
      <w:r>
        <w:tab/>
        <w:t>В 2000 году показатель неграмотности составил 9,7 процента, при этом 11,6 процента неграмотных среди женщин и 7,6 процента – среди мужчин. Замечено, что наибольший процент неграмотных наблюдается среди н</w:t>
      </w:r>
      <w:r>
        <w:t>а</w:t>
      </w:r>
      <w:r>
        <w:t>селения в возрасте 60 лет и более. Однако, если следовать международным нормам статистики неграмотности, то есть рассматривать только возрастную группу от 15 до 59 лет, показатель числа неграмотных по стране составил бы 7,7 процента.</w:t>
      </w:r>
    </w:p>
    <w:p w:rsidR="00000000" w:rsidRDefault="00000000">
      <w:pPr>
        <w:jc w:val="center"/>
        <w:rPr>
          <w:b/>
        </w:rPr>
      </w:pPr>
      <w:r>
        <w:rPr>
          <w:b/>
        </w:rPr>
        <w:br w:type="page"/>
        <w:t>Неграмотность среди населения в возрасте от 15 лет и старше,</w:t>
      </w:r>
      <w:r>
        <w:rPr>
          <w:b/>
        </w:rPr>
        <w:br/>
        <w:t>1990–1999 годы</w:t>
      </w:r>
    </w:p>
    <w:p w:rsidR="00000000" w:rsidRDefault="00000000">
      <w:pPr>
        <w:jc w:val="center"/>
        <w:rPr>
          <w:sz w:val="18"/>
        </w:rPr>
      </w:pPr>
      <w:r>
        <w:rPr>
          <w:sz w:val="18"/>
        </w:rPr>
        <w:pict>
          <v:shape id="_x0000_i1034" type="#_x0000_t75" style="width:373.5pt;height:160.5pt" fillcolor="window">
            <v:imagedata r:id="rId24" o:title="Graphic-10"/>
          </v:shape>
        </w:pict>
      </w:r>
    </w:p>
    <w:p w:rsidR="00000000" w:rsidRDefault="00000000">
      <w:pPr>
        <w:ind w:left="1077" w:right="964"/>
        <w:rPr>
          <w:sz w:val="18"/>
        </w:rPr>
      </w:pPr>
      <w:r>
        <w:rPr>
          <w:sz w:val="18"/>
        </w:rPr>
        <w:t xml:space="preserve">Источник: ИНЕГИ, </w:t>
      </w:r>
      <w:r>
        <w:rPr>
          <w:sz w:val="18"/>
          <w:lang w:val="en-US"/>
        </w:rPr>
        <w:t>XI</w:t>
      </w:r>
      <w:r>
        <w:rPr>
          <w:sz w:val="18"/>
        </w:rPr>
        <w:t xml:space="preserve"> всеобщая перепись населения и жилого фонда 1990 года, Учет населения, 1995 год, Национальное исследование дем</w:t>
      </w:r>
      <w:r>
        <w:rPr>
          <w:sz w:val="18"/>
        </w:rPr>
        <w:t>о</w:t>
      </w:r>
      <w:r>
        <w:rPr>
          <w:sz w:val="18"/>
        </w:rPr>
        <w:t>граф</w:t>
      </w:r>
      <w:r>
        <w:rPr>
          <w:sz w:val="18"/>
        </w:rPr>
        <w:t>и</w:t>
      </w:r>
      <w:r>
        <w:rPr>
          <w:sz w:val="18"/>
        </w:rPr>
        <w:t xml:space="preserve">ческой ситуации, 1997 год, </w:t>
      </w:r>
      <w:r>
        <w:rPr>
          <w:sz w:val="18"/>
          <w:lang w:val="en-US"/>
        </w:rPr>
        <w:t>XII</w:t>
      </w:r>
      <w:r>
        <w:rPr>
          <w:sz w:val="18"/>
        </w:rPr>
        <w:t xml:space="preserve"> всеобщая перепись населения и жилого фонда 2000 года.</w:t>
      </w:r>
    </w:p>
    <w:p w:rsidR="00000000" w:rsidRDefault="00000000">
      <w:pPr>
        <w:spacing w:before="240" w:after="360"/>
      </w:pPr>
      <w:r>
        <w:t>449.</w:t>
      </w:r>
      <w:r>
        <w:tab/>
        <w:t>Среди молодых людей в возрасте от 15 до 24 лет неграмотные составляют всего 3,3 процента, то есть по</w:t>
      </w:r>
      <w:r>
        <w:t>ч</w:t>
      </w:r>
      <w:r>
        <w:t>ти все молодое поколение охвачено базовым образов</w:t>
      </w:r>
      <w:r>
        <w:t>а</w:t>
      </w:r>
      <w:r>
        <w:t>нием.</w:t>
      </w:r>
    </w:p>
    <w:p w:rsidR="00000000" w:rsidRDefault="00000000">
      <w:pPr>
        <w:jc w:val="center"/>
        <w:rPr>
          <w:b/>
        </w:rPr>
      </w:pPr>
      <w:r>
        <w:rPr>
          <w:b/>
        </w:rPr>
        <w:t>Неграмотность среди населения в возрасте от 15 до 24 лет,</w:t>
      </w:r>
      <w:r>
        <w:rPr>
          <w:b/>
        </w:rPr>
        <w:br/>
        <w:t>1990</w:t>
      </w:r>
      <w:r>
        <w:t>–</w:t>
      </w:r>
      <w:r>
        <w:rPr>
          <w:b/>
        </w:rPr>
        <w:t>1997 годы</w:t>
      </w:r>
    </w:p>
    <w:p w:rsidR="00000000" w:rsidRDefault="00000000">
      <w:pPr>
        <w:jc w:val="center"/>
      </w:pPr>
      <w:r>
        <w:pict>
          <v:shape id="_x0000_i1035" type="#_x0000_t75" style="width:373.5pt;height:160.5pt" fillcolor="window">
            <v:imagedata r:id="rId25" o:title="Graphic-11"/>
          </v:shape>
        </w:pict>
      </w:r>
    </w:p>
    <w:p w:rsidR="00000000" w:rsidRDefault="00000000">
      <w:pPr>
        <w:ind w:left="1077" w:right="964"/>
        <w:rPr>
          <w:sz w:val="18"/>
        </w:rPr>
      </w:pPr>
      <w:r>
        <w:rPr>
          <w:sz w:val="18"/>
        </w:rPr>
        <w:t xml:space="preserve">Источник: ИНЕГИ, </w:t>
      </w:r>
      <w:r>
        <w:rPr>
          <w:sz w:val="18"/>
          <w:lang w:val="en-US"/>
        </w:rPr>
        <w:t>XI</w:t>
      </w:r>
      <w:r>
        <w:rPr>
          <w:sz w:val="18"/>
        </w:rPr>
        <w:t xml:space="preserve"> всеобщая перепись населения и жилого фонда 1990 года, Учет населения, 1995 год, Наци</w:t>
      </w:r>
      <w:r>
        <w:rPr>
          <w:sz w:val="18"/>
        </w:rPr>
        <w:t>о</w:t>
      </w:r>
      <w:r>
        <w:rPr>
          <w:sz w:val="18"/>
        </w:rPr>
        <w:t>нальное исследование демографической ситуации, 1997 год.</w:t>
      </w:r>
    </w:p>
    <w:p w:rsidR="00000000" w:rsidRDefault="00000000">
      <w:r>
        <w:t>450.</w:t>
      </w:r>
      <w:r>
        <w:tab/>
        <w:t>Одной из основных задач федерального правительства в области образования было изыскать возможности предоставления разного рода образовательных услуг соответствующего качества той части молодежи и взрослого населения, которая не получила базового образования либо не закончила курс средней школы. Таким образом, эта категория населения получила шанс повысить свой жизненный уровень и оказаться в лучших условиях на рынке труда.</w:t>
      </w:r>
    </w:p>
    <w:p w:rsidR="00000000" w:rsidRDefault="00000000">
      <w:pPr>
        <w:spacing w:line="235" w:lineRule="auto"/>
      </w:pPr>
      <w:r>
        <w:t>451.</w:t>
      </w:r>
      <w:r>
        <w:tab/>
        <w:t>За прошедшее десятилетие образование для взрослых начало преобразовываться в комплексную службу, рассматривающую ликвидацию неграмотности как первую ступень процесса обучения, ориентированного на удо</w:t>
      </w:r>
      <w:r>
        <w:t>в</w:t>
      </w:r>
      <w:r>
        <w:t>летворение необходимости в базовых знаниях для женщин и мужчин. Эта необходимость в базовых знаниях опр</w:t>
      </w:r>
      <w:r>
        <w:t>е</w:t>
      </w:r>
      <w:r>
        <w:t>деляется потребностями рынка труда, социальной средой и условиями жизни самих обучающихся. Ведется работа по преодолению функциональной неграмотности, так как в любом случае умение читать и писать является поле</w:t>
      </w:r>
      <w:r>
        <w:t>з</w:t>
      </w:r>
      <w:r>
        <w:t>ным инструментом для дальнейшего развития взрослых людей как в работе, так и в семье и в общ</w:t>
      </w:r>
      <w:r>
        <w:t>е</w:t>
      </w:r>
      <w:r>
        <w:t>стве.</w:t>
      </w:r>
    </w:p>
    <w:p w:rsidR="00000000" w:rsidRDefault="00000000">
      <w:pPr>
        <w:spacing w:line="235" w:lineRule="auto"/>
      </w:pPr>
      <w:r>
        <w:t>452.</w:t>
      </w:r>
      <w:r>
        <w:tab/>
        <w:t>Одной из основных особенностей современной системы образования для взрослых является признание по</w:t>
      </w:r>
      <w:r>
        <w:t>л</w:t>
      </w:r>
      <w:r>
        <w:t>ноценности тех знаний и умений, которые были получены человеком различными путями на протяжении жи</w:t>
      </w:r>
      <w:r>
        <w:t>з</w:t>
      </w:r>
      <w:r>
        <w:t>ни.</w:t>
      </w:r>
    </w:p>
    <w:p w:rsidR="00000000" w:rsidRDefault="00000000">
      <w:pPr>
        <w:spacing w:line="235" w:lineRule="auto"/>
      </w:pPr>
      <w:r>
        <w:t>453.</w:t>
      </w:r>
      <w:r>
        <w:tab/>
        <w:t>Создание общенациональной сети образовательных учреждений и служб имеет целью обеспечить большее социальное участие в процессе обучения взрослого населения. На данный момент 17 отделений Национального института по вопросам образования для взрослых (ИНЕА) перешли в распоряжение администраций штатов, а та</w:t>
      </w:r>
      <w:r>
        <w:t>к</w:t>
      </w:r>
      <w:r>
        <w:t>же было учреждено 19 государственных структур, призванных обеспечить предоставление образовательных услуг для взрослых всем желающим.</w:t>
      </w:r>
    </w:p>
    <w:p w:rsidR="00000000" w:rsidRDefault="00000000">
      <w:pPr>
        <w:spacing w:line="235" w:lineRule="auto"/>
      </w:pPr>
      <w:r>
        <w:t>454.</w:t>
      </w:r>
      <w:r>
        <w:tab/>
        <w:t>Подсчитано, что за период с 1999 по 2000 год с помощью ИНЕА получили образование 1,3 млн. взрослых людей, что на 400 тыс. меньше той цифры, которая фигурировала в предыдущем отчете.</w:t>
      </w:r>
    </w:p>
    <w:p w:rsidR="00000000" w:rsidRDefault="00000000">
      <w:pPr>
        <w:spacing w:line="235" w:lineRule="auto"/>
      </w:pPr>
      <w:r>
        <w:t>455.</w:t>
      </w:r>
      <w:r>
        <w:tab/>
        <w:t xml:space="preserve">В текущем учебном году 377 тыс. человек обучались на курсах по ликвидации неграмотности, </w:t>
      </w:r>
      <w:r>
        <w:br/>
        <w:t>59 процентов из них завершили курс обучения. Также в этом году получали начальное и среднее образование более 900 тыс. взрослых людей, 43 процента из которых закончили обучение. В 1999 году ИНЕА выдал почти 321 тыс. свид</w:t>
      </w:r>
      <w:r>
        <w:t>е</w:t>
      </w:r>
      <w:r>
        <w:t>тельств о среднем образовании – самое большое количество со времени создания института.</w:t>
      </w:r>
    </w:p>
    <w:p w:rsidR="00000000" w:rsidRDefault="00000000">
      <w:pPr>
        <w:spacing w:line="235" w:lineRule="auto"/>
      </w:pPr>
      <w:r>
        <w:t>456.</w:t>
      </w:r>
      <w:r>
        <w:tab/>
        <w:t>В этом направлении ИНЕА работает над усовершенствованием модели преподавания для взрослых с учетом гендерных аспектов. В зонах проживания малообеспеченных слоев населения наряду с обычными механизмами подготовки взрослых действует специальный проект помощи женщ</w:t>
      </w:r>
      <w:r>
        <w:t>и</w:t>
      </w:r>
      <w:r>
        <w:t>нам.</w:t>
      </w:r>
    </w:p>
    <w:p w:rsidR="00000000" w:rsidRDefault="00000000">
      <w:pPr>
        <w:spacing w:line="235" w:lineRule="auto"/>
      </w:pPr>
      <w:r>
        <w:t>457.</w:t>
      </w:r>
      <w:r>
        <w:tab/>
        <w:t>В апреле 2000 года получила применение новая модель "Образование для жизни", которая призвана наилу</w:t>
      </w:r>
      <w:r>
        <w:t>ч</w:t>
      </w:r>
      <w:r>
        <w:t>шим образом удовлетворить интерес к учебе и потребность в знаниях среди взрослого населения. Данная модель образования имеет гибкую структуру, способную реагировать на спрос, и учитывает гендерные аспекты. При об</w:t>
      </w:r>
      <w:r>
        <w:t>у</w:t>
      </w:r>
      <w:r>
        <w:t>чении людей, не прошедших полный курс базового образования, учитываются их практические знания и опыт, к</w:t>
      </w:r>
      <w:r>
        <w:t>о</w:t>
      </w:r>
      <w:r>
        <w:t>торые помогают в постижении необходимых учебных предметов и в восприятии навыков, полезных для повс</w:t>
      </w:r>
      <w:r>
        <w:t>е</w:t>
      </w:r>
      <w:r>
        <w:t>дневной жизни. В задачи данной модели входит привлечение большего числа женщин к получению образования, а также разъяснение взрослым людям того, что обучение – процесс длительный, не прекращающийся в течение всей жизни.</w:t>
      </w:r>
    </w:p>
    <w:p w:rsidR="00000000" w:rsidRDefault="00000000">
      <w:pPr>
        <w:spacing w:line="235" w:lineRule="auto"/>
      </w:pPr>
      <w:r>
        <w:t>458.</w:t>
      </w:r>
      <w:r>
        <w:tab/>
        <w:t xml:space="preserve">Еще одной важной инициативой, расширяющей выбор образовательных услуг для лиц в возрасте от </w:t>
      </w:r>
      <w:r>
        <w:br/>
        <w:t>15 лет и старше, не закончивших базового образования, является программа "Заочное среднее образование для взрослых". Учебные дисциплины данной программы имеют чисто практическую направленность и ориентированы на повс</w:t>
      </w:r>
      <w:r>
        <w:t>е</w:t>
      </w:r>
      <w:r>
        <w:t>дневную жизнь. На первом этапе действия программы с марта 2000 года в девяти штатах Республики было открыто 106 отделений заочного обуч</w:t>
      </w:r>
      <w:r>
        <w:t>е</w:t>
      </w:r>
      <w:r>
        <w:t>ния.</w:t>
      </w:r>
    </w:p>
    <w:p w:rsidR="00000000" w:rsidRDefault="00000000">
      <w:pPr>
        <w:spacing w:line="235" w:lineRule="auto"/>
      </w:pPr>
      <w:r>
        <w:t>459.</w:t>
      </w:r>
      <w:r>
        <w:tab/>
        <w:t>В рамках программы, проводимой совместно Министерством национальной обороны, Министерством пр</w:t>
      </w:r>
      <w:r>
        <w:t>о</w:t>
      </w:r>
      <w:r>
        <w:t>свещения и Национальным институтом по вопросам образования для взрослых (СЕДЕНА–СЕП–ИНЕА), в 1999 году немногим более 61 тыс. юношей прошли допризывную военную подготовку</w:t>
      </w:r>
      <w:r>
        <w:rPr>
          <w:vertAlign w:val="superscript"/>
        </w:rPr>
        <w:footnoteReference w:customMarkFollows="1" w:id="3"/>
        <w:t>2</w:t>
      </w:r>
      <w:r>
        <w:t>, что позволит им в дальнейшем быть опорой для 77 тыс. своих сверстников, которые не получали или не закончили базового образования, а также для 65 тыс. человек непризывного контингента, находящихся в том же положении, – учащихся, мужчин и женщин, д</w:t>
      </w:r>
      <w:r>
        <w:t>о</w:t>
      </w:r>
      <w:r>
        <w:t>мохозяек, рабочих. За четыре года действия данной программы более 470 тыс. юношей и 87 тыс. человек непр</w:t>
      </w:r>
      <w:r>
        <w:t>и</w:t>
      </w:r>
      <w:r>
        <w:t>зывного контингента прошли курсы обучения грамоте, начального и среднего образования. В качестве учебного материала было разработано 20 информационных брошюр, предлагающих различные темы для размышления, т</w:t>
      </w:r>
      <w:r>
        <w:t>а</w:t>
      </w:r>
      <w:r>
        <w:t>кие, например, как: юноша и девушка, семья, сексуальность, трудности выживания в современном обществе, раб</w:t>
      </w:r>
      <w:r>
        <w:t>о</w:t>
      </w:r>
      <w:r>
        <w:t>та, коллектив, права человека и охрана окружающей среды; а также было выпущено 14 учебных видеопр</w:t>
      </w:r>
      <w:r>
        <w:t>о</w:t>
      </w:r>
      <w:r>
        <w:t>грамм.</w:t>
      </w:r>
    </w:p>
    <w:p w:rsidR="00000000" w:rsidRDefault="00000000">
      <w:r>
        <w:t>460.</w:t>
      </w:r>
      <w:r>
        <w:tab/>
        <w:t>ИНЕА осуществлял еще одну экспериментальную программу для групп ПРОДЕИ (Программа развития пе</w:t>
      </w:r>
      <w:r>
        <w:t>р</w:t>
      </w:r>
      <w:r>
        <w:t>воначального воспитания), также основанную на принципах гендерного подхода, в период с 1997 года до конца 1998 года в штате Герреро. Программа предусматривала проведение курсов обучения грамоте на основе гендерного подхода и с учетом жизненных у</w:t>
      </w:r>
      <w:r>
        <w:t>с</w:t>
      </w:r>
      <w:r>
        <w:t>ловий и интересов аудитории, особенно женской ее части.</w:t>
      </w:r>
    </w:p>
    <w:p w:rsidR="00000000" w:rsidRDefault="00000000">
      <w:pPr>
        <w:pStyle w:val="Heading3"/>
      </w:pPr>
      <w:r>
        <w:t>Профессиональная подготовка</w:t>
      </w:r>
    </w:p>
    <w:p w:rsidR="00000000" w:rsidRDefault="00000000">
      <w:r>
        <w:t>461.</w:t>
      </w:r>
      <w:r>
        <w:tab/>
        <w:t>В последние годы правительство Мексики активно способствовало расширению возможностей професси</w:t>
      </w:r>
      <w:r>
        <w:t>о</w:t>
      </w:r>
      <w:r>
        <w:t>нальной подготовки для населения с учетом потребностей общества. С этой целью были созданы новые, более ги</w:t>
      </w:r>
      <w:r>
        <w:t>б</w:t>
      </w:r>
      <w:r>
        <w:t>кие схемы профессиональной подготовки, по которым в процессе обучения учитываются умения и трудовой опыт обучаемого, накопленный им ранее в различных сферах деятельности. Основной отличительной чертой новой схемы профессиональной подготовки является наличие тесной связи между учебными учреждениями и государс</w:t>
      </w:r>
      <w:r>
        <w:t>т</w:t>
      </w:r>
      <w:r>
        <w:t>ве</w:t>
      </w:r>
      <w:r>
        <w:t>н</w:t>
      </w:r>
      <w:r>
        <w:t>ной производственной сферой.</w:t>
      </w:r>
    </w:p>
    <w:p w:rsidR="00000000" w:rsidRDefault="00000000">
      <w:r>
        <w:t>462.</w:t>
      </w:r>
      <w:r>
        <w:tab/>
        <w:t>Среди основных служб и учреждений, занимающихся профессиональной подготовкой, можно назвать це</w:t>
      </w:r>
      <w:r>
        <w:t>н</w:t>
      </w:r>
      <w:r>
        <w:t>тры подготовки кадров для промышленного производства (СЕКАТИ), деятельность которых регулируется фед</w:t>
      </w:r>
      <w:r>
        <w:t>е</w:t>
      </w:r>
      <w:r>
        <w:t>ральным правительством, а также соответствующие децентрализованные государственные учреждения, такие как Государс</w:t>
      </w:r>
      <w:r>
        <w:t>т</w:t>
      </w:r>
      <w:r>
        <w:t>венный профессионально-технический колледж (КОНАЛЕП), Главное управление индустриально-технического образования (ДГЕТИ), и колледжи научно-технической подготовки, действующие во всех штатах (СЕСИТЕ). Подсчитано, что за 1999/2000 учебный год в центрах профессиональной подготовки обучалось почти 928 тыс. человек. В 2000/2001 учебном году эта цифра возрастет до 981 тыс.</w:t>
      </w:r>
      <w:r>
        <w:rPr>
          <w:vertAlign w:val="superscript"/>
        </w:rPr>
        <w:footnoteReference w:customMarkFollows="1" w:id="4"/>
        <w:t>3</w:t>
      </w:r>
    </w:p>
    <w:p w:rsidR="00000000" w:rsidRDefault="00000000">
      <w:r>
        <w:t>463.</w:t>
      </w:r>
      <w:r>
        <w:tab/>
        <w:t>Выдачей индивидуальных сертификатов, свидетельствующих о знаниях и умениях, полученных различными путями, в том числе в ходе трудовой деятельности, занимаются специальные аттестационные комиссии, которые действуют независимо от учебных заведений, трудовых товариществ и владельцев предприятий. В настоящее вр</w:t>
      </w:r>
      <w:r>
        <w:t>е</w:t>
      </w:r>
      <w:r>
        <w:t>мя существует 18 подобных органов, что на 7 больше, чем в 1998/99 учебном году. На июнь 2000 года ими было выдано более 5 тыс. свидетельств о полученной профессиональной подготовке и присвоенной кв</w:t>
      </w:r>
      <w:r>
        <w:t>а</w:t>
      </w:r>
      <w:r>
        <w:t>лификации.</w:t>
      </w:r>
    </w:p>
    <w:p w:rsidR="00000000" w:rsidRDefault="00000000">
      <w:r>
        <w:t>464.</w:t>
      </w:r>
      <w:r>
        <w:tab/>
        <w:t>На данный момент 26 федеральных органов власти подписали соглашения с Советом по нормированию и сертификации профессиональной компетентности с целью внедрения на своих территориях принципов, на которых построен данный пр</w:t>
      </w:r>
      <w:r>
        <w:t>о</w:t>
      </w:r>
      <w:r>
        <w:t>ект.</w:t>
      </w:r>
    </w:p>
    <w:p w:rsidR="00000000" w:rsidRDefault="00000000">
      <w:r>
        <w:t>465.</w:t>
      </w:r>
      <w:r>
        <w:tab/>
        <w:t>К сожалению, справочные издания пока не содержат данных с разбивкой по полу, поэтому сложно составить представление о числе женщин, получивших се</w:t>
      </w:r>
      <w:r>
        <w:t>р</w:t>
      </w:r>
      <w:r>
        <w:t>тификаты.</w:t>
      </w:r>
    </w:p>
    <w:p w:rsidR="00000000" w:rsidRDefault="00000000">
      <w:pPr>
        <w:pStyle w:val="Heading3"/>
      </w:pPr>
      <w:r>
        <w:t>Предуниверситетская подготовка</w:t>
      </w:r>
    </w:p>
    <w:p w:rsidR="00000000" w:rsidRDefault="00000000">
      <w:r>
        <w:rPr>
          <w:b/>
        </w:rPr>
        <w:sym w:font="Symbol" w:char="F0B7"/>
      </w:r>
      <w:r>
        <w:rPr>
          <w:b/>
        </w:rPr>
        <w:tab/>
      </w:r>
      <w:r>
        <w:rPr>
          <w:b/>
          <w:i/>
        </w:rPr>
        <w:t>Обзор</w:t>
      </w:r>
    </w:p>
    <w:p w:rsidR="00000000" w:rsidRDefault="00000000">
      <w:r>
        <w:t>466.</w:t>
      </w:r>
      <w:r>
        <w:tab/>
        <w:t>В 1999/2000 учебном году в рамках системы подготовки к поступлению в высшие учебные заведения обуч</w:t>
      </w:r>
      <w:r>
        <w:t>а</w:t>
      </w:r>
      <w:r>
        <w:t>лись 2,9 млн. студентов, что на 87 300 человек (или на 3,1 процента) больше, чем в предыдущем учебном году. Из общего числа учащихся 59,4 процента обучались в обычных средних школах, 27,6 процента – в техникумах и 13 процентов – в профессионально-технических училищах. В связи с растущей потребностью молодежи в получении общего и профессионального образования в том же учебном году к уже существующим учебным заведениям пр</w:t>
      </w:r>
      <w:r>
        <w:t>и</w:t>
      </w:r>
      <w:r>
        <w:t>бавились 243 новые школы.</w:t>
      </w:r>
    </w:p>
    <w:p w:rsidR="00000000" w:rsidRDefault="00000000">
      <w:r>
        <w:t>467.</w:t>
      </w:r>
      <w:r>
        <w:tab/>
        <w:t>Молодые люди, которым приходится совмещать работу с учебой, получили реальную возможность продо</w:t>
      </w:r>
      <w:r>
        <w:t>л</w:t>
      </w:r>
      <w:r>
        <w:t>жать образование путем заочного обучения и на открытых подготовительных курсах. Процесс перехода открытых подготовительных курсов в ведение федеральных структур, начатый в 1995 году, на данный момент практически завершен. В настоящее время ответственность за предоставление этого вида образовательных услуг несут прав</w:t>
      </w:r>
      <w:r>
        <w:t>и</w:t>
      </w:r>
      <w:r>
        <w:t>тельства штатов. Подсчитано, что в течение 1999 года по окончании открытых подготовительных курсов 10 150 человек получили свидетельства о предуниверситетской подготовке.</w:t>
      </w:r>
    </w:p>
    <w:p w:rsidR="00000000" w:rsidRDefault="00000000">
      <w:r>
        <w:t>468.</w:t>
      </w:r>
      <w:r>
        <w:tab/>
        <w:t xml:space="preserve">В период с 1990 по 1999 год предуниверситетскую подготовку получали примерно на 15 процентов меньше женщин, чем мужчин, при этом их число сократилось с 229 790 до 207 137. Тем не менее показатель завершения обучения в учебных заведениях предуниверситетской подготовки значительно выше у женщин, чем у мужчин. В 1998/99 учебном году 62,4 процента учащихся-женщин окончили полный курс обучения на этом уровне, в то время как из всех учащихся-мужчин свидетельства об окончании курса получили только </w:t>
      </w:r>
      <w:r>
        <w:br/>
        <w:t>54,1 процента. Подобная ситуация наблюдается и в отношении отсева из учебных заведений: прервали учебу 19,9 процента му</w:t>
      </w:r>
      <w:r>
        <w:t>ж</w:t>
      </w:r>
      <w:r>
        <w:t>чин и 15,2 процента женщин.</w:t>
      </w:r>
    </w:p>
    <w:p w:rsidR="00000000" w:rsidRDefault="00000000">
      <w:pPr>
        <w:pStyle w:val="Heading3"/>
      </w:pPr>
      <w:r>
        <w:t>Высшее образование</w:t>
      </w:r>
    </w:p>
    <w:p w:rsidR="00000000" w:rsidRDefault="00000000">
      <w:r>
        <w:rPr>
          <w:b/>
        </w:rPr>
        <w:sym w:font="Symbol" w:char="F0B7"/>
      </w:r>
      <w:r>
        <w:rPr>
          <w:b/>
        </w:rPr>
        <w:tab/>
      </w:r>
      <w:r>
        <w:rPr>
          <w:b/>
          <w:i/>
        </w:rPr>
        <w:t>Обзор</w:t>
      </w:r>
    </w:p>
    <w:p w:rsidR="00000000" w:rsidRDefault="00000000">
      <w:r>
        <w:t>469.</w:t>
      </w:r>
      <w:r>
        <w:tab/>
        <w:t>В сфере высшего образования наблюдается наибольший процент притока учащихся по сравнению с о</w:t>
      </w:r>
      <w:r>
        <w:t>с</w:t>
      </w:r>
      <w:r>
        <w:t>тальными ступенями национальной системы образования. Следует ожидать, что к концу текущего учебного года число студентов высших учебных заведений увеличится на 46 процентов по сравнению с 1994/95 учебным г</w:t>
      </w:r>
      <w:r>
        <w:t>о</w:t>
      </w:r>
      <w:r>
        <w:t>дом.</w:t>
      </w:r>
    </w:p>
    <w:p w:rsidR="00000000" w:rsidRDefault="00000000">
      <w:r>
        <w:t>470.</w:t>
      </w:r>
      <w:r>
        <w:tab/>
        <w:t>Начиная с 1998/99 учебного года число студентов превышает 1,8 млн. человек, то есть тот предел, который планировалось достичь к концу 2000 года в ходе осуществления программы повышения уровня образования. В 1999/2000 учебном году почти 2 млн. студентов обучались в различного рода высших учебных заведениях. По сравнению с 1998/99 учебным годом количество учащихся высшей школы возросло почти на 125 тыс., или на 6,8 процента.</w:t>
      </w:r>
    </w:p>
    <w:p w:rsidR="00000000" w:rsidRDefault="00000000">
      <w:r>
        <w:t>471.</w:t>
      </w:r>
      <w:r>
        <w:tab/>
        <w:t>Все еще наблюдается значительная разница в профессиональных ориентирах для женщин и мужчин, что ск</w:t>
      </w:r>
      <w:r>
        <w:t>а</w:t>
      </w:r>
      <w:r>
        <w:t>зывается на выборе направлений обучения. Так, зачастую женщины предпочитают точным наукам и инженерным знаниям гуманитарное направление, общественные науки, здравоохран</w:t>
      </w:r>
      <w:r>
        <w:t>е</w:t>
      </w:r>
      <w:r>
        <w:t>ние.</w:t>
      </w:r>
    </w:p>
    <w:p w:rsidR="00000000" w:rsidRDefault="00000000">
      <w:pPr>
        <w:pStyle w:val="Heading3"/>
      </w:pPr>
      <w:r>
        <w:t>Наука и технологии</w:t>
      </w:r>
    </w:p>
    <w:p w:rsidR="00000000" w:rsidRDefault="00000000">
      <w:r>
        <w:t>472.</w:t>
      </w:r>
      <w:r>
        <w:tab/>
        <w:t>Осознавая важность развития науки и технологий для страны, федеральное правительство подтвердило свое намерение активно способствовать подготовке высококвалифицированных кадров.</w:t>
      </w:r>
    </w:p>
    <w:p w:rsidR="00000000" w:rsidRDefault="00000000">
      <w:r>
        <w:t>473.</w:t>
      </w:r>
      <w:r>
        <w:tab/>
        <w:t>С 1994 года среднегодовой показатель числа обучающихся в аспирантуре в стране и за рубежом составляет 29 153 человека, причем в текущем году зарегистрировано наибольшее число аспирантов (30 924). Количество средств, выделяемых на эти цели, за последние шесть лет было увеличено на 22,5 процента.</w:t>
      </w:r>
    </w:p>
    <w:p w:rsidR="00000000" w:rsidRDefault="00000000">
      <w:r>
        <w:t>474.</w:t>
      </w:r>
      <w:r>
        <w:tab/>
        <w:t>Наибольшее количество стипендий было выделено будущим преподавателям. В текущем году количество стипендий в этом секторе возрастет до 25 913, что на 54,1 процента больше, чем в 1994 году, и на 3,9 процента больше, чем в 1999 году. Больше квалифицированных кадров стали готовить для здравоохранения (в текущем году в аспирантурах при медицинских факультетах обучается 1684 человека) и для энергетической промышленности (1679 стипе</w:t>
      </w:r>
      <w:r>
        <w:t>н</w:t>
      </w:r>
      <w:r>
        <w:t>дий).</w:t>
      </w:r>
    </w:p>
    <w:p w:rsidR="00000000" w:rsidRDefault="00000000">
      <w:r>
        <w:t>475.</w:t>
      </w:r>
      <w:r>
        <w:tab/>
        <w:t>Информация о результатах мероприятий, проведенных в этом направлении, собрана без учета гендерных факторов и не дает представления о числе женщин, об</w:t>
      </w:r>
      <w:r>
        <w:t>у</w:t>
      </w:r>
      <w:r>
        <w:t>чающихся в аспирантуре.</w:t>
      </w:r>
    </w:p>
    <w:p w:rsidR="00000000" w:rsidRDefault="00000000">
      <w:pPr>
        <w:pStyle w:val="Heading2"/>
      </w:pPr>
      <w:r>
        <w:t xml:space="preserve">СТАТЬЯ 11 </w:t>
      </w:r>
    </w:p>
    <w:p w:rsidR="00000000" w:rsidRDefault="00000000">
      <w:pPr>
        <w:pStyle w:val="Heading3"/>
      </w:pPr>
      <w:r>
        <w:t xml:space="preserve">Введение </w:t>
      </w:r>
    </w:p>
    <w:p w:rsidR="00000000" w:rsidRDefault="00000000">
      <w:r>
        <w:t>476.</w:t>
      </w:r>
      <w:r>
        <w:tab/>
        <w:t>После острого кризиса 1995 года, когда занятость в стране снизилась на 8 процентов по отношению к пок</w:t>
      </w:r>
      <w:r>
        <w:t>а</w:t>
      </w:r>
      <w:r>
        <w:t xml:space="preserve">зателям декабря 1994 года, число рабочих мест несколько увеличилось. В июле текущего года число работающих, застрахованных Мексиканским институтом социального страхования (ИМСС), составило </w:t>
      </w:r>
      <w:r>
        <w:br/>
        <w:t>12 605 776 человек. Если сравнить данные декабря 1995 года и декабря 1999 года, то окажется, что среднегодовой прирост числа трудящи</w:t>
      </w:r>
      <w:r>
        <w:t>х</w:t>
      </w:r>
      <w:r>
        <w:t xml:space="preserve">ся, имеющих постоянную страховку по линии ИМСС, составил </w:t>
      </w:r>
      <w:r>
        <w:br/>
        <w:t>5,7 процента, при этом те же темпы роста набл</w:t>
      </w:r>
      <w:r>
        <w:t>ю</w:t>
      </w:r>
      <w:r>
        <w:t xml:space="preserve">дались в период с июня 1999 года по июнь 2000 года. </w:t>
      </w:r>
    </w:p>
    <w:p w:rsidR="00000000" w:rsidRDefault="00000000"/>
    <w:p w:rsidR="00000000" w:rsidRDefault="00000000">
      <w:pPr>
        <w:jc w:val="center"/>
        <w:rPr>
          <w:b/>
        </w:rPr>
      </w:pPr>
      <w:r>
        <w:rPr>
          <w:b/>
        </w:rPr>
        <w:t>Рост количества рабочих мест (по числу работников, застрахованных ИМСС), 1994–2000 годы</w:t>
      </w:r>
      <w:r>
        <w:rPr>
          <w:b/>
          <w:vertAlign w:val="superscript"/>
        </w:rPr>
        <w:t>1</w:t>
      </w:r>
    </w:p>
    <w:tbl>
      <w:tblPr>
        <w:tblW w:w="0" w:type="auto"/>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2693"/>
        <w:gridCol w:w="992"/>
        <w:gridCol w:w="992"/>
        <w:gridCol w:w="992"/>
        <w:gridCol w:w="992"/>
        <w:gridCol w:w="992"/>
        <w:gridCol w:w="992"/>
        <w:gridCol w:w="992"/>
      </w:tblGrid>
      <w:tr w:rsidR="00000000">
        <w:tblPrEx>
          <w:tblCellMar>
            <w:top w:w="0" w:type="dxa"/>
            <w:bottom w:w="0" w:type="dxa"/>
          </w:tblCellMar>
        </w:tblPrEx>
        <w:tc>
          <w:tcPr>
            <w:tcW w:w="2693" w:type="dxa"/>
            <w:vAlign w:val="center"/>
          </w:tcPr>
          <w:p w:rsidR="00000000" w:rsidRDefault="00000000">
            <w:pPr>
              <w:spacing w:before="60" w:after="60"/>
              <w:rPr>
                <w:b/>
                <w:sz w:val="18"/>
              </w:rPr>
            </w:pPr>
            <w:r>
              <w:rPr>
                <w:b/>
                <w:sz w:val="18"/>
              </w:rPr>
              <w:t xml:space="preserve">Трудящиеся, </w:t>
            </w:r>
            <w:r>
              <w:rPr>
                <w:b/>
                <w:sz w:val="18"/>
              </w:rPr>
              <w:br/>
              <w:t>з</w:t>
            </w:r>
            <w:r>
              <w:rPr>
                <w:b/>
                <w:sz w:val="18"/>
              </w:rPr>
              <w:t>а</w:t>
            </w:r>
            <w:r>
              <w:rPr>
                <w:b/>
                <w:sz w:val="18"/>
              </w:rPr>
              <w:t>страхованные ИМСС</w:t>
            </w:r>
          </w:p>
        </w:tc>
        <w:tc>
          <w:tcPr>
            <w:tcW w:w="992" w:type="dxa"/>
            <w:vAlign w:val="center"/>
          </w:tcPr>
          <w:p w:rsidR="00000000" w:rsidRDefault="00000000">
            <w:pPr>
              <w:spacing w:before="60" w:after="60"/>
              <w:jc w:val="center"/>
              <w:rPr>
                <w:b/>
                <w:sz w:val="18"/>
              </w:rPr>
            </w:pPr>
            <w:r>
              <w:rPr>
                <w:b/>
                <w:sz w:val="18"/>
              </w:rPr>
              <w:t>1994 год</w:t>
            </w:r>
          </w:p>
        </w:tc>
        <w:tc>
          <w:tcPr>
            <w:tcW w:w="992" w:type="dxa"/>
            <w:vAlign w:val="center"/>
          </w:tcPr>
          <w:p w:rsidR="00000000" w:rsidRDefault="00000000">
            <w:pPr>
              <w:spacing w:before="60" w:after="60"/>
              <w:jc w:val="center"/>
              <w:rPr>
                <w:b/>
                <w:sz w:val="18"/>
              </w:rPr>
            </w:pPr>
            <w:r>
              <w:rPr>
                <w:b/>
                <w:sz w:val="18"/>
              </w:rPr>
              <w:t>1995 год</w:t>
            </w:r>
          </w:p>
        </w:tc>
        <w:tc>
          <w:tcPr>
            <w:tcW w:w="992" w:type="dxa"/>
            <w:vAlign w:val="center"/>
          </w:tcPr>
          <w:p w:rsidR="00000000" w:rsidRDefault="00000000">
            <w:pPr>
              <w:spacing w:before="60" w:after="60"/>
              <w:jc w:val="center"/>
              <w:rPr>
                <w:b/>
                <w:sz w:val="18"/>
              </w:rPr>
            </w:pPr>
            <w:r>
              <w:rPr>
                <w:b/>
                <w:sz w:val="18"/>
              </w:rPr>
              <w:t>1996 год</w:t>
            </w:r>
          </w:p>
        </w:tc>
        <w:tc>
          <w:tcPr>
            <w:tcW w:w="992" w:type="dxa"/>
            <w:vAlign w:val="center"/>
          </w:tcPr>
          <w:p w:rsidR="00000000" w:rsidRDefault="00000000">
            <w:pPr>
              <w:spacing w:before="60" w:after="60"/>
              <w:jc w:val="center"/>
              <w:rPr>
                <w:b/>
                <w:sz w:val="18"/>
              </w:rPr>
            </w:pPr>
            <w:r>
              <w:rPr>
                <w:b/>
                <w:sz w:val="18"/>
              </w:rPr>
              <w:t>1997 год</w:t>
            </w:r>
          </w:p>
        </w:tc>
        <w:tc>
          <w:tcPr>
            <w:tcW w:w="992" w:type="dxa"/>
            <w:vAlign w:val="center"/>
          </w:tcPr>
          <w:p w:rsidR="00000000" w:rsidRDefault="00000000">
            <w:pPr>
              <w:spacing w:before="60" w:after="60"/>
              <w:jc w:val="center"/>
              <w:rPr>
                <w:b/>
                <w:sz w:val="18"/>
              </w:rPr>
            </w:pPr>
            <w:r>
              <w:rPr>
                <w:b/>
                <w:sz w:val="18"/>
              </w:rPr>
              <w:t>1998 год</w:t>
            </w:r>
          </w:p>
        </w:tc>
        <w:tc>
          <w:tcPr>
            <w:tcW w:w="992" w:type="dxa"/>
            <w:vAlign w:val="center"/>
          </w:tcPr>
          <w:p w:rsidR="00000000" w:rsidRDefault="00000000">
            <w:pPr>
              <w:spacing w:before="60" w:after="60"/>
              <w:jc w:val="center"/>
              <w:rPr>
                <w:b/>
                <w:sz w:val="18"/>
              </w:rPr>
            </w:pPr>
            <w:r>
              <w:rPr>
                <w:b/>
                <w:sz w:val="18"/>
              </w:rPr>
              <w:t>1999 год</w:t>
            </w:r>
          </w:p>
        </w:tc>
        <w:tc>
          <w:tcPr>
            <w:tcW w:w="992" w:type="dxa"/>
            <w:vAlign w:val="center"/>
          </w:tcPr>
          <w:p w:rsidR="00000000" w:rsidRDefault="00000000">
            <w:pPr>
              <w:spacing w:before="60" w:after="60"/>
              <w:jc w:val="center"/>
              <w:rPr>
                <w:b/>
                <w:sz w:val="18"/>
              </w:rPr>
            </w:pPr>
            <w:r>
              <w:rPr>
                <w:b/>
                <w:sz w:val="18"/>
              </w:rPr>
              <w:t>2000 год</w:t>
            </w:r>
            <w:r>
              <w:rPr>
                <w:b/>
                <w:sz w:val="18"/>
                <w:vertAlign w:val="superscript"/>
              </w:rPr>
              <w:t>2</w:t>
            </w:r>
          </w:p>
        </w:tc>
      </w:tr>
      <w:tr w:rsidR="00000000">
        <w:tblPrEx>
          <w:tblCellMar>
            <w:top w:w="0" w:type="dxa"/>
            <w:bottom w:w="0" w:type="dxa"/>
          </w:tblCellMar>
        </w:tblPrEx>
        <w:tc>
          <w:tcPr>
            <w:tcW w:w="2693" w:type="dxa"/>
          </w:tcPr>
          <w:p w:rsidR="00000000" w:rsidRDefault="00000000">
            <w:pPr>
              <w:spacing w:before="60" w:after="60"/>
            </w:pPr>
            <w:r>
              <w:t>В среднем за год</w:t>
            </w:r>
          </w:p>
        </w:tc>
        <w:tc>
          <w:tcPr>
            <w:tcW w:w="992" w:type="dxa"/>
          </w:tcPr>
          <w:p w:rsidR="00000000" w:rsidRDefault="00000000">
            <w:pPr>
              <w:spacing w:before="60" w:after="60"/>
              <w:ind w:right="57"/>
              <w:jc w:val="right"/>
            </w:pPr>
            <w:r>
              <w:t>–5 275</w:t>
            </w:r>
          </w:p>
        </w:tc>
        <w:tc>
          <w:tcPr>
            <w:tcW w:w="992" w:type="dxa"/>
          </w:tcPr>
          <w:p w:rsidR="00000000" w:rsidRDefault="00000000">
            <w:pPr>
              <w:spacing w:before="60" w:after="60"/>
              <w:jc w:val="right"/>
            </w:pPr>
            <w:r>
              <w:t>–611 200</w:t>
            </w:r>
          </w:p>
        </w:tc>
        <w:tc>
          <w:tcPr>
            <w:tcW w:w="992" w:type="dxa"/>
          </w:tcPr>
          <w:p w:rsidR="00000000" w:rsidRDefault="00000000">
            <w:pPr>
              <w:spacing w:before="60" w:after="60"/>
              <w:ind w:right="57"/>
              <w:jc w:val="right"/>
            </w:pPr>
            <w:r>
              <w:t>239 803</w:t>
            </w:r>
          </w:p>
        </w:tc>
        <w:tc>
          <w:tcPr>
            <w:tcW w:w="992" w:type="dxa"/>
          </w:tcPr>
          <w:p w:rsidR="00000000" w:rsidRDefault="00000000">
            <w:pPr>
              <w:spacing w:before="60" w:after="60"/>
              <w:ind w:right="57"/>
              <w:jc w:val="right"/>
            </w:pPr>
            <w:r>
              <w:t>744 847</w:t>
            </w:r>
          </w:p>
        </w:tc>
        <w:tc>
          <w:tcPr>
            <w:tcW w:w="992" w:type="dxa"/>
          </w:tcPr>
          <w:p w:rsidR="00000000" w:rsidRDefault="00000000">
            <w:pPr>
              <w:spacing w:before="60" w:after="60"/>
              <w:ind w:right="57"/>
              <w:jc w:val="right"/>
            </w:pPr>
            <w:r>
              <w:t>816 591</w:t>
            </w:r>
          </w:p>
        </w:tc>
        <w:tc>
          <w:tcPr>
            <w:tcW w:w="992" w:type="dxa"/>
          </w:tcPr>
          <w:p w:rsidR="00000000" w:rsidRDefault="00000000">
            <w:pPr>
              <w:spacing w:before="60" w:after="60"/>
              <w:ind w:right="57"/>
              <w:jc w:val="right"/>
            </w:pPr>
            <w:r>
              <w:t>645 330</w:t>
            </w:r>
          </w:p>
        </w:tc>
        <w:tc>
          <w:tcPr>
            <w:tcW w:w="992" w:type="dxa"/>
          </w:tcPr>
          <w:p w:rsidR="00000000" w:rsidRDefault="00000000">
            <w:pPr>
              <w:spacing w:before="60" w:after="60"/>
              <w:ind w:right="57"/>
              <w:jc w:val="right"/>
            </w:pPr>
            <w:r>
              <w:t>743 843</w:t>
            </w:r>
          </w:p>
        </w:tc>
      </w:tr>
      <w:tr w:rsidR="00000000">
        <w:tblPrEx>
          <w:tblCellMar>
            <w:top w:w="0" w:type="dxa"/>
            <w:bottom w:w="0" w:type="dxa"/>
          </w:tblCellMar>
        </w:tblPrEx>
        <w:tc>
          <w:tcPr>
            <w:tcW w:w="2693" w:type="dxa"/>
          </w:tcPr>
          <w:p w:rsidR="00000000" w:rsidRDefault="00000000">
            <w:pPr>
              <w:spacing w:before="60" w:after="60"/>
            </w:pPr>
            <w:r>
              <w:t>С декабря по д</w:t>
            </w:r>
            <w:r>
              <w:t>е</w:t>
            </w:r>
            <w:r>
              <w:t>кабрь</w:t>
            </w:r>
          </w:p>
        </w:tc>
        <w:tc>
          <w:tcPr>
            <w:tcW w:w="992" w:type="dxa"/>
          </w:tcPr>
          <w:p w:rsidR="00000000" w:rsidRDefault="00000000">
            <w:pPr>
              <w:spacing w:before="60" w:after="60"/>
              <w:ind w:right="57"/>
              <w:jc w:val="right"/>
            </w:pPr>
            <w:r>
              <w:t>136 525</w:t>
            </w:r>
          </w:p>
        </w:tc>
        <w:tc>
          <w:tcPr>
            <w:tcW w:w="992" w:type="dxa"/>
          </w:tcPr>
          <w:p w:rsidR="00000000" w:rsidRDefault="00000000">
            <w:pPr>
              <w:spacing w:before="60" w:after="60"/>
              <w:jc w:val="right"/>
            </w:pPr>
            <w:r>
              <w:t>–814 465</w:t>
            </w:r>
          </w:p>
        </w:tc>
        <w:tc>
          <w:tcPr>
            <w:tcW w:w="992" w:type="dxa"/>
          </w:tcPr>
          <w:p w:rsidR="00000000" w:rsidRDefault="00000000">
            <w:pPr>
              <w:spacing w:before="60" w:after="60"/>
              <w:ind w:right="57"/>
              <w:jc w:val="right"/>
            </w:pPr>
            <w:r>
              <w:t>819 950</w:t>
            </w:r>
          </w:p>
        </w:tc>
        <w:tc>
          <w:tcPr>
            <w:tcW w:w="992" w:type="dxa"/>
          </w:tcPr>
          <w:p w:rsidR="00000000" w:rsidRDefault="00000000">
            <w:pPr>
              <w:spacing w:before="60" w:after="60"/>
              <w:ind w:right="57"/>
              <w:jc w:val="right"/>
            </w:pPr>
            <w:r>
              <w:t>611 275</w:t>
            </w:r>
          </w:p>
        </w:tc>
        <w:tc>
          <w:tcPr>
            <w:tcW w:w="992" w:type="dxa"/>
          </w:tcPr>
          <w:p w:rsidR="00000000" w:rsidRDefault="00000000">
            <w:pPr>
              <w:spacing w:before="60" w:after="60"/>
              <w:ind w:right="57"/>
              <w:jc w:val="right"/>
            </w:pPr>
            <w:r>
              <w:t>753 359</w:t>
            </w:r>
          </w:p>
        </w:tc>
        <w:tc>
          <w:tcPr>
            <w:tcW w:w="992" w:type="dxa"/>
          </w:tcPr>
          <w:p w:rsidR="00000000" w:rsidRDefault="00000000">
            <w:pPr>
              <w:spacing w:before="60" w:after="60"/>
              <w:ind w:right="57"/>
              <w:jc w:val="right"/>
            </w:pPr>
            <w:r>
              <w:t>700 550</w:t>
            </w:r>
          </w:p>
        </w:tc>
        <w:tc>
          <w:tcPr>
            <w:tcW w:w="992" w:type="dxa"/>
          </w:tcPr>
          <w:p w:rsidR="00000000" w:rsidRDefault="00000000">
            <w:pPr>
              <w:spacing w:before="60" w:after="60"/>
              <w:ind w:right="57"/>
              <w:jc w:val="right"/>
            </w:pPr>
            <w:r>
              <w:t>780 975</w:t>
            </w:r>
          </w:p>
        </w:tc>
      </w:tr>
      <w:tr w:rsidR="00000000">
        <w:tblPrEx>
          <w:tblCellMar>
            <w:top w:w="0" w:type="dxa"/>
            <w:bottom w:w="0" w:type="dxa"/>
          </w:tblCellMar>
        </w:tblPrEx>
        <w:tc>
          <w:tcPr>
            <w:tcW w:w="2693" w:type="dxa"/>
          </w:tcPr>
          <w:p w:rsidR="00000000" w:rsidRDefault="00000000">
            <w:pPr>
              <w:spacing w:before="60" w:after="60"/>
              <w:rPr>
                <w:b/>
              </w:rPr>
            </w:pPr>
            <w:r>
              <w:rPr>
                <w:b/>
              </w:rPr>
              <w:t>С постоянной страховкой</w:t>
            </w: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r>
      <w:tr w:rsidR="00000000">
        <w:tblPrEx>
          <w:tblCellMar>
            <w:top w:w="0" w:type="dxa"/>
            <w:bottom w:w="0" w:type="dxa"/>
          </w:tblCellMar>
        </w:tblPrEx>
        <w:tc>
          <w:tcPr>
            <w:tcW w:w="2693" w:type="dxa"/>
          </w:tcPr>
          <w:p w:rsidR="00000000" w:rsidRDefault="00000000">
            <w:pPr>
              <w:spacing w:before="60" w:after="60"/>
            </w:pPr>
            <w:r>
              <w:t>В среднем за год</w:t>
            </w:r>
          </w:p>
        </w:tc>
        <w:tc>
          <w:tcPr>
            <w:tcW w:w="992" w:type="dxa"/>
          </w:tcPr>
          <w:p w:rsidR="00000000" w:rsidRDefault="00000000">
            <w:pPr>
              <w:spacing w:before="60" w:after="60"/>
              <w:ind w:right="57"/>
              <w:jc w:val="right"/>
            </w:pPr>
            <w:r>
              <w:t>12 295</w:t>
            </w:r>
          </w:p>
        </w:tc>
        <w:tc>
          <w:tcPr>
            <w:tcW w:w="992" w:type="dxa"/>
          </w:tcPr>
          <w:p w:rsidR="00000000" w:rsidRDefault="00000000">
            <w:pPr>
              <w:spacing w:before="60" w:after="60"/>
              <w:jc w:val="right"/>
            </w:pPr>
            <w:r>
              <w:t>–301 618</w:t>
            </w:r>
          </w:p>
        </w:tc>
        <w:tc>
          <w:tcPr>
            <w:tcW w:w="992" w:type="dxa"/>
          </w:tcPr>
          <w:p w:rsidR="00000000" w:rsidRDefault="00000000">
            <w:pPr>
              <w:spacing w:before="60" w:after="60"/>
              <w:ind w:right="57"/>
              <w:jc w:val="right"/>
            </w:pPr>
            <w:r>
              <w:t>313 569</w:t>
            </w:r>
          </w:p>
        </w:tc>
        <w:tc>
          <w:tcPr>
            <w:tcW w:w="992" w:type="dxa"/>
          </w:tcPr>
          <w:p w:rsidR="00000000" w:rsidRDefault="00000000">
            <w:pPr>
              <w:spacing w:before="60" w:after="60"/>
              <w:ind w:right="57"/>
              <w:jc w:val="right"/>
            </w:pPr>
            <w:r>
              <w:t>763 699</w:t>
            </w:r>
          </w:p>
        </w:tc>
        <w:tc>
          <w:tcPr>
            <w:tcW w:w="992" w:type="dxa"/>
          </w:tcPr>
          <w:p w:rsidR="00000000" w:rsidRDefault="00000000">
            <w:pPr>
              <w:spacing w:before="60" w:after="60"/>
              <w:ind w:right="57"/>
              <w:jc w:val="right"/>
            </w:pPr>
            <w:r>
              <w:t>469 266</w:t>
            </w:r>
          </w:p>
        </w:tc>
        <w:tc>
          <w:tcPr>
            <w:tcW w:w="992" w:type="dxa"/>
          </w:tcPr>
          <w:p w:rsidR="00000000" w:rsidRDefault="00000000">
            <w:pPr>
              <w:spacing w:before="60" w:after="60"/>
              <w:ind w:right="57"/>
              <w:jc w:val="right"/>
            </w:pPr>
            <w:r>
              <w:t>347 244</w:t>
            </w:r>
          </w:p>
        </w:tc>
        <w:tc>
          <w:tcPr>
            <w:tcW w:w="992" w:type="dxa"/>
          </w:tcPr>
          <w:p w:rsidR="00000000" w:rsidRDefault="00000000">
            <w:pPr>
              <w:spacing w:before="60" w:after="60"/>
              <w:ind w:right="57"/>
              <w:jc w:val="right"/>
            </w:pPr>
            <w:r>
              <w:t>537 735</w:t>
            </w:r>
          </w:p>
        </w:tc>
      </w:tr>
      <w:tr w:rsidR="00000000">
        <w:tblPrEx>
          <w:tblCellMar>
            <w:top w:w="0" w:type="dxa"/>
            <w:bottom w:w="0" w:type="dxa"/>
          </w:tblCellMar>
        </w:tblPrEx>
        <w:tc>
          <w:tcPr>
            <w:tcW w:w="2693" w:type="dxa"/>
          </w:tcPr>
          <w:p w:rsidR="00000000" w:rsidRDefault="00000000">
            <w:pPr>
              <w:spacing w:before="60" w:after="60"/>
            </w:pPr>
            <w:r>
              <w:t>С декабря по д</w:t>
            </w:r>
            <w:r>
              <w:t>е</w:t>
            </w:r>
            <w:r>
              <w:t>кабрь</w:t>
            </w:r>
          </w:p>
        </w:tc>
        <w:tc>
          <w:tcPr>
            <w:tcW w:w="992" w:type="dxa"/>
          </w:tcPr>
          <w:p w:rsidR="00000000" w:rsidRDefault="00000000">
            <w:pPr>
              <w:spacing w:before="60" w:after="60"/>
              <w:ind w:right="57"/>
              <w:jc w:val="right"/>
            </w:pPr>
            <w:r>
              <w:t>138 055</w:t>
            </w:r>
          </w:p>
        </w:tc>
        <w:tc>
          <w:tcPr>
            <w:tcW w:w="992" w:type="dxa"/>
          </w:tcPr>
          <w:p w:rsidR="00000000" w:rsidRDefault="00000000">
            <w:pPr>
              <w:spacing w:before="60" w:after="60"/>
              <w:jc w:val="right"/>
            </w:pPr>
            <w:r>
              <w:t>–366 531</w:t>
            </w:r>
          </w:p>
        </w:tc>
        <w:tc>
          <w:tcPr>
            <w:tcW w:w="992" w:type="dxa"/>
          </w:tcPr>
          <w:p w:rsidR="00000000" w:rsidRDefault="00000000">
            <w:pPr>
              <w:spacing w:before="60" w:after="60"/>
              <w:ind w:right="57"/>
              <w:jc w:val="right"/>
            </w:pPr>
            <w:r>
              <w:t>661 024</w:t>
            </w:r>
          </w:p>
        </w:tc>
        <w:tc>
          <w:tcPr>
            <w:tcW w:w="992" w:type="dxa"/>
          </w:tcPr>
          <w:p w:rsidR="00000000" w:rsidRDefault="00000000">
            <w:pPr>
              <w:spacing w:before="60" w:after="60"/>
              <w:ind w:right="57"/>
              <w:jc w:val="right"/>
            </w:pPr>
            <w:r>
              <w:t>673 897</w:t>
            </w:r>
          </w:p>
        </w:tc>
        <w:tc>
          <w:tcPr>
            <w:tcW w:w="992" w:type="dxa"/>
          </w:tcPr>
          <w:p w:rsidR="00000000" w:rsidRDefault="00000000">
            <w:pPr>
              <w:spacing w:before="60" w:after="60"/>
              <w:ind w:right="57"/>
              <w:jc w:val="right"/>
            </w:pPr>
            <w:r>
              <w:t>303 504</w:t>
            </w:r>
          </w:p>
        </w:tc>
        <w:tc>
          <w:tcPr>
            <w:tcW w:w="992" w:type="dxa"/>
          </w:tcPr>
          <w:p w:rsidR="00000000" w:rsidRDefault="00000000">
            <w:pPr>
              <w:spacing w:before="60" w:after="60"/>
              <w:ind w:right="57"/>
              <w:jc w:val="right"/>
            </w:pPr>
            <w:r>
              <w:t>488 071</w:t>
            </w:r>
          </w:p>
        </w:tc>
        <w:tc>
          <w:tcPr>
            <w:tcW w:w="992" w:type="dxa"/>
          </w:tcPr>
          <w:p w:rsidR="00000000" w:rsidRDefault="00000000">
            <w:pPr>
              <w:spacing w:before="60" w:after="60"/>
              <w:ind w:right="57"/>
              <w:jc w:val="right"/>
            </w:pPr>
            <w:r>
              <w:t>584 345</w:t>
            </w:r>
          </w:p>
        </w:tc>
      </w:tr>
      <w:tr w:rsidR="00000000">
        <w:tblPrEx>
          <w:tblCellMar>
            <w:top w:w="0" w:type="dxa"/>
            <w:bottom w:w="0" w:type="dxa"/>
          </w:tblCellMar>
        </w:tblPrEx>
        <w:tc>
          <w:tcPr>
            <w:tcW w:w="2693" w:type="dxa"/>
          </w:tcPr>
          <w:p w:rsidR="00000000" w:rsidRDefault="00000000">
            <w:pPr>
              <w:spacing w:before="60" w:after="60"/>
              <w:rPr>
                <w:b/>
              </w:rPr>
            </w:pPr>
            <w:r>
              <w:rPr>
                <w:b/>
              </w:rPr>
              <w:t>С временной страховкой</w:t>
            </w:r>
            <w:r>
              <w:rPr>
                <w:b/>
                <w:vertAlign w:val="superscript"/>
              </w:rPr>
              <w:t>3</w:t>
            </w: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c>
          <w:tcPr>
            <w:tcW w:w="992" w:type="dxa"/>
          </w:tcPr>
          <w:p w:rsidR="00000000" w:rsidRDefault="00000000">
            <w:pPr>
              <w:spacing w:before="60" w:after="60"/>
              <w:ind w:right="57"/>
              <w:jc w:val="right"/>
              <w:rPr>
                <w:b/>
              </w:rPr>
            </w:pPr>
          </w:p>
        </w:tc>
      </w:tr>
      <w:tr w:rsidR="00000000">
        <w:tblPrEx>
          <w:tblCellMar>
            <w:top w:w="0" w:type="dxa"/>
            <w:bottom w:w="0" w:type="dxa"/>
          </w:tblCellMar>
        </w:tblPrEx>
        <w:tc>
          <w:tcPr>
            <w:tcW w:w="2693" w:type="dxa"/>
          </w:tcPr>
          <w:p w:rsidR="00000000" w:rsidRDefault="00000000">
            <w:pPr>
              <w:spacing w:before="60" w:after="60"/>
            </w:pPr>
            <w:r>
              <w:t>В среднем за год</w:t>
            </w:r>
          </w:p>
        </w:tc>
        <w:tc>
          <w:tcPr>
            <w:tcW w:w="992" w:type="dxa"/>
          </w:tcPr>
          <w:p w:rsidR="00000000" w:rsidRDefault="00000000">
            <w:pPr>
              <w:spacing w:before="60" w:after="60"/>
              <w:ind w:right="57"/>
              <w:jc w:val="right"/>
            </w:pPr>
            <w:r>
              <w:t>–17 569</w:t>
            </w:r>
          </w:p>
        </w:tc>
        <w:tc>
          <w:tcPr>
            <w:tcW w:w="992" w:type="dxa"/>
          </w:tcPr>
          <w:p w:rsidR="00000000" w:rsidRDefault="00000000">
            <w:pPr>
              <w:spacing w:before="60" w:after="60"/>
              <w:jc w:val="right"/>
            </w:pPr>
            <w:r>
              <w:t>–309 583</w:t>
            </w:r>
          </w:p>
        </w:tc>
        <w:tc>
          <w:tcPr>
            <w:tcW w:w="992" w:type="dxa"/>
          </w:tcPr>
          <w:p w:rsidR="00000000" w:rsidRDefault="00000000">
            <w:pPr>
              <w:spacing w:before="60" w:after="60"/>
              <w:ind w:right="57"/>
              <w:jc w:val="right"/>
            </w:pPr>
            <w:r>
              <w:t>–73 766</w:t>
            </w:r>
          </w:p>
        </w:tc>
        <w:tc>
          <w:tcPr>
            <w:tcW w:w="992" w:type="dxa"/>
          </w:tcPr>
          <w:p w:rsidR="00000000" w:rsidRDefault="00000000">
            <w:pPr>
              <w:spacing w:before="60" w:after="60"/>
              <w:ind w:right="57"/>
              <w:jc w:val="right"/>
            </w:pPr>
            <w:r>
              <w:t>–18 822</w:t>
            </w:r>
          </w:p>
        </w:tc>
        <w:tc>
          <w:tcPr>
            <w:tcW w:w="992" w:type="dxa"/>
          </w:tcPr>
          <w:p w:rsidR="00000000" w:rsidRDefault="00000000">
            <w:pPr>
              <w:spacing w:before="60" w:after="60"/>
              <w:ind w:right="57"/>
              <w:jc w:val="right"/>
            </w:pPr>
            <w:r>
              <w:t>347 325</w:t>
            </w:r>
          </w:p>
        </w:tc>
        <w:tc>
          <w:tcPr>
            <w:tcW w:w="992" w:type="dxa"/>
          </w:tcPr>
          <w:p w:rsidR="00000000" w:rsidRDefault="00000000">
            <w:pPr>
              <w:spacing w:before="60" w:after="60"/>
              <w:ind w:right="57"/>
              <w:jc w:val="right"/>
            </w:pPr>
            <w:r>
              <w:t>298 086</w:t>
            </w:r>
          </w:p>
        </w:tc>
        <w:tc>
          <w:tcPr>
            <w:tcW w:w="992" w:type="dxa"/>
          </w:tcPr>
          <w:p w:rsidR="00000000" w:rsidRDefault="00000000">
            <w:pPr>
              <w:spacing w:before="60" w:after="60"/>
              <w:ind w:right="57"/>
              <w:jc w:val="right"/>
            </w:pPr>
            <w:r>
              <w:t>206 107</w:t>
            </w:r>
          </w:p>
        </w:tc>
      </w:tr>
      <w:tr w:rsidR="00000000">
        <w:tblPrEx>
          <w:tblCellMar>
            <w:top w:w="0" w:type="dxa"/>
            <w:bottom w:w="0" w:type="dxa"/>
          </w:tblCellMar>
        </w:tblPrEx>
        <w:tc>
          <w:tcPr>
            <w:tcW w:w="2693" w:type="dxa"/>
          </w:tcPr>
          <w:p w:rsidR="00000000" w:rsidRDefault="00000000">
            <w:pPr>
              <w:spacing w:before="60" w:after="60"/>
            </w:pPr>
            <w:r>
              <w:t>С декабря по д</w:t>
            </w:r>
            <w:r>
              <w:t>е</w:t>
            </w:r>
            <w:r>
              <w:t>кабрь</w:t>
            </w:r>
          </w:p>
        </w:tc>
        <w:tc>
          <w:tcPr>
            <w:tcW w:w="992" w:type="dxa"/>
          </w:tcPr>
          <w:p w:rsidR="00000000" w:rsidRDefault="00000000">
            <w:pPr>
              <w:spacing w:before="60" w:after="60"/>
              <w:ind w:right="57"/>
              <w:jc w:val="right"/>
            </w:pPr>
            <w:r>
              <w:t>–1 529</w:t>
            </w:r>
          </w:p>
        </w:tc>
        <w:tc>
          <w:tcPr>
            <w:tcW w:w="992" w:type="dxa"/>
          </w:tcPr>
          <w:p w:rsidR="00000000" w:rsidRDefault="00000000">
            <w:pPr>
              <w:spacing w:before="60" w:after="60"/>
              <w:jc w:val="right"/>
            </w:pPr>
            <w:r>
              <w:t>447 934</w:t>
            </w:r>
          </w:p>
        </w:tc>
        <w:tc>
          <w:tcPr>
            <w:tcW w:w="992" w:type="dxa"/>
          </w:tcPr>
          <w:p w:rsidR="00000000" w:rsidRDefault="00000000">
            <w:pPr>
              <w:spacing w:before="60" w:after="60"/>
              <w:ind w:right="57"/>
              <w:jc w:val="right"/>
            </w:pPr>
            <w:r>
              <w:t>158 926</w:t>
            </w:r>
          </w:p>
        </w:tc>
        <w:tc>
          <w:tcPr>
            <w:tcW w:w="992" w:type="dxa"/>
          </w:tcPr>
          <w:p w:rsidR="00000000" w:rsidRDefault="00000000">
            <w:pPr>
              <w:spacing w:before="60" w:after="60"/>
              <w:ind w:right="57"/>
              <w:jc w:val="right"/>
            </w:pPr>
            <w:r>
              <w:t>–62 622</w:t>
            </w:r>
          </w:p>
        </w:tc>
        <w:tc>
          <w:tcPr>
            <w:tcW w:w="992" w:type="dxa"/>
          </w:tcPr>
          <w:p w:rsidR="00000000" w:rsidRDefault="00000000">
            <w:pPr>
              <w:spacing w:before="60" w:after="60"/>
              <w:ind w:right="57"/>
              <w:jc w:val="right"/>
            </w:pPr>
            <w:r>
              <w:t>449 855</w:t>
            </w:r>
          </w:p>
        </w:tc>
        <w:tc>
          <w:tcPr>
            <w:tcW w:w="992" w:type="dxa"/>
          </w:tcPr>
          <w:p w:rsidR="00000000" w:rsidRDefault="00000000">
            <w:pPr>
              <w:spacing w:before="60" w:after="60"/>
              <w:ind w:right="57"/>
              <w:jc w:val="right"/>
            </w:pPr>
            <w:r>
              <w:t>212 479</w:t>
            </w:r>
          </w:p>
        </w:tc>
        <w:tc>
          <w:tcPr>
            <w:tcW w:w="992" w:type="dxa"/>
          </w:tcPr>
          <w:p w:rsidR="00000000" w:rsidRDefault="00000000">
            <w:pPr>
              <w:spacing w:before="60" w:after="60"/>
              <w:ind w:right="57"/>
              <w:jc w:val="right"/>
            </w:pPr>
            <w:r>
              <w:t>196 630</w:t>
            </w:r>
          </w:p>
        </w:tc>
      </w:tr>
    </w:tbl>
    <w:p w:rsidR="00000000" w:rsidRDefault="00000000">
      <w:pPr>
        <w:spacing w:after="0"/>
        <w:rPr>
          <w:sz w:val="18"/>
          <w:vertAlign w:val="superscript"/>
        </w:rPr>
      </w:pPr>
    </w:p>
    <w:p w:rsidR="00000000" w:rsidRDefault="00000000">
      <w:pPr>
        <w:spacing w:after="120"/>
        <w:rPr>
          <w:sz w:val="18"/>
        </w:rPr>
      </w:pPr>
      <w:r>
        <w:rPr>
          <w:sz w:val="18"/>
          <w:vertAlign w:val="superscript"/>
        </w:rPr>
        <w:t>1</w:t>
      </w:r>
      <w:r>
        <w:rPr>
          <w:sz w:val="18"/>
        </w:rPr>
        <w:t xml:space="preserve"> Исключая лиц, имеющих добровольную страховку, учащихся, страхователей здор</w:t>
      </w:r>
      <w:r>
        <w:rPr>
          <w:sz w:val="18"/>
        </w:rPr>
        <w:t>о</w:t>
      </w:r>
      <w:r>
        <w:rPr>
          <w:sz w:val="18"/>
        </w:rPr>
        <w:t>вья всей семьи и лиц со страховкой, подлежащей добровольному продлению.</w:t>
      </w:r>
    </w:p>
    <w:p w:rsidR="00000000" w:rsidRDefault="00000000">
      <w:pPr>
        <w:spacing w:after="120"/>
        <w:rPr>
          <w:sz w:val="18"/>
        </w:rPr>
      </w:pPr>
      <w:r>
        <w:rPr>
          <w:sz w:val="18"/>
          <w:vertAlign w:val="superscript"/>
        </w:rPr>
        <w:t>2</w:t>
      </w:r>
      <w:r>
        <w:rPr>
          <w:sz w:val="18"/>
        </w:rPr>
        <w:t xml:space="preserve"> Для установления среднегодовой цифры сравнивался период с января по июнь 2000 года и аналогичный период 1999 года. В графе "с декабря по декабрь" указаны данные по состоянию на июнь 2000 года и июнь 1999 года.</w:t>
      </w:r>
    </w:p>
    <w:p w:rsidR="00000000" w:rsidRDefault="00000000">
      <w:pPr>
        <w:spacing w:after="120"/>
        <w:rPr>
          <w:sz w:val="18"/>
        </w:rPr>
      </w:pPr>
      <w:r>
        <w:rPr>
          <w:sz w:val="18"/>
          <w:vertAlign w:val="superscript"/>
        </w:rPr>
        <w:t>3</w:t>
      </w:r>
      <w:r>
        <w:rPr>
          <w:sz w:val="18"/>
        </w:rPr>
        <w:t xml:space="preserve"> Имеются в виду трудящиеся, обладающие правом на страхование, проработавшие как минимум 12 рабочих дней без перерыва или 30 дней с перерывами на одного работодателя в течение двух месяцев.</w:t>
      </w:r>
    </w:p>
    <w:p w:rsidR="00000000" w:rsidRDefault="00000000">
      <w:pPr>
        <w:spacing w:after="120"/>
        <w:rPr>
          <w:sz w:val="18"/>
        </w:rPr>
      </w:pPr>
      <w:r>
        <w:rPr>
          <w:sz w:val="18"/>
        </w:rPr>
        <w:t>Источник: Министерство труда и социального обеспечения; данные предоставлены ИМСС.</w:t>
      </w:r>
    </w:p>
    <w:p w:rsidR="00000000" w:rsidRDefault="00000000">
      <w:pPr>
        <w:rPr>
          <w:sz w:val="18"/>
        </w:rPr>
      </w:pPr>
      <w:r>
        <w:rPr>
          <w:sz w:val="18"/>
          <w:vertAlign w:val="superscript"/>
        </w:rPr>
        <w:sym w:font="Symbol" w:char="F02A"/>
      </w:r>
      <w:r>
        <w:rPr>
          <w:sz w:val="18"/>
        </w:rPr>
        <w:t xml:space="preserve"> Данных с разбивкой по полу не имеется. </w:t>
      </w:r>
    </w:p>
    <w:p w:rsidR="00000000" w:rsidRDefault="00000000">
      <w:pPr>
        <w:rPr>
          <w:lang w:val="en-US"/>
        </w:rPr>
      </w:pPr>
    </w:p>
    <w:p w:rsidR="00000000" w:rsidRDefault="00000000">
      <w:r>
        <w:t>477.</w:t>
      </w:r>
      <w:r>
        <w:tab/>
        <w:t>В период 1996–1999 годов число служащих, охваченных программами Института социального обеспечения и социальных услуг для государственных служащих (ИСССТЭ), увеличилось в среднем за год на 1,4 процента. Кроме того, в результате передачи служб образования и здравоохранения от центрального правительства прав</w:t>
      </w:r>
      <w:r>
        <w:t>и</w:t>
      </w:r>
      <w:r>
        <w:t>тельствам штатов и местным органам власти число служащих государственных учреждений штатов и муниципал</w:t>
      </w:r>
      <w:r>
        <w:t>и</w:t>
      </w:r>
      <w:r>
        <w:t xml:space="preserve">тетов, также подпадающих под действие программ ИСССТЭ, выросло с </w:t>
      </w:r>
      <w:r>
        <w:br/>
        <w:t xml:space="preserve">957 736 штатных единиц в 1995 году до 1 203 014 в 1999 году, то есть увеличилось на 245 278 единиц. </w:t>
      </w:r>
      <w:r>
        <w:br/>
        <w:t xml:space="preserve">Иначе говоря, ежегодный прирост этого показателя составил в среднем 5,9 процента. Что же касается </w:t>
      </w:r>
      <w:r>
        <w:br/>
        <w:t xml:space="preserve">органов федерального правительства, то в них число служащих уменьшилось на 104 163 штатные единицы: </w:t>
      </w:r>
      <w:r>
        <w:br/>
        <w:t xml:space="preserve">с 739 323 до 635 160 за тот же отрезок времени, то есть ежегодно уменьшалось в среднем на 3,7 процента. </w:t>
      </w:r>
      <w:r>
        <w:br/>
        <w:t>В полугосударственных организациях общий штат служащих сократился с 483 427 до 466 280 штатных единиц, то есть ежегодное сокращение составило в среднем 0,9 процента, что явилось следствием принятых мер по рационализации, жесткой экономии и укреплению финансовой ди</w:t>
      </w:r>
      <w:r>
        <w:t>с</w:t>
      </w:r>
      <w:r>
        <w:t xml:space="preserve">циплины. </w:t>
      </w:r>
    </w:p>
    <w:p w:rsidR="00000000" w:rsidRDefault="00000000">
      <w:r>
        <w:t>478.</w:t>
      </w:r>
      <w:r>
        <w:tab/>
        <w:t>С сентября 1999 года по август 2000 года число служащих, охваченных системой ИСССТЭ, составляло в среднем 2 280 619 человек, то есть увеличилось на 1 процент по сравнению с предыдущим годом. Наибольшие к</w:t>
      </w:r>
      <w:r>
        <w:t>о</w:t>
      </w:r>
      <w:r>
        <w:t>личественные изменения имели место в муниципалитетах и государственных учреждениях штатов, где прирост составил 5 процентов и 2,6 процента, соответстве</w:t>
      </w:r>
      <w:r>
        <w:t>н</w:t>
      </w:r>
      <w:r>
        <w:t xml:space="preserve">но. </w:t>
      </w:r>
    </w:p>
    <w:p w:rsidR="00000000" w:rsidRDefault="00000000">
      <w:r>
        <w:t>479.</w:t>
      </w:r>
      <w:r>
        <w:tab/>
        <w:t>В то же время относительное улучшение положения на рынке труда, отмечавшееся в период с декабря 1996 года по декабрь 1999 года, нашло отражение, в частности, в результатах опросов, проведенных ИНЕГИ. На сборо</w:t>
      </w:r>
      <w:r>
        <w:t>ч</w:t>
      </w:r>
      <w:r>
        <w:t xml:space="preserve">ных предприятиях, работающих на экспорт, среднегодовой прирост числа занятых в этот период составил 15,2 процента; в обрабатывающей промышленности – 2,8 процента; в оптовой и розничной торговле – 2,2 и 3,5 процента, соответственно. </w:t>
      </w:r>
    </w:p>
    <w:p w:rsidR="00000000" w:rsidRDefault="00000000">
      <w:r>
        <w:t>480.</w:t>
      </w:r>
      <w:r>
        <w:tab/>
        <w:t>Происходившее в период 1996–1997 годов оживление производства и занятости одновременно со снижен</w:t>
      </w:r>
      <w:r>
        <w:t>и</w:t>
      </w:r>
      <w:r>
        <w:t>ем инфляции способствовали сдерживанию ранее резкого падения покупательной способности заработной платы. Затем произошел некоторый рост реальной заработной платы в большинстве отраслей, явные признаки которого наметились в 1998 году и который продолжался до пе</w:t>
      </w:r>
      <w:r>
        <w:t>р</w:t>
      </w:r>
      <w:r>
        <w:t xml:space="preserve">вых месяцев 2000 года. </w:t>
      </w:r>
    </w:p>
    <w:p w:rsidR="00000000" w:rsidRDefault="00000000">
      <w:pPr>
        <w:rPr>
          <w:lang w:val="en-US"/>
        </w:rPr>
      </w:pPr>
      <w:r>
        <w:t>481.</w:t>
      </w:r>
      <w:r>
        <w:tab/>
        <w:t>Чтобы способствовать увеличению реального уровня доходов трудящихся низкооплачиваемых категорий, федеральное правительство продолжало снижать налоги на доходы, не пр</w:t>
      </w:r>
      <w:r>
        <w:t>е</w:t>
      </w:r>
      <w:r>
        <w:t>вышающие трех минимальных зарплат.</w:t>
      </w:r>
    </w:p>
    <w:p w:rsidR="00000000" w:rsidRDefault="00000000">
      <w:pPr>
        <w:jc w:val="center"/>
        <w:rPr>
          <w:b/>
        </w:rPr>
      </w:pPr>
      <w:r>
        <w:rPr>
          <w:b/>
        </w:rPr>
        <w:t>Размер оплаты труда, 1994–2000 годы</w:t>
      </w:r>
      <w:r>
        <w:rPr>
          <w:b/>
        </w:rPr>
        <w:br/>
        <w:t>(в среднем за год)</w:t>
      </w:r>
    </w:p>
    <w:tbl>
      <w:tblPr>
        <w:tblW w:w="0" w:type="auto"/>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3260"/>
        <w:gridCol w:w="907"/>
        <w:gridCol w:w="907"/>
        <w:gridCol w:w="907"/>
        <w:gridCol w:w="907"/>
        <w:gridCol w:w="907"/>
        <w:gridCol w:w="907"/>
        <w:gridCol w:w="936"/>
      </w:tblGrid>
      <w:tr w:rsidR="00000000">
        <w:tblPrEx>
          <w:tblCellMar>
            <w:top w:w="0" w:type="dxa"/>
            <w:bottom w:w="0" w:type="dxa"/>
          </w:tblCellMar>
        </w:tblPrEx>
        <w:tc>
          <w:tcPr>
            <w:tcW w:w="3260" w:type="dxa"/>
          </w:tcPr>
          <w:p w:rsidR="00000000" w:rsidRDefault="00000000">
            <w:pPr>
              <w:pStyle w:val="a1"/>
              <w:rPr>
                <w:b/>
                <w:sz w:val="18"/>
              </w:rPr>
            </w:pPr>
            <w:r>
              <w:rPr>
                <w:b/>
                <w:sz w:val="18"/>
              </w:rPr>
              <w:t>Наименов</w:t>
            </w:r>
            <w:r>
              <w:rPr>
                <w:b/>
                <w:sz w:val="18"/>
              </w:rPr>
              <w:t>а</w:t>
            </w:r>
            <w:r>
              <w:rPr>
                <w:b/>
                <w:sz w:val="18"/>
              </w:rPr>
              <w:t>ние</w:t>
            </w:r>
          </w:p>
        </w:tc>
        <w:tc>
          <w:tcPr>
            <w:tcW w:w="907" w:type="dxa"/>
          </w:tcPr>
          <w:p w:rsidR="00000000" w:rsidRDefault="00000000">
            <w:pPr>
              <w:pStyle w:val="a1"/>
              <w:jc w:val="center"/>
              <w:rPr>
                <w:b/>
                <w:sz w:val="18"/>
              </w:rPr>
            </w:pPr>
            <w:r>
              <w:rPr>
                <w:b/>
                <w:sz w:val="18"/>
              </w:rPr>
              <w:t>1994 год</w:t>
            </w:r>
          </w:p>
        </w:tc>
        <w:tc>
          <w:tcPr>
            <w:tcW w:w="907" w:type="dxa"/>
          </w:tcPr>
          <w:p w:rsidR="00000000" w:rsidRDefault="00000000">
            <w:pPr>
              <w:pStyle w:val="a1"/>
              <w:jc w:val="center"/>
              <w:rPr>
                <w:b/>
                <w:sz w:val="18"/>
              </w:rPr>
            </w:pPr>
            <w:r>
              <w:rPr>
                <w:b/>
                <w:sz w:val="18"/>
              </w:rPr>
              <w:t>1995 год</w:t>
            </w:r>
          </w:p>
        </w:tc>
        <w:tc>
          <w:tcPr>
            <w:tcW w:w="907" w:type="dxa"/>
          </w:tcPr>
          <w:p w:rsidR="00000000" w:rsidRDefault="00000000">
            <w:pPr>
              <w:pStyle w:val="a1"/>
              <w:jc w:val="center"/>
              <w:rPr>
                <w:b/>
                <w:sz w:val="18"/>
              </w:rPr>
            </w:pPr>
            <w:r>
              <w:rPr>
                <w:b/>
                <w:sz w:val="18"/>
              </w:rPr>
              <w:t>1996 год</w:t>
            </w:r>
          </w:p>
        </w:tc>
        <w:tc>
          <w:tcPr>
            <w:tcW w:w="907" w:type="dxa"/>
          </w:tcPr>
          <w:p w:rsidR="00000000" w:rsidRDefault="00000000">
            <w:pPr>
              <w:pStyle w:val="a1"/>
              <w:jc w:val="center"/>
              <w:rPr>
                <w:b/>
                <w:sz w:val="18"/>
              </w:rPr>
            </w:pPr>
            <w:r>
              <w:rPr>
                <w:b/>
                <w:sz w:val="18"/>
              </w:rPr>
              <w:t>1997 год</w:t>
            </w:r>
          </w:p>
        </w:tc>
        <w:tc>
          <w:tcPr>
            <w:tcW w:w="907" w:type="dxa"/>
          </w:tcPr>
          <w:p w:rsidR="00000000" w:rsidRDefault="00000000">
            <w:pPr>
              <w:pStyle w:val="a1"/>
              <w:jc w:val="center"/>
              <w:rPr>
                <w:b/>
                <w:sz w:val="18"/>
              </w:rPr>
            </w:pPr>
            <w:r>
              <w:rPr>
                <w:b/>
                <w:sz w:val="18"/>
              </w:rPr>
              <w:t>1998 год</w:t>
            </w:r>
          </w:p>
        </w:tc>
        <w:tc>
          <w:tcPr>
            <w:tcW w:w="907" w:type="dxa"/>
          </w:tcPr>
          <w:p w:rsidR="00000000" w:rsidRDefault="00000000">
            <w:pPr>
              <w:pStyle w:val="a1"/>
              <w:jc w:val="center"/>
              <w:rPr>
                <w:b/>
                <w:sz w:val="18"/>
              </w:rPr>
            </w:pPr>
            <w:r>
              <w:rPr>
                <w:b/>
                <w:sz w:val="18"/>
              </w:rPr>
              <w:t>1999 год</w:t>
            </w:r>
          </w:p>
        </w:tc>
        <w:tc>
          <w:tcPr>
            <w:tcW w:w="936" w:type="dxa"/>
          </w:tcPr>
          <w:p w:rsidR="00000000" w:rsidRDefault="00000000">
            <w:pPr>
              <w:pStyle w:val="a1"/>
              <w:jc w:val="center"/>
              <w:rPr>
                <w:b/>
                <w:sz w:val="18"/>
              </w:rPr>
            </w:pPr>
            <w:r>
              <w:rPr>
                <w:b/>
                <w:sz w:val="18"/>
              </w:rPr>
              <w:t>2000 год</w:t>
            </w:r>
            <w:r>
              <w:rPr>
                <w:b/>
                <w:sz w:val="18"/>
                <w:vertAlign w:val="superscript"/>
              </w:rPr>
              <w:t>1</w:t>
            </w:r>
          </w:p>
        </w:tc>
      </w:tr>
      <w:tr w:rsidR="00000000">
        <w:tblPrEx>
          <w:tblCellMar>
            <w:top w:w="0" w:type="dxa"/>
            <w:bottom w:w="0" w:type="dxa"/>
          </w:tblCellMar>
        </w:tblPrEx>
        <w:tc>
          <w:tcPr>
            <w:tcW w:w="3260" w:type="dxa"/>
          </w:tcPr>
          <w:p w:rsidR="00000000" w:rsidRDefault="00000000">
            <w:pPr>
              <w:pStyle w:val="a1"/>
              <w:rPr>
                <w:b/>
              </w:rPr>
            </w:pPr>
            <w:r>
              <w:rPr>
                <w:b/>
              </w:rPr>
              <w:t>Минимальная зар</w:t>
            </w:r>
            <w:r>
              <w:rPr>
                <w:b/>
              </w:rPr>
              <w:t>а</w:t>
            </w:r>
            <w:r>
              <w:rPr>
                <w:b/>
              </w:rPr>
              <w:t>ботная пл</w:t>
            </w:r>
            <w:r>
              <w:rPr>
                <w:b/>
              </w:rPr>
              <w:t>а</w:t>
            </w:r>
            <w:r>
              <w:rPr>
                <w:b/>
              </w:rPr>
              <w:t>та</w:t>
            </w:r>
          </w:p>
        </w:tc>
        <w:tc>
          <w:tcPr>
            <w:tcW w:w="907" w:type="dxa"/>
          </w:tcPr>
          <w:p w:rsidR="00000000" w:rsidRDefault="00000000">
            <w:pPr>
              <w:pStyle w:val="a1"/>
              <w:jc w:val="center"/>
              <w:rPr>
                <w:b/>
              </w:rPr>
            </w:pPr>
          </w:p>
        </w:tc>
        <w:tc>
          <w:tcPr>
            <w:tcW w:w="907" w:type="dxa"/>
          </w:tcPr>
          <w:p w:rsidR="00000000" w:rsidRDefault="00000000">
            <w:pPr>
              <w:pStyle w:val="a1"/>
              <w:jc w:val="center"/>
              <w:rPr>
                <w:b/>
              </w:rPr>
            </w:pPr>
          </w:p>
        </w:tc>
        <w:tc>
          <w:tcPr>
            <w:tcW w:w="907" w:type="dxa"/>
          </w:tcPr>
          <w:p w:rsidR="00000000" w:rsidRDefault="00000000">
            <w:pPr>
              <w:pStyle w:val="a1"/>
              <w:jc w:val="center"/>
              <w:rPr>
                <w:b/>
              </w:rPr>
            </w:pPr>
          </w:p>
        </w:tc>
        <w:tc>
          <w:tcPr>
            <w:tcW w:w="907" w:type="dxa"/>
          </w:tcPr>
          <w:p w:rsidR="00000000" w:rsidRDefault="00000000">
            <w:pPr>
              <w:pStyle w:val="a1"/>
              <w:jc w:val="center"/>
              <w:rPr>
                <w:b/>
              </w:rPr>
            </w:pPr>
          </w:p>
        </w:tc>
        <w:tc>
          <w:tcPr>
            <w:tcW w:w="907" w:type="dxa"/>
          </w:tcPr>
          <w:p w:rsidR="00000000" w:rsidRDefault="00000000">
            <w:pPr>
              <w:pStyle w:val="a1"/>
              <w:jc w:val="center"/>
              <w:rPr>
                <w:b/>
              </w:rPr>
            </w:pPr>
          </w:p>
        </w:tc>
        <w:tc>
          <w:tcPr>
            <w:tcW w:w="907" w:type="dxa"/>
          </w:tcPr>
          <w:p w:rsidR="00000000" w:rsidRDefault="00000000">
            <w:pPr>
              <w:pStyle w:val="a1"/>
              <w:jc w:val="center"/>
              <w:rPr>
                <w:b/>
              </w:rPr>
            </w:pPr>
          </w:p>
        </w:tc>
        <w:tc>
          <w:tcPr>
            <w:tcW w:w="936" w:type="dxa"/>
          </w:tcPr>
          <w:p w:rsidR="00000000" w:rsidRDefault="00000000">
            <w:pPr>
              <w:pStyle w:val="a1"/>
              <w:jc w:val="center"/>
              <w:rPr>
                <w:b/>
              </w:rPr>
            </w:pPr>
          </w:p>
        </w:tc>
      </w:tr>
      <w:tr w:rsidR="00000000">
        <w:tblPrEx>
          <w:tblCellMar>
            <w:top w:w="0" w:type="dxa"/>
            <w:bottom w:w="0" w:type="dxa"/>
          </w:tblCellMar>
        </w:tblPrEx>
        <w:tc>
          <w:tcPr>
            <w:tcW w:w="3260" w:type="dxa"/>
          </w:tcPr>
          <w:p w:rsidR="00000000" w:rsidRDefault="00000000">
            <w:pPr>
              <w:pStyle w:val="a1"/>
            </w:pPr>
            <w:r>
              <w:t>Ном</w:t>
            </w:r>
            <w:r>
              <w:t>и</w:t>
            </w:r>
            <w:r>
              <w:t xml:space="preserve">нальная </w:t>
            </w:r>
            <w:r>
              <w:rPr>
                <w:vertAlign w:val="superscript"/>
              </w:rPr>
              <w:t>2</w:t>
            </w:r>
          </w:p>
        </w:tc>
        <w:tc>
          <w:tcPr>
            <w:tcW w:w="907" w:type="dxa"/>
          </w:tcPr>
          <w:p w:rsidR="00000000" w:rsidRDefault="00000000">
            <w:pPr>
              <w:pStyle w:val="a1"/>
              <w:ind w:right="113"/>
              <w:jc w:val="right"/>
            </w:pPr>
            <w:r>
              <w:t>13,970</w:t>
            </w:r>
          </w:p>
        </w:tc>
        <w:tc>
          <w:tcPr>
            <w:tcW w:w="907" w:type="dxa"/>
          </w:tcPr>
          <w:p w:rsidR="00000000" w:rsidRDefault="00000000">
            <w:pPr>
              <w:pStyle w:val="a1"/>
              <w:ind w:right="113"/>
              <w:jc w:val="right"/>
            </w:pPr>
            <w:r>
              <w:t>16,428</w:t>
            </w:r>
          </w:p>
        </w:tc>
        <w:tc>
          <w:tcPr>
            <w:tcW w:w="907" w:type="dxa"/>
          </w:tcPr>
          <w:p w:rsidR="00000000" w:rsidRDefault="00000000">
            <w:pPr>
              <w:pStyle w:val="a1"/>
              <w:ind w:right="113"/>
              <w:jc w:val="right"/>
            </w:pPr>
            <w:r>
              <w:t>20,394</w:t>
            </w:r>
          </w:p>
        </w:tc>
        <w:tc>
          <w:tcPr>
            <w:tcW w:w="907" w:type="dxa"/>
          </w:tcPr>
          <w:p w:rsidR="00000000" w:rsidRDefault="00000000">
            <w:pPr>
              <w:pStyle w:val="a1"/>
              <w:ind w:right="113"/>
              <w:jc w:val="right"/>
            </w:pPr>
            <w:r>
              <w:t>24,300</w:t>
            </w:r>
          </w:p>
        </w:tc>
        <w:tc>
          <w:tcPr>
            <w:tcW w:w="907" w:type="dxa"/>
          </w:tcPr>
          <w:p w:rsidR="00000000" w:rsidRDefault="00000000">
            <w:pPr>
              <w:pStyle w:val="a1"/>
              <w:ind w:right="113"/>
              <w:jc w:val="right"/>
            </w:pPr>
            <w:r>
              <w:t>28,301</w:t>
            </w:r>
          </w:p>
        </w:tc>
        <w:tc>
          <w:tcPr>
            <w:tcW w:w="907" w:type="dxa"/>
          </w:tcPr>
          <w:p w:rsidR="00000000" w:rsidRDefault="00000000">
            <w:pPr>
              <w:pStyle w:val="a1"/>
              <w:ind w:right="113"/>
              <w:jc w:val="right"/>
            </w:pPr>
            <w:r>
              <w:t>31,910</w:t>
            </w:r>
          </w:p>
        </w:tc>
        <w:tc>
          <w:tcPr>
            <w:tcW w:w="936" w:type="dxa"/>
          </w:tcPr>
          <w:p w:rsidR="00000000" w:rsidRDefault="00000000">
            <w:pPr>
              <w:pStyle w:val="a1"/>
              <w:ind w:right="113"/>
              <w:jc w:val="right"/>
            </w:pPr>
            <w:r>
              <w:t>35,120</w:t>
            </w:r>
          </w:p>
        </w:tc>
      </w:tr>
      <w:tr w:rsidR="00000000">
        <w:tblPrEx>
          <w:tblCellMar>
            <w:top w:w="0" w:type="dxa"/>
            <w:bottom w:w="0" w:type="dxa"/>
          </w:tblCellMar>
        </w:tblPrEx>
        <w:tc>
          <w:tcPr>
            <w:tcW w:w="3260" w:type="dxa"/>
          </w:tcPr>
          <w:p w:rsidR="00000000" w:rsidRDefault="00000000">
            <w:pPr>
              <w:pStyle w:val="a1"/>
            </w:pPr>
            <w:r>
              <w:t xml:space="preserve">Реальная </w:t>
            </w:r>
            <w:r>
              <w:rPr>
                <w:vertAlign w:val="superscript"/>
              </w:rPr>
              <w:t>3</w:t>
            </w:r>
          </w:p>
        </w:tc>
        <w:tc>
          <w:tcPr>
            <w:tcW w:w="907" w:type="dxa"/>
          </w:tcPr>
          <w:p w:rsidR="00000000" w:rsidRDefault="00000000">
            <w:pPr>
              <w:pStyle w:val="a1"/>
              <w:ind w:right="113"/>
              <w:jc w:val="right"/>
            </w:pPr>
            <w:r>
              <w:t>45,454</w:t>
            </w:r>
          </w:p>
        </w:tc>
        <w:tc>
          <w:tcPr>
            <w:tcW w:w="907" w:type="dxa"/>
          </w:tcPr>
          <w:p w:rsidR="00000000" w:rsidRDefault="00000000">
            <w:pPr>
              <w:pStyle w:val="a1"/>
              <w:ind w:right="113"/>
              <w:jc w:val="right"/>
            </w:pPr>
            <w:r>
              <w:t>39,001</w:t>
            </w:r>
          </w:p>
        </w:tc>
        <w:tc>
          <w:tcPr>
            <w:tcW w:w="907" w:type="dxa"/>
          </w:tcPr>
          <w:p w:rsidR="00000000" w:rsidRDefault="00000000">
            <w:pPr>
              <w:pStyle w:val="a1"/>
              <w:ind w:right="113"/>
              <w:jc w:val="right"/>
            </w:pPr>
            <w:r>
              <w:t>35,438</w:t>
            </w:r>
          </w:p>
        </w:tc>
        <w:tc>
          <w:tcPr>
            <w:tcW w:w="907" w:type="dxa"/>
          </w:tcPr>
          <w:p w:rsidR="00000000" w:rsidRDefault="00000000">
            <w:pPr>
              <w:pStyle w:val="a1"/>
              <w:ind w:right="113"/>
              <w:jc w:val="right"/>
            </w:pPr>
            <w:r>
              <w:t>35,180</w:t>
            </w:r>
          </w:p>
        </w:tc>
        <w:tc>
          <w:tcPr>
            <w:tcW w:w="907" w:type="dxa"/>
          </w:tcPr>
          <w:p w:rsidR="00000000" w:rsidRDefault="00000000">
            <w:pPr>
              <w:pStyle w:val="a1"/>
              <w:ind w:right="113"/>
              <w:jc w:val="right"/>
            </w:pPr>
            <w:r>
              <w:t>35,419</w:t>
            </w:r>
          </w:p>
        </w:tc>
        <w:tc>
          <w:tcPr>
            <w:tcW w:w="907" w:type="dxa"/>
          </w:tcPr>
          <w:p w:rsidR="00000000" w:rsidRDefault="00000000">
            <w:pPr>
              <w:pStyle w:val="a1"/>
              <w:ind w:right="113"/>
              <w:jc w:val="right"/>
            </w:pPr>
            <w:r>
              <w:t>34,191</w:t>
            </w:r>
          </w:p>
        </w:tc>
        <w:tc>
          <w:tcPr>
            <w:tcW w:w="936" w:type="dxa"/>
          </w:tcPr>
          <w:p w:rsidR="00000000" w:rsidRDefault="00000000">
            <w:pPr>
              <w:pStyle w:val="a1"/>
              <w:ind w:right="113"/>
              <w:jc w:val="right"/>
            </w:pPr>
            <w:r>
              <w:t>35,120</w:t>
            </w:r>
          </w:p>
        </w:tc>
      </w:tr>
      <w:tr w:rsidR="00000000">
        <w:tblPrEx>
          <w:tblCellMar>
            <w:top w:w="0" w:type="dxa"/>
            <w:bottom w:w="0" w:type="dxa"/>
          </w:tblCellMar>
        </w:tblPrEx>
        <w:tc>
          <w:tcPr>
            <w:tcW w:w="3260" w:type="dxa"/>
          </w:tcPr>
          <w:p w:rsidR="00000000" w:rsidRDefault="00000000">
            <w:pPr>
              <w:pStyle w:val="a1"/>
              <w:rPr>
                <w:b/>
              </w:rPr>
            </w:pPr>
            <w:r>
              <w:rPr>
                <w:b/>
              </w:rPr>
              <w:t>Средняя заработная плата как база взн</w:t>
            </w:r>
            <w:r>
              <w:rPr>
                <w:b/>
              </w:rPr>
              <w:t>о</w:t>
            </w:r>
            <w:r>
              <w:rPr>
                <w:b/>
              </w:rPr>
              <w:t>сов в ИМСС</w:t>
            </w:r>
          </w:p>
        </w:tc>
        <w:tc>
          <w:tcPr>
            <w:tcW w:w="907" w:type="dxa"/>
          </w:tcPr>
          <w:p w:rsidR="00000000" w:rsidRDefault="00000000">
            <w:pPr>
              <w:pStyle w:val="a1"/>
              <w:ind w:right="113"/>
              <w:jc w:val="right"/>
              <w:rPr>
                <w:b/>
              </w:rPr>
            </w:pPr>
          </w:p>
        </w:tc>
        <w:tc>
          <w:tcPr>
            <w:tcW w:w="907" w:type="dxa"/>
          </w:tcPr>
          <w:p w:rsidR="00000000" w:rsidRDefault="00000000">
            <w:pPr>
              <w:pStyle w:val="a1"/>
              <w:ind w:right="113"/>
              <w:jc w:val="right"/>
              <w:rPr>
                <w:b/>
              </w:rPr>
            </w:pPr>
          </w:p>
        </w:tc>
        <w:tc>
          <w:tcPr>
            <w:tcW w:w="907" w:type="dxa"/>
          </w:tcPr>
          <w:p w:rsidR="00000000" w:rsidRDefault="00000000">
            <w:pPr>
              <w:pStyle w:val="a1"/>
              <w:ind w:right="113"/>
              <w:jc w:val="right"/>
              <w:rPr>
                <w:b/>
              </w:rPr>
            </w:pPr>
          </w:p>
        </w:tc>
        <w:tc>
          <w:tcPr>
            <w:tcW w:w="907" w:type="dxa"/>
          </w:tcPr>
          <w:p w:rsidR="00000000" w:rsidRDefault="00000000">
            <w:pPr>
              <w:pStyle w:val="a1"/>
              <w:ind w:right="113"/>
              <w:jc w:val="right"/>
              <w:rPr>
                <w:b/>
              </w:rPr>
            </w:pPr>
          </w:p>
        </w:tc>
        <w:tc>
          <w:tcPr>
            <w:tcW w:w="907" w:type="dxa"/>
          </w:tcPr>
          <w:p w:rsidR="00000000" w:rsidRDefault="00000000">
            <w:pPr>
              <w:pStyle w:val="a1"/>
              <w:ind w:right="113"/>
              <w:jc w:val="right"/>
              <w:rPr>
                <w:b/>
              </w:rPr>
            </w:pPr>
          </w:p>
        </w:tc>
        <w:tc>
          <w:tcPr>
            <w:tcW w:w="907" w:type="dxa"/>
          </w:tcPr>
          <w:p w:rsidR="00000000" w:rsidRDefault="00000000">
            <w:pPr>
              <w:pStyle w:val="a1"/>
              <w:ind w:right="113"/>
              <w:jc w:val="right"/>
              <w:rPr>
                <w:b/>
              </w:rPr>
            </w:pPr>
          </w:p>
        </w:tc>
        <w:tc>
          <w:tcPr>
            <w:tcW w:w="936" w:type="dxa"/>
          </w:tcPr>
          <w:p w:rsidR="00000000" w:rsidRDefault="00000000">
            <w:pPr>
              <w:pStyle w:val="a1"/>
              <w:ind w:right="113"/>
              <w:jc w:val="right"/>
              <w:rPr>
                <w:b/>
              </w:rPr>
            </w:pPr>
          </w:p>
        </w:tc>
      </w:tr>
      <w:tr w:rsidR="00000000">
        <w:tblPrEx>
          <w:tblCellMar>
            <w:top w:w="0" w:type="dxa"/>
            <w:bottom w:w="0" w:type="dxa"/>
          </w:tblCellMar>
        </w:tblPrEx>
        <w:tc>
          <w:tcPr>
            <w:tcW w:w="3260" w:type="dxa"/>
          </w:tcPr>
          <w:p w:rsidR="00000000" w:rsidRDefault="00000000">
            <w:pPr>
              <w:pStyle w:val="a1"/>
            </w:pPr>
            <w:r>
              <w:t>Ном</w:t>
            </w:r>
            <w:r>
              <w:t>и</w:t>
            </w:r>
            <w:r>
              <w:t xml:space="preserve">нальная </w:t>
            </w:r>
            <w:r>
              <w:rPr>
                <w:vertAlign w:val="superscript"/>
              </w:rPr>
              <w:t>4</w:t>
            </w:r>
          </w:p>
        </w:tc>
        <w:tc>
          <w:tcPr>
            <w:tcW w:w="907" w:type="dxa"/>
          </w:tcPr>
          <w:p w:rsidR="00000000" w:rsidRDefault="00000000">
            <w:pPr>
              <w:pStyle w:val="a1"/>
              <w:ind w:right="113"/>
              <w:jc w:val="right"/>
            </w:pPr>
            <w:r>
              <w:t>49,60</w:t>
            </w:r>
          </w:p>
        </w:tc>
        <w:tc>
          <w:tcPr>
            <w:tcW w:w="907" w:type="dxa"/>
          </w:tcPr>
          <w:p w:rsidR="00000000" w:rsidRDefault="00000000">
            <w:pPr>
              <w:pStyle w:val="a1"/>
              <w:ind w:right="113"/>
              <w:jc w:val="right"/>
            </w:pPr>
            <w:r>
              <w:t>56,52</w:t>
            </w:r>
          </w:p>
        </w:tc>
        <w:tc>
          <w:tcPr>
            <w:tcW w:w="907" w:type="dxa"/>
          </w:tcPr>
          <w:p w:rsidR="00000000" w:rsidRDefault="00000000">
            <w:pPr>
              <w:pStyle w:val="a1"/>
              <w:ind w:right="113"/>
              <w:jc w:val="right"/>
            </w:pPr>
            <w:r>
              <w:t>67,63</w:t>
            </w:r>
          </w:p>
        </w:tc>
        <w:tc>
          <w:tcPr>
            <w:tcW w:w="907" w:type="dxa"/>
          </w:tcPr>
          <w:p w:rsidR="00000000" w:rsidRDefault="00000000">
            <w:pPr>
              <w:pStyle w:val="a1"/>
              <w:ind w:right="113"/>
              <w:jc w:val="right"/>
            </w:pPr>
            <w:r>
              <w:t>80,23</w:t>
            </w:r>
          </w:p>
        </w:tc>
        <w:tc>
          <w:tcPr>
            <w:tcW w:w="907" w:type="dxa"/>
          </w:tcPr>
          <w:p w:rsidR="00000000" w:rsidRDefault="00000000">
            <w:pPr>
              <w:pStyle w:val="a1"/>
              <w:ind w:right="113"/>
              <w:jc w:val="right"/>
            </w:pPr>
            <w:r>
              <w:t>94,68</w:t>
            </w:r>
          </w:p>
        </w:tc>
        <w:tc>
          <w:tcPr>
            <w:tcW w:w="907" w:type="dxa"/>
          </w:tcPr>
          <w:p w:rsidR="00000000" w:rsidRDefault="00000000">
            <w:pPr>
              <w:pStyle w:val="a1"/>
              <w:ind w:right="113"/>
              <w:jc w:val="right"/>
            </w:pPr>
            <w:r>
              <w:t>110,84</w:t>
            </w:r>
          </w:p>
        </w:tc>
        <w:tc>
          <w:tcPr>
            <w:tcW w:w="936" w:type="dxa"/>
          </w:tcPr>
          <w:p w:rsidR="00000000" w:rsidRDefault="00000000">
            <w:pPr>
              <w:pStyle w:val="a1"/>
              <w:ind w:right="113"/>
              <w:jc w:val="right"/>
            </w:pPr>
            <w:r>
              <w:t>124,79</w:t>
            </w:r>
          </w:p>
        </w:tc>
      </w:tr>
      <w:tr w:rsidR="00000000">
        <w:tblPrEx>
          <w:tblCellMar>
            <w:top w:w="0" w:type="dxa"/>
            <w:bottom w:w="0" w:type="dxa"/>
          </w:tblCellMar>
        </w:tblPrEx>
        <w:tc>
          <w:tcPr>
            <w:tcW w:w="3260" w:type="dxa"/>
          </w:tcPr>
          <w:p w:rsidR="00000000" w:rsidRDefault="00000000">
            <w:pPr>
              <w:pStyle w:val="a1"/>
            </w:pPr>
            <w:r>
              <w:t xml:space="preserve">Реальная </w:t>
            </w:r>
            <w:r>
              <w:rPr>
                <w:vertAlign w:val="superscript"/>
              </w:rPr>
              <w:t>5</w:t>
            </w:r>
          </w:p>
        </w:tc>
        <w:tc>
          <w:tcPr>
            <w:tcW w:w="907" w:type="dxa"/>
          </w:tcPr>
          <w:p w:rsidR="00000000" w:rsidRDefault="00000000">
            <w:pPr>
              <w:pStyle w:val="a1"/>
              <w:ind w:right="113"/>
              <w:jc w:val="right"/>
            </w:pPr>
            <w:r>
              <w:t>157,79</w:t>
            </w:r>
          </w:p>
        </w:tc>
        <w:tc>
          <w:tcPr>
            <w:tcW w:w="907" w:type="dxa"/>
          </w:tcPr>
          <w:p w:rsidR="00000000" w:rsidRDefault="00000000">
            <w:pPr>
              <w:pStyle w:val="a1"/>
              <w:ind w:right="113"/>
              <w:jc w:val="right"/>
            </w:pPr>
            <w:r>
              <w:t>134,48</w:t>
            </w:r>
          </w:p>
        </w:tc>
        <w:tc>
          <w:tcPr>
            <w:tcW w:w="907" w:type="dxa"/>
          </w:tcPr>
          <w:p w:rsidR="00000000" w:rsidRDefault="00000000">
            <w:pPr>
              <w:pStyle w:val="a1"/>
              <w:ind w:right="113"/>
              <w:jc w:val="right"/>
            </w:pPr>
            <w:r>
              <w:t>118,61</w:t>
            </w:r>
          </w:p>
        </w:tc>
        <w:tc>
          <w:tcPr>
            <w:tcW w:w="907" w:type="dxa"/>
          </w:tcPr>
          <w:p w:rsidR="00000000" w:rsidRDefault="00000000">
            <w:pPr>
              <w:pStyle w:val="a1"/>
              <w:ind w:right="113"/>
              <w:jc w:val="right"/>
            </w:pPr>
            <w:r>
              <w:t>116,55</w:t>
            </w:r>
          </w:p>
        </w:tc>
        <w:tc>
          <w:tcPr>
            <w:tcW w:w="907" w:type="dxa"/>
          </w:tcPr>
          <w:p w:rsidR="00000000" w:rsidRDefault="00000000">
            <w:pPr>
              <w:pStyle w:val="a1"/>
              <w:ind w:right="113"/>
              <w:jc w:val="right"/>
            </w:pPr>
            <w:r>
              <w:t>118,71</w:t>
            </w:r>
          </w:p>
        </w:tc>
        <w:tc>
          <w:tcPr>
            <w:tcW w:w="907" w:type="dxa"/>
          </w:tcPr>
          <w:p w:rsidR="00000000" w:rsidRDefault="00000000">
            <w:pPr>
              <w:pStyle w:val="a1"/>
              <w:ind w:right="113"/>
              <w:jc w:val="right"/>
            </w:pPr>
            <w:r>
              <w:t>119,18</w:t>
            </w:r>
          </w:p>
        </w:tc>
        <w:tc>
          <w:tcPr>
            <w:tcW w:w="936" w:type="dxa"/>
          </w:tcPr>
          <w:p w:rsidR="00000000" w:rsidRDefault="00000000">
            <w:pPr>
              <w:pStyle w:val="a1"/>
              <w:ind w:right="113"/>
              <w:jc w:val="right"/>
            </w:pPr>
            <w:r>
              <w:t>124,79</w:t>
            </w:r>
          </w:p>
        </w:tc>
      </w:tr>
    </w:tbl>
    <w:p w:rsidR="00000000" w:rsidRDefault="00000000">
      <w:pPr>
        <w:pStyle w:val="Header"/>
        <w:tabs>
          <w:tab w:val="clear" w:pos="4677"/>
          <w:tab w:val="clear" w:pos="9355"/>
        </w:tabs>
        <w:spacing w:after="0"/>
        <w:rPr>
          <w:vertAlign w:val="superscript"/>
        </w:rPr>
      </w:pPr>
    </w:p>
    <w:p w:rsidR="00000000" w:rsidRDefault="00000000">
      <w:pPr>
        <w:pStyle w:val="a2"/>
      </w:pPr>
      <w:r>
        <w:rPr>
          <w:vertAlign w:val="superscript"/>
        </w:rPr>
        <w:t>1</w:t>
      </w:r>
      <w:r>
        <w:t xml:space="preserve"> Данные о минимальной заработной плате приводятся по состоянию на 1 января. Показатели относительно сре</w:t>
      </w:r>
      <w:r>
        <w:t>д</w:t>
      </w:r>
      <w:r>
        <w:t>ней заработной платы как базы взносов в кассу в ИМСС рассчитываются по усредненным данным за первые четыре месяца года.</w:t>
      </w:r>
    </w:p>
    <w:p w:rsidR="00000000" w:rsidRDefault="00000000">
      <w:pPr>
        <w:pStyle w:val="a2"/>
      </w:pPr>
      <w:r>
        <w:rPr>
          <w:vertAlign w:val="superscript"/>
        </w:rPr>
        <w:t>2</w:t>
      </w:r>
      <w:r>
        <w:t xml:space="preserve"> Среднегодовая цифра выводится исходя из числа рабочих дней.</w:t>
      </w:r>
    </w:p>
    <w:p w:rsidR="00000000" w:rsidRDefault="00000000">
      <w:pPr>
        <w:pStyle w:val="a2"/>
      </w:pPr>
      <w:r>
        <w:rPr>
          <w:vertAlign w:val="superscript"/>
        </w:rPr>
        <w:t>3</w:t>
      </w:r>
      <w:r>
        <w:t xml:space="preserve"> Данные приводятся с учетом Национального индекса потребительских цен для семей с уровнем доходов ниже или равным минимальной заработной плате, 2000=100.</w:t>
      </w:r>
    </w:p>
    <w:p w:rsidR="00000000" w:rsidRDefault="00000000">
      <w:pPr>
        <w:pStyle w:val="a2"/>
      </w:pPr>
      <w:r>
        <w:rPr>
          <w:vertAlign w:val="superscript"/>
        </w:rPr>
        <w:t>4</w:t>
      </w:r>
      <w:r>
        <w:t xml:space="preserve"> Среднегодовые номинальные величины рассчитаны с учетом числа трудящихся, регулярно делающих взносы в кассу ИМСС, которые включают следующие категории страхователей: 10 – система страхования для обычных г</w:t>
      </w:r>
      <w:r>
        <w:t>о</w:t>
      </w:r>
      <w:r>
        <w:t>родских жителей; 17 – система страхования с частичным возвратом взносов за непредоставленные услуги; 13 – си</w:t>
      </w:r>
      <w:r>
        <w:t>с</w:t>
      </w:r>
      <w:r>
        <w:t>тема страхования сел</w:t>
      </w:r>
      <w:r>
        <w:t>ь</w:t>
      </w:r>
      <w:r>
        <w:t xml:space="preserve">ских жителей. </w:t>
      </w:r>
    </w:p>
    <w:p w:rsidR="00000000" w:rsidRDefault="00000000">
      <w:pPr>
        <w:pStyle w:val="a2"/>
      </w:pPr>
      <w:r>
        <w:rPr>
          <w:vertAlign w:val="superscript"/>
        </w:rPr>
        <w:t>5</w:t>
      </w:r>
      <w:r>
        <w:t xml:space="preserve"> Среднегодовая реальная заработная плата представляет собой среднее арифметическое первых двух реальных месячных заработных плат с учетом Национального индекса потребительских цен; основание: 2000=100.</w:t>
      </w:r>
    </w:p>
    <w:p w:rsidR="00000000" w:rsidRDefault="00000000">
      <w:pPr>
        <w:pStyle w:val="a2"/>
      </w:pPr>
      <w:r>
        <w:t>Источник: Министерство труда и социального обеспечения, по данным ИМСС и КОНАСАМИ.</w:t>
      </w:r>
    </w:p>
    <w:p w:rsidR="00000000" w:rsidRDefault="00000000">
      <w:pPr>
        <w:pStyle w:val="a2"/>
      </w:pPr>
      <w:r>
        <w:rPr>
          <w:vertAlign w:val="superscript"/>
        </w:rPr>
        <w:sym w:font="Symbol" w:char="F02A"/>
      </w:r>
      <w:r>
        <w:t xml:space="preserve"> Данных с разбивкой по полу не имеется. </w:t>
      </w:r>
    </w:p>
    <w:p w:rsidR="00000000" w:rsidRDefault="00000000"/>
    <w:p w:rsidR="00000000" w:rsidRDefault="00000000">
      <w:pPr>
        <w:jc w:val="center"/>
        <w:rPr>
          <w:b/>
        </w:rPr>
      </w:pPr>
      <w:r>
        <w:rPr>
          <w:b/>
        </w:rPr>
        <w:t>Показатели занятости и безработицы, 1994–1999 годы</w:t>
      </w:r>
      <w:r>
        <w:rPr>
          <w:b/>
        </w:rPr>
        <w:br/>
        <w:t>(в процентах)</w:t>
      </w:r>
    </w:p>
    <w:tbl>
      <w:tblPr>
        <w:tblW w:w="0" w:type="auto"/>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3289"/>
        <w:gridCol w:w="907"/>
        <w:gridCol w:w="907"/>
        <w:gridCol w:w="907"/>
        <w:gridCol w:w="907"/>
        <w:gridCol w:w="907"/>
        <w:gridCol w:w="907"/>
        <w:gridCol w:w="907"/>
      </w:tblGrid>
      <w:tr w:rsidR="00000000">
        <w:tblPrEx>
          <w:tblCellMar>
            <w:top w:w="0" w:type="dxa"/>
            <w:bottom w:w="0" w:type="dxa"/>
          </w:tblCellMar>
        </w:tblPrEx>
        <w:tc>
          <w:tcPr>
            <w:tcW w:w="3289" w:type="dxa"/>
            <w:vAlign w:val="center"/>
          </w:tcPr>
          <w:p w:rsidR="00000000" w:rsidRDefault="00000000">
            <w:pPr>
              <w:pStyle w:val="a1"/>
              <w:spacing w:before="20" w:after="20"/>
              <w:rPr>
                <w:b/>
                <w:sz w:val="18"/>
              </w:rPr>
            </w:pPr>
            <w:r>
              <w:rPr>
                <w:b/>
                <w:sz w:val="18"/>
              </w:rPr>
              <w:t>Показатели с разбивкой по полу</w:t>
            </w:r>
          </w:p>
        </w:tc>
        <w:tc>
          <w:tcPr>
            <w:tcW w:w="907" w:type="dxa"/>
            <w:vAlign w:val="center"/>
          </w:tcPr>
          <w:p w:rsidR="00000000" w:rsidRDefault="00000000">
            <w:pPr>
              <w:pStyle w:val="a1"/>
              <w:spacing w:before="20" w:after="20"/>
              <w:jc w:val="center"/>
              <w:rPr>
                <w:b/>
                <w:sz w:val="18"/>
              </w:rPr>
            </w:pPr>
            <w:r>
              <w:rPr>
                <w:b/>
                <w:sz w:val="18"/>
              </w:rPr>
              <w:t>1994 год</w:t>
            </w:r>
          </w:p>
        </w:tc>
        <w:tc>
          <w:tcPr>
            <w:tcW w:w="907" w:type="dxa"/>
            <w:vAlign w:val="center"/>
          </w:tcPr>
          <w:p w:rsidR="00000000" w:rsidRDefault="00000000">
            <w:pPr>
              <w:pStyle w:val="a1"/>
              <w:spacing w:before="20" w:after="20"/>
              <w:jc w:val="center"/>
              <w:rPr>
                <w:b/>
                <w:sz w:val="18"/>
              </w:rPr>
            </w:pPr>
            <w:r>
              <w:rPr>
                <w:b/>
                <w:sz w:val="18"/>
              </w:rPr>
              <w:t>1995 год</w:t>
            </w:r>
          </w:p>
        </w:tc>
        <w:tc>
          <w:tcPr>
            <w:tcW w:w="907" w:type="dxa"/>
            <w:vAlign w:val="center"/>
          </w:tcPr>
          <w:p w:rsidR="00000000" w:rsidRDefault="00000000">
            <w:pPr>
              <w:pStyle w:val="a1"/>
              <w:spacing w:before="20" w:after="20"/>
              <w:jc w:val="center"/>
              <w:rPr>
                <w:b/>
                <w:sz w:val="18"/>
              </w:rPr>
            </w:pPr>
            <w:r>
              <w:rPr>
                <w:b/>
                <w:sz w:val="18"/>
              </w:rPr>
              <w:t>1996 год</w:t>
            </w:r>
          </w:p>
        </w:tc>
        <w:tc>
          <w:tcPr>
            <w:tcW w:w="907" w:type="dxa"/>
            <w:vAlign w:val="center"/>
          </w:tcPr>
          <w:p w:rsidR="00000000" w:rsidRDefault="00000000">
            <w:pPr>
              <w:pStyle w:val="a1"/>
              <w:spacing w:before="20" w:after="20"/>
              <w:jc w:val="center"/>
              <w:rPr>
                <w:b/>
                <w:sz w:val="18"/>
              </w:rPr>
            </w:pPr>
            <w:r>
              <w:rPr>
                <w:b/>
                <w:sz w:val="18"/>
              </w:rPr>
              <w:t>1997 год</w:t>
            </w:r>
          </w:p>
        </w:tc>
        <w:tc>
          <w:tcPr>
            <w:tcW w:w="907" w:type="dxa"/>
            <w:vAlign w:val="center"/>
          </w:tcPr>
          <w:p w:rsidR="00000000" w:rsidRDefault="00000000">
            <w:pPr>
              <w:pStyle w:val="a1"/>
              <w:spacing w:before="20" w:after="20"/>
              <w:jc w:val="center"/>
              <w:rPr>
                <w:b/>
                <w:sz w:val="18"/>
              </w:rPr>
            </w:pPr>
            <w:r>
              <w:rPr>
                <w:b/>
                <w:sz w:val="18"/>
              </w:rPr>
              <w:t>1998 год</w:t>
            </w:r>
          </w:p>
        </w:tc>
        <w:tc>
          <w:tcPr>
            <w:tcW w:w="907" w:type="dxa"/>
            <w:vAlign w:val="center"/>
          </w:tcPr>
          <w:p w:rsidR="00000000" w:rsidRDefault="00000000">
            <w:pPr>
              <w:pStyle w:val="a1"/>
              <w:spacing w:before="20" w:after="20"/>
              <w:jc w:val="center"/>
              <w:rPr>
                <w:b/>
                <w:sz w:val="18"/>
              </w:rPr>
            </w:pPr>
            <w:r>
              <w:rPr>
                <w:b/>
                <w:sz w:val="18"/>
              </w:rPr>
              <w:t>1999 год</w:t>
            </w:r>
          </w:p>
        </w:tc>
        <w:tc>
          <w:tcPr>
            <w:tcW w:w="907" w:type="dxa"/>
            <w:vAlign w:val="center"/>
          </w:tcPr>
          <w:p w:rsidR="00000000" w:rsidRDefault="00000000">
            <w:pPr>
              <w:pStyle w:val="a1"/>
              <w:spacing w:before="20" w:after="20"/>
              <w:jc w:val="center"/>
              <w:rPr>
                <w:b/>
                <w:sz w:val="18"/>
              </w:rPr>
            </w:pPr>
            <w:r>
              <w:rPr>
                <w:b/>
                <w:sz w:val="18"/>
              </w:rPr>
              <w:t>2000 год</w:t>
            </w:r>
          </w:p>
        </w:tc>
      </w:tr>
      <w:tr w:rsidR="00000000">
        <w:tblPrEx>
          <w:tblCellMar>
            <w:top w:w="0" w:type="dxa"/>
            <w:bottom w:w="0" w:type="dxa"/>
          </w:tblCellMar>
        </w:tblPrEx>
        <w:tc>
          <w:tcPr>
            <w:tcW w:w="3289" w:type="dxa"/>
          </w:tcPr>
          <w:p w:rsidR="00000000" w:rsidRDefault="00000000">
            <w:pPr>
              <w:pStyle w:val="a1"/>
              <w:spacing w:before="20" w:after="20"/>
            </w:pPr>
            <w:r>
              <w:t>Полностью безработные</w:t>
            </w:r>
          </w:p>
        </w:tc>
        <w:tc>
          <w:tcPr>
            <w:tcW w:w="907" w:type="dxa"/>
            <w:vAlign w:val="bottom"/>
          </w:tcPr>
          <w:p w:rsidR="00000000" w:rsidRDefault="00000000">
            <w:pPr>
              <w:pStyle w:val="a1"/>
              <w:spacing w:before="20" w:after="20"/>
              <w:ind w:right="142"/>
              <w:jc w:val="right"/>
            </w:pPr>
            <w:r>
              <w:t>3,61</w:t>
            </w:r>
          </w:p>
        </w:tc>
        <w:tc>
          <w:tcPr>
            <w:tcW w:w="907" w:type="dxa"/>
            <w:vAlign w:val="bottom"/>
          </w:tcPr>
          <w:p w:rsidR="00000000" w:rsidRDefault="00000000">
            <w:pPr>
              <w:pStyle w:val="a1"/>
              <w:spacing w:before="20" w:after="20"/>
              <w:ind w:right="142"/>
              <w:jc w:val="right"/>
            </w:pPr>
            <w:r>
              <w:t>6,33</w:t>
            </w:r>
          </w:p>
        </w:tc>
        <w:tc>
          <w:tcPr>
            <w:tcW w:w="907" w:type="dxa"/>
            <w:vAlign w:val="bottom"/>
          </w:tcPr>
          <w:p w:rsidR="00000000" w:rsidRDefault="00000000">
            <w:pPr>
              <w:pStyle w:val="a1"/>
              <w:spacing w:before="20" w:after="20"/>
              <w:ind w:right="142"/>
              <w:jc w:val="right"/>
            </w:pPr>
            <w:r>
              <w:t>5,65</w:t>
            </w:r>
          </w:p>
        </w:tc>
        <w:tc>
          <w:tcPr>
            <w:tcW w:w="907" w:type="dxa"/>
            <w:vAlign w:val="bottom"/>
          </w:tcPr>
          <w:p w:rsidR="00000000" w:rsidRDefault="00000000">
            <w:pPr>
              <w:pStyle w:val="a1"/>
              <w:spacing w:before="20" w:after="20"/>
              <w:ind w:right="142"/>
              <w:jc w:val="right"/>
            </w:pPr>
            <w:r>
              <w:t>3,86</w:t>
            </w:r>
          </w:p>
        </w:tc>
        <w:tc>
          <w:tcPr>
            <w:tcW w:w="907" w:type="dxa"/>
            <w:vAlign w:val="bottom"/>
          </w:tcPr>
          <w:p w:rsidR="00000000" w:rsidRDefault="00000000">
            <w:pPr>
              <w:pStyle w:val="a1"/>
              <w:spacing w:before="20" w:after="20"/>
              <w:ind w:right="142"/>
              <w:jc w:val="right"/>
            </w:pPr>
            <w:r>
              <w:t>3,16</w:t>
            </w:r>
          </w:p>
        </w:tc>
        <w:tc>
          <w:tcPr>
            <w:tcW w:w="907" w:type="dxa"/>
            <w:vAlign w:val="bottom"/>
          </w:tcPr>
          <w:p w:rsidR="00000000" w:rsidRDefault="00000000">
            <w:pPr>
              <w:pStyle w:val="a1"/>
              <w:spacing w:before="20" w:after="20"/>
              <w:ind w:right="142"/>
              <w:jc w:val="right"/>
            </w:pPr>
            <w:r>
              <w:t>2,57</w:t>
            </w:r>
          </w:p>
        </w:tc>
        <w:tc>
          <w:tcPr>
            <w:tcW w:w="907" w:type="dxa"/>
            <w:vAlign w:val="bottom"/>
          </w:tcPr>
          <w:p w:rsidR="00000000" w:rsidRDefault="00000000">
            <w:pPr>
              <w:pStyle w:val="a1"/>
              <w:spacing w:before="20" w:after="20"/>
              <w:jc w:val="center"/>
            </w:pPr>
            <w:r>
              <w:t>2,23</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3,73</w:t>
            </w:r>
          </w:p>
        </w:tc>
        <w:tc>
          <w:tcPr>
            <w:tcW w:w="907" w:type="dxa"/>
            <w:vAlign w:val="bottom"/>
          </w:tcPr>
          <w:p w:rsidR="00000000" w:rsidRDefault="00000000">
            <w:pPr>
              <w:pStyle w:val="a1"/>
              <w:spacing w:before="20" w:after="20"/>
              <w:ind w:right="142"/>
              <w:jc w:val="right"/>
            </w:pPr>
            <w:r>
              <w:t>6,30</w:t>
            </w:r>
          </w:p>
        </w:tc>
        <w:tc>
          <w:tcPr>
            <w:tcW w:w="907" w:type="dxa"/>
            <w:vAlign w:val="bottom"/>
          </w:tcPr>
          <w:p w:rsidR="00000000" w:rsidRDefault="00000000">
            <w:pPr>
              <w:pStyle w:val="a1"/>
              <w:spacing w:before="20" w:after="20"/>
              <w:ind w:right="142"/>
              <w:jc w:val="right"/>
            </w:pPr>
            <w:r>
              <w:t>5,55</w:t>
            </w:r>
          </w:p>
        </w:tc>
        <w:tc>
          <w:tcPr>
            <w:tcW w:w="907" w:type="dxa"/>
            <w:vAlign w:val="bottom"/>
          </w:tcPr>
          <w:p w:rsidR="00000000" w:rsidRDefault="00000000">
            <w:pPr>
              <w:pStyle w:val="a1"/>
              <w:spacing w:before="20" w:after="20"/>
              <w:ind w:right="142"/>
              <w:jc w:val="right"/>
            </w:pPr>
            <w:r>
              <w:t>3,39</w:t>
            </w:r>
          </w:p>
        </w:tc>
        <w:tc>
          <w:tcPr>
            <w:tcW w:w="907" w:type="dxa"/>
            <w:vAlign w:val="bottom"/>
          </w:tcPr>
          <w:p w:rsidR="00000000" w:rsidRDefault="00000000">
            <w:pPr>
              <w:pStyle w:val="a1"/>
              <w:spacing w:before="20" w:after="20"/>
              <w:ind w:right="142"/>
              <w:jc w:val="right"/>
            </w:pPr>
            <w:r>
              <w:t>2,89</w:t>
            </w:r>
          </w:p>
        </w:tc>
        <w:tc>
          <w:tcPr>
            <w:tcW w:w="907" w:type="dxa"/>
            <w:vAlign w:val="bottom"/>
          </w:tcPr>
          <w:p w:rsidR="00000000" w:rsidRDefault="00000000">
            <w:pPr>
              <w:pStyle w:val="a1"/>
              <w:spacing w:before="20" w:after="20"/>
              <w:ind w:right="142"/>
              <w:jc w:val="right"/>
            </w:pPr>
            <w:r>
              <w:t>2,45</w:t>
            </w:r>
          </w:p>
        </w:tc>
        <w:tc>
          <w:tcPr>
            <w:tcW w:w="907" w:type="dxa"/>
            <w:vAlign w:val="bottom"/>
          </w:tcPr>
          <w:p w:rsidR="00000000" w:rsidRDefault="00000000">
            <w:pPr>
              <w:pStyle w:val="a1"/>
              <w:spacing w:before="20" w:after="20"/>
              <w:jc w:val="center"/>
            </w:pPr>
            <w:r>
              <w:t>2,12</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3,39</w:t>
            </w:r>
          </w:p>
        </w:tc>
        <w:tc>
          <w:tcPr>
            <w:tcW w:w="907" w:type="dxa"/>
            <w:vAlign w:val="bottom"/>
          </w:tcPr>
          <w:p w:rsidR="00000000" w:rsidRDefault="00000000">
            <w:pPr>
              <w:pStyle w:val="a1"/>
              <w:spacing w:before="20" w:after="20"/>
              <w:ind w:right="142"/>
              <w:jc w:val="right"/>
            </w:pPr>
            <w:r>
              <w:t>6,37</w:t>
            </w:r>
          </w:p>
        </w:tc>
        <w:tc>
          <w:tcPr>
            <w:tcW w:w="907" w:type="dxa"/>
            <w:vAlign w:val="bottom"/>
          </w:tcPr>
          <w:p w:rsidR="00000000" w:rsidRDefault="00000000">
            <w:pPr>
              <w:pStyle w:val="a1"/>
              <w:spacing w:before="20" w:after="20"/>
              <w:ind w:right="142"/>
              <w:jc w:val="right"/>
            </w:pPr>
            <w:r>
              <w:t>5,81</w:t>
            </w:r>
          </w:p>
        </w:tc>
        <w:tc>
          <w:tcPr>
            <w:tcW w:w="907" w:type="dxa"/>
            <w:vAlign w:val="bottom"/>
          </w:tcPr>
          <w:p w:rsidR="00000000" w:rsidRDefault="00000000">
            <w:pPr>
              <w:pStyle w:val="a1"/>
              <w:spacing w:before="20" w:after="20"/>
              <w:ind w:right="142"/>
              <w:jc w:val="right"/>
            </w:pPr>
            <w:r>
              <w:t>4,65</w:t>
            </w:r>
          </w:p>
        </w:tc>
        <w:tc>
          <w:tcPr>
            <w:tcW w:w="907" w:type="dxa"/>
            <w:vAlign w:val="bottom"/>
          </w:tcPr>
          <w:p w:rsidR="00000000" w:rsidRDefault="00000000">
            <w:pPr>
              <w:pStyle w:val="a1"/>
              <w:spacing w:before="20" w:after="20"/>
              <w:ind w:right="142"/>
              <w:jc w:val="right"/>
            </w:pPr>
            <w:r>
              <w:t>3,64</w:t>
            </w:r>
          </w:p>
        </w:tc>
        <w:tc>
          <w:tcPr>
            <w:tcW w:w="907" w:type="dxa"/>
            <w:vAlign w:val="bottom"/>
          </w:tcPr>
          <w:p w:rsidR="00000000" w:rsidRDefault="00000000">
            <w:pPr>
              <w:pStyle w:val="a1"/>
              <w:spacing w:before="20" w:after="20"/>
              <w:ind w:right="142"/>
              <w:jc w:val="right"/>
            </w:pPr>
            <w:r>
              <w:t>2,79</w:t>
            </w:r>
          </w:p>
        </w:tc>
        <w:tc>
          <w:tcPr>
            <w:tcW w:w="907" w:type="dxa"/>
            <w:vAlign w:val="bottom"/>
          </w:tcPr>
          <w:p w:rsidR="00000000" w:rsidRDefault="00000000">
            <w:pPr>
              <w:pStyle w:val="a1"/>
              <w:spacing w:before="20" w:after="20"/>
              <w:jc w:val="center"/>
            </w:pPr>
            <w:r>
              <w:t>2,42</w:t>
            </w:r>
          </w:p>
        </w:tc>
      </w:tr>
      <w:tr w:rsidR="00000000">
        <w:tblPrEx>
          <w:tblCellMar>
            <w:top w:w="0" w:type="dxa"/>
            <w:bottom w:w="0" w:type="dxa"/>
          </w:tblCellMar>
        </w:tblPrEx>
        <w:tc>
          <w:tcPr>
            <w:tcW w:w="3289" w:type="dxa"/>
          </w:tcPr>
          <w:p w:rsidR="00000000" w:rsidRDefault="00000000">
            <w:pPr>
              <w:pStyle w:val="a1"/>
              <w:spacing w:before="20" w:after="20"/>
            </w:pPr>
            <w:r>
              <w:t>Временно безр</w:t>
            </w:r>
            <w:r>
              <w:t>а</w:t>
            </w:r>
            <w:r>
              <w:t>ботные</w:t>
            </w:r>
          </w:p>
        </w:tc>
        <w:tc>
          <w:tcPr>
            <w:tcW w:w="907" w:type="dxa"/>
            <w:vAlign w:val="bottom"/>
          </w:tcPr>
          <w:p w:rsidR="00000000" w:rsidRDefault="00000000">
            <w:pPr>
              <w:pStyle w:val="a1"/>
              <w:spacing w:before="20" w:after="20"/>
              <w:ind w:right="142"/>
              <w:jc w:val="right"/>
            </w:pPr>
            <w:r>
              <w:t>5,52</w:t>
            </w:r>
          </w:p>
        </w:tc>
        <w:tc>
          <w:tcPr>
            <w:tcW w:w="907" w:type="dxa"/>
            <w:vAlign w:val="bottom"/>
          </w:tcPr>
          <w:p w:rsidR="00000000" w:rsidRDefault="00000000">
            <w:pPr>
              <w:pStyle w:val="a1"/>
              <w:spacing w:before="20" w:after="20"/>
              <w:ind w:right="142"/>
              <w:jc w:val="right"/>
            </w:pPr>
            <w:r>
              <w:t>8,17</w:t>
            </w:r>
          </w:p>
        </w:tc>
        <w:tc>
          <w:tcPr>
            <w:tcW w:w="907" w:type="dxa"/>
            <w:vAlign w:val="bottom"/>
          </w:tcPr>
          <w:p w:rsidR="00000000" w:rsidRDefault="00000000">
            <w:pPr>
              <w:pStyle w:val="a1"/>
              <w:spacing w:before="20" w:after="20"/>
              <w:ind w:right="142"/>
              <w:jc w:val="right"/>
            </w:pPr>
            <w:r>
              <w:t>6,58</w:t>
            </w:r>
          </w:p>
        </w:tc>
        <w:tc>
          <w:tcPr>
            <w:tcW w:w="907" w:type="dxa"/>
            <w:vAlign w:val="bottom"/>
          </w:tcPr>
          <w:p w:rsidR="00000000" w:rsidRDefault="00000000">
            <w:pPr>
              <w:pStyle w:val="a1"/>
              <w:spacing w:before="20" w:after="20"/>
              <w:ind w:right="142"/>
              <w:jc w:val="right"/>
            </w:pPr>
            <w:r>
              <w:t>4,76</w:t>
            </w:r>
          </w:p>
        </w:tc>
        <w:tc>
          <w:tcPr>
            <w:tcW w:w="907" w:type="dxa"/>
            <w:vAlign w:val="bottom"/>
          </w:tcPr>
          <w:p w:rsidR="00000000" w:rsidRDefault="00000000">
            <w:pPr>
              <w:pStyle w:val="a1"/>
              <w:spacing w:before="20" w:after="20"/>
              <w:ind w:right="142"/>
              <w:jc w:val="right"/>
            </w:pPr>
            <w:r>
              <w:t>4,14</w:t>
            </w:r>
          </w:p>
        </w:tc>
        <w:tc>
          <w:tcPr>
            <w:tcW w:w="907" w:type="dxa"/>
            <w:vAlign w:val="bottom"/>
          </w:tcPr>
          <w:p w:rsidR="00000000" w:rsidRDefault="00000000">
            <w:pPr>
              <w:pStyle w:val="a1"/>
              <w:spacing w:before="20" w:after="20"/>
              <w:ind w:right="142"/>
              <w:jc w:val="right"/>
            </w:pPr>
            <w:r>
              <w:t>3,42</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5,43</w:t>
            </w:r>
          </w:p>
        </w:tc>
        <w:tc>
          <w:tcPr>
            <w:tcW w:w="907" w:type="dxa"/>
            <w:vAlign w:val="bottom"/>
          </w:tcPr>
          <w:p w:rsidR="00000000" w:rsidRDefault="00000000">
            <w:pPr>
              <w:pStyle w:val="a1"/>
              <w:spacing w:before="20" w:after="20"/>
              <w:ind w:right="142"/>
              <w:jc w:val="right"/>
            </w:pPr>
            <w:r>
              <w:t>7,86</w:t>
            </w:r>
          </w:p>
        </w:tc>
        <w:tc>
          <w:tcPr>
            <w:tcW w:w="907" w:type="dxa"/>
            <w:vAlign w:val="bottom"/>
          </w:tcPr>
          <w:p w:rsidR="00000000" w:rsidRDefault="00000000">
            <w:pPr>
              <w:pStyle w:val="a1"/>
              <w:spacing w:before="20" w:after="20"/>
              <w:ind w:right="142"/>
              <w:jc w:val="right"/>
            </w:pPr>
            <w:r>
              <w:t>6,37</w:t>
            </w:r>
          </w:p>
        </w:tc>
        <w:tc>
          <w:tcPr>
            <w:tcW w:w="907" w:type="dxa"/>
            <w:vAlign w:val="bottom"/>
          </w:tcPr>
          <w:p w:rsidR="00000000" w:rsidRDefault="00000000">
            <w:pPr>
              <w:pStyle w:val="a1"/>
              <w:spacing w:before="20" w:after="20"/>
              <w:ind w:right="142"/>
              <w:jc w:val="right"/>
            </w:pPr>
            <w:r>
              <w:t>4,21</w:t>
            </w:r>
          </w:p>
        </w:tc>
        <w:tc>
          <w:tcPr>
            <w:tcW w:w="907" w:type="dxa"/>
            <w:vAlign w:val="bottom"/>
          </w:tcPr>
          <w:p w:rsidR="00000000" w:rsidRDefault="00000000">
            <w:pPr>
              <w:pStyle w:val="a1"/>
              <w:spacing w:before="20" w:after="20"/>
              <w:ind w:right="142"/>
              <w:jc w:val="right"/>
            </w:pPr>
            <w:r>
              <w:t>3,69</w:t>
            </w:r>
          </w:p>
        </w:tc>
        <w:tc>
          <w:tcPr>
            <w:tcW w:w="907" w:type="dxa"/>
            <w:vAlign w:val="bottom"/>
          </w:tcPr>
          <w:p w:rsidR="00000000" w:rsidRDefault="00000000">
            <w:pPr>
              <w:pStyle w:val="a1"/>
              <w:spacing w:before="20" w:after="20"/>
              <w:ind w:right="142"/>
              <w:jc w:val="right"/>
            </w:pPr>
            <w:r>
              <w:t>3,14</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5,68</w:t>
            </w:r>
          </w:p>
        </w:tc>
        <w:tc>
          <w:tcPr>
            <w:tcW w:w="907" w:type="dxa"/>
            <w:vAlign w:val="bottom"/>
          </w:tcPr>
          <w:p w:rsidR="00000000" w:rsidRDefault="00000000">
            <w:pPr>
              <w:pStyle w:val="a1"/>
              <w:spacing w:before="20" w:after="20"/>
              <w:ind w:right="142"/>
              <w:jc w:val="right"/>
            </w:pPr>
            <w:r>
              <w:t>8,70</w:t>
            </w:r>
          </w:p>
        </w:tc>
        <w:tc>
          <w:tcPr>
            <w:tcW w:w="907" w:type="dxa"/>
            <w:vAlign w:val="bottom"/>
          </w:tcPr>
          <w:p w:rsidR="00000000" w:rsidRDefault="00000000">
            <w:pPr>
              <w:pStyle w:val="a1"/>
              <w:spacing w:before="20" w:after="20"/>
              <w:ind w:right="142"/>
              <w:jc w:val="right"/>
            </w:pPr>
            <w:r>
              <w:t>6,96</w:t>
            </w:r>
          </w:p>
        </w:tc>
        <w:tc>
          <w:tcPr>
            <w:tcW w:w="907" w:type="dxa"/>
            <w:vAlign w:val="bottom"/>
          </w:tcPr>
          <w:p w:rsidR="00000000" w:rsidRDefault="00000000">
            <w:pPr>
              <w:pStyle w:val="a1"/>
              <w:spacing w:before="20" w:after="20"/>
              <w:ind w:right="142"/>
              <w:jc w:val="right"/>
            </w:pPr>
            <w:r>
              <w:t>5,71</w:t>
            </w:r>
          </w:p>
        </w:tc>
        <w:tc>
          <w:tcPr>
            <w:tcW w:w="907" w:type="dxa"/>
            <w:vAlign w:val="bottom"/>
          </w:tcPr>
          <w:p w:rsidR="00000000" w:rsidRDefault="00000000">
            <w:pPr>
              <w:pStyle w:val="a1"/>
              <w:spacing w:before="20" w:after="20"/>
              <w:ind w:right="142"/>
              <w:jc w:val="right"/>
            </w:pPr>
            <w:r>
              <w:t>4,92</w:t>
            </w:r>
          </w:p>
        </w:tc>
        <w:tc>
          <w:tcPr>
            <w:tcW w:w="907" w:type="dxa"/>
            <w:vAlign w:val="bottom"/>
          </w:tcPr>
          <w:p w:rsidR="00000000" w:rsidRDefault="00000000">
            <w:pPr>
              <w:pStyle w:val="a1"/>
              <w:spacing w:before="20" w:after="20"/>
              <w:ind w:right="142"/>
              <w:jc w:val="right"/>
            </w:pPr>
            <w:r>
              <w:t>3,92</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Лица, ищущие работу</w:t>
            </w:r>
          </w:p>
        </w:tc>
        <w:tc>
          <w:tcPr>
            <w:tcW w:w="907" w:type="dxa"/>
            <w:vAlign w:val="bottom"/>
          </w:tcPr>
          <w:p w:rsidR="00000000" w:rsidRDefault="00000000">
            <w:pPr>
              <w:pStyle w:val="a1"/>
              <w:spacing w:before="20" w:after="20"/>
              <w:ind w:right="142"/>
              <w:jc w:val="right"/>
            </w:pPr>
            <w:r>
              <w:t>3,00</w:t>
            </w:r>
          </w:p>
        </w:tc>
        <w:tc>
          <w:tcPr>
            <w:tcW w:w="907" w:type="dxa"/>
            <w:vAlign w:val="bottom"/>
          </w:tcPr>
          <w:p w:rsidR="00000000" w:rsidRDefault="00000000">
            <w:pPr>
              <w:pStyle w:val="a1"/>
              <w:spacing w:before="20" w:after="20"/>
              <w:ind w:right="142"/>
              <w:jc w:val="right"/>
            </w:pPr>
            <w:r>
              <w:t>3,32</w:t>
            </w:r>
          </w:p>
        </w:tc>
        <w:tc>
          <w:tcPr>
            <w:tcW w:w="907" w:type="dxa"/>
            <w:vAlign w:val="bottom"/>
          </w:tcPr>
          <w:p w:rsidR="00000000" w:rsidRDefault="00000000">
            <w:pPr>
              <w:pStyle w:val="a1"/>
              <w:spacing w:before="20" w:after="20"/>
              <w:ind w:right="142"/>
              <w:jc w:val="right"/>
            </w:pPr>
            <w:r>
              <w:t>3,56</w:t>
            </w:r>
          </w:p>
        </w:tc>
        <w:tc>
          <w:tcPr>
            <w:tcW w:w="907" w:type="dxa"/>
            <w:vAlign w:val="bottom"/>
          </w:tcPr>
          <w:p w:rsidR="00000000" w:rsidRDefault="00000000">
            <w:pPr>
              <w:pStyle w:val="a1"/>
              <w:spacing w:before="20" w:after="20"/>
              <w:ind w:right="142"/>
              <w:jc w:val="right"/>
            </w:pPr>
            <w:r>
              <w:t>3,26</w:t>
            </w:r>
          </w:p>
        </w:tc>
        <w:tc>
          <w:tcPr>
            <w:tcW w:w="907" w:type="dxa"/>
            <w:vAlign w:val="bottom"/>
          </w:tcPr>
          <w:p w:rsidR="00000000" w:rsidRDefault="00000000">
            <w:pPr>
              <w:pStyle w:val="a1"/>
              <w:spacing w:before="20" w:after="20"/>
              <w:ind w:right="142"/>
              <w:jc w:val="right"/>
            </w:pPr>
            <w:r>
              <w:t>2,40</w:t>
            </w:r>
          </w:p>
        </w:tc>
        <w:tc>
          <w:tcPr>
            <w:tcW w:w="907" w:type="dxa"/>
            <w:vAlign w:val="bottom"/>
          </w:tcPr>
          <w:p w:rsidR="00000000" w:rsidRDefault="00000000">
            <w:pPr>
              <w:pStyle w:val="a1"/>
              <w:spacing w:before="20" w:after="20"/>
              <w:ind w:right="142"/>
              <w:jc w:val="right"/>
            </w:pPr>
            <w:r>
              <w:t>1,67</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3,52</w:t>
            </w:r>
          </w:p>
        </w:tc>
        <w:tc>
          <w:tcPr>
            <w:tcW w:w="907" w:type="dxa"/>
            <w:vAlign w:val="bottom"/>
          </w:tcPr>
          <w:p w:rsidR="00000000" w:rsidRDefault="00000000">
            <w:pPr>
              <w:pStyle w:val="a1"/>
              <w:spacing w:before="20" w:after="20"/>
              <w:ind w:right="142"/>
              <w:jc w:val="right"/>
            </w:pPr>
            <w:r>
              <w:t>3,95</w:t>
            </w:r>
          </w:p>
        </w:tc>
        <w:tc>
          <w:tcPr>
            <w:tcW w:w="907" w:type="dxa"/>
            <w:vAlign w:val="bottom"/>
          </w:tcPr>
          <w:p w:rsidR="00000000" w:rsidRDefault="00000000">
            <w:pPr>
              <w:pStyle w:val="a1"/>
              <w:spacing w:before="20" w:after="20"/>
              <w:ind w:right="142"/>
              <w:jc w:val="right"/>
            </w:pPr>
            <w:r>
              <w:t>4,17</w:t>
            </w:r>
          </w:p>
        </w:tc>
        <w:tc>
          <w:tcPr>
            <w:tcW w:w="907" w:type="dxa"/>
            <w:vAlign w:val="bottom"/>
          </w:tcPr>
          <w:p w:rsidR="00000000" w:rsidRDefault="00000000">
            <w:pPr>
              <w:pStyle w:val="a1"/>
              <w:spacing w:before="20" w:after="20"/>
              <w:ind w:right="142"/>
              <w:jc w:val="right"/>
            </w:pPr>
            <w:r>
              <w:t>3,88</w:t>
            </w:r>
          </w:p>
        </w:tc>
        <w:tc>
          <w:tcPr>
            <w:tcW w:w="907" w:type="dxa"/>
            <w:vAlign w:val="bottom"/>
          </w:tcPr>
          <w:p w:rsidR="00000000" w:rsidRDefault="00000000">
            <w:pPr>
              <w:pStyle w:val="a1"/>
              <w:spacing w:before="20" w:after="20"/>
              <w:ind w:right="142"/>
              <w:jc w:val="right"/>
            </w:pPr>
            <w:r>
              <w:t>2,70</w:t>
            </w:r>
          </w:p>
        </w:tc>
        <w:tc>
          <w:tcPr>
            <w:tcW w:w="907" w:type="dxa"/>
            <w:vAlign w:val="bottom"/>
          </w:tcPr>
          <w:p w:rsidR="00000000" w:rsidRDefault="00000000">
            <w:pPr>
              <w:pStyle w:val="a1"/>
              <w:spacing w:before="20" w:after="20"/>
              <w:ind w:right="142"/>
              <w:jc w:val="right"/>
            </w:pPr>
            <w:r>
              <w:t>1,88</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2,04</w:t>
            </w:r>
          </w:p>
        </w:tc>
        <w:tc>
          <w:tcPr>
            <w:tcW w:w="907" w:type="dxa"/>
            <w:vAlign w:val="bottom"/>
          </w:tcPr>
          <w:p w:rsidR="00000000" w:rsidRDefault="00000000">
            <w:pPr>
              <w:pStyle w:val="a1"/>
              <w:spacing w:before="20" w:after="20"/>
              <w:ind w:right="142"/>
              <w:jc w:val="right"/>
            </w:pPr>
            <w:r>
              <w:t>2,20</w:t>
            </w:r>
          </w:p>
        </w:tc>
        <w:tc>
          <w:tcPr>
            <w:tcW w:w="907" w:type="dxa"/>
            <w:vAlign w:val="bottom"/>
          </w:tcPr>
          <w:p w:rsidR="00000000" w:rsidRDefault="00000000">
            <w:pPr>
              <w:pStyle w:val="a1"/>
              <w:spacing w:before="20" w:after="20"/>
              <w:ind w:right="142"/>
              <w:jc w:val="right"/>
            </w:pPr>
            <w:r>
              <w:t>2,46</w:t>
            </w:r>
          </w:p>
        </w:tc>
        <w:tc>
          <w:tcPr>
            <w:tcW w:w="907" w:type="dxa"/>
            <w:vAlign w:val="bottom"/>
          </w:tcPr>
          <w:p w:rsidR="00000000" w:rsidRDefault="00000000">
            <w:pPr>
              <w:pStyle w:val="a1"/>
              <w:spacing w:before="20" w:after="20"/>
              <w:ind w:right="142"/>
              <w:jc w:val="right"/>
            </w:pPr>
            <w:r>
              <w:t>2,20</w:t>
            </w:r>
          </w:p>
        </w:tc>
        <w:tc>
          <w:tcPr>
            <w:tcW w:w="907" w:type="dxa"/>
            <w:vAlign w:val="bottom"/>
          </w:tcPr>
          <w:p w:rsidR="00000000" w:rsidRDefault="00000000">
            <w:pPr>
              <w:pStyle w:val="a1"/>
              <w:spacing w:before="20" w:after="20"/>
              <w:ind w:right="142"/>
              <w:jc w:val="right"/>
            </w:pPr>
            <w:r>
              <w:t>1,87</w:t>
            </w:r>
          </w:p>
        </w:tc>
        <w:tc>
          <w:tcPr>
            <w:tcW w:w="907" w:type="dxa"/>
            <w:vAlign w:val="bottom"/>
          </w:tcPr>
          <w:p w:rsidR="00000000" w:rsidRDefault="00000000">
            <w:pPr>
              <w:pStyle w:val="a1"/>
              <w:spacing w:before="20" w:after="20"/>
              <w:ind w:right="142"/>
              <w:jc w:val="right"/>
            </w:pPr>
            <w:r>
              <w:t>1,31</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Полностью и частично безработные (работа</w:t>
            </w:r>
            <w:r>
              <w:t>ю</w:t>
            </w:r>
            <w:r>
              <w:t>щие менее 15 часов в неделю)</w:t>
            </w:r>
          </w:p>
        </w:tc>
        <w:tc>
          <w:tcPr>
            <w:tcW w:w="907" w:type="dxa"/>
            <w:vAlign w:val="bottom"/>
          </w:tcPr>
          <w:p w:rsidR="00000000" w:rsidRDefault="00000000">
            <w:pPr>
              <w:pStyle w:val="a1"/>
              <w:spacing w:before="20" w:after="20"/>
              <w:ind w:right="142"/>
              <w:jc w:val="right"/>
            </w:pPr>
            <w:r>
              <w:t>7,98</w:t>
            </w:r>
          </w:p>
        </w:tc>
        <w:tc>
          <w:tcPr>
            <w:tcW w:w="907" w:type="dxa"/>
            <w:vAlign w:val="bottom"/>
          </w:tcPr>
          <w:p w:rsidR="00000000" w:rsidRDefault="00000000">
            <w:pPr>
              <w:pStyle w:val="a1"/>
              <w:spacing w:before="20" w:after="20"/>
              <w:ind w:right="142"/>
              <w:jc w:val="right"/>
            </w:pPr>
            <w:r>
              <w:t>10,94</w:t>
            </w:r>
          </w:p>
        </w:tc>
        <w:tc>
          <w:tcPr>
            <w:tcW w:w="907" w:type="dxa"/>
            <w:vAlign w:val="bottom"/>
          </w:tcPr>
          <w:p w:rsidR="00000000" w:rsidRDefault="00000000">
            <w:pPr>
              <w:pStyle w:val="a1"/>
              <w:spacing w:before="20" w:after="20"/>
              <w:ind w:right="142"/>
              <w:jc w:val="right"/>
            </w:pPr>
            <w:r>
              <w:t>10,30</w:t>
            </w:r>
          </w:p>
        </w:tc>
        <w:tc>
          <w:tcPr>
            <w:tcW w:w="907" w:type="dxa"/>
            <w:vAlign w:val="bottom"/>
          </w:tcPr>
          <w:p w:rsidR="00000000" w:rsidRDefault="00000000">
            <w:pPr>
              <w:pStyle w:val="a1"/>
              <w:spacing w:before="20" w:after="20"/>
              <w:ind w:right="142"/>
              <w:jc w:val="right"/>
            </w:pPr>
            <w:r>
              <w:t>8,81</w:t>
            </w:r>
          </w:p>
        </w:tc>
        <w:tc>
          <w:tcPr>
            <w:tcW w:w="907" w:type="dxa"/>
            <w:vAlign w:val="bottom"/>
          </w:tcPr>
          <w:p w:rsidR="00000000" w:rsidRDefault="00000000">
            <w:pPr>
              <w:pStyle w:val="a1"/>
              <w:spacing w:before="20" w:after="20"/>
              <w:ind w:right="142"/>
              <w:jc w:val="right"/>
            </w:pPr>
            <w:r>
              <w:t>7,54</w:t>
            </w:r>
          </w:p>
        </w:tc>
        <w:tc>
          <w:tcPr>
            <w:tcW w:w="907" w:type="dxa"/>
            <w:vAlign w:val="bottom"/>
          </w:tcPr>
          <w:p w:rsidR="00000000" w:rsidRDefault="00000000">
            <w:pPr>
              <w:pStyle w:val="a1"/>
              <w:spacing w:before="20" w:after="20"/>
              <w:ind w:right="142"/>
              <w:jc w:val="right"/>
            </w:pPr>
            <w:r>
              <w:t>6,27</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6,28</w:t>
            </w:r>
          </w:p>
        </w:tc>
        <w:tc>
          <w:tcPr>
            <w:tcW w:w="907" w:type="dxa"/>
            <w:vAlign w:val="bottom"/>
          </w:tcPr>
          <w:p w:rsidR="00000000" w:rsidRDefault="00000000">
            <w:pPr>
              <w:pStyle w:val="a1"/>
              <w:spacing w:before="20" w:after="20"/>
              <w:ind w:right="142"/>
              <w:jc w:val="right"/>
            </w:pPr>
            <w:r>
              <w:t>9,38</w:t>
            </w:r>
          </w:p>
        </w:tc>
        <w:tc>
          <w:tcPr>
            <w:tcW w:w="907" w:type="dxa"/>
            <w:vAlign w:val="bottom"/>
          </w:tcPr>
          <w:p w:rsidR="00000000" w:rsidRDefault="00000000">
            <w:pPr>
              <w:pStyle w:val="a1"/>
              <w:spacing w:before="20" w:after="20"/>
              <w:ind w:right="142"/>
              <w:jc w:val="right"/>
            </w:pPr>
            <w:r>
              <w:t>8,52</w:t>
            </w:r>
          </w:p>
        </w:tc>
        <w:tc>
          <w:tcPr>
            <w:tcW w:w="907" w:type="dxa"/>
            <w:vAlign w:val="bottom"/>
          </w:tcPr>
          <w:p w:rsidR="00000000" w:rsidRDefault="00000000">
            <w:pPr>
              <w:pStyle w:val="a1"/>
              <w:spacing w:before="20" w:after="20"/>
              <w:ind w:right="142"/>
              <w:jc w:val="right"/>
            </w:pPr>
            <w:r>
              <w:t>6,44</w:t>
            </w:r>
          </w:p>
        </w:tc>
        <w:tc>
          <w:tcPr>
            <w:tcW w:w="907" w:type="dxa"/>
            <w:vAlign w:val="bottom"/>
          </w:tcPr>
          <w:p w:rsidR="00000000" w:rsidRDefault="00000000">
            <w:pPr>
              <w:pStyle w:val="a1"/>
              <w:spacing w:before="20" w:after="20"/>
              <w:ind w:right="142"/>
              <w:jc w:val="right"/>
            </w:pPr>
            <w:r>
              <w:t>5,56</w:t>
            </w:r>
          </w:p>
        </w:tc>
        <w:tc>
          <w:tcPr>
            <w:tcW w:w="907" w:type="dxa"/>
            <w:vAlign w:val="bottom"/>
          </w:tcPr>
          <w:p w:rsidR="00000000" w:rsidRDefault="00000000">
            <w:pPr>
              <w:pStyle w:val="a1"/>
              <w:spacing w:before="20" w:after="20"/>
              <w:ind w:right="142"/>
              <w:jc w:val="right"/>
            </w:pPr>
            <w:r>
              <w:t>4,50</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11,18</w:t>
            </w:r>
          </w:p>
        </w:tc>
        <w:tc>
          <w:tcPr>
            <w:tcW w:w="907" w:type="dxa"/>
            <w:vAlign w:val="bottom"/>
          </w:tcPr>
          <w:p w:rsidR="00000000" w:rsidRDefault="00000000">
            <w:pPr>
              <w:pStyle w:val="a1"/>
              <w:spacing w:before="20" w:after="20"/>
              <w:ind w:right="142"/>
              <w:jc w:val="right"/>
            </w:pPr>
            <w:r>
              <w:t>13,75</w:t>
            </w:r>
          </w:p>
        </w:tc>
        <w:tc>
          <w:tcPr>
            <w:tcW w:w="907" w:type="dxa"/>
            <w:vAlign w:val="bottom"/>
          </w:tcPr>
          <w:p w:rsidR="00000000" w:rsidRDefault="00000000">
            <w:pPr>
              <w:pStyle w:val="a1"/>
              <w:spacing w:before="20" w:after="20"/>
              <w:ind w:right="142"/>
              <w:jc w:val="right"/>
            </w:pPr>
            <w:r>
              <w:t>13,48</w:t>
            </w:r>
          </w:p>
        </w:tc>
        <w:tc>
          <w:tcPr>
            <w:tcW w:w="907" w:type="dxa"/>
            <w:vAlign w:val="bottom"/>
          </w:tcPr>
          <w:p w:rsidR="00000000" w:rsidRDefault="00000000">
            <w:pPr>
              <w:pStyle w:val="a1"/>
              <w:spacing w:before="20" w:after="20"/>
              <w:ind w:right="142"/>
              <w:jc w:val="right"/>
            </w:pPr>
            <w:r>
              <w:t>12,87</w:t>
            </w:r>
          </w:p>
        </w:tc>
        <w:tc>
          <w:tcPr>
            <w:tcW w:w="907" w:type="dxa"/>
            <w:vAlign w:val="bottom"/>
          </w:tcPr>
          <w:p w:rsidR="00000000" w:rsidRDefault="00000000">
            <w:pPr>
              <w:pStyle w:val="a1"/>
              <w:spacing w:before="20" w:after="20"/>
              <w:ind w:right="142"/>
              <w:jc w:val="right"/>
            </w:pPr>
            <w:r>
              <w:t>10,98</w:t>
            </w:r>
          </w:p>
        </w:tc>
        <w:tc>
          <w:tcPr>
            <w:tcW w:w="907" w:type="dxa"/>
            <w:vAlign w:val="bottom"/>
          </w:tcPr>
          <w:p w:rsidR="00000000" w:rsidRDefault="00000000">
            <w:pPr>
              <w:pStyle w:val="a1"/>
              <w:spacing w:before="20" w:after="20"/>
              <w:ind w:right="142"/>
              <w:jc w:val="right"/>
            </w:pPr>
            <w:r>
              <w:t>9,37</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Процент занятых, нах</w:t>
            </w:r>
            <w:r>
              <w:t>о</w:t>
            </w:r>
            <w:r>
              <w:t>дящихся в критических условиях</w:t>
            </w:r>
          </w:p>
        </w:tc>
        <w:tc>
          <w:tcPr>
            <w:tcW w:w="907" w:type="dxa"/>
            <w:vAlign w:val="bottom"/>
          </w:tcPr>
          <w:p w:rsidR="00000000" w:rsidRDefault="00000000">
            <w:pPr>
              <w:pStyle w:val="a1"/>
              <w:spacing w:before="20" w:after="20"/>
              <w:ind w:right="142"/>
              <w:jc w:val="right"/>
            </w:pPr>
            <w:r>
              <w:t>32,19</w:t>
            </w:r>
          </w:p>
        </w:tc>
        <w:tc>
          <w:tcPr>
            <w:tcW w:w="907" w:type="dxa"/>
            <w:vAlign w:val="bottom"/>
          </w:tcPr>
          <w:p w:rsidR="00000000" w:rsidRDefault="00000000">
            <w:pPr>
              <w:pStyle w:val="a1"/>
              <w:spacing w:before="20" w:after="20"/>
              <w:ind w:right="142"/>
              <w:jc w:val="right"/>
            </w:pPr>
            <w:r>
              <w:t>31,50</w:t>
            </w:r>
          </w:p>
        </w:tc>
        <w:tc>
          <w:tcPr>
            <w:tcW w:w="907" w:type="dxa"/>
            <w:vAlign w:val="bottom"/>
          </w:tcPr>
          <w:p w:rsidR="00000000" w:rsidRDefault="00000000">
            <w:pPr>
              <w:pStyle w:val="a1"/>
              <w:spacing w:before="20" w:after="20"/>
              <w:ind w:right="142"/>
              <w:jc w:val="right"/>
            </w:pPr>
            <w:r>
              <w:t>29,97</w:t>
            </w:r>
          </w:p>
        </w:tc>
        <w:tc>
          <w:tcPr>
            <w:tcW w:w="907" w:type="dxa"/>
            <w:vAlign w:val="bottom"/>
          </w:tcPr>
          <w:p w:rsidR="00000000" w:rsidRDefault="00000000">
            <w:pPr>
              <w:pStyle w:val="a1"/>
              <w:spacing w:before="20" w:after="20"/>
              <w:ind w:right="142"/>
              <w:jc w:val="right"/>
            </w:pPr>
            <w:r>
              <w:t>27,92</w:t>
            </w:r>
          </w:p>
        </w:tc>
        <w:tc>
          <w:tcPr>
            <w:tcW w:w="907" w:type="dxa"/>
            <w:vAlign w:val="bottom"/>
          </w:tcPr>
          <w:p w:rsidR="00000000" w:rsidRDefault="00000000">
            <w:pPr>
              <w:pStyle w:val="a1"/>
              <w:spacing w:before="20" w:after="20"/>
              <w:ind w:right="142"/>
              <w:jc w:val="right"/>
            </w:pPr>
            <w:r>
              <w:t>24,64</w:t>
            </w:r>
          </w:p>
        </w:tc>
        <w:tc>
          <w:tcPr>
            <w:tcW w:w="907" w:type="dxa"/>
            <w:vAlign w:val="bottom"/>
          </w:tcPr>
          <w:p w:rsidR="00000000" w:rsidRDefault="00000000">
            <w:pPr>
              <w:pStyle w:val="a1"/>
              <w:spacing w:before="20" w:after="20"/>
              <w:ind w:right="142"/>
              <w:jc w:val="right"/>
            </w:pPr>
            <w:r>
              <w:t>24,23</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31,95</w:t>
            </w:r>
          </w:p>
        </w:tc>
        <w:tc>
          <w:tcPr>
            <w:tcW w:w="907" w:type="dxa"/>
            <w:vAlign w:val="bottom"/>
          </w:tcPr>
          <w:p w:rsidR="00000000" w:rsidRDefault="00000000">
            <w:pPr>
              <w:pStyle w:val="a1"/>
              <w:spacing w:before="20" w:after="20"/>
              <w:ind w:right="142"/>
              <w:jc w:val="right"/>
            </w:pPr>
            <w:r>
              <w:t>31,78</w:t>
            </w:r>
          </w:p>
        </w:tc>
        <w:tc>
          <w:tcPr>
            <w:tcW w:w="907" w:type="dxa"/>
            <w:vAlign w:val="bottom"/>
          </w:tcPr>
          <w:p w:rsidR="00000000" w:rsidRDefault="00000000">
            <w:pPr>
              <w:pStyle w:val="a1"/>
              <w:spacing w:before="20" w:after="20"/>
              <w:ind w:right="142"/>
              <w:jc w:val="right"/>
            </w:pPr>
            <w:r>
              <w:t>30,25</w:t>
            </w:r>
          </w:p>
        </w:tc>
        <w:tc>
          <w:tcPr>
            <w:tcW w:w="907" w:type="dxa"/>
            <w:vAlign w:val="bottom"/>
          </w:tcPr>
          <w:p w:rsidR="00000000" w:rsidRDefault="00000000">
            <w:pPr>
              <w:pStyle w:val="a1"/>
              <w:spacing w:before="20" w:after="20"/>
              <w:ind w:right="142"/>
              <w:jc w:val="right"/>
            </w:pPr>
            <w:r>
              <w:t>28,49</w:t>
            </w:r>
          </w:p>
        </w:tc>
        <w:tc>
          <w:tcPr>
            <w:tcW w:w="907" w:type="dxa"/>
            <w:vAlign w:val="bottom"/>
          </w:tcPr>
          <w:p w:rsidR="00000000" w:rsidRDefault="00000000">
            <w:pPr>
              <w:pStyle w:val="a1"/>
              <w:spacing w:before="20" w:after="20"/>
              <w:ind w:right="142"/>
              <w:jc w:val="right"/>
            </w:pPr>
            <w:r>
              <w:t>25,04</w:t>
            </w:r>
          </w:p>
        </w:tc>
        <w:tc>
          <w:tcPr>
            <w:tcW w:w="907" w:type="dxa"/>
            <w:vAlign w:val="bottom"/>
          </w:tcPr>
          <w:p w:rsidR="00000000" w:rsidRDefault="00000000">
            <w:pPr>
              <w:pStyle w:val="a1"/>
              <w:spacing w:before="20" w:after="20"/>
              <w:ind w:right="142"/>
              <w:jc w:val="right"/>
            </w:pPr>
            <w:r>
              <w:t>24,58</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32,63</w:t>
            </w:r>
          </w:p>
        </w:tc>
        <w:tc>
          <w:tcPr>
            <w:tcW w:w="907" w:type="dxa"/>
            <w:vAlign w:val="bottom"/>
          </w:tcPr>
          <w:p w:rsidR="00000000" w:rsidRDefault="00000000">
            <w:pPr>
              <w:pStyle w:val="a1"/>
              <w:spacing w:before="20" w:after="20"/>
              <w:ind w:right="142"/>
              <w:jc w:val="right"/>
            </w:pPr>
            <w:r>
              <w:t>31,01</w:t>
            </w:r>
          </w:p>
        </w:tc>
        <w:tc>
          <w:tcPr>
            <w:tcW w:w="907" w:type="dxa"/>
            <w:vAlign w:val="bottom"/>
          </w:tcPr>
          <w:p w:rsidR="00000000" w:rsidRDefault="00000000">
            <w:pPr>
              <w:pStyle w:val="a1"/>
              <w:spacing w:before="20" w:after="20"/>
              <w:ind w:right="142"/>
              <w:jc w:val="right"/>
            </w:pPr>
            <w:r>
              <w:t>29,49</w:t>
            </w:r>
          </w:p>
        </w:tc>
        <w:tc>
          <w:tcPr>
            <w:tcW w:w="907" w:type="dxa"/>
            <w:vAlign w:val="bottom"/>
          </w:tcPr>
          <w:p w:rsidR="00000000" w:rsidRDefault="00000000">
            <w:pPr>
              <w:pStyle w:val="a1"/>
              <w:spacing w:before="20" w:after="20"/>
              <w:ind w:right="142"/>
              <w:jc w:val="right"/>
            </w:pPr>
            <w:r>
              <w:t>26,94</w:t>
            </w:r>
          </w:p>
        </w:tc>
        <w:tc>
          <w:tcPr>
            <w:tcW w:w="907" w:type="dxa"/>
            <w:vAlign w:val="bottom"/>
          </w:tcPr>
          <w:p w:rsidR="00000000" w:rsidRDefault="00000000">
            <w:pPr>
              <w:pStyle w:val="a1"/>
              <w:spacing w:before="20" w:after="20"/>
              <w:ind w:right="142"/>
              <w:jc w:val="right"/>
            </w:pPr>
            <w:r>
              <w:t>23,93</w:t>
            </w:r>
          </w:p>
        </w:tc>
        <w:tc>
          <w:tcPr>
            <w:tcW w:w="907" w:type="dxa"/>
            <w:vAlign w:val="bottom"/>
          </w:tcPr>
          <w:p w:rsidR="00000000" w:rsidRDefault="00000000">
            <w:pPr>
              <w:pStyle w:val="a1"/>
              <w:spacing w:before="20" w:after="20"/>
              <w:ind w:right="142"/>
              <w:jc w:val="right"/>
            </w:pPr>
            <w:r>
              <w:t>23,61</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Безработные и не полн</w:t>
            </w:r>
            <w:r>
              <w:t>о</w:t>
            </w:r>
            <w:r>
              <w:t xml:space="preserve">стью занятые (работающие менее </w:t>
            </w:r>
            <w:r>
              <w:br/>
              <w:t>35 часов в неделю)</w:t>
            </w:r>
          </w:p>
        </w:tc>
        <w:tc>
          <w:tcPr>
            <w:tcW w:w="907" w:type="dxa"/>
            <w:vAlign w:val="bottom"/>
          </w:tcPr>
          <w:p w:rsidR="00000000" w:rsidRDefault="00000000">
            <w:pPr>
              <w:pStyle w:val="a1"/>
              <w:spacing w:before="20" w:after="20"/>
              <w:ind w:right="142"/>
              <w:jc w:val="right"/>
            </w:pPr>
            <w:r>
              <w:t>23,60</w:t>
            </w:r>
          </w:p>
        </w:tc>
        <w:tc>
          <w:tcPr>
            <w:tcW w:w="907" w:type="dxa"/>
            <w:vAlign w:val="bottom"/>
          </w:tcPr>
          <w:p w:rsidR="00000000" w:rsidRDefault="00000000">
            <w:pPr>
              <w:pStyle w:val="a1"/>
              <w:spacing w:before="20" w:after="20"/>
              <w:ind w:right="142"/>
              <w:jc w:val="right"/>
            </w:pPr>
            <w:r>
              <w:t>27,77</w:t>
            </w:r>
          </w:p>
        </w:tc>
        <w:tc>
          <w:tcPr>
            <w:tcW w:w="907" w:type="dxa"/>
            <w:vAlign w:val="bottom"/>
          </w:tcPr>
          <w:p w:rsidR="00000000" w:rsidRDefault="00000000">
            <w:pPr>
              <w:pStyle w:val="a1"/>
              <w:spacing w:before="20" w:after="20"/>
              <w:ind w:right="142"/>
              <w:jc w:val="right"/>
            </w:pPr>
            <w:r>
              <w:t>26,46</w:t>
            </w:r>
          </w:p>
        </w:tc>
        <w:tc>
          <w:tcPr>
            <w:tcW w:w="907" w:type="dxa"/>
            <w:vAlign w:val="bottom"/>
          </w:tcPr>
          <w:p w:rsidR="00000000" w:rsidRDefault="00000000">
            <w:pPr>
              <w:pStyle w:val="a1"/>
              <w:spacing w:before="20" w:after="20"/>
              <w:ind w:right="142"/>
              <w:jc w:val="right"/>
            </w:pPr>
            <w:r>
              <w:t>25,76</w:t>
            </w:r>
          </w:p>
        </w:tc>
        <w:tc>
          <w:tcPr>
            <w:tcW w:w="907" w:type="dxa"/>
            <w:vAlign w:val="bottom"/>
          </w:tcPr>
          <w:p w:rsidR="00000000" w:rsidRDefault="00000000">
            <w:pPr>
              <w:pStyle w:val="a1"/>
              <w:spacing w:before="20" w:after="20"/>
              <w:ind w:right="142"/>
              <w:jc w:val="right"/>
            </w:pPr>
            <w:r>
              <w:t>23,57</w:t>
            </w:r>
          </w:p>
        </w:tc>
        <w:tc>
          <w:tcPr>
            <w:tcW w:w="907" w:type="dxa"/>
            <w:vAlign w:val="bottom"/>
          </w:tcPr>
          <w:p w:rsidR="00000000" w:rsidRDefault="00000000">
            <w:pPr>
              <w:pStyle w:val="a1"/>
              <w:spacing w:before="20" w:after="20"/>
              <w:ind w:right="142"/>
              <w:jc w:val="right"/>
            </w:pPr>
            <w:r>
              <w:t>20,55</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Мужчины</w:t>
            </w:r>
          </w:p>
        </w:tc>
        <w:tc>
          <w:tcPr>
            <w:tcW w:w="907" w:type="dxa"/>
            <w:vAlign w:val="bottom"/>
          </w:tcPr>
          <w:p w:rsidR="00000000" w:rsidRDefault="00000000">
            <w:pPr>
              <w:pStyle w:val="a1"/>
              <w:spacing w:before="20" w:after="20"/>
              <w:ind w:right="142"/>
              <w:jc w:val="right"/>
            </w:pPr>
            <w:r>
              <w:t>18,20</w:t>
            </w:r>
          </w:p>
        </w:tc>
        <w:tc>
          <w:tcPr>
            <w:tcW w:w="907" w:type="dxa"/>
            <w:vAlign w:val="bottom"/>
          </w:tcPr>
          <w:p w:rsidR="00000000" w:rsidRDefault="00000000">
            <w:pPr>
              <w:pStyle w:val="a1"/>
              <w:spacing w:before="20" w:after="20"/>
              <w:ind w:right="142"/>
              <w:jc w:val="right"/>
            </w:pPr>
            <w:r>
              <w:t>22,63</w:t>
            </w:r>
          </w:p>
        </w:tc>
        <w:tc>
          <w:tcPr>
            <w:tcW w:w="907" w:type="dxa"/>
            <w:vAlign w:val="bottom"/>
          </w:tcPr>
          <w:p w:rsidR="00000000" w:rsidRDefault="00000000">
            <w:pPr>
              <w:pStyle w:val="a1"/>
              <w:spacing w:before="20" w:after="20"/>
              <w:ind w:right="142"/>
              <w:jc w:val="right"/>
            </w:pPr>
            <w:r>
              <w:t>21,23</w:t>
            </w:r>
          </w:p>
        </w:tc>
        <w:tc>
          <w:tcPr>
            <w:tcW w:w="907" w:type="dxa"/>
            <w:vAlign w:val="bottom"/>
          </w:tcPr>
          <w:p w:rsidR="00000000" w:rsidRDefault="00000000">
            <w:pPr>
              <w:pStyle w:val="a1"/>
              <w:spacing w:before="20" w:after="20"/>
              <w:ind w:right="142"/>
              <w:jc w:val="right"/>
            </w:pPr>
            <w:r>
              <w:t>19,85</w:t>
            </w:r>
          </w:p>
        </w:tc>
        <w:tc>
          <w:tcPr>
            <w:tcW w:w="907" w:type="dxa"/>
            <w:vAlign w:val="bottom"/>
          </w:tcPr>
          <w:p w:rsidR="00000000" w:rsidRDefault="00000000">
            <w:pPr>
              <w:pStyle w:val="a1"/>
              <w:spacing w:before="20" w:after="20"/>
              <w:ind w:right="142"/>
              <w:jc w:val="right"/>
            </w:pPr>
            <w:r>
              <w:t>17,84</w:t>
            </w:r>
          </w:p>
        </w:tc>
        <w:tc>
          <w:tcPr>
            <w:tcW w:w="907" w:type="dxa"/>
            <w:vAlign w:val="bottom"/>
          </w:tcPr>
          <w:p w:rsidR="00000000" w:rsidRDefault="00000000">
            <w:pPr>
              <w:pStyle w:val="a1"/>
              <w:spacing w:before="20" w:after="20"/>
              <w:ind w:right="142"/>
              <w:jc w:val="right"/>
            </w:pPr>
            <w:r>
              <w:t>14,99</w:t>
            </w:r>
          </w:p>
        </w:tc>
        <w:tc>
          <w:tcPr>
            <w:tcW w:w="907" w:type="dxa"/>
            <w:vAlign w:val="bottom"/>
          </w:tcPr>
          <w:p w:rsidR="00000000" w:rsidRDefault="00000000">
            <w:pPr>
              <w:pStyle w:val="a1"/>
              <w:spacing w:before="20" w:after="20"/>
              <w:jc w:val="center"/>
            </w:pPr>
            <w:r>
              <w:t>нд</w:t>
            </w:r>
          </w:p>
        </w:tc>
      </w:tr>
      <w:tr w:rsidR="00000000">
        <w:tblPrEx>
          <w:tblCellMar>
            <w:top w:w="0" w:type="dxa"/>
            <w:bottom w:w="0" w:type="dxa"/>
          </w:tblCellMar>
        </w:tblPrEx>
        <w:tc>
          <w:tcPr>
            <w:tcW w:w="3289" w:type="dxa"/>
          </w:tcPr>
          <w:p w:rsidR="00000000" w:rsidRDefault="00000000">
            <w:pPr>
              <w:pStyle w:val="a1"/>
              <w:spacing w:before="20" w:after="20"/>
            </w:pPr>
            <w:r>
              <w:t>Женщины</w:t>
            </w:r>
          </w:p>
        </w:tc>
        <w:tc>
          <w:tcPr>
            <w:tcW w:w="907" w:type="dxa"/>
            <w:vAlign w:val="bottom"/>
          </w:tcPr>
          <w:p w:rsidR="00000000" w:rsidRDefault="00000000">
            <w:pPr>
              <w:pStyle w:val="a1"/>
              <w:spacing w:before="20" w:after="20"/>
              <w:ind w:right="142"/>
              <w:jc w:val="right"/>
            </w:pPr>
            <w:r>
              <w:t>33,79</w:t>
            </w:r>
          </w:p>
        </w:tc>
        <w:tc>
          <w:tcPr>
            <w:tcW w:w="907" w:type="dxa"/>
            <w:vAlign w:val="bottom"/>
          </w:tcPr>
          <w:p w:rsidR="00000000" w:rsidRDefault="00000000">
            <w:pPr>
              <w:pStyle w:val="a1"/>
              <w:spacing w:before="20" w:after="20"/>
              <w:ind w:right="142"/>
              <w:jc w:val="right"/>
            </w:pPr>
            <w:r>
              <w:t>36,99</w:t>
            </w:r>
          </w:p>
        </w:tc>
        <w:tc>
          <w:tcPr>
            <w:tcW w:w="907" w:type="dxa"/>
            <w:vAlign w:val="bottom"/>
          </w:tcPr>
          <w:p w:rsidR="00000000" w:rsidRDefault="00000000">
            <w:pPr>
              <w:pStyle w:val="a1"/>
              <w:spacing w:before="20" w:after="20"/>
              <w:ind w:right="142"/>
              <w:jc w:val="right"/>
            </w:pPr>
            <w:r>
              <w:t>35,80</w:t>
            </w:r>
          </w:p>
        </w:tc>
        <w:tc>
          <w:tcPr>
            <w:tcW w:w="907" w:type="dxa"/>
            <w:vAlign w:val="bottom"/>
          </w:tcPr>
          <w:p w:rsidR="00000000" w:rsidRDefault="00000000">
            <w:pPr>
              <w:pStyle w:val="a1"/>
              <w:spacing w:before="20" w:after="20"/>
              <w:ind w:right="142"/>
              <w:jc w:val="right"/>
            </w:pPr>
            <w:r>
              <w:t>35,87</w:t>
            </w:r>
          </w:p>
        </w:tc>
        <w:tc>
          <w:tcPr>
            <w:tcW w:w="907" w:type="dxa"/>
            <w:vAlign w:val="bottom"/>
          </w:tcPr>
          <w:p w:rsidR="00000000" w:rsidRDefault="00000000">
            <w:pPr>
              <w:pStyle w:val="a1"/>
              <w:spacing w:before="20" w:after="20"/>
              <w:ind w:right="142"/>
              <w:jc w:val="right"/>
            </w:pPr>
            <w:r>
              <w:t>33,52</w:t>
            </w:r>
          </w:p>
        </w:tc>
        <w:tc>
          <w:tcPr>
            <w:tcW w:w="907" w:type="dxa"/>
            <w:vAlign w:val="bottom"/>
          </w:tcPr>
          <w:p w:rsidR="00000000" w:rsidRDefault="00000000">
            <w:pPr>
              <w:pStyle w:val="a1"/>
              <w:spacing w:before="20" w:after="20"/>
              <w:ind w:right="142"/>
              <w:jc w:val="right"/>
            </w:pPr>
            <w:r>
              <w:t>30,32</w:t>
            </w:r>
          </w:p>
        </w:tc>
        <w:tc>
          <w:tcPr>
            <w:tcW w:w="907" w:type="dxa"/>
            <w:vAlign w:val="bottom"/>
          </w:tcPr>
          <w:p w:rsidR="00000000" w:rsidRDefault="00000000">
            <w:pPr>
              <w:pStyle w:val="a1"/>
              <w:spacing w:before="20" w:after="20"/>
              <w:jc w:val="center"/>
            </w:pPr>
            <w:r>
              <w:t>нд</w:t>
            </w:r>
          </w:p>
        </w:tc>
      </w:tr>
    </w:tbl>
    <w:p w:rsidR="00000000" w:rsidRDefault="00000000">
      <w:pPr>
        <w:pStyle w:val="a2"/>
        <w:spacing w:after="0"/>
      </w:pPr>
    </w:p>
    <w:p w:rsidR="00000000" w:rsidRDefault="00000000">
      <w:pPr>
        <w:pStyle w:val="a2"/>
      </w:pPr>
      <w:r>
        <w:t>Источник: ИНЕГИ. Национальное обследование занятости городского населения, 1994–1999 годы, второй квартал.</w:t>
      </w:r>
    </w:p>
    <w:p w:rsidR="00000000" w:rsidRDefault="00000000">
      <w:pPr>
        <w:pStyle w:val="a2"/>
      </w:pPr>
      <w:r>
        <w:t>нд – нет данных.</w:t>
      </w:r>
    </w:p>
    <w:p w:rsidR="00000000" w:rsidRDefault="00000000">
      <w:pPr>
        <w:pStyle w:val="a2"/>
      </w:pPr>
      <w:r>
        <w:sym w:font="Symbol" w:char="F02A"/>
      </w:r>
      <w:r>
        <w:t xml:space="preserve"> Данных с разбивкой по полу не имеется.</w:t>
      </w:r>
    </w:p>
    <w:p w:rsidR="00000000" w:rsidRDefault="00000000">
      <w:pPr>
        <w:pStyle w:val="a2"/>
      </w:pPr>
      <w:r>
        <w:rPr>
          <w:vertAlign w:val="superscript"/>
        </w:rPr>
        <w:t>1</w:t>
      </w:r>
      <w:r>
        <w:t xml:space="preserve"> Данные Национального обследования занятости городского населения. Данные по 2000 году относятся к периоду с января по июль.</w:t>
      </w:r>
    </w:p>
    <w:p w:rsidR="00000000" w:rsidRDefault="00000000">
      <w:pPr>
        <w:pStyle w:val="a2"/>
      </w:pPr>
      <w:r>
        <w:rPr>
          <w:vertAlign w:val="superscript"/>
        </w:rPr>
        <w:t xml:space="preserve">2 </w:t>
      </w:r>
      <w:r>
        <w:t>Лица 12 лет и старше, не работавшие в неделю проведения обследования; лица, зарегистрированные на бирже или безуспешно искавшие работу в течение двух месяцев до момента обслед</w:t>
      </w:r>
      <w:r>
        <w:t>о</w:t>
      </w:r>
      <w:r>
        <w:t>вания.</w:t>
      </w:r>
    </w:p>
    <w:p w:rsidR="00000000" w:rsidRDefault="00000000">
      <w:pPr>
        <w:pStyle w:val="a2"/>
        <w:rPr>
          <w:vertAlign w:val="superscript"/>
        </w:rPr>
      </w:pPr>
      <w:r>
        <w:rPr>
          <w:vertAlign w:val="superscript"/>
        </w:rPr>
        <w:t xml:space="preserve">3 </w:t>
      </w:r>
      <w:r>
        <w:t>Включает не только полностью безработных, но и тех экономически активных граждан, которые временно пр</w:t>
      </w:r>
      <w:r>
        <w:t>е</w:t>
      </w:r>
      <w:r>
        <w:t>кратили поиски работы, чтобы заняться учебой или работой по дому, но готовы занять рабочее место, если оно б</w:t>
      </w:r>
      <w:r>
        <w:t>у</w:t>
      </w:r>
      <w:r>
        <w:t>дет им предл</w:t>
      </w:r>
      <w:r>
        <w:t>о</w:t>
      </w:r>
      <w:r>
        <w:t>жено.</w:t>
      </w:r>
    </w:p>
    <w:p w:rsidR="00000000" w:rsidRDefault="00000000">
      <w:pPr>
        <w:pStyle w:val="a2"/>
      </w:pPr>
      <w:r>
        <w:rPr>
          <w:vertAlign w:val="superscript"/>
        </w:rPr>
        <w:t>4</w:t>
      </w:r>
      <w:r>
        <w:t xml:space="preserve"> Доля  безработного населения и трудоустроенных, ищущих иную или дополнительную работу, среди всего эк</w:t>
      </w:r>
      <w:r>
        <w:t>о</w:t>
      </w:r>
      <w:r>
        <w:t xml:space="preserve">номически активного населения. </w:t>
      </w:r>
    </w:p>
    <w:p w:rsidR="00000000" w:rsidRDefault="00000000">
      <w:pPr>
        <w:pStyle w:val="a2"/>
      </w:pPr>
      <w:r>
        <w:rPr>
          <w:vertAlign w:val="superscript"/>
        </w:rPr>
        <w:t>5</w:t>
      </w:r>
      <w:r>
        <w:t xml:space="preserve"> Доля безработных или частично занятых (работающих менее 15 часов в неделю) среди всего экономически акти</w:t>
      </w:r>
      <w:r>
        <w:t>в</w:t>
      </w:r>
      <w:r>
        <w:t>ного населения.</w:t>
      </w:r>
    </w:p>
    <w:p w:rsidR="00000000" w:rsidRDefault="00000000">
      <w:pPr>
        <w:pStyle w:val="a2"/>
      </w:pPr>
      <w:r>
        <w:rPr>
          <w:vertAlign w:val="superscript"/>
        </w:rPr>
        <w:t>6</w:t>
      </w:r>
      <w:r>
        <w:t xml:space="preserve"> Доля лиц, работающих менее 35 часов в неделю ввиду недостаточного спроса на их рабочую силу, а также лиц, работающих более 35 часов в неделю, но имеющих доход меньший, чем минимальная заработная плата, а также лиц, раб</w:t>
      </w:r>
      <w:r>
        <w:t>о</w:t>
      </w:r>
      <w:r>
        <w:t>тающих более 48 часов в неделю, но имеющих доход меньший, чем две минимальные заработные платы.</w:t>
      </w:r>
    </w:p>
    <w:p w:rsidR="00000000" w:rsidRDefault="00000000">
      <w:pPr>
        <w:pStyle w:val="a2"/>
      </w:pPr>
      <w:r>
        <w:rPr>
          <w:vertAlign w:val="superscript"/>
        </w:rPr>
        <w:t>7</w:t>
      </w:r>
      <w:r>
        <w:t xml:space="preserve"> Доля безработных и частично занятых (работающих менее 35 часов в неделю) среди всего экономически активн</w:t>
      </w:r>
      <w:r>
        <w:t>о</w:t>
      </w:r>
      <w:r>
        <w:t xml:space="preserve">го населения. </w:t>
      </w:r>
    </w:p>
    <w:p w:rsidR="00000000" w:rsidRDefault="00000000">
      <w:pPr>
        <w:pStyle w:val="Heading3"/>
        <w:spacing w:before="0"/>
      </w:pPr>
      <w:r>
        <w:br w:type="page"/>
        <w:t>Положение трудящихся</w:t>
      </w:r>
      <w:r>
        <w:rPr>
          <w:noProof w:val="0"/>
          <w:lang w:val="ru-RU"/>
        </w:rPr>
        <w:t>-</w:t>
      </w:r>
      <w:r>
        <w:t xml:space="preserve">женщин в Мексике </w:t>
      </w:r>
    </w:p>
    <w:p w:rsidR="00000000" w:rsidRDefault="00000000">
      <w:r>
        <w:t>482.</w:t>
      </w:r>
      <w:r>
        <w:tab/>
        <w:t>В 1999 году экономически активное население Мексики составляло 39,8 млн. человек, среди которых было 13,3 млн. женщин. Таким образом, трудящиеся-женщины составляли 35,9 процента всего женского населения, т</w:t>
      </w:r>
      <w:r>
        <w:t>о</w:t>
      </w:r>
      <w:r>
        <w:t>гда как работающие мужчины – 78 процентов всего мужского насел</w:t>
      </w:r>
      <w:r>
        <w:t>е</w:t>
      </w:r>
      <w:r>
        <w:t xml:space="preserve">ния. </w:t>
      </w:r>
    </w:p>
    <w:p w:rsidR="00000000" w:rsidRDefault="00000000">
      <w:r>
        <w:t>483.</w:t>
      </w:r>
      <w:r>
        <w:tab/>
        <w:t>Статистические данные, характеризующие положение на рынке труда, позволяют отметить существенные пер</w:t>
      </w:r>
      <w:r>
        <w:t>е</w:t>
      </w:r>
      <w:r>
        <w:t>мены, происшедшие в категории "трудящиеся-женщины". Во-первых, увеличилась их численность, а во-вторых, изменился возрастной состав этой группы. Бóльшая часть женщин, работающих или занятых поисками работы, находятся в возрастной категории от 20 до 34 лет. Эта же возрастная группа составляет 41,9 процента всего же</w:t>
      </w:r>
      <w:r>
        <w:t>н</w:t>
      </w:r>
      <w:r>
        <w:t>ского экономически активного н</w:t>
      </w:r>
      <w:r>
        <w:t>а</w:t>
      </w:r>
      <w:r>
        <w:t xml:space="preserve">селения. </w:t>
      </w:r>
    </w:p>
    <w:p w:rsidR="00000000" w:rsidRDefault="00000000">
      <w:r>
        <w:t>484.</w:t>
      </w:r>
      <w:r>
        <w:tab/>
        <w:t>В 1999 году 45,8 процента женщин, принадлежавших к категории экономически активного населения, с</w:t>
      </w:r>
      <w:r>
        <w:t>о</w:t>
      </w:r>
      <w:r>
        <w:t>стояли в браке, зарегистрированном или гражданском, и 14,1 процента проживали отдельно от супруга, состояли в разводе или были вдовами. Наиболее высокий процент работающих наблюдался среди женщин, состоящих в ра</w:t>
      </w:r>
      <w:r>
        <w:t>з</w:t>
      </w:r>
      <w:r>
        <w:t>воде (73,1 процента), и женщин, проживающих отдельно от супруга, – 62,9 процента, поскольку именно они, в о</w:t>
      </w:r>
      <w:r>
        <w:t>т</w:t>
      </w:r>
      <w:r>
        <w:t>сутствие мужчины-кормильца, вынуждены содержать семью. В том же году доля трудящихся-женщин старше 12 лет, имеющих одного или двух детей, составляла 41 процент, тогда как в отношении женщин, имеющих более пяти детей, этот пок</w:t>
      </w:r>
      <w:r>
        <w:t>а</w:t>
      </w:r>
      <w:r>
        <w:t xml:space="preserve">затель был равен 35,9 процента. </w:t>
      </w:r>
    </w:p>
    <w:p w:rsidR="00000000" w:rsidRDefault="00000000">
      <w:r>
        <w:t>485.</w:t>
      </w:r>
      <w:r>
        <w:tab/>
        <w:t>Женщины, работающие вне дома, заняты на работе около 38 часов в неделю и, кроме того, вынуждены нести двойную нагрузку, поскольку должны выполнять обязанности по дому, на выполнение которых тратят в среднем 28 часов в нед</w:t>
      </w:r>
      <w:r>
        <w:t>е</w:t>
      </w:r>
      <w:r>
        <w:t xml:space="preserve">лю. </w:t>
      </w:r>
    </w:p>
    <w:p w:rsidR="00000000" w:rsidRDefault="00000000">
      <w:r>
        <w:t>486.</w:t>
      </w:r>
      <w:r>
        <w:tab/>
        <w:t>Подавляющее большинство работающих женщин заняты в отраслях производства, для которых характерна сравнительно низкая оплата труда, причем на работах, считающихся "женскими" (мелкие служащие, учителя, пр</w:t>
      </w:r>
      <w:r>
        <w:t>о</w:t>
      </w:r>
      <w:r>
        <w:t xml:space="preserve">давцы и домашняя прислуга). </w:t>
      </w:r>
    </w:p>
    <w:p w:rsidR="00000000" w:rsidRDefault="00000000">
      <w:r>
        <w:t>487.</w:t>
      </w:r>
      <w:r>
        <w:tab/>
        <w:t>Увеличивающийся приток женщин на рынок рабочей силы не привел к устранению разрыва в оплате труда между женщинами и мужчинами; напротив, женщины по-прежнему имеют более низкие доходы почти во всех в</w:t>
      </w:r>
      <w:r>
        <w:t>и</w:t>
      </w:r>
      <w:r>
        <w:t>дах деятельности. Кроме того, трудовая деятельность женщин протекает преимущественно в сферах, считающихся типично женскими, и их доступ к другим профессиям пока еще крайне ограничен, а в тех случаях, когда женщине удается найти работу по специальности, выходящей за указанные рамки, ее уделом остаются низшие звенья иера</w:t>
      </w:r>
      <w:r>
        <w:t>р</w:t>
      </w:r>
      <w:r>
        <w:t>хич</w:t>
      </w:r>
      <w:r>
        <w:t>е</w:t>
      </w:r>
      <w:r>
        <w:t xml:space="preserve">ской структуры. </w:t>
      </w:r>
    </w:p>
    <w:p w:rsidR="00000000" w:rsidRDefault="00000000">
      <w:r>
        <w:t>488.</w:t>
      </w:r>
      <w:r>
        <w:tab/>
        <w:t>В 1999 году среднемесячный доход работающих женщин составил 1933 песо, а мужчин – 2588 песо. Образ</w:t>
      </w:r>
      <w:r>
        <w:t>о</w:t>
      </w:r>
      <w:r>
        <w:t>вательный уровень той же категории женщин составлял в среднем 9,4 года обучения, тогда как у мужчин этот п</w:t>
      </w:r>
      <w:r>
        <w:t>о</w:t>
      </w:r>
      <w:r>
        <w:t xml:space="preserve">казатель был равен 8,4 года. В том же 1999 году, по данным Национального обследования занятости, доля женщин, получавших доходы ниже минимальной заработной платы, составляла 25,2 процента от общего числа трудящихся женщин, а доля трудящихся мужчин – 15,4 процента. Доля женщин и мужчин, получавших доход в размере более 10 минимальных зарплат, составляла 0,7 процента и 2,4 процента, соответственно. </w:t>
      </w:r>
    </w:p>
    <w:p w:rsidR="00000000" w:rsidRDefault="00000000">
      <w:r>
        <w:t>489.</w:t>
      </w:r>
      <w:r>
        <w:tab/>
        <w:t>В том же 1999 году 15,5 процента экономически активного женского населения не имели доходов. Особенно высок этот показатель для женщин, занятых в сельском хозяйстве, где 69,3 процента работающих женщин не имели доходов, а 25,7 процента получали доходы, не превышающие двух минимальных зарплат, при том что 39,2 пр</w:t>
      </w:r>
      <w:r>
        <w:t>о</w:t>
      </w:r>
      <w:r>
        <w:t>цента работниц были заняты трудовой деятельностью более 35 часов в н</w:t>
      </w:r>
      <w:r>
        <w:t>е</w:t>
      </w:r>
      <w:r>
        <w:t xml:space="preserve">делю. </w:t>
      </w:r>
    </w:p>
    <w:p w:rsidR="00000000" w:rsidRDefault="00000000">
      <w:r>
        <w:t>490.</w:t>
      </w:r>
      <w:r>
        <w:tab/>
        <w:t xml:space="preserve">Из женщин, занятых на семейных предприятиях, в 1999 году не получали заработной платы </w:t>
      </w:r>
      <w:r>
        <w:br/>
        <w:t xml:space="preserve">47,2 процента; из остальных категорий работающих женщин не получали заплаты 44,4 процента. </w:t>
      </w:r>
    </w:p>
    <w:p w:rsidR="00000000" w:rsidRDefault="00000000">
      <w:r>
        <w:t>491.</w:t>
      </w:r>
      <w:r>
        <w:tab/>
        <w:t>Чтобы преодолеть дискриминацию по признаку пола на рынке труда, недавно созданное Главное управление по проблемам гендерного равенства Министерства труда и социального обеспечения разработало 10 направлений де</w:t>
      </w:r>
      <w:r>
        <w:t>я</w:t>
      </w:r>
      <w:r>
        <w:t xml:space="preserve">тельности, призванных обеспечить равноправие женщин в сфере трудовых отношений. </w:t>
      </w:r>
      <w:r>
        <w:br/>
        <w:t xml:space="preserve">К их числу относятся: </w:t>
      </w:r>
    </w:p>
    <w:p w:rsidR="00000000" w:rsidRDefault="00000000">
      <w:pPr>
        <w:tabs>
          <w:tab w:val="left" w:pos="284"/>
        </w:tabs>
        <w:spacing w:after="220"/>
        <w:ind w:left="284" w:hanging="284"/>
      </w:pPr>
      <w:r>
        <w:tab/>
        <w:t>1.</w:t>
      </w:r>
      <w:r>
        <w:tab/>
        <w:t>Распространение знаний о правах трудящихся-женщин и содействие расширению возможностей их до</w:t>
      </w:r>
      <w:r>
        <w:t>с</w:t>
      </w:r>
      <w:r>
        <w:t xml:space="preserve">тупа к системе социальной защиты. </w:t>
      </w:r>
    </w:p>
    <w:p w:rsidR="00000000" w:rsidRDefault="00000000">
      <w:pPr>
        <w:pStyle w:val="5"/>
        <w:tabs>
          <w:tab w:val="left" w:pos="284"/>
          <w:tab w:val="left" w:pos="680"/>
        </w:tabs>
        <w:spacing w:after="220"/>
      </w:pPr>
      <w:r>
        <w:tab/>
        <w:t>2.</w:t>
      </w:r>
      <w:r>
        <w:tab/>
        <w:t xml:space="preserve">Надзор за соблюдением трудового законодательства в целях предотвращения дискриминации по признаку пола, семейного положения, возраста, а также дискриминации в отношении беременных женщин. </w:t>
      </w:r>
    </w:p>
    <w:p w:rsidR="00000000" w:rsidRDefault="00000000">
      <w:pPr>
        <w:tabs>
          <w:tab w:val="left" w:pos="284"/>
        </w:tabs>
        <w:spacing w:after="220"/>
        <w:ind w:left="284" w:hanging="284"/>
      </w:pPr>
      <w:r>
        <w:tab/>
        <w:t>3.</w:t>
      </w:r>
      <w:r>
        <w:tab/>
        <w:t>Преследование в законном порядке лиц, ответственных за неравную оплату труда трудящихся разных полов и иные проявления неравноправия в сфере труд</w:t>
      </w:r>
      <w:r>
        <w:t>о</w:t>
      </w:r>
      <w:r>
        <w:t xml:space="preserve">вых отношений. </w:t>
      </w:r>
    </w:p>
    <w:p w:rsidR="00000000" w:rsidRDefault="00000000">
      <w:pPr>
        <w:tabs>
          <w:tab w:val="left" w:pos="284"/>
        </w:tabs>
        <w:spacing w:after="220"/>
        <w:ind w:left="284" w:hanging="284"/>
      </w:pPr>
      <w:r>
        <w:tab/>
        <w:t>4.</w:t>
      </w:r>
      <w:r>
        <w:tab/>
        <w:t>Содействие статистическим и иным исследованиям рынка рабочей силы и оплаты труда лиц обоих п</w:t>
      </w:r>
      <w:r>
        <w:t>о</w:t>
      </w:r>
      <w:r>
        <w:t xml:space="preserve">лов. </w:t>
      </w:r>
    </w:p>
    <w:p w:rsidR="00000000" w:rsidRDefault="00000000">
      <w:pPr>
        <w:tabs>
          <w:tab w:val="left" w:pos="284"/>
        </w:tabs>
        <w:spacing w:after="220"/>
        <w:ind w:left="284" w:hanging="284"/>
      </w:pPr>
      <w:r>
        <w:tab/>
        <w:t>5.</w:t>
      </w:r>
      <w:r>
        <w:tab/>
        <w:t>Поддержка программ занятости, особенно программ помощи женщинам, занятым в малом бизнесе, в целях повышения производительности труда и благосостояния раб</w:t>
      </w:r>
      <w:r>
        <w:t>о</w:t>
      </w:r>
      <w:r>
        <w:t xml:space="preserve">тающих. </w:t>
      </w:r>
    </w:p>
    <w:p w:rsidR="00000000" w:rsidRDefault="00000000">
      <w:pPr>
        <w:tabs>
          <w:tab w:val="left" w:pos="284"/>
        </w:tabs>
        <w:spacing w:after="220"/>
        <w:ind w:left="284" w:hanging="284"/>
      </w:pPr>
      <w:r>
        <w:tab/>
        <w:t>6.</w:t>
      </w:r>
      <w:r>
        <w:tab/>
        <w:t>Содействие профессиональному обучению всех женщин, ищущих работу, путем осуществления пр</w:t>
      </w:r>
      <w:r>
        <w:t>о</w:t>
      </w:r>
      <w:r>
        <w:t>граммы предоставления стипендий на цели профессиональной подготовки лиц, не имеющих работы (ПРОБЕКАТ), и программы комплексного качества и модернизации (СИМО), а также программ Совета по унификации критериев профессиональной квалификации коммунальных и социальных служб (КОНОСЕР) с целью обеспечить женщинам дополнительные возможности трудоустройства путем проведения государственной аттестации их профессионал</w:t>
      </w:r>
      <w:r>
        <w:t>ь</w:t>
      </w:r>
      <w:r>
        <w:t xml:space="preserve">ных знаний и навыков. </w:t>
      </w:r>
    </w:p>
    <w:p w:rsidR="00000000" w:rsidRDefault="00000000">
      <w:pPr>
        <w:tabs>
          <w:tab w:val="left" w:pos="284"/>
        </w:tabs>
        <w:spacing w:after="220"/>
        <w:ind w:left="284" w:hanging="284"/>
      </w:pPr>
      <w:r>
        <w:tab/>
        <w:t>7.</w:t>
      </w:r>
      <w:r>
        <w:tab/>
        <w:t>Проведение консультаций для женщин с целью выработки у них способности защищать свои права п</w:t>
      </w:r>
      <w:r>
        <w:t>у</w:t>
      </w:r>
      <w:r>
        <w:t>тем обращения в федеральную и местную прокуратуру по вопросам охраны труда, а также в федеральные и мес</w:t>
      </w:r>
      <w:r>
        <w:t>т</w:t>
      </w:r>
      <w:r>
        <w:t xml:space="preserve">ные органы решения трудовых споров. </w:t>
      </w:r>
    </w:p>
    <w:p w:rsidR="00000000" w:rsidRDefault="00000000">
      <w:pPr>
        <w:tabs>
          <w:tab w:val="left" w:pos="284"/>
        </w:tabs>
        <w:spacing w:after="220"/>
        <w:ind w:left="284" w:hanging="284"/>
      </w:pPr>
      <w:r>
        <w:tab/>
        <w:t>8.</w:t>
      </w:r>
      <w:r>
        <w:tab/>
        <w:t>Меры по диверсификации предложения рабочей силы и регулирования ее рынка в целях преодоления различий в оплате труда при выполнении о</w:t>
      </w:r>
      <w:r>
        <w:t>п</w:t>
      </w:r>
      <w:r>
        <w:t xml:space="preserve">ределенного вида работ. </w:t>
      </w:r>
    </w:p>
    <w:p w:rsidR="00000000" w:rsidRDefault="00000000">
      <w:pPr>
        <w:pStyle w:val="5"/>
        <w:tabs>
          <w:tab w:val="left" w:pos="284"/>
          <w:tab w:val="left" w:pos="680"/>
        </w:tabs>
        <w:spacing w:after="220"/>
      </w:pPr>
      <w:r>
        <w:tab/>
        <w:t>9.</w:t>
      </w:r>
      <w:r>
        <w:tab/>
        <w:t>Борьба со стереотипами социальной роли женщины, закрывающими ей доступ к более высокооплач</w:t>
      </w:r>
      <w:r>
        <w:t>и</w:t>
      </w:r>
      <w:r>
        <w:t xml:space="preserve">ваемым видам деятельности. </w:t>
      </w:r>
    </w:p>
    <w:p w:rsidR="00000000" w:rsidRDefault="00000000">
      <w:pPr>
        <w:tabs>
          <w:tab w:val="left" w:pos="284"/>
        </w:tabs>
        <w:spacing w:after="220"/>
        <w:ind w:left="284" w:hanging="284"/>
      </w:pPr>
      <w:r>
        <w:tab/>
        <w:t>10.</w:t>
      </w:r>
      <w:r>
        <w:tab/>
        <w:t>Создание благоприятных условий для достижения согласия между работниками и работодателями по ряду юридических вопросов, что способствовало бы искоренению неравноправия женщин и мужчин в сфере труд</w:t>
      </w:r>
      <w:r>
        <w:t>о</w:t>
      </w:r>
      <w:r>
        <w:t xml:space="preserve">вых отношений. </w:t>
      </w:r>
    </w:p>
    <w:p w:rsidR="00000000" w:rsidRDefault="00000000">
      <w:pPr>
        <w:pStyle w:val="Heading3"/>
      </w:pPr>
      <w:r>
        <w:t xml:space="preserve">Расширение сферы занятости, профессионального обучения и повышение </w:t>
      </w:r>
      <w:r>
        <w:rPr>
          <w:noProof w:val="0"/>
          <w:lang w:val="ru-RU"/>
        </w:rPr>
        <w:br/>
      </w:r>
      <w:r>
        <w:t xml:space="preserve">производительности труда </w:t>
      </w:r>
    </w:p>
    <w:p w:rsidR="00000000" w:rsidRDefault="00000000">
      <w:r>
        <w:t>492.</w:t>
      </w:r>
      <w:r>
        <w:tab/>
        <w:t>Министерство труда и социального обеспечения, опираясь на подведомственную ему Национальную службу занятости, проводит работу по двум основным направлен</w:t>
      </w:r>
      <w:r>
        <w:t>и</w:t>
      </w:r>
      <w:r>
        <w:t xml:space="preserve">ям. </w:t>
      </w:r>
    </w:p>
    <w:p w:rsidR="00000000" w:rsidRDefault="00000000">
      <w:r>
        <w:t>493.</w:t>
      </w:r>
      <w:r>
        <w:tab/>
        <w:t>Первое направление заключается в том, чтобы своевременно и эффективно находить должное соответствие между потребностями работников в трудоустройстве с учетом знаний, навыков и опыта каждого и потребностями предприятий в рабочей силе. Для этого при Министерстве существует информационная система, позволяющая в</w:t>
      </w:r>
      <w:r>
        <w:t>ы</w:t>
      </w:r>
      <w:r>
        <w:t xml:space="preserve">являть и анализировать потребности предприятий в рабочей силе и изменения рынка труда в каждом из субъектов Федерации. </w:t>
      </w:r>
    </w:p>
    <w:p w:rsidR="00000000" w:rsidRDefault="00000000">
      <w:r>
        <w:t>494.</w:t>
      </w:r>
      <w:r>
        <w:tab/>
        <w:t>В течение 1998 года Национальная служба занятости рассмотрела 305 852 заявки лиц, ищущих работу, в том числе 131 706 заявок женщин (43,1 процента). Бóльшая часть женщин, подавших заявку, относились к возра</w:t>
      </w:r>
      <w:r>
        <w:t>с</w:t>
      </w:r>
      <w:r>
        <w:t xml:space="preserve">тной группе 20–29 лет (56,1 процента); вторую по числу заявок группу составляли женщины в возрасте 15–19 лет (20,6 процента) и третью – женщины в возрасте 30–39 лет (17,3 процента). </w:t>
      </w:r>
    </w:p>
    <w:p w:rsidR="00000000" w:rsidRDefault="00000000">
      <w:r>
        <w:t>495.</w:t>
      </w:r>
      <w:r>
        <w:tab/>
        <w:t>С 1995 по 1999 год было организовано 294 "ярмарки вакансий" с участием 15 637 предприятий. Были ра</w:t>
      </w:r>
      <w:r>
        <w:t>с</w:t>
      </w:r>
      <w:r>
        <w:t xml:space="preserve">смотрены 634 354 заявки о предоставлении работы и трудоустроено 203 477 безработных. С сентября </w:t>
      </w:r>
      <w:r>
        <w:br/>
        <w:t>1999 года по август 2000 года были проведены 133 подобных ярмарки, в ходе которых было объявлено о наличии 316 492 вака</w:t>
      </w:r>
      <w:r>
        <w:t>н</w:t>
      </w:r>
      <w:r>
        <w:t>сий на 8113 предприятиях; были приняты 285 060 заявок о предоставлении работы и трудоустроено 69 617 безр</w:t>
      </w:r>
      <w:r>
        <w:t>а</w:t>
      </w:r>
      <w:r>
        <w:t xml:space="preserve">ботных. В 1998 году 14 тыс. женщин предприняли попытку трудоустройства с помощью упомянутых ярмарок. </w:t>
      </w:r>
    </w:p>
    <w:p w:rsidR="00000000" w:rsidRDefault="00000000">
      <w:r>
        <w:t>496.</w:t>
      </w:r>
      <w:r>
        <w:tab/>
        <w:t>Национальная служба занятости ведет работу с женщинами, осуществляя так называемый проект модерн</w:t>
      </w:r>
      <w:r>
        <w:t>и</w:t>
      </w:r>
      <w:r>
        <w:t>зации рынка труда (ПММЛ), в рамках которого действуют службы занятости и центры профессиональной подг</w:t>
      </w:r>
      <w:r>
        <w:t>о</w:t>
      </w:r>
      <w:r>
        <w:t xml:space="preserve">товки, ориентирующиеся на конкретные группы населения. В 1998 году этим проектом было охвачено 189 143 женщины. </w:t>
      </w:r>
    </w:p>
    <w:p w:rsidR="00000000" w:rsidRDefault="00000000">
      <w:r>
        <w:t>497.</w:t>
      </w:r>
      <w:r>
        <w:tab/>
        <w:t>Второе направление представляет собой работу по организации профессионального обучения безработных и частично занятых лиц в целях оказания им помощи в трудоустройстве и повышении производительности их труда. Для этого было продолжено осуществление программы предоставления стипендий на цели профессиональной по</w:t>
      </w:r>
      <w:r>
        <w:t>д</w:t>
      </w:r>
      <w:r>
        <w:t>готовки лиц, не имеющих работы (ПРОБЕКАТ), организационными формами которой являются стационарное об</w:t>
      </w:r>
      <w:r>
        <w:t>у</w:t>
      </w:r>
      <w:r>
        <w:t>чение, комбинированное обучение и обучение на рабочем месте, и программы комплексного качества и модерниз</w:t>
      </w:r>
      <w:r>
        <w:t>а</w:t>
      </w:r>
      <w:r>
        <w:t>ции (СИМО), задачей которой является охрана труда и расширение сферы занятости, а также содействие созданию рабочих мест на производстве путем стимулирования развития потенциала экономически активного населения, занятого в малом и среднем бизнесе, повышения производительности и к</w:t>
      </w:r>
      <w:r>
        <w:t>а</w:t>
      </w:r>
      <w:r>
        <w:t xml:space="preserve">чества труда и конкурентоспособности. </w:t>
      </w:r>
    </w:p>
    <w:p w:rsidR="00000000" w:rsidRDefault="00000000">
      <w:r>
        <w:t>498.</w:t>
      </w:r>
      <w:r>
        <w:tab/>
        <w:t>В 2000 году Национальная служба занятости активизировала деятельность по координации запросов рабо</w:t>
      </w:r>
      <w:r>
        <w:t>т</w:t>
      </w:r>
      <w:r>
        <w:t>ников и работодателей, по консультированию лиц, ищущих работу, относительно ситуации на рынке труда, по ра</w:t>
      </w:r>
      <w:r>
        <w:t>з</w:t>
      </w:r>
      <w:r>
        <w:t>витию профессиональных знаний и навыков, а также по оказанию помощи предпринимателям, ищущим кандидатов на заполнение вакантных мест. Важнейшие из до</w:t>
      </w:r>
      <w:r>
        <w:t>с</w:t>
      </w:r>
      <w:r>
        <w:t xml:space="preserve">тигнутых результатов представлены ниже. </w:t>
      </w:r>
    </w:p>
    <w:p w:rsidR="00000000" w:rsidRDefault="00000000">
      <w:pPr>
        <w:jc w:val="center"/>
        <w:rPr>
          <w:b/>
        </w:rPr>
      </w:pPr>
      <w:r>
        <w:rPr>
          <w:b/>
        </w:rPr>
        <w:t>Профессиональное обучение, 1994–2000 годы</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296"/>
        <w:gridCol w:w="851"/>
        <w:gridCol w:w="851"/>
        <w:gridCol w:w="851"/>
        <w:gridCol w:w="851"/>
        <w:gridCol w:w="851"/>
        <w:gridCol w:w="851"/>
        <w:gridCol w:w="1418"/>
        <w:gridCol w:w="1418"/>
      </w:tblGrid>
      <w:tr w:rsidR="00000000">
        <w:tblPrEx>
          <w:tblCellMar>
            <w:top w:w="0" w:type="dxa"/>
            <w:bottom w:w="0" w:type="dxa"/>
          </w:tblCellMar>
        </w:tblPrEx>
        <w:trPr>
          <w:jc w:val="center"/>
        </w:trPr>
        <w:tc>
          <w:tcPr>
            <w:tcW w:w="2296" w:type="dxa"/>
            <w:vAlign w:val="center"/>
          </w:tcPr>
          <w:p w:rsidR="00000000" w:rsidRDefault="00000000">
            <w:pPr>
              <w:spacing w:before="60" w:after="60"/>
              <w:jc w:val="center"/>
              <w:rPr>
                <w:b/>
                <w:sz w:val="18"/>
              </w:rPr>
            </w:pPr>
            <w:r>
              <w:rPr>
                <w:b/>
                <w:sz w:val="18"/>
              </w:rPr>
              <w:t>Наименование</w:t>
            </w:r>
          </w:p>
        </w:tc>
        <w:tc>
          <w:tcPr>
            <w:tcW w:w="851" w:type="dxa"/>
            <w:vAlign w:val="center"/>
          </w:tcPr>
          <w:p w:rsidR="00000000" w:rsidRDefault="00000000">
            <w:pPr>
              <w:spacing w:before="60" w:after="60"/>
              <w:jc w:val="center"/>
              <w:rPr>
                <w:b/>
                <w:sz w:val="18"/>
              </w:rPr>
            </w:pPr>
            <w:r>
              <w:rPr>
                <w:b/>
                <w:sz w:val="18"/>
              </w:rPr>
              <w:t>1994 год</w:t>
            </w:r>
          </w:p>
        </w:tc>
        <w:tc>
          <w:tcPr>
            <w:tcW w:w="851" w:type="dxa"/>
            <w:vAlign w:val="center"/>
          </w:tcPr>
          <w:p w:rsidR="00000000" w:rsidRDefault="00000000">
            <w:pPr>
              <w:spacing w:before="60" w:after="60"/>
              <w:jc w:val="center"/>
              <w:rPr>
                <w:b/>
                <w:sz w:val="18"/>
              </w:rPr>
            </w:pPr>
            <w:r>
              <w:rPr>
                <w:b/>
                <w:sz w:val="18"/>
              </w:rPr>
              <w:t>1995 год</w:t>
            </w:r>
          </w:p>
        </w:tc>
        <w:tc>
          <w:tcPr>
            <w:tcW w:w="851" w:type="dxa"/>
            <w:vAlign w:val="center"/>
          </w:tcPr>
          <w:p w:rsidR="00000000" w:rsidRDefault="00000000">
            <w:pPr>
              <w:spacing w:before="60" w:after="60"/>
              <w:jc w:val="center"/>
              <w:rPr>
                <w:b/>
                <w:sz w:val="18"/>
              </w:rPr>
            </w:pPr>
            <w:r>
              <w:rPr>
                <w:b/>
                <w:sz w:val="18"/>
              </w:rPr>
              <w:t>1996 год</w:t>
            </w:r>
          </w:p>
        </w:tc>
        <w:tc>
          <w:tcPr>
            <w:tcW w:w="851" w:type="dxa"/>
            <w:vAlign w:val="center"/>
          </w:tcPr>
          <w:p w:rsidR="00000000" w:rsidRDefault="00000000">
            <w:pPr>
              <w:spacing w:before="60" w:after="60"/>
              <w:jc w:val="center"/>
              <w:rPr>
                <w:b/>
                <w:sz w:val="18"/>
              </w:rPr>
            </w:pPr>
            <w:r>
              <w:rPr>
                <w:b/>
                <w:sz w:val="18"/>
              </w:rPr>
              <w:t>1997 год</w:t>
            </w:r>
          </w:p>
        </w:tc>
        <w:tc>
          <w:tcPr>
            <w:tcW w:w="851" w:type="dxa"/>
            <w:vAlign w:val="center"/>
          </w:tcPr>
          <w:p w:rsidR="00000000" w:rsidRDefault="00000000">
            <w:pPr>
              <w:spacing w:before="60" w:after="60"/>
              <w:jc w:val="center"/>
              <w:rPr>
                <w:b/>
                <w:sz w:val="18"/>
              </w:rPr>
            </w:pPr>
            <w:r>
              <w:rPr>
                <w:b/>
                <w:sz w:val="18"/>
              </w:rPr>
              <w:t>1998 год</w:t>
            </w:r>
          </w:p>
        </w:tc>
        <w:tc>
          <w:tcPr>
            <w:tcW w:w="851" w:type="dxa"/>
            <w:vAlign w:val="center"/>
          </w:tcPr>
          <w:p w:rsidR="00000000" w:rsidRDefault="00000000">
            <w:pPr>
              <w:spacing w:before="60" w:after="60"/>
              <w:jc w:val="center"/>
              <w:rPr>
                <w:b/>
                <w:sz w:val="18"/>
              </w:rPr>
            </w:pPr>
            <w:r>
              <w:rPr>
                <w:b/>
                <w:sz w:val="18"/>
              </w:rPr>
              <w:t>1999 год</w:t>
            </w:r>
          </w:p>
        </w:tc>
        <w:tc>
          <w:tcPr>
            <w:tcW w:w="1418" w:type="dxa"/>
            <w:vAlign w:val="center"/>
          </w:tcPr>
          <w:p w:rsidR="00000000" w:rsidRDefault="00000000">
            <w:pPr>
              <w:spacing w:before="60" w:after="60"/>
              <w:jc w:val="center"/>
              <w:rPr>
                <w:b/>
                <w:sz w:val="18"/>
              </w:rPr>
            </w:pPr>
            <w:r>
              <w:rPr>
                <w:b/>
                <w:sz w:val="18"/>
              </w:rPr>
              <w:t>Сент. 1998 года/</w:t>
            </w:r>
            <w:r>
              <w:rPr>
                <w:b/>
                <w:sz w:val="18"/>
              </w:rPr>
              <w:br/>
              <w:t>авг. 1999 года</w:t>
            </w:r>
          </w:p>
        </w:tc>
        <w:tc>
          <w:tcPr>
            <w:tcW w:w="1418" w:type="dxa"/>
            <w:vAlign w:val="center"/>
          </w:tcPr>
          <w:p w:rsidR="00000000" w:rsidRDefault="00000000">
            <w:pPr>
              <w:spacing w:before="60" w:after="60"/>
              <w:jc w:val="center"/>
              <w:rPr>
                <w:b/>
                <w:sz w:val="18"/>
              </w:rPr>
            </w:pPr>
            <w:r>
              <w:rPr>
                <w:b/>
                <w:sz w:val="18"/>
              </w:rPr>
              <w:t>Сент. 1999 года/</w:t>
            </w:r>
            <w:r>
              <w:rPr>
                <w:b/>
                <w:sz w:val="18"/>
              </w:rPr>
              <w:br/>
              <w:t>авг. 2000 года</w:t>
            </w:r>
            <w:r>
              <w:rPr>
                <w:b/>
                <w:sz w:val="18"/>
                <w:vertAlign w:val="superscript"/>
              </w:rPr>
              <w:t>1</w:t>
            </w:r>
          </w:p>
        </w:tc>
      </w:tr>
      <w:tr w:rsidR="00000000">
        <w:tblPrEx>
          <w:tblCellMar>
            <w:top w:w="0" w:type="dxa"/>
            <w:bottom w:w="0" w:type="dxa"/>
          </w:tblCellMar>
        </w:tblPrEx>
        <w:trPr>
          <w:jc w:val="center"/>
        </w:trPr>
        <w:tc>
          <w:tcPr>
            <w:tcW w:w="2296" w:type="dxa"/>
            <w:vAlign w:val="bottom"/>
          </w:tcPr>
          <w:p w:rsidR="00000000" w:rsidRDefault="00000000">
            <w:pPr>
              <w:pStyle w:val="a2"/>
              <w:spacing w:before="60" w:after="60"/>
              <w:rPr>
                <w:sz w:val="20"/>
              </w:rPr>
            </w:pPr>
            <w:r>
              <w:rPr>
                <w:sz w:val="20"/>
              </w:rPr>
              <w:t>Стипендии на профес-</w:t>
            </w:r>
            <w:r>
              <w:rPr>
                <w:sz w:val="20"/>
              </w:rPr>
              <w:br/>
              <w:t>си</w:t>
            </w:r>
            <w:r>
              <w:rPr>
                <w:sz w:val="20"/>
              </w:rPr>
              <w:t>о</w:t>
            </w:r>
            <w:r>
              <w:rPr>
                <w:sz w:val="20"/>
              </w:rPr>
              <w:t>нальное обучение безрабо</w:t>
            </w:r>
            <w:r>
              <w:rPr>
                <w:sz w:val="20"/>
              </w:rPr>
              <w:t>т</w:t>
            </w:r>
            <w:r>
              <w:rPr>
                <w:sz w:val="20"/>
              </w:rPr>
              <w:t>ных (по линии ПРОБЕКАТ)</w:t>
            </w:r>
          </w:p>
        </w:tc>
        <w:tc>
          <w:tcPr>
            <w:tcW w:w="851" w:type="dxa"/>
            <w:vAlign w:val="bottom"/>
          </w:tcPr>
          <w:p w:rsidR="00000000" w:rsidRDefault="00000000">
            <w:pPr>
              <w:spacing w:before="60" w:after="60"/>
              <w:ind w:right="57"/>
              <w:jc w:val="right"/>
            </w:pPr>
            <w:r>
              <w:t>198 864</w:t>
            </w:r>
          </w:p>
        </w:tc>
        <w:tc>
          <w:tcPr>
            <w:tcW w:w="851" w:type="dxa"/>
            <w:vAlign w:val="bottom"/>
          </w:tcPr>
          <w:p w:rsidR="00000000" w:rsidRDefault="00000000">
            <w:pPr>
              <w:spacing w:before="60" w:after="60"/>
              <w:ind w:right="57"/>
              <w:jc w:val="right"/>
            </w:pPr>
            <w:r>
              <w:t>410 323</w:t>
            </w:r>
          </w:p>
        </w:tc>
        <w:tc>
          <w:tcPr>
            <w:tcW w:w="851" w:type="dxa"/>
            <w:vAlign w:val="bottom"/>
          </w:tcPr>
          <w:p w:rsidR="00000000" w:rsidRDefault="00000000">
            <w:pPr>
              <w:spacing w:before="60" w:after="60"/>
              <w:ind w:right="57"/>
              <w:jc w:val="right"/>
            </w:pPr>
            <w:r>
              <w:t>537 392</w:t>
            </w:r>
          </w:p>
        </w:tc>
        <w:tc>
          <w:tcPr>
            <w:tcW w:w="851" w:type="dxa"/>
            <w:vAlign w:val="bottom"/>
          </w:tcPr>
          <w:p w:rsidR="00000000" w:rsidRDefault="00000000">
            <w:pPr>
              <w:spacing w:before="60" w:after="60"/>
              <w:ind w:right="57"/>
              <w:jc w:val="right"/>
            </w:pPr>
            <w:r>
              <w:t>551 581</w:t>
            </w:r>
          </w:p>
        </w:tc>
        <w:tc>
          <w:tcPr>
            <w:tcW w:w="851" w:type="dxa"/>
            <w:vAlign w:val="bottom"/>
          </w:tcPr>
          <w:p w:rsidR="00000000" w:rsidRDefault="00000000">
            <w:pPr>
              <w:spacing w:before="60" w:after="60"/>
              <w:ind w:right="57"/>
              <w:jc w:val="right"/>
            </w:pPr>
            <w:r>
              <w:t>493 170</w:t>
            </w:r>
          </w:p>
        </w:tc>
        <w:tc>
          <w:tcPr>
            <w:tcW w:w="851" w:type="dxa"/>
            <w:vAlign w:val="bottom"/>
          </w:tcPr>
          <w:p w:rsidR="00000000" w:rsidRDefault="00000000">
            <w:pPr>
              <w:spacing w:before="60" w:after="60"/>
              <w:ind w:right="57"/>
              <w:jc w:val="right"/>
            </w:pPr>
            <w:r>
              <w:t>543 959</w:t>
            </w:r>
          </w:p>
        </w:tc>
        <w:tc>
          <w:tcPr>
            <w:tcW w:w="1418" w:type="dxa"/>
            <w:vAlign w:val="bottom"/>
          </w:tcPr>
          <w:p w:rsidR="00000000" w:rsidRDefault="00000000">
            <w:pPr>
              <w:spacing w:before="60" w:after="60"/>
              <w:ind w:right="397"/>
              <w:jc w:val="right"/>
            </w:pPr>
            <w:r>
              <w:t>2 927</w:t>
            </w:r>
          </w:p>
        </w:tc>
        <w:tc>
          <w:tcPr>
            <w:tcW w:w="1418" w:type="dxa"/>
            <w:vAlign w:val="bottom"/>
          </w:tcPr>
          <w:p w:rsidR="00000000" w:rsidRDefault="00000000">
            <w:pPr>
              <w:spacing w:before="60" w:after="60"/>
              <w:ind w:right="397"/>
              <w:jc w:val="right"/>
            </w:pPr>
            <w:r>
              <w:t>616 691</w:t>
            </w:r>
          </w:p>
        </w:tc>
      </w:tr>
      <w:tr w:rsidR="00000000">
        <w:tblPrEx>
          <w:tblCellMar>
            <w:top w:w="0" w:type="dxa"/>
            <w:bottom w:w="0" w:type="dxa"/>
          </w:tblCellMar>
        </w:tblPrEx>
        <w:trPr>
          <w:jc w:val="center"/>
        </w:trPr>
        <w:tc>
          <w:tcPr>
            <w:tcW w:w="2296" w:type="dxa"/>
            <w:vAlign w:val="bottom"/>
          </w:tcPr>
          <w:p w:rsidR="00000000" w:rsidRDefault="00000000">
            <w:pPr>
              <w:spacing w:before="60" w:after="60"/>
            </w:pPr>
            <w:r>
              <w:t xml:space="preserve">Стипендии на повышение квалификации </w:t>
            </w:r>
            <w:r>
              <w:rPr>
                <w:vertAlign w:val="superscript"/>
              </w:rPr>
              <w:t>2</w:t>
            </w:r>
          </w:p>
        </w:tc>
        <w:tc>
          <w:tcPr>
            <w:tcW w:w="851" w:type="dxa"/>
            <w:vAlign w:val="bottom"/>
          </w:tcPr>
          <w:p w:rsidR="00000000" w:rsidRDefault="00000000">
            <w:pPr>
              <w:spacing w:before="60" w:after="60"/>
              <w:ind w:right="57"/>
              <w:jc w:val="right"/>
            </w:pPr>
          </w:p>
        </w:tc>
        <w:tc>
          <w:tcPr>
            <w:tcW w:w="851" w:type="dxa"/>
            <w:vAlign w:val="bottom"/>
          </w:tcPr>
          <w:p w:rsidR="00000000" w:rsidRDefault="00000000">
            <w:pPr>
              <w:spacing w:before="60" w:after="60"/>
              <w:ind w:right="57"/>
              <w:jc w:val="right"/>
            </w:pPr>
            <w:r>
              <w:t>1 995</w:t>
            </w:r>
          </w:p>
        </w:tc>
        <w:tc>
          <w:tcPr>
            <w:tcW w:w="851" w:type="dxa"/>
            <w:vAlign w:val="bottom"/>
          </w:tcPr>
          <w:p w:rsidR="00000000" w:rsidRDefault="00000000">
            <w:pPr>
              <w:spacing w:before="60" w:after="60"/>
              <w:ind w:right="57"/>
              <w:jc w:val="right"/>
            </w:pPr>
            <w:r>
              <w:t>6 634</w:t>
            </w:r>
          </w:p>
        </w:tc>
        <w:tc>
          <w:tcPr>
            <w:tcW w:w="851" w:type="dxa"/>
            <w:vAlign w:val="bottom"/>
          </w:tcPr>
          <w:p w:rsidR="00000000" w:rsidRDefault="00000000">
            <w:pPr>
              <w:spacing w:before="60" w:after="60"/>
              <w:ind w:right="57"/>
              <w:jc w:val="right"/>
            </w:pPr>
            <w:r>
              <w:t>12 071</w:t>
            </w:r>
          </w:p>
        </w:tc>
        <w:tc>
          <w:tcPr>
            <w:tcW w:w="851" w:type="dxa"/>
            <w:vAlign w:val="bottom"/>
          </w:tcPr>
          <w:p w:rsidR="00000000" w:rsidRDefault="00000000">
            <w:pPr>
              <w:spacing w:before="60" w:after="60"/>
              <w:ind w:right="57"/>
              <w:jc w:val="right"/>
            </w:pPr>
            <w:r>
              <w:t>13 490</w:t>
            </w:r>
          </w:p>
        </w:tc>
        <w:tc>
          <w:tcPr>
            <w:tcW w:w="851" w:type="dxa"/>
            <w:vAlign w:val="bottom"/>
          </w:tcPr>
          <w:p w:rsidR="00000000" w:rsidRDefault="00000000">
            <w:pPr>
              <w:spacing w:before="60" w:after="60"/>
              <w:ind w:right="57"/>
              <w:jc w:val="right"/>
            </w:pPr>
            <w:r>
              <w:t>8 227</w:t>
            </w:r>
          </w:p>
        </w:tc>
        <w:tc>
          <w:tcPr>
            <w:tcW w:w="1418" w:type="dxa"/>
            <w:vAlign w:val="bottom"/>
          </w:tcPr>
          <w:p w:rsidR="00000000" w:rsidRDefault="00000000">
            <w:pPr>
              <w:spacing w:before="60" w:after="60"/>
              <w:ind w:right="397"/>
              <w:jc w:val="right"/>
            </w:pPr>
            <w:r>
              <w:t>4 889</w:t>
            </w:r>
          </w:p>
        </w:tc>
        <w:tc>
          <w:tcPr>
            <w:tcW w:w="1418" w:type="dxa"/>
            <w:vAlign w:val="bottom"/>
          </w:tcPr>
          <w:p w:rsidR="00000000" w:rsidRDefault="00000000">
            <w:pPr>
              <w:spacing w:before="60" w:after="60"/>
              <w:ind w:right="397"/>
              <w:jc w:val="right"/>
            </w:pPr>
            <w:r>
              <w:t>20 518</w:t>
            </w:r>
          </w:p>
        </w:tc>
      </w:tr>
    </w:tbl>
    <w:p w:rsidR="00000000" w:rsidRDefault="00000000">
      <w:pPr>
        <w:pStyle w:val="a2"/>
        <w:spacing w:before="120"/>
      </w:pPr>
      <w:r>
        <w:rPr>
          <w:vertAlign w:val="superscript"/>
        </w:rPr>
        <w:t>1</w:t>
      </w:r>
      <w:r>
        <w:t xml:space="preserve"> Оценка.</w:t>
      </w:r>
    </w:p>
    <w:p w:rsidR="00000000" w:rsidRDefault="00000000">
      <w:pPr>
        <w:pStyle w:val="a2"/>
      </w:pPr>
      <w:r>
        <w:rPr>
          <w:vertAlign w:val="superscript"/>
        </w:rPr>
        <w:t>2</w:t>
      </w:r>
      <w:r>
        <w:t xml:space="preserve"> Стипендии, выделенные по проекту модернизации профессионально-технического обучения.</w:t>
      </w:r>
    </w:p>
    <w:p w:rsidR="00000000" w:rsidRDefault="00000000">
      <w:pPr>
        <w:pStyle w:val="a2"/>
      </w:pPr>
      <w:r>
        <w:t>Источник: Министерство труда и социального обеспечения.</w:t>
      </w:r>
    </w:p>
    <w:p w:rsidR="00000000" w:rsidRDefault="00000000">
      <w:pPr>
        <w:pStyle w:val="a2"/>
      </w:pPr>
      <w:r>
        <w:t xml:space="preserve">* Данных с разбивкой по полу не имеется. </w:t>
      </w:r>
    </w:p>
    <w:p w:rsidR="00000000" w:rsidRDefault="00000000">
      <w:pPr>
        <w:pStyle w:val="Heading3"/>
        <w:spacing w:before="480"/>
      </w:pPr>
      <w:r>
        <w:t xml:space="preserve">Программа предоставления стипендий на цели профессиональной подготовки лиц, не имеющих работы (ПРОБЕКАТ) </w:t>
      </w:r>
    </w:p>
    <w:p w:rsidR="00000000" w:rsidRDefault="00000000">
      <w:r>
        <w:t>499.</w:t>
      </w:r>
      <w:r>
        <w:tab/>
        <w:t>Цель программы предоставления стипендий на цели профессиональной подготовки лиц, не имеющих работы (ПРОБЕКАТ), – помочь безработным в развитии их профессиональных знаний и навыков путем организации ку</w:t>
      </w:r>
      <w:r>
        <w:t>р</w:t>
      </w:r>
      <w:r>
        <w:t xml:space="preserve">сов профессиональной подготовки и предоставления желающим стипендии в размере одной минимальной заработной платы на все время обучения на курсах. С 1995 по 1999 год стипендиатами программы ежегодно являлись в среднем 515 768 человек, то есть в 5,4 раза больше, чем в период </w:t>
      </w:r>
      <w:r>
        <w:br/>
        <w:t xml:space="preserve">1990–1994 годов. </w:t>
      </w:r>
    </w:p>
    <w:p w:rsidR="00000000" w:rsidRDefault="00000000">
      <w:r>
        <w:t>500.</w:t>
      </w:r>
      <w:r>
        <w:tab/>
        <w:t>В период с сентября 1999 года по август 2000 года по линии ПРОБЕКАТ, а также в рамках программ предо</w:t>
      </w:r>
      <w:r>
        <w:t>с</w:t>
      </w:r>
      <w:r>
        <w:t>тавления стипендий на повышение квалификации были организованы курсы профессионального обучения для бе</w:t>
      </w:r>
      <w:r>
        <w:t>з</w:t>
      </w:r>
      <w:r>
        <w:t>работных общей продолжительностью в 28 069 учебных часов, на которых прошли подготовку 637 209 человек. Это означает, что общий объем обучающихся на курсах вырос на 28,7 процента, а число стипендиатов – на 30,6 процента по сравнению с пред</w:t>
      </w:r>
      <w:r>
        <w:t>ы</w:t>
      </w:r>
      <w:r>
        <w:t xml:space="preserve">дущим годом. </w:t>
      </w:r>
    </w:p>
    <w:p w:rsidR="00000000" w:rsidRDefault="00000000">
      <w:r>
        <w:t>501.</w:t>
      </w:r>
      <w:r>
        <w:tab/>
        <w:t xml:space="preserve">Из общего числа стипендий, предоставленных в период с сентября 1999 года по август 2000 года, </w:t>
      </w:r>
      <w:r>
        <w:br/>
        <w:t>21,4 пр</w:t>
      </w:r>
      <w:r>
        <w:t>о</w:t>
      </w:r>
      <w:r>
        <w:t>цента были выделены слушателям курсов стационарной формы обучения; 40,2 процента – слушателям курсов с комбинированной формой обучения, то есть обучения, ведущегося в непосредственном контакте с предприятиями, имеющими вакансии по определенным специальностям; и 35,2 процента – слушателям курсов поддержки местных инициатив. Последние создаются с целью стимулировать индивидуальную трудовую деятельность населения, ок</w:t>
      </w:r>
      <w:r>
        <w:t>а</w:t>
      </w:r>
      <w:r>
        <w:t>зывать поддержку работникам с низким уровнем доходов, занятым в таких секторах, как социальное обеспечение, сельское хозяйство и здравоохранение. Наконец, 3,2 процента стипендий были выделены для курсов по повыш</w:t>
      </w:r>
      <w:r>
        <w:t>е</w:t>
      </w:r>
      <w:r>
        <w:t>нию квалификации; учебный процесс на этих курсах базировался на квалификационных те</w:t>
      </w:r>
      <w:r>
        <w:t>х</w:t>
      </w:r>
      <w:r>
        <w:t xml:space="preserve">нических нормативах. </w:t>
      </w:r>
    </w:p>
    <w:p w:rsidR="00000000" w:rsidRDefault="00000000">
      <w:r>
        <w:t>502.</w:t>
      </w:r>
      <w:r>
        <w:tab/>
        <w:t xml:space="preserve">В 1998 году на курсах профессионального обучения по линии ПРОБЕКАТ получили подготовку </w:t>
      </w:r>
      <w:r>
        <w:br/>
        <w:t>291 071 женщина, что составляет 51 процент от общего числа стипендиатов. Среди получателей стипендий, выделенных в целях стимулирования частного предпринимательства, женщины составили 67 процентов. Кроме того, по линии ПРОБЕКАТ была оказана помощь учреждениям здравоохранения в профессиональной подготовке персонала в ц</w:t>
      </w:r>
      <w:r>
        <w:t>е</w:t>
      </w:r>
      <w:r>
        <w:t>лях улучшения медицинского обслуживания, причем среди получателей стипендий преобладали женщины, прож</w:t>
      </w:r>
      <w:r>
        <w:t>и</w:t>
      </w:r>
      <w:r>
        <w:t>вающие в сельской местности или в рабочих кварталах городов, традиционно занимающиеся оказанием первой мед</w:t>
      </w:r>
      <w:r>
        <w:t>и</w:t>
      </w:r>
      <w:r>
        <w:t xml:space="preserve">цинской помощи. </w:t>
      </w:r>
    </w:p>
    <w:p w:rsidR="00000000" w:rsidRDefault="00000000">
      <w:r>
        <w:t>503.</w:t>
      </w:r>
      <w:r>
        <w:tab/>
        <w:t xml:space="preserve">В 1999 году стипендии получили 317 245 женщин, то есть 57 процентов от общего числа стипендиатов. </w:t>
      </w:r>
      <w:r>
        <w:br/>
        <w:t>В 2000 году стипендии получили 233 226 женщин, то есть 58 процентов общего чи</w:t>
      </w:r>
      <w:r>
        <w:t>с</w:t>
      </w:r>
      <w:r>
        <w:t xml:space="preserve">ла стипендиатов. </w:t>
      </w:r>
    </w:p>
    <w:p w:rsidR="00000000" w:rsidRDefault="00000000">
      <w:pPr>
        <w:pStyle w:val="Header"/>
        <w:tabs>
          <w:tab w:val="clear" w:pos="4677"/>
          <w:tab w:val="clear" w:pos="9355"/>
        </w:tabs>
        <w:spacing w:after="0"/>
      </w:pPr>
    </w:p>
    <w:p w:rsidR="00000000" w:rsidRDefault="00000000">
      <w:pPr>
        <w:jc w:val="center"/>
        <w:rPr>
          <w:b/>
        </w:rPr>
      </w:pPr>
      <w:r>
        <w:rPr>
          <w:b/>
        </w:rPr>
        <w:t>Число стипендий, предоставленных по линии ПРОБЕКАТ, с разбивкой по форме обучения,</w:t>
      </w:r>
      <w:r>
        <w:rPr>
          <w:b/>
        </w:rPr>
        <w:br/>
        <w:t>1994–2000 годы</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588"/>
        <w:gridCol w:w="851"/>
        <w:gridCol w:w="851"/>
        <w:gridCol w:w="851"/>
        <w:gridCol w:w="851"/>
        <w:gridCol w:w="851"/>
        <w:gridCol w:w="851"/>
        <w:gridCol w:w="907"/>
        <w:gridCol w:w="1418"/>
        <w:gridCol w:w="1418"/>
      </w:tblGrid>
      <w:tr w:rsidR="00000000">
        <w:tblPrEx>
          <w:tblCellMar>
            <w:top w:w="0" w:type="dxa"/>
            <w:bottom w:w="0" w:type="dxa"/>
          </w:tblCellMar>
        </w:tblPrEx>
        <w:trPr>
          <w:jc w:val="center"/>
        </w:trPr>
        <w:tc>
          <w:tcPr>
            <w:tcW w:w="1588" w:type="dxa"/>
            <w:vAlign w:val="center"/>
          </w:tcPr>
          <w:p w:rsidR="00000000" w:rsidRDefault="00000000">
            <w:pPr>
              <w:pStyle w:val="a1"/>
              <w:rPr>
                <w:b/>
                <w:sz w:val="18"/>
              </w:rPr>
            </w:pPr>
            <w:r>
              <w:rPr>
                <w:b/>
                <w:sz w:val="18"/>
              </w:rPr>
              <w:t>Наименование</w:t>
            </w:r>
          </w:p>
        </w:tc>
        <w:tc>
          <w:tcPr>
            <w:tcW w:w="851" w:type="dxa"/>
            <w:vAlign w:val="center"/>
          </w:tcPr>
          <w:p w:rsidR="00000000" w:rsidRDefault="00000000">
            <w:pPr>
              <w:pStyle w:val="a1"/>
              <w:rPr>
                <w:b/>
                <w:sz w:val="18"/>
              </w:rPr>
            </w:pPr>
            <w:r>
              <w:rPr>
                <w:b/>
                <w:sz w:val="18"/>
              </w:rPr>
              <w:t>1994 год</w:t>
            </w:r>
          </w:p>
        </w:tc>
        <w:tc>
          <w:tcPr>
            <w:tcW w:w="851" w:type="dxa"/>
            <w:vAlign w:val="center"/>
          </w:tcPr>
          <w:p w:rsidR="00000000" w:rsidRDefault="00000000">
            <w:pPr>
              <w:pStyle w:val="a1"/>
              <w:rPr>
                <w:b/>
                <w:sz w:val="18"/>
              </w:rPr>
            </w:pPr>
            <w:r>
              <w:rPr>
                <w:b/>
                <w:sz w:val="18"/>
              </w:rPr>
              <w:t>1995 год</w:t>
            </w:r>
          </w:p>
        </w:tc>
        <w:tc>
          <w:tcPr>
            <w:tcW w:w="851" w:type="dxa"/>
            <w:vAlign w:val="center"/>
          </w:tcPr>
          <w:p w:rsidR="00000000" w:rsidRDefault="00000000">
            <w:pPr>
              <w:pStyle w:val="a1"/>
              <w:rPr>
                <w:b/>
                <w:sz w:val="18"/>
              </w:rPr>
            </w:pPr>
            <w:r>
              <w:rPr>
                <w:b/>
                <w:sz w:val="18"/>
              </w:rPr>
              <w:t>1996 год</w:t>
            </w:r>
          </w:p>
        </w:tc>
        <w:tc>
          <w:tcPr>
            <w:tcW w:w="851" w:type="dxa"/>
            <w:vAlign w:val="center"/>
          </w:tcPr>
          <w:p w:rsidR="00000000" w:rsidRDefault="00000000">
            <w:pPr>
              <w:pStyle w:val="a1"/>
              <w:rPr>
                <w:b/>
                <w:sz w:val="18"/>
              </w:rPr>
            </w:pPr>
            <w:r>
              <w:rPr>
                <w:b/>
                <w:sz w:val="18"/>
              </w:rPr>
              <w:t>1997 год</w:t>
            </w:r>
          </w:p>
        </w:tc>
        <w:tc>
          <w:tcPr>
            <w:tcW w:w="851" w:type="dxa"/>
            <w:vAlign w:val="center"/>
          </w:tcPr>
          <w:p w:rsidR="00000000" w:rsidRDefault="00000000">
            <w:pPr>
              <w:pStyle w:val="a1"/>
              <w:rPr>
                <w:b/>
                <w:sz w:val="18"/>
              </w:rPr>
            </w:pPr>
            <w:r>
              <w:rPr>
                <w:b/>
                <w:sz w:val="18"/>
              </w:rPr>
              <w:t>1998 год</w:t>
            </w:r>
          </w:p>
        </w:tc>
        <w:tc>
          <w:tcPr>
            <w:tcW w:w="851" w:type="dxa"/>
            <w:vAlign w:val="center"/>
          </w:tcPr>
          <w:p w:rsidR="00000000" w:rsidRDefault="00000000">
            <w:pPr>
              <w:pStyle w:val="a1"/>
              <w:rPr>
                <w:b/>
                <w:sz w:val="18"/>
              </w:rPr>
            </w:pPr>
            <w:r>
              <w:rPr>
                <w:b/>
                <w:sz w:val="18"/>
              </w:rPr>
              <w:t>1999 год</w:t>
            </w:r>
          </w:p>
        </w:tc>
        <w:tc>
          <w:tcPr>
            <w:tcW w:w="907" w:type="dxa"/>
            <w:vAlign w:val="center"/>
          </w:tcPr>
          <w:p w:rsidR="00000000" w:rsidRDefault="00000000">
            <w:pPr>
              <w:pStyle w:val="a1"/>
              <w:jc w:val="center"/>
              <w:rPr>
                <w:b/>
                <w:sz w:val="18"/>
              </w:rPr>
            </w:pPr>
            <w:r>
              <w:rPr>
                <w:b/>
                <w:sz w:val="18"/>
              </w:rPr>
              <w:t>2000 год</w:t>
            </w:r>
            <w:r>
              <w:rPr>
                <w:b/>
                <w:sz w:val="18"/>
                <w:vertAlign w:val="superscript"/>
              </w:rPr>
              <w:t>1</w:t>
            </w:r>
          </w:p>
        </w:tc>
        <w:tc>
          <w:tcPr>
            <w:tcW w:w="1418" w:type="dxa"/>
            <w:vAlign w:val="center"/>
          </w:tcPr>
          <w:p w:rsidR="00000000" w:rsidRDefault="00000000">
            <w:pPr>
              <w:pStyle w:val="a1"/>
              <w:jc w:val="center"/>
              <w:rPr>
                <w:b/>
                <w:sz w:val="18"/>
              </w:rPr>
            </w:pPr>
            <w:r>
              <w:rPr>
                <w:b/>
                <w:sz w:val="18"/>
              </w:rPr>
              <w:t>Сент. 1998 года/</w:t>
            </w:r>
            <w:r>
              <w:rPr>
                <w:b/>
                <w:sz w:val="18"/>
              </w:rPr>
              <w:br/>
              <w:t>авг. 1999 года</w:t>
            </w:r>
          </w:p>
        </w:tc>
        <w:tc>
          <w:tcPr>
            <w:tcW w:w="1418" w:type="dxa"/>
            <w:vAlign w:val="center"/>
          </w:tcPr>
          <w:p w:rsidR="00000000" w:rsidRDefault="00000000">
            <w:pPr>
              <w:pStyle w:val="a1"/>
              <w:jc w:val="center"/>
              <w:rPr>
                <w:b/>
                <w:sz w:val="18"/>
              </w:rPr>
            </w:pPr>
            <w:r>
              <w:rPr>
                <w:b/>
                <w:sz w:val="18"/>
              </w:rPr>
              <w:t>Сент. 1999 года/</w:t>
            </w:r>
            <w:r>
              <w:rPr>
                <w:b/>
                <w:sz w:val="18"/>
              </w:rPr>
              <w:br/>
              <w:t>авг. 2000 года</w:t>
            </w:r>
            <w:r>
              <w:rPr>
                <w:b/>
                <w:sz w:val="18"/>
                <w:vertAlign w:val="superscript"/>
              </w:rPr>
              <w:t>2</w:t>
            </w:r>
          </w:p>
        </w:tc>
      </w:tr>
      <w:tr w:rsidR="00000000">
        <w:tblPrEx>
          <w:tblCellMar>
            <w:top w:w="0" w:type="dxa"/>
            <w:bottom w:w="0" w:type="dxa"/>
          </w:tblCellMar>
        </w:tblPrEx>
        <w:trPr>
          <w:jc w:val="center"/>
        </w:trPr>
        <w:tc>
          <w:tcPr>
            <w:tcW w:w="1588" w:type="dxa"/>
          </w:tcPr>
          <w:p w:rsidR="00000000" w:rsidRDefault="00000000">
            <w:pPr>
              <w:pStyle w:val="a1"/>
              <w:rPr>
                <w:b/>
                <w:sz w:val="18"/>
              </w:rPr>
            </w:pPr>
            <w:r>
              <w:rPr>
                <w:b/>
                <w:sz w:val="18"/>
              </w:rPr>
              <w:t>Стипендии</w:t>
            </w:r>
          </w:p>
        </w:tc>
        <w:tc>
          <w:tcPr>
            <w:tcW w:w="851" w:type="dxa"/>
            <w:vAlign w:val="bottom"/>
          </w:tcPr>
          <w:p w:rsidR="00000000" w:rsidRDefault="00000000">
            <w:pPr>
              <w:pStyle w:val="a1"/>
              <w:ind w:right="85"/>
              <w:jc w:val="right"/>
              <w:rPr>
                <w:b/>
                <w:sz w:val="18"/>
              </w:rPr>
            </w:pPr>
            <w:r>
              <w:rPr>
                <w:b/>
                <w:sz w:val="18"/>
              </w:rPr>
              <w:t>198 864</w:t>
            </w:r>
          </w:p>
        </w:tc>
        <w:tc>
          <w:tcPr>
            <w:tcW w:w="851" w:type="dxa"/>
            <w:vAlign w:val="bottom"/>
          </w:tcPr>
          <w:p w:rsidR="00000000" w:rsidRDefault="00000000">
            <w:pPr>
              <w:pStyle w:val="a1"/>
              <w:ind w:right="85"/>
              <w:jc w:val="right"/>
              <w:rPr>
                <w:b/>
                <w:sz w:val="18"/>
              </w:rPr>
            </w:pPr>
            <w:r>
              <w:rPr>
                <w:b/>
                <w:sz w:val="18"/>
              </w:rPr>
              <w:t>412 318</w:t>
            </w:r>
          </w:p>
        </w:tc>
        <w:tc>
          <w:tcPr>
            <w:tcW w:w="851" w:type="dxa"/>
            <w:vAlign w:val="bottom"/>
          </w:tcPr>
          <w:p w:rsidR="00000000" w:rsidRDefault="00000000">
            <w:pPr>
              <w:pStyle w:val="a1"/>
              <w:ind w:right="85"/>
              <w:jc w:val="right"/>
              <w:rPr>
                <w:b/>
                <w:sz w:val="18"/>
              </w:rPr>
            </w:pPr>
            <w:r>
              <w:rPr>
                <w:b/>
                <w:sz w:val="18"/>
              </w:rPr>
              <w:t>544 026</w:t>
            </w:r>
          </w:p>
        </w:tc>
        <w:tc>
          <w:tcPr>
            <w:tcW w:w="851" w:type="dxa"/>
            <w:vAlign w:val="bottom"/>
          </w:tcPr>
          <w:p w:rsidR="00000000" w:rsidRDefault="00000000">
            <w:pPr>
              <w:pStyle w:val="a1"/>
              <w:ind w:right="85"/>
              <w:jc w:val="right"/>
              <w:rPr>
                <w:b/>
                <w:sz w:val="18"/>
              </w:rPr>
            </w:pPr>
            <w:r>
              <w:rPr>
                <w:b/>
                <w:sz w:val="18"/>
              </w:rPr>
              <w:t>563 652</w:t>
            </w:r>
          </w:p>
        </w:tc>
        <w:tc>
          <w:tcPr>
            <w:tcW w:w="851" w:type="dxa"/>
            <w:vAlign w:val="bottom"/>
          </w:tcPr>
          <w:p w:rsidR="00000000" w:rsidRDefault="00000000">
            <w:pPr>
              <w:pStyle w:val="a1"/>
              <w:ind w:right="85"/>
              <w:jc w:val="right"/>
              <w:rPr>
                <w:b/>
                <w:sz w:val="18"/>
              </w:rPr>
            </w:pPr>
            <w:r>
              <w:rPr>
                <w:b/>
                <w:sz w:val="18"/>
              </w:rPr>
              <w:t>506 660</w:t>
            </w:r>
          </w:p>
        </w:tc>
        <w:tc>
          <w:tcPr>
            <w:tcW w:w="851" w:type="dxa"/>
            <w:vAlign w:val="bottom"/>
          </w:tcPr>
          <w:p w:rsidR="00000000" w:rsidRDefault="00000000">
            <w:pPr>
              <w:pStyle w:val="a1"/>
              <w:ind w:right="85"/>
              <w:jc w:val="right"/>
              <w:rPr>
                <w:b/>
                <w:sz w:val="18"/>
              </w:rPr>
            </w:pPr>
            <w:r>
              <w:rPr>
                <w:b/>
                <w:sz w:val="18"/>
              </w:rPr>
              <w:t>552 186</w:t>
            </w:r>
          </w:p>
        </w:tc>
        <w:tc>
          <w:tcPr>
            <w:tcW w:w="907" w:type="dxa"/>
            <w:vAlign w:val="bottom"/>
          </w:tcPr>
          <w:p w:rsidR="00000000" w:rsidRDefault="00000000">
            <w:pPr>
              <w:pStyle w:val="a1"/>
              <w:ind w:right="85"/>
              <w:jc w:val="right"/>
              <w:rPr>
                <w:b/>
                <w:sz w:val="18"/>
              </w:rPr>
            </w:pPr>
            <w:r>
              <w:rPr>
                <w:b/>
                <w:sz w:val="18"/>
              </w:rPr>
              <w:t>339 526</w:t>
            </w:r>
          </w:p>
        </w:tc>
        <w:tc>
          <w:tcPr>
            <w:tcW w:w="1418" w:type="dxa"/>
            <w:vAlign w:val="bottom"/>
          </w:tcPr>
          <w:p w:rsidR="00000000" w:rsidRDefault="00000000">
            <w:pPr>
              <w:pStyle w:val="a1"/>
              <w:ind w:right="397"/>
              <w:jc w:val="right"/>
              <w:rPr>
                <w:b/>
                <w:sz w:val="18"/>
              </w:rPr>
            </w:pPr>
            <w:r>
              <w:rPr>
                <w:b/>
                <w:sz w:val="18"/>
              </w:rPr>
              <w:t>487 816</w:t>
            </w:r>
          </w:p>
        </w:tc>
        <w:tc>
          <w:tcPr>
            <w:tcW w:w="1418" w:type="dxa"/>
            <w:vAlign w:val="bottom"/>
          </w:tcPr>
          <w:p w:rsidR="00000000" w:rsidRDefault="00000000">
            <w:pPr>
              <w:pStyle w:val="a1"/>
              <w:ind w:right="397"/>
              <w:jc w:val="right"/>
              <w:rPr>
                <w:b/>
                <w:sz w:val="18"/>
              </w:rPr>
            </w:pPr>
            <w:r>
              <w:rPr>
                <w:b/>
                <w:sz w:val="18"/>
              </w:rPr>
              <w:t>637 209</w:t>
            </w:r>
          </w:p>
        </w:tc>
      </w:tr>
      <w:tr w:rsidR="00000000">
        <w:tblPrEx>
          <w:tblCellMar>
            <w:top w:w="0" w:type="dxa"/>
            <w:bottom w:w="0" w:type="dxa"/>
          </w:tblCellMar>
        </w:tblPrEx>
        <w:trPr>
          <w:jc w:val="center"/>
        </w:trPr>
        <w:tc>
          <w:tcPr>
            <w:tcW w:w="1588" w:type="dxa"/>
          </w:tcPr>
          <w:p w:rsidR="00000000" w:rsidRDefault="00000000">
            <w:pPr>
              <w:pStyle w:val="a1"/>
              <w:rPr>
                <w:sz w:val="18"/>
              </w:rPr>
            </w:pPr>
            <w:r>
              <w:rPr>
                <w:sz w:val="18"/>
              </w:rPr>
              <w:t>Стационарная фо</w:t>
            </w:r>
            <w:r>
              <w:rPr>
                <w:sz w:val="18"/>
              </w:rPr>
              <w:t>р</w:t>
            </w:r>
            <w:r>
              <w:rPr>
                <w:sz w:val="18"/>
              </w:rPr>
              <w:t>ма обучения</w:t>
            </w:r>
          </w:p>
        </w:tc>
        <w:tc>
          <w:tcPr>
            <w:tcW w:w="851" w:type="dxa"/>
            <w:vAlign w:val="bottom"/>
          </w:tcPr>
          <w:p w:rsidR="00000000" w:rsidRDefault="00000000">
            <w:pPr>
              <w:pStyle w:val="a1"/>
              <w:ind w:right="85"/>
              <w:jc w:val="right"/>
              <w:rPr>
                <w:sz w:val="18"/>
              </w:rPr>
            </w:pPr>
            <w:r>
              <w:rPr>
                <w:sz w:val="18"/>
              </w:rPr>
              <w:t>160 779</w:t>
            </w:r>
          </w:p>
        </w:tc>
        <w:tc>
          <w:tcPr>
            <w:tcW w:w="851" w:type="dxa"/>
            <w:vAlign w:val="bottom"/>
          </w:tcPr>
          <w:p w:rsidR="00000000" w:rsidRDefault="00000000">
            <w:pPr>
              <w:pStyle w:val="a1"/>
              <w:ind w:right="85"/>
              <w:jc w:val="right"/>
              <w:rPr>
                <w:sz w:val="18"/>
              </w:rPr>
            </w:pPr>
            <w:r>
              <w:rPr>
                <w:sz w:val="18"/>
              </w:rPr>
              <w:t>205 455</w:t>
            </w:r>
          </w:p>
        </w:tc>
        <w:tc>
          <w:tcPr>
            <w:tcW w:w="851" w:type="dxa"/>
            <w:vAlign w:val="bottom"/>
          </w:tcPr>
          <w:p w:rsidR="00000000" w:rsidRDefault="00000000">
            <w:pPr>
              <w:pStyle w:val="a1"/>
              <w:ind w:right="85"/>
              <w:jc w:val="right"/>
              <w:rPr>
                <w:sz w:val="18"/>
              </w:rPr>
            </w:pPr>
            <w:r>
              <w:rPr>
                <w:sz w:val="18"/>
              </w:rPr>
              <w:t>166 187</w:t>
            </w:r>
          </w:p>
        </w:tc>
        <w:tc>
          <w:tcPr>
            <w:tcW w:w="851" w:type="dxa"/>
            <w:vAlign w:val="bottom"/>
          </w:tcPr>
          <w:p w:rsidR="00000000" w:rsidRDefault="00000000">
            <w:pPr>
              <w:pStyle w:val="a1"/>
              <w:ind w:right="85"/>
              <w:jc w:val="right"/>
              <w:rPr>
                <w:sz w:val="18"/>
              </w:rPr>
            </w:pPr>
            <w:r>
              <w:rPr>
                <w:sz w:val="18"/>
              </w:rPr>
              <w:t>189 924</w:t>
            </w:r>
          </w:p>
        </w:tc>
        <w:tc>
          <w:tcPr>
            <w:tcW w:w="851" w:type="dxa"/>
            <w:vAlign w:val="bottom"/>
          </w:tcPr>
          <w:p w:rsidR="00000000" w:rsidRDefault="00000000">
            <w:pPr>
              <w:pStyle w:val="a1"/>
              <w:ind w:right="85"/>
              <w:jc w:val="right"/>
              <w:rPr>
                <w:sz w:val="18"/>
              </w:rPr>
            </w:pPr>
            <w:r>
              <w:rPr>
                <w:sz w:val="18"/>
              </w:rPr>
              <w:t>125 388</w:t>
            </w:r>
          </w:p>
        </w:tc>
        <w:tc>
          <w:tcPr>
            <w:tcW w:w="851" w:type="dxa"/>
            <w:vAlign w:val="bottom"/>
          </w:tcPr>
          <w:p w:rsidR="00000000" w:rsidRDefault="00000000">
            <w:pPr>
              <w:pStyle w:val="a1"/>
              <w:ind w:right="85"/>
              <w:jc w:val="right"/>
              <w:rPr>
                <w:sz w:val="18"/>
              </w:rPr>
            </w:pPr>
            <w:r>
              <w:rPr>
                <w:sz w:val="18"/>
              </w:rPr>
              <w:t>121 533</w:t>
            </w:r>
          </w:p>
        </w:tc>
        <w:tc>
          <w:tcPr>
            <w:tcW w:w="907" w:type="dxa"/>
            <w:vAlign w:val="bottom"/>
          </w:tcPr>
          <w:p w:rsidR="00000000" w:rsidRDefault="00000000">
            <w:pPr>
              <w:pStyle w:val="a1"/>
              <w:ind w:right="85"/>
              <w:jc w:val="right"/>
              <w:rPr>
                <w:sz w:val="18"/>
              </w:rPr>
            </w:pPr>
            <w:r>
              <w:rPr>
                <w:sz w:val="18"/>
              </w:rPr>
              <w:t>78 353</w:t>
            </w:r>
          </w:p>
        </w:tc>
        <w:tc>
          <w:tcPr>
            <w:tcW w:w="1418" w:type="dxa"/>
            <w:vAlign w:val="bottom"/>
          </w:tcPr>
          <w:p w:rsidR="00000000" w:rsidRDefault="00000000">
            <w:pPr>
              <w:pStyle w:val="a1"/>
              <w:ind w:right="397"/>
              <w:jc w:val="right"/>
              <w:rPr>
                <w:sz w:val="18"/>
              </w:rPr>
            </w:pPr>
            <w:r>
              <w:rPr>
                <w:sz w:val="18"/>
              </w:rPr>
              <w:t>110 752</w:t>
            </w:r>
          </w:p>
        </w:tc>
        <w:tc>
          <w:tcPr>
            <w:tcW w:w="1418" w:type="dxa"/>
            <w:vAlign w:val="bottom"/>
          </w:tcPr>
          <w:p w:rsidR="00000000" w:rsidRDefault="00000000">
            <w:pPr>
              <w:pStyle w:val="a1"/>
              <w:ind w:right="397"/>
              <w:jc w:val="right"/>
              <w:rPr>
                <w:sz w:val="18"/>
              </w:rPr>
            </w:pPr>
            <w:r>
              <w:rPr>
                <w:sz w:val="18"/>
              </w:rPr>
              <w:t>136 532</w:t>
            </w:r>
          </w:p>
        </w:tc>
      </w:tr>
      <w:tr w:rsidR="00000000">
        <w:tblPrEx>
          <w:tblCellMar>
            <w:top w:w="0" w:type="dxa"/>
            <w:bottom w:w="0" w:type="dxa"/>
          </w:tblCellMar>
        </w:tblPrEx>
        <w:trPr>
          <w:jc w:val="center"/>
        </w:trPr>
        <w:tc>
          <w:tcPr>
            <w:tcW w:w="1588" w:type="dxa"/>
          </w:tcPr>
          <w:p w:rsidR="00000000" w:rsidRDefault="00000000">
            <w:pPr>
              <w:pStyle w:val="a1"/>
              <w:rPr>
                <w:sz w:val="18"/>
              </w:rPr>
            </w:pPr>
            <w:r>
              <w:rPr>
                <w:sz w:val="18"/>
              </w:rPr>
              <w:t>Комбинированная форма об</w:t>
            </w:r>
            <w:r>
              <w:rPr>
                <w:sz w:val="18"/>
              </w:rPr>
              <w:t>у</w:t>
            </w:r>
            <w:r>
              <w:rPr>
                <w:sz w:val="18"/>
              </w:rPr>
              <w:t>чения</w:t>
            </w:r>
            <w:r>
              <w:rPr>
                <w:sz w:val="18"/>
                <w:vertAlign w:val="superscript"/>
              </w:rPr>
              <w:t>3</w:t>
            </w:r>
          </w:p>
        </w:tc>
        <w:tc>
          <w:tcPr>
            <w:tcW w:w="851" w:type="dxa"/>
            <w:vAlign w:val="bottom"/>
          </w:tcPr>
          <w:p w:rsidR="00000000" w:rsidRDefault="00000000">
            <w:pPr>
              <w:pStyle w:val="a1"/>
              <w:ind w:right="85"/>
              <w:jc w:val="right"/>
              <w:rPr>
                <w:sz w:val="18"/>
              </w:rPr>
            </w:pPr>
            <w:r>
              <w:rPr>
                <w:sz w:val="18"/>
              </w:rPr>
              <w:t>38 085</w:t>
            </w:r>
          </w:p>
        </w:tc>
        <w:tc>
          <w:tcPr>
            <w:tcW w:w="851" w:type="dxa"/>
            <w:vAlign w:val="bottom"/>
          </w:tcPr>
          <w:p w:rsidR="00000000" w:rsidRDefault="00000000">
            <w:pPr>
              <w:pStyle w:val="a1"/>
              <w:ind w:right="85"/>
              <w:jc w:val="right"/>
              <w:rPr>
                <w:sz w:val="18"/>
              </w:rPr>
            </w:pPr>
            <w:r>
              <w:rPr>
                <w:sz w:val="18"/>
              </w:rPr>
              <w:t>58 507</w:t>
            </w:r>
          </w:p>
        </w:tc>
        <w:tc>
          <w:tcPr>
            <w:tcW w:w="851" w:type="dxa"/>
            <w:vAlign w:val="bottom"/>
          </w:tcPr>
          <w:p w:rsidR="00000000" w:rsidRDefault="00000000">
            <w:pPr>
              <w:pStyle w:val="a1"/>
              <w:ind w:right="85"/>
              <w:jc w:val="right"/>
              <w:rPr>
                <w:sz w:val="18"/>
              </w:rPr>
            </w:pPr>
            <w:r>
              <w:rPr>
                <w:sz w:val="18"/>
              </w:rPr>
              <w:t>70 155</w:t>
            </w:r>
          </w:p>
        </w:tc>
        <w:tc>
          <w:tcPr>
            <w:tcW w:w="851" w:type="dxa"/>
            <w:vAlign w:val="bottom"/>
          </w:tcPr>
          <w:p w:rsidR="00000000" w:rsidRDefault="00000000">
            <w:pPr>
              <w:pStyle w:val="a1"/>
              <w:ind w:right="85"/>
              <w:jc w:val="right"/>
              <w:rPr>
                <w:sz w:val="18"/>
              </w:rPr>
            </w:pPr>
            <w:r>
              <w:rPr>
                <w:sz w:val="18"/>
              </w:rPr>
              <w:t>95 964</w:t>
            </w:r>
          </w:p>
        </w:tc>
        <w:tc>
          <w:tcPr>
            <w:tcW w:w="851" w:type="dxa"/>
            <w:vAlign w:val="bottom"/>
          </w:tcPr>
          <w:p w:rsidR="00000000" w:rsidRDefault="00000000">
            <w:pPr>
              <w:pStyle w:val="a1"/>
              <w:ind w:right="85"/>
              <w:jc w:val="right"/>
              <w:rPr>
                <w:sz w:val="18"/>
              </w:rPr>
            </w:pPr>
            <w:r>
              <w:rPr>
                <w:sz w:val="18"/>
              </w:rPr>
              <w:t>181 857</w:t>
            </w:r>
          </w:p>
        </w:tc>
        <w:tc>
          <w:tcPr>
            <w:tcW w:w="851" w:type="dxa"/>
            <w:vAlign w:val="bottom"/>
          </w:tcPr>
          <w:p w:rsidR="00000000" w:rsidRDefault="00000000">
            <w:pPr>
              <w:pStyle w:val="a1"/>
              <w:ind w:right="85"/>
              <w:jc w:val="right"/>
              <w:rPr>
                <w:sz w:val="18"/>
              </w:rPr>
            </w:pPr>
            <w:r>
              <w:rPr>
                <w:sz w:val="18"/>
              </w:rPr>
              <w:t>230 686</w:t>
            </w:r>
          </w:p>
        </w:tc>
        <w:tc>
          <w:tcPr>
            <w:tcW w:w="907" w:type="dxa"/>
            <w:vAlign w:val="bottom"/>
          </w:tcPr>
          <w:p w:rsidR="00000000" w:rsidRDefault="00000000">
            <w:pPr>
              <w:pStyle w:val="a1"/>
              <w:ind w:right="85"/>
              <w:jc w:val="right"/>
              <w:rPr>
                <w:sz w:val="18"/>
              </w:rPr>
            </w:pPr>
            <w:r>
              <w:rPr>
                <w:sz w:val="18"/>
              </w:rPr>
              <w:t>146 887</w:t>
            </w:r>
          </w:p>
        </w:tc>
        <w:tc>
          <w:tcPr>
            <w:tcW w:w="1418" w:type="dxa"/>
            <w:vAlign w:val="bottom"/>
          </w:tcPr>
          <w:p w:rsidR="00000000" w:rsidRDefault="00000000">
            <w:pPr>
              <w:pStyle w:val="a1"/>
              <w:ind w:right="397"/>
              <w:jc w:val="right"/>
              <w:rPr>
                <w:sz w:val="18"/>
              </w:rPr>
            </w:pPr>
            <w:r>
              <w:rPr>
                <w:sz w:val="18"/>
              </w:rPr>
              <w:t>208 811</w:t>
            </w:r>
          </w:p>
        </w:tc>
        <w:tc>
          <w:tcPr>
            <w:tcW w:w="1418" w:type="dxa"/>
            <w:vAlign w:val="bottom"/>
          </w:tcPr>
          <w:p w:rsidR="00000000" w:rsidRDefault="00000000">
            <w:pPr>
              <w:pStyle w:val="a1"/>
              <w:ind w:right="397"/>
              <w:jc w:val="right"/>
              <w:rPr>
                <w:sz w:val="18"/>
              </w:rPr>
            </w:pPr>
            <w:r>
              <w:rPr>
                <w:sz w:val="18"/>
              </w:rPr>
              <w:t>255 922</w:t>
            </w:r>
          </w:p>
        </w:tc>
      </w:tr>
      <w:tr w:rsidR="00000000">
        <w:tblPrEx>
          <w:tblCellMar>
            <w:top w:w="0" w:type="dxa"/>
            <w:bottom w:w="0" w:type="dxa"/>
          </w:tblCellMar>
        </w:tblPrEx>
        <w:trPr>
          <w:jc w:val="center"/>
        </w:trPr>
        <w:tc>
          <w:tcPr>
            <w:tcW w:w="1588" w:type="dxa"/>
          </w:tcPr>
          <w:p w:rsidR="00000000" w:rsidRDefault="00000000">
            <w:pPr>
              <w:pStyle w:val="a1"/>
              <w:rPr>
                <w:sz w:val="18"/>
              </w:rPr>
            </w:pPr>
            <w:r>
              <w:rPr>
                <w:sz w:val="18"/>
              </w:rPr>
              <w:t>Поддержка мес</w:t>
            </w:r>
            <w:r>
              <w:rPr>
                <w:sz w:val="18"/>
              </w:rPr>
              <w:t>т</w:t>
            </w:r>
            <w:r>
              <w:rPr>
                <w:sz w:val="18"/>
              </w:rPr>
              <w:t>ных инициатив</w:t>
            </w:r>
            <w:r>
              <w:rPr>
                <w:sz w:val="18"/>
                <w:vertAlign w:val="superscript"/>
              </w:rPr>
              <w:t>4</w:t>
            </w:r>
          </w:p>
        </w:tc>
        <w:tc>
          <w:tcPr>
            <w:tcW w:w="851" w:type="dxa"/>
            <w:vAlign w:val="bottom"/>
          </w:tcPr>
          <w:p w:rsidR="00000000" w:rsidRDefault="00000000">
            <w:pPr>
              <w:pStyle w:val="a1"/>
              <w:ind w:right="85"/>
              <w:jc w:val="right"/>
              <w:rPr>
                <w:sz w:val="18"/>
              </w:rPr>
            </w:pPr>
          </w:p>
        </w:tc>
        <w:tc>
          <w:tcPr>
            <w:tcW w:w="851" w:type="dxa"/>
            <w:vAlign w:val="bottom"/>
          </w:tcPr>
          <w:p w:rsidR="00000000" w:rsidRDefault="00000000">
            <w:pPr>
              <w:pStyle w:val="a1"/>
              <w:ind w:right="85"/>
              <w:jc w:val="right"/>
              <w:rPr>
                <w:sz w:val="18"/>
              </w:rPr>
            </w:pPr>
            <w:r>
              <w:rPr>
                <w:sz w:val="18"/>
              </w:rPr>
              <w:t>146 361</w:t>
            </w:r>
          </w:p>
        </w:tc>
        <w:tc>
          <w:tcPr>
            <w:tcW w:w="851" w:type="dxa"/>
            <w:vAlign w:val="bottom"/>
          </w:tcPr>
          <w:p w:rsidR="00000000" w:rsidRDefault="00000000">
            <w:pPr>
              <w:pStyle w:val="a1"/>
              <w:ind w:right="85"/>
              <w:jc w:val="right"/>
              <w:rPr>
                <w:sz w:val="18"/>
              </w:rPr>
            </w:pPr>
            <w:r>
              <w:rPr>
                <w:sz w:val="18"/>
              </w:rPr>
              <w:t>301 050</w:t>
            </w:r>
          </w:p>
        </w:tc>
        <w:tc>
          <w:tcPr>
            <w:tcW w:w="851" w:type="dxa"/>
            <w:vAlign w:val="bottom"/>
          </w:tcPr>
          <w:p w:rsidR="00000000" w:rsidRDefault="00000000">
            <w:pPr>
              <w:pStyle w:val="a1"/>
              <w:ind w:right="85"/>
              <w:jc w:val="right"/>
              <w:rPr>
                <w:sz w:val="18"/>
              </w:rPr>
            </w:pPr>
            <w:r>
              <w:rPr>
                <w:sz w:val="18"/>
              </w:rPr>
              <w:t>265 693</w:t>
            </w:r>
          </w:p>
        </w:tc>
        <w:tc>
          <w:tcPr>
            <w:tcW w:w="851" w:type="dxa"/>
            <w:vAlign w:val="bottom"/>
          </w:tcPr>
          <w:p w:rsidR="00000000" w:rsidRDefault="00000000">
            <w:pPr>
              <w:pStyle w:val="a1"/>
              <w:ind w:right="85"/>
              <w:jc w:val="right"/>
              <w:rPr>
                <w:sz w:val="18"/>
              </w:rPr>
            </w:pPr>
            <w:r>
              <w:rPr>
                <w:sz w:val="18"/>
              </w:rPr>
              <w:t>185 925</w:t>
            </w:r>
          </w:p>
        </w:tc>
        <w:tc>
          <w:tcPr>
            <w:tcW w:w="851" w:type="dxa"/>
            <w:vAlign w:val="bottom"/>
          </w:tcPr>
          <w:p w:rsidR="00000000" w:rsidRDefault="00000000">
            <w:pPr>
              <w:pStyle w:val="a1"/>
              <w:ind w:right="85"/>
              <w:jc w:val="right"/>
              <w:rPr>
                <w:sz w:val="18"/>
              </w:rPr>
            </w:pPr>
            <w:r>
              <w:rPr>
                <w:sz w:val="18"/>
              </w:rPr>
              <w:t>191 740</w:t>
            </w:r>
          </w:p>
        </w:tc>
        <w:tc>
          <w:tcPr>
            <w:tcW w:w="907" w:type="dxa"/>
            <w:vAlign w:val="bottom"/>
          </w:tcPr>
          <w:p w:rsidR="00000000" w:rsidRDefault="00000000">
            <w:pPr>
              <w:pStyle w:val="a1"/>
              <w:ind w:right="85"/>
              <w:jc w:val="right"/>
              <w:rPr>
                <w:sz w:val="18"/>
              </w:rPr>
            </w:pPr>
            <w:r>
              <w:rPr>
                <w:sz w:val="18"/>
              </w:rPr>
              <w:t>102 196</w:t>
            </w:r>
          </w:p>
        </w:tc>
        <w:tc>
          <w:tcPr>
            <w:tcW w:w="1418" w:type="dxa"/>
            <w:vAlign w:val="bottom"/>
          </w:tcPr>
          <w:p w:rsidR="00000000" w:rsidRDefault="00000000">
            <w:pPr>
              <w:pStyle w:val="a1"/>
              <w:ind w:right="397"/>
              <w:jc w:val="right"/>
              <w:rPr>
                <w:sz w:val="18"/>
              </w:rPr>
            </w:pPr>
            <w:r>
              <w:rPr>
                <w:sz w:val="18"/>
              </w:rPr>
              <w:t>163 364</w:t>
            </w:r>
          </w:p>
        </w:tc>
        <w:tc>
          <w:tcPr>
            <w:tcW w:w="1418" w:type="dxa"/>
            <w:vAlign w:val="bottom"/>
          </w:tcPr>
          <w:p w:rsidR="00000000" w:rsidRDefault="00000000">
            <w:pPr>
              <w:pStyle w:val="a1"/>
              <w:ind w:right="397"/>
              <w:jc w:val="right"/>
              <w:rPr>
                <w:sz w:val="18"/>
              </w:rPr>
            </w:pPr>
            <w:r>
              <w:rPr>
                <w:sz w:val="18"/>
              </w:rPr>
              <w:t>224 237</w:t>
            </w:r>
          </w:p>
        </w:tc>
      </w:tr>
      <w:tr w:rsidR="00000000">
        <w:tblPrEx>
          <w:tblCellMar>
            <w:top w:w="0" w:type="dxa"/>
            <w:bottom w:w="0" w:type="dxa"/>
          </w:tblCellMar>
        </w:tblPrEx>
        <w:trPr>
          <w:jc w:val="center"/>
        </w:trPr>
        <w:tc>
          <w:tcPr>
            <w:tcW w:w="1588" w:type="dxa"/>
          </w:tcPr>
          <w:p w:rsidR="00000000" w:rsidRDefault="00000000">
            <w:pPr>
              <w:pStyle w:val="a1"/>
              <w:rPr>
                <w:sz w:val="18"/>
              </w:rPr>
            </w:pPr>
            <w:r>
              <w:rPr>
                <w:sz w:val="18"/>
              </w:rPr>
              <w:t>Повышение квал</w:t>
            </w:r>
            <w:r>
              <w:rPr>
                <w:sz w:val="18"/>
              </w:rPr>
              <w:t>и</w:t>
            </w:r>
            <w:r>
              <w:rPr>
                <w:sz w:val="18"/>
              </w:rPr>
              <w:t>фикации</w:t>
            </w:r>
            <w:r>
              <w:rPr>
                <w:sz w:val="18"/>
                <w:vertAlign w:val="superscript"/>
              </w:rPr>
              <w:t>5</w:t>
            </w:r>
          </w:p>
        </w:tc>
        <w:tc>
          <w:tcPr>
            <w:tcW w:w="851" w:type="dxa"/>
            <w:vAlign w:val="bottom"/>
          </w:tcPr>
          <w:p w:rsidR="00000000" w:rsidRDefault="00000000">
            <w:pPr>
              <w:pStyle w:val="a1"/>
              <w:ind w:right="85"/>
              <w:jc w:val="right"/>
              <w:rPr>
                <w:sz w:val="18"/>
              </w:rPr>
            </w:pPr>
          </w:p>
        </w:tc>
        <w:tc>
          <w:tcPr>
            <w:tcW w:w="851" w:type="dxa"/>
            <w:vAlign w:val="bottom"/>
          </w:tcPr>
          <w:p w:rsidR="00000000" w:rsidRDefault="00000000">
            <w:pPr>
              <w:pStyle w:val="a1"/>
              <w:ind w:right="85"/>
              <w:jc w:val="right"/>
              <w:rPr>
                <w:sz w:val="18"/>
              </w:rPr>
            </w:pPr>
            <w:r>
              <w:rPr>
                <w:sz w:val="18"/>
              </w:rPr>
              <w:t>1 995</w:t>
            </w:r>
          </w:p>
        </w:tc>
        <w:tc>
          <w:tcPr>
            <w:tcW w:w="851" w:type="dxa"/>
            <w:vAlign w:val="bottom"/>
          </w:tcPr>
          <w:p w:rsidR="00000000" w:rsidRDefault="00000000">
            <w:pPr>
              <w:pStyle w:val="a1"/>
              <w:ind w:right="85"/>
              <w:jc w:val="right"/>
              <w:rPr>
                <w:sz w:val="18"/>
              </w:rPr>
            </w:pPr>
            <w:r>
              <w:rPr>
                <w:sz w:val="18"/>
              </w:rPr>
              <w:t>6 634</w:t>
            </w:r>
          </w:p>
        </w:tc>
        <w:tc>
          <w:tcPr>
            <w:tcW w:w="851" w:type="dxa"/>
            <w:vAlign w:val="bottom"/>
          </w:tcPr>
          <w:p w:rsidR="00000000" w:rsidRDefault="00000000">
            <w:pPr>
              <w:pStyle w:val="a1"/>
              <w:ind w:right="85"/>
              <w:jc w:val="right"/>
              <w:rPr>
                <w:sz w:val="18"/>
              </w:rPr>
            </w:pPr>
            <w:r>
              <w:rPr>
                <w:sz w:val="18"/>
              </w:rPr>
              <w:t>12 071</w:t>
            </w:r>
          </w:p>
        </w:tc>
        <w:tc>
          <w:tcPr>
            <w:tcW w:w="851" w:type="dxa"/>
            <w:vAlign w:val="bottom"/>
          </w:tcPr>
          <w:p w:rsidR="00000000" w:rsidRDefault="00000000">
            <w:pPr>
              <w:pStyle w:val="a1"/>
              <w:ind w:right="85"/>
              <w:jc w:val="right"/>
              <w:rPr>
                <w:sz w:val="18"/>
              </w:rPr>
            </w:pPr>
            <w:r>
              <w:rPr>
                <w:sz w:val="18"/>
              </w:rPr>
              <w:t>13 490</w:t>
            </w:r>
          </w:p>
        </w:tc>
        <w:tc>
          <w:tcPr>
            <w:tcW w:w="851" w:type="dxa"/>
            <w:vAlign w:val="bottom"/>
          </w:tcPr>
          <w:p w:rsidR="00000000" w:rsidRDefault="00000000">
            <w:pPr>
              <w:pStyle w:val="a1"/>
              <w:ind w:right="85"/>
              <w:jc w:val="right"/>
              <w:rPr>
                <w:sz w:val="18"/>
              </w:rPr>
            </w:pPr>
            <w:r>
              <w:rPr>
                <w:sz w:val="18"/>
              </w:rPr>
              <w:t>8 227</w:t>
            </w:r>
          </w:p>
        </w:tc>
        <w:tc>
          <w:tcPr>
            <w:tcW w:w="907" w:type="dxa"/>
            <w:vAlign w:val="bottom"/>
          </w:tcPr>
          <w:p w:rsidR="00000000" w:rsidRDefault="00000000">
            <w:pPr>
              <w:pStyle w:val="a1"/>
              <w:ind w:right="85"/>
              <w:jc w:val="right"/>
              <w:rPr>
                <w:sz w:val="18"/>
              </w:rPr>
            </w:pPr>
            <w:r>
              <w:rPr>
                <w:sz w:val="18"/>
              </w:rPr>
              <w:t>12 090</w:t>
            </w:r>
          </w:p>
        </w:tc>
        <w:tc>
          <w:tcPr>
            <w:tcW w:w="1418" w:type="dxa"/>
            <w:vAlign w:val="bottom"/>
          </w:tcPr>
          <w:p w:rsidR="00000000" w:rsidRDefault="00000000">
            <w:pPr>
              <w:pStyle w:val="a1"/>
              <w:ind w:right="397"/>
              <w:jc w:val="right"/>
              <w:rPr>
                <w:sz w:val="18"/>
              </w:rPr>
            </w:pPr>
            <w:r>
              <w:rPr>
                <w:sz w:val="18"/>
              </w:rPr>
              <w:t>4 889</w:t>
            </w:r>
          </w:p>
        </w:tc>
        <w:tc>
          <w:tcPr>
            <w:tcW w:w="1418" w:type="dxa"/>
            <w:vAlign w:val="bottom"/>
          </w:tcPr>
          <w:p w:rsidR="00000000" w:rsidRDefault="00000000">
            <w:pPr>
              <w:pStyle w:val="a1"/>
              <w:ind w:right="397"/>
              <w:jc w:val="right"/>
              <w:rPr>
                <w:sz w:val="18"/>
              </w:rPr>
            </w:pPr>
            <w:r>
              <w:rPr>
                <w:sz w:val="18"/>
              </w:rPr>
              <w:t>20 518</w:t>
            </w:r>
          </w:p>
        </w:tc>
      </w:tr>
    </w:tbl>
    <w:p w:rsidR="00000000" w:rsidRDefault="00000000">
      <w:pPr>
        <w:pStyle w:val="a2"/>
        <w:spacing w:before="240" w:after="0"/>
      </w:pPr>
      <w:r>
        <w:rPr>
          <w:vertAlign w:val="superscript"/>
        </w:rPr>
        <w:t>1</w:t>
      </w:r>
      <w:r>
        <w:t xml:space="preserve"> Предварительные данные за период с января по июль.</w:t>
      </w:r>
    </w:p>
    <w:p w:rsidR="00000000" w:rsidRDefault="00000000">
      <w:pPr>
        <w:pStyle w:val="a2"/>
        <w:spacing w:before="100" w:after="0"/>
      </w:pPr>
      <w:r>
        <w:rPr>
          <w:vertAlign w:val="superscript"/>
        </w:rPr>
        <w:t xml:space="preserve">2 </w:t>
      </w:r>
      <w:r>
        <w:t xml:space="preserve"> Оценка.</w:t>
      </w:r>
    </w:p>
    <w:p w:rsidR="00000000" w:rsidRDefault="00000000">
      <w:pPr>
        <w:pStyle w:val="a2"/>
        <w:spacing w:before="100" w:after="0"/>
      </w:pPr>
      <w:r>
        <w:rPr>
          <w:vertAlign w:val="superscript"/>
        </w:rPr>
        <w:t xml:space="preserve">3 </w:t>
      </w:r>
      <w:r>
        <w:t xml:space="preserve"> Включает обучение на больших, средних и малых предприятиях и предприятиях с минимальным числом раб</w:t>
      </w:r>
      <w:r>
        <w:t>о</w:t>
      </w:r>
      <w:r>
        <w:t>тающих.</w:t>
      </w:r>
    </w:p>
    <w:p w:rsidR="00000000" w:rsidRDefault="00000000">
      <w:pPr>
        <w:pStyle w:val="a2"/>
        <w:spacing w:before="100" w:after="0"/>
      </w:pPr>
      <w:r>
        <w:rPr>
          <w:vertAlign w:val="superscript"/>
        </w:rPr>
        <w:t xml:space="preserve">4 </w:t>
      </w:r>
      <w:r>
        <w:t xml:space="preserve"> Поддержка инициатив по созданию предприятий, поддержка индивидуальной трудовой деятельности и сектора медицинских услуг.</w:t>
      </w:r>
    </w:p>
    <w:p w:rsidR="00000000" w:rsidRDefault="00000000">
      <w:pPr>
        <w:pStyle w:val="a2"/>
        <w:spacing w:before="100" w:after="0"/>
      </w:pPr>
      <w:r>
        <w:rPr>
          <w:vertAlign w:val="superscript"/>
        </w:rPr>
        <w:t xml:space="preserve">5 </w:t>
      </w:r>
      <w:r>
        <w:t xml:space="preserve"> Стипендии, предоставленные в рамках проекта модернизации профессионально-технического о</w:t>
      </w:r>
      <w:r>
        <w:t>б</w:t>
      </w:r>
      <w:r>
        <w:t>учения.</w:t>
      </w:r>
    </w:p>
    <w:p w:rsidR="00000000" w:rsidRDefault="00000000">
      <w:pPr>
        <w:pStyle w:val="a2"/>
        <w:spacing w:before="100" w:after="0"/>
      </w:pPr>
      <w:r>
        <w:t xml:space="preserve">Источник: Министерство труда и социального обеспечения. </w:t>
      </w:r>
    </w:p>
    <w:p w:rsidR="00000000" w:rsidRDefault="00000000">
      <w:pPr>
        <w:pStyle w:val="a2"/>
        <w:spacing w:before="100" w:after="0"/>
      </w:pPr>
      <w:r>
        <w:t xml:space="preserve">* Данных с разбивкой по полу не имеется. </w:t>
      </w:r>
    </w:p>
    <w:p w:rsidR="00000000" w:rsidRDefault="00000000">
      <w:r>
        <w:t>504.</w:t>
      </w:r>
      <w:r>
        <w:tab/>
        <w:t>В 1995 году началась организация семинаров для безработных. В период по август 1999 года в рамках этой программы было проведено 11 962 мероприятия, в которых приняли участие 155 192 человека. С сентября 1999 года по август 2000 года было проведено 4457 мероприятий подобного рода, в ходе которых были проконсультир</w:t>
      </w:r>
      <w:r>
        <w:t>о</w:t>
      </w:r>
      <w:r>
        <w:t>ваны 55 692 человека, находившихся в поисках работы. В 1998 году в работе семинаров для безработных участв</w:t>
      </w:r>
      <w:r>
        <w:t>о</w:t>
      </w:r>
      <w:r>
        <w:t xml:space="preserve">вали 7000 женщин. </w:t>
      </w:r>
    </w:p>
    <w:p w:rsidR="00000000" w:rsidRDefault="00000000">
      <w:pPr>
        <w:pStyle w:val="Heading3"/>
      </w:pPr>
      <w:r>
        <w:t xml:space="preserve">Программа комплексного сотрудничества и модернизации (СИМО) </w:t>
      </w:r>
    </w:p>
    <w:p w:rsidR="00000000" w:rsidRDefault="00000000">
      <w:r>
        <w:t>505.</w:t>
      </w:r>
      <w:r>
        <w:tab/>
        <w:t>В целях улучшения профессиональной подготовки экономически активного населения проводилась пр</w:t>
      </w:r>
      <w:r>
        <w:t>о</w:t>
      </w:r>
      <w:r>
        <w:t>грамма комплексного сотрудничества и модернизации (СИМО), в мероприятиях которой с января 1995 года по а</w:t>
      </w:r>
      <w:r>
        <w:t>в</w:t>
      </w:r>
      <w:r>
        <w:t>густ 2000 года приняли участие 3 115 894 человека, представлявших 1 325 242 предприятия, по сравнению с 430 312 участниками и 147 012 предприятиями, охваченными программой в 1990–1994 годы. Тем самым показатели предыдущего периода  были превышены в 6,4 и 7,9 раза, соответственно. Если говорить о показателях по отдел</w:t>
      </w:r>
      <w:r>
        <w:t>ь</w:t>
      </w:r>
      <w:r>
        <w:t xml:space="preserve">ным годам, то в 1995 году число участников составило 368 111, а в 1999 году – 760 828; </w:t>
      </w:r>
      <w:r>
        <w:br/>
        <w:t>в 1995 году число предпр</w:t>
      </w:r>
      <w:r>
        <w:t>и</w:t>
      </w:r>
      <w:r>
        <w:t>ятий-участников составило 104 592, а в 1999 году – 418 748. В 1995 году было проведено 30 014 мероприятий, а в 1999 году – 72 626. Следует особо отметить рост участия предприятий с минимальным числом работников. Из о</w:t>
      </w:r>
      <w:r>
        <w:t>б</w:t>
      </w:r>
      <w:r>
        <w:t xml:space="preserve">щего числа предприятий, привлеченных к участию в программе, в </w:t>
      </w:r>
      <w:r>
        <w:br/>
        <w:t xml:space="preserve">1995 году они составили 72,9 процента, а в 1999 году – 90,3 процента. </w:t>
      </w:r>
    </w:p>
    <w:p w:rsidR="00000000" w:rsidRDefault="00000000">
      <w:r>
        <w:t>506.</w:t>
      </w:r>
      <w:r>
        <w:tab/>
        <w:t>Программа комплексного сотрудничества и модернизации проводится в жизнь с опорой на ряд обществе</w:t>
      </w:r>
      <w:r>
        <w:t>н</w:t>
      </w:r>
      <w:r>
        <w:t>ных объединений, в частности на Группу консультантов, в которую входят представители таких различных общ</w:t>
      </w:r>
      <w:r>
        <w:t>е</w:t>
      </w:r>
      <w:r>
        <w:t>ственных организаций, проявивших заинтересованность в улучшении условий труда женщин, как Группа ко</w:t>
      </w:r>
      <w:r>
        <w:t>м</w:t>
      </w:r>
      <w:r>
        <w:t xml:space="preserve">плексных исследований по проблемам женщин, труда и бедности (ХИМТРАП) и Женское профсоюзное движение (МАС). </w:t>
      </w:r>
    </w:p>
    <w:p w:rsidR="00000000" w:rsidRDefault="00000000">
      <w:r>
        <w:t>507.</w:t>
      </w:r>
      <w:r>
        <w:tab/>
        <w:t xml:space="preserve">С сентября 1999 года по август 2000 года было проведено 81 061 мероприятие с участием </w:t>
      </w:r>
      <w:r>
        <w:br/>
        <w:t>805 366 трудящи</w:t>
      </w:r>
      <w:r>
        <w:t>х</w:t>
      </w:r>
      <w:r>
        <w:t xml:space="preserve">ся и 430 497 предприятий, что превышает показатели предыдущего года на 33,9 процента, 20,7 процента и 29,9 процента, соответственно. Среди предприятий, участвовавших в программе в </w:t>
      </w:r>
      <w:r>
        <w:br/>
        <w:t>1999–2000 годах, предприятия с м</w:t>
      </w:r>
      <w:r>
        <w:t>и</w:t>
      </w:r>
      <w:r>
        <w:t xml:space="preserve">нимальным числом работников составили 90,1 процента, тогда как малые </w:t>
      </w:r>
      <w:r>
        <w:br/>
        <w:t>и средние предприятия составили 6,7 и 3,2 процента, соответственно. Если говорить об участии представителей разных отраслей экономики, то предпр</w:t>
      </w:r>
      <w:r>
        <w:t>и</w:t>
      </w:r>
      <w:r>
        <w:t>ятия сельскохозяйственного сектора составили 39,9 процента общего числа предприятий – участников учебных и консультационных программ, в то время как предприятия обрабатывающей промышленности и предприятия то</w:t>
      </w:r>
      <w:r>
        <w:t>р</w:t>
      </w:r>
      <w:r>
        <w:t xml:space="preserve">говли и сферы обслуживания составили 29,3 процента и 30,8 процента от общего числа, соответственно. </w:t>
      </w:r>
    </w:p>
    <w:p w:rsidR="00000000" w:rsidRDefault="00000000">
      <w:r>
        <w:t>508.</w:t>
      </w:r>
      <w:r>
        <w:tab/>
        <w:t>Из общего числа женщин – участниц программы СИМО в 1998 году 87,5 процента – представительницы предприятий с минимальным числом работников (менее 15 человек), 8,5 процента – представительницы малых предприятий и 4 процента – средних. Вышеприведенные данные являются косвенным свидетельством социальной значимости программы как фактора, стимулирующего производительный труд женщин и членов их с</w:t>
      </w:r>
      <w:r>
        <w:t>е</w:t>
      </w:r>
      <w:r>
        <w:t xml:space="preserve">мей. </w:t>
      </w:r>
    </w:p>
    <w:p w:rsidR="00000000" w:rsidRDefault="00000000">
      <w:r>
        <w:t>509.</w:t>
      </w:r>
      <w:r>
        <w:tab/>
        <w:t>В рамках программы СИМО проводились и другие мероприятия в интересах женщин, такие как консульт</w:t>
      </w:r>
      <w:r>
        <w:t>а</w:t>
      </w:r>
      <w:r>
        <w:t xml:space="preserve">ции по процессам систематизации производственных инициатив ("Мы, замужние женщины, работаем"), обучение принципам управления  для членов Ассоциации мексиканских предприятий в штате Веракрус и профессиональное обучение для членов агропромышленных союзов Мексики (УАИМ), действующих в трех муниципалитетах штата Юкатан. </w:t>
      </w:r>
    </w:p>
    <w:p w:rsidR="00000000" w:rsidRDefault="00000000">
      <w:r>
        <w:t>510.</w:t>
      </w:r>
      <w:r>
        <w:tab/>
        <w:t>Начиная с 1998 года и до мая текущего года консультациями и различными формами обучения по пр</w:t>
      </w:r>
      <w:r>
        <w:t>о</w:t>
      </w:r>
      <w:r>
        <w:t>грамме СИМО были охвачены в общей сложности 687 508 женщин, то есть 36 процентов от общего числа лиц, о</w:t>
      </w:r>
      <w:r>
        <w:t>х</w:t>
      </w:r>
      <w:r>
        <w:t>ваченных мероприятиями данной программы за три года ее дейс</w:t>
      </w:r>
      <w:r>
        <w:t>т</w:t>
      </w:r>
      <w:r>
        <w:t>вия.</w:t>
      </w:r>
    </w:p>
    <w:p w:rsidR="00000000" w:rsidRDefault="00000000">
      <w:pPr>
        <w:jc w:val="center"/>
        <w:rPr>
          <w:b/>
        </w:rPr>
      </w:pPr>
      <w:r>
        <w:rPr>
          <w:b/>
        </w:rPr>
        <w:br w:type="page"/>
        <w:t>Обучение на производстве, 1994–2000 годы</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98"/>
        <w:gridCol w:w="851"/>
        <w:gridCol w:w="851"/>
        <w:gridCol w:w="851"/>
        <w:gridCol w:w="851"/>
        <w:gridCol w:w="851"/>
        <w:gridCol w:w="851"/>
        <w:gridCol w:w="1418"/>
        <w:gridCol w:w="1418"/>
      </w:tblGrid>
      <w:tr w:rsidR="00000000">
        <w:tblPrEx>
          <w:tblCellMar>
            <w:top w:w="0" w:type="dxa"/>
            <w:bottom w:w="0" w:type="dxa"/>
          </w:tblCellMar>
        </w:tblPrEx>
        <w:trPr>
          <w:jc w:val="center"/>
        </w:trPr>
        <w:tc>
          <w:tcPr>
            <w:tcW w:w="2098" w:type="dxa"/>
            <w:vAlign w:val="center"/>
          </w:tcPr>
          <w:p w:rsidR="00000000" w:rsidRDefault="00000000">
            <w:pPr>
              <w:pStyle w:val="a1"/>
              <w:rPr>
                <w:b/>
                <w:sz w:val="18"/>
              </w:rPr>
            </w:pPr>
            <w:r>
              <w:rPr>
                <w:b/>
                <w:sz w:val="18"/>
              </w:rPr>
              <w:t>Наименов</w:t>
            </w:r>
            <w:r>
              <w:rPr>
                <w:b/>
                <w:sz w:val="18"/>
              </w:rPr>
              <w:t>а</w:t>
            </w:r>
            <w:r>
              <w:rPr>
                <w:b/>
                <w:sz w:val="18"/>
              </w:rPr>
              <w:t xml:space="preserve">ние </w:t>
            </w:r>
          </w:p>
        </w:tc>
        <w:tc>
          <w:tcPr>
            <w:tcW w:w="851" w:type="dxa"/>
            <w:vAlign w:val="center"/>
          </w:tcPr>
          <w:p w:rsidR="00000000" w:rsidRDefault="00000000">
            <w:pPr>
              <w:pStyle w:val="a1"/>
              <w:jc w:val="center"/>
              <w:rPr>
                <w:b/>
                <w:sz w:val="18"/>
              </w:rPr>
            </w:pPr>
            <w:r>
              <w:rPr>
                <w:b/>
                <w:sz w:val="18"/>
              </w:rPr>
              <w:t>1994 год</w:t>
            </w:r>
          </w:p>
        </w:tc>
        <w:tc>
          <w:tcPr>
            <w:tcW w:w="851" w:type="dxa"/>
            <w:vAlign w:val="center"/>
          </w:tcPr>
          <w:p w:rsidR="00000000" w:rsidRDefault="00000000">
            <w:pPr>
              <w:pStyle w:val="a1"/>
              <w:jc w:val="center"/>
              <w:rPr>
                <w:b/>
                <w:sz w:val="18"/>
              </w:rPr>
            </w:pPr>
            <w:r>
              <w:rPr>
                <w:b/>
                <w:sz w:val="18"/>
              </w:rPr>
              <w:t>1995 год</w:t>
            </w:r>
          </w:p>
        </w:tc>
        <w:tc>
          <w:tcPr>
            <w:tcW w:w="851" w:type="dxa"/>
            <w:vAlign w:val="center"/>
          </w:tcPr>
          <w:p w:rsidR="00000000" w:rsidRDefault="00000000">
            <w:pPr>
              <w:pStyle w:val="a1"/>
              <w:jc w:val="center"/>
              <w:rPr>
                <w:b/>
                <w:sz w:val="18"/>
              </w:rPr>
            </w:pPr>
            <w:r>
              <w:rPr>
                <w:b/>
                <w:sz w:val="18"/>
              </w:rPr>
              <w:t>1996 год</w:t>
            </w:r>
          </w:p>
        </w:tc>
        <w:tc>
          <w:tcPr>
            <w:tcW w:w="851" w:type="dxa"/>
            <w:vAlign w:val="center"/>
          </w:tcPr>
          <w:p w:rsidR="00000000" w:rsidRDefault="00000000">
            <w:pPr>
              <w:pStyle w:val="a1"/>
              <w:jc w:val="center"/>
              <w:rPr>
                <w:b/>
                <w:sz w:val="18"/>
              </w:rPr>
            </w:pPr>
            <w:r>
              <w:rPr>
                <w:b/>
                <w:sz w:val="18"/>
              </w:rPr>
              <w:t>1997 год</w:t>
            </w:r>
          </w:p>
        </w:tc>
        <w:tc>
          <w:tcPr>
            <w:tcW w:w="851" w:type="dxa"/>
            <w:vAlign w:val="center"/>
          </w:tcPr>
          <w:p w:rsidR="00000000" w:rsidRDefault="00000000">
            <w:pPr>
              <w:pStyle w:val="a1"/>
              <w:jc w:val="center"/>
              <w:rPr>
                <w:b/>
                <w:sz w:val="18"/>
              </w:rPr>
            </w:pPr>
            <w:r>
              <w:rPr>
                <w:b/>
                <w:sz w:val="18"/>
              </w:rPr>
              <w:t>1998 год</w:t>
            </w:r>
          </w:p>
        </w:tc>
        <w:tc>
          <w:tcPr>
            <w:tcW w:w="851" w:type="dxa"/>
            <w:vAlign w:val="center"/>
          </w:tcPr>
          <w:p w:rsidR="00000000" w:rsidRDefault="00000000">
            <w:pPr>
              <w:pStyle w:val="a1"/>
              <w:jc w:val="center"/>
              <w:rPr>
                <w:b/>
                <w:sz w:val="18"/>
              </w:rPr>
            </w:pPr>
            <w:r>
              <w:rPr>
                <w:b/>
                <w:sz w:val="18"/>
              </w:rPr>
              <w:t>1999 год</w:t>
            </w:r>
          </w:p>
        </w:tc>
        <w:tc>
          <w:tcPr>
            <w:tcW w:w="1418" w:type="dxa"/>
            <w:vAlign w:val="center"/>
          </w:tcPr>
          <w:p w:rsidR="00000000" w:rsidRDefault="00000000">
            <w:pPr>
              <w:pStyle w:val="a1"/>
              <w:jc w:val="center"/>
              <w:rPr>
                <w:b/>
                <w:sz w:val="18"/>
              </w:rPr>
            </w:pPr>
            <w:r>
              <w:rPr>
                <w:b/>
                <w:sz w:val="18"/>
              </w:rPr>
              <w:t>Сент. 1998 года/</w:t>
            </w:r>
            <w:r>
              <w:rPr>
                <w:b/>
                <w:sz w:val="18"/>
              </w:rPr>
              <w:br/>
              <w:t>авг. 1999 года</w:t>
            </w:r>
          </w:p>
        </w:tc>
        <w:tc>
          <w:tcPr>
            <w:tcW w:w="1418" w:type="dxa"/>
            <w:vAlign w:val="center"/>
          </w:tcPr>
          <w:p w:rsidR="00000000" w:rsidRDefault="00000000">
            <w:pPr>
              <w:pStyle w:val="a1"/>
              <w:jc w:val="center"/>
              <w:rPr>
                <w:b/>
                <w:sz w:val="18"/>
              </w:rPr>
            </w:pPr>
            <w:r>
              <w:rPr>
                <w:b/>
                <w:sz w:val="18"/>
              </w:rPr>
              <w:t>Сент. 1999 года/</w:t>
            </w:r>
            <w:r>
              <w:rPr>
                <w:b/>
                <w:sz w:val="18"/>
              </w:rPr>
              <w:br/>
              <w:t>авг. 2000 года</w:t>
            </w:r>
            <w:r>
              <w:rPr>
                <w:b/>
                <w:sz w:val="18"/>
                <w:vertAlign w:val="superscript"/>
              </w:rPr>
              <w:t>1</w:t>
            </w:r>
          </w:p>
        </w:tc>
      </w:tr>
      <w:tr w:rsidR="00000000">
        <w:tblPrEx>
          <w:tblCellMar>
            <w:top w:w="0" w:type="dxa"/>
            <w:bottom w:w="0" w:type="dxa"/>
          </w:tblCellMar>
        </w:tblPrEx>
        <w:trPr>
          <w:jc w:val="center"/>
        </w:trPr>
        <w:tc>
          <w:tcPr>
            <w:tcW w:w="2098" w:type="dxa"/>
          </w:tcPr>
          <w:p w:rsidR="00000000" w:rsidRDefault="00000000">
            <w:pPr>
              <w:pStyle w:val="a1"/>
            </w:pPr>
            <w:r>
              <w:t>Курсы профессионал</w:t>
            </w:r>
            <w:r>
              <w:t>ь</w:t>
            </w:r>
            <w:r>
              <w:t>ного обучения (СИМО)</w:t>
            </w:r>
          </w:p>
        </w:tc>
        <w:tc>
          <w:tcPr>
            <w:tcW w:w="851" w:type="dxa"/>
          </w:tcPr>
          <w:p w:rsidR="00000000" w:rsidRDefault="00000000">
            <w:pPr>
              <w:pStyle w:val="a1"/>
              <w:jc w:val="center"/>
            </w:pPr>
          </w:p>
        </w:tc>
        <w:tc>
          <w:tcPr>
            <w:tcW w:w="851" w:type="dxa"/>
          </w:tcPr>
          <w:p w:rsidR="00000000" w:rsidRDefault="00000000">
            <w:pPr>
              <w:pStyle w:val="a1"/>
              <w:jc w:val="center"/>
            </w:pPr>
          </w:p>
        </w:tc>
        <w:tc>
          <w:tcPr>
            <w:tcW w:w="851" w:type="dxa"/>
          </w:tcPr>
          <w:p w:rsidR="00000000" w:rsidRDefault="00000000">
            <w:pPr>
              <w:pStyle w:val="a1"/>
              <w:jc w:val="center"/>
            </w:pPr>
          </w:p>
        </w:tc>
        <w:tc>
          <w:tcPr>
            <w:tcW w:w="851" w:type="dxa"/>
          </w:tcPr>
          <w:p w:rsidR="00000000" w:rsidRDefault="00000000">
            <w:pPr>
              <w:pStyle w:val="a1"/>
              <w:jc w:val="center"/>
            </w:pPr>
          </w:p>
        </w:tc>
        <w:tc>
          <w:tcPr>
            <w:tcW w:w="851" w:type="dxa"/>
          </w:tcPr>
          <w:p w:rsidR="00000000" w:rsidRDefault="00000000">
            <w:pPr>
              <w:pStyle w:val="a1"/>
              <w:jc w:val="center"/>
            </w:pPr>
          </w:p>
        </w:tc>
        <w:tc>
          <w:tcPr>
            <w:tcW w:w="851" w:type="dxa"/>
          </w:tcPr>
          <w:p w:rsidR="00000000" w:rsidRDefault="00000000">
            <w:pPr>
              <w:pStyle w:val="a1"/>
              <w:jc w:val="center"/>
            </w:pPr>
          </w:p>
        </w:tc>
        <w:tc>
          <w:tcPr>
            <w:tcW w:w="1418" w:type="dxa"/>
          </w:tcPr>
          <w:p w:rsidR="00000000" w:rsidRDefault="00000000">
            <w:pPr>
              <w:pStyle w:val="a1"/>
              <w:jc w:val="center"/>
            </w:pPr>
          </w:p>
        </w:tc>
        <w:tc>
          <w:tcPr>
            <w:tcW w:w="1418" w:type="dxa"/>
          </w:tcPr>
          <w:p w:rsidR="00000000" w:rsidRDefault="00000000">
            <w:pPr>
              <w:pStyle w:val="a1"/>
              <w:jc w:val="center"/>
            </w:pPr>
          </w:p>
        </w:tc>
      </w:tr>
      <w:tr w:rsidR="00000000">
        <w:tblPrEx>
          <w:tblCellMar>
            <w:top w:w="0" w:type="dxa"/>
            <w:bottom w:w="0" w:type="dxa"/>
          </w:tblCellMar>
        </w:tblPrEx>
        <w:trPr>
          <w:jc w:val="center"/>
        </w:trPr>
        <w:tc>
          <w:tcPr>
            <w:tcW w:w="2098" w:type="dxa"/>
          </w:tcPr>
          <w:p w:rsidR="00000000" w:rsidRDefault="00000000">
            <w:pPr>
              <w:pStyle w:val="a1"/>
            </w:pPr>
            <w:r>
              <w:t>Число трудящихся, получивших профе</w:t>
            </w:r>
            <w:r>
              <w:t>с</w:t>
            </w:r>
            <w:r>
              <w:t>сиональную подгото</w:t>
            </w:r>
            <w:r>
              <w:t>в</w:t>
            </w:r>
            <w:r>
              <w:t>ку</w:t>
            </w:r>
          </w:p>
        </w:tc>
        <w:tc>
          <w:tcPr>
            <w:tcW w:w="851" w:type="dxa"/>
            <w:vAlign w:val="bottom"/>
          </w:tcPr>
          <w:p w:rsidR="00000000" w:rsidRDefault="00000000">
            <w:pPr>
              <w:pStyle w:val="a1"/>
              <w:ind w:right="57"/>
              <w:jc w:val="right"/>
            </w:pPr>
            <w:r>
              <w:t>150 226</w:t>
            </w:r>
          </w:p>
        </w:tc>
        <w:tc>
          <w:tcPr>
            <w:tcW w:w="851" w:type="dxa"/>
            <w:vAlign w:val="bottom"/>
          </w:tcPr>
          <w:p w:rsidR="00000000" w:rsidRDefault="00000000">
            <w:pPr>
              <w:pStyle w:val="a1"/>
              <w:ind w:right="57"/>
              <w:jc w:val="right"/>
            </w:pPr>
            <w:r>
              <w:t>368 111</w:t>
            </w:r>
          </w:p>
        </w:tc>
        <w:tc>
          <w:tcPr>
            <w:tcW w:w="851" w:type="dxa"/>
            <w:vAlign w:val="bottom"/>
          </w:tcPr>
          <w:p w:rsidR="00000000" w:rsidRDefault="00000000">
            <w:pPr>
              <w:pStyle w:val="a1"/>
              <w:ind w:right="57"/>
              <w:jc w:val="right"/>
            </w:pPr>
            <w:r>
              <w:t>549 095</w:t>
            </w:r>
          </w:p>
        </w:tc>
        <w:tc>
          <w:tcPr>
            <w:tcW w:w="851" w:type="dxa"/>
            <w:vAlign w:val="bottom"/>
          </w:tcPr>
          <w:p w:rsidR="00000000" w:rsidRDefault="00000000">
            <w:pPr>
              <w:pStyle w:val="a1"/>
              <w:ind w:right="57"/>
              <w:jc w:val="right"/>
            </w:pPr>
            <w:r>
              <w:t>517 815</w:t>
            </w:r>
          </w:p>
        </w:tc>
        <w:tc>
          <w:tcPr>
            <w:tcW w:w="851" w:type="dxa"/>
            <w:vAlign w:val="bottom"/>
          </w:tcPr>
          <w:p w:rsidR="00000000" w:rsidRDefault="00000000">
            <w:pPr>
              <w:pStyle w:val="a1"/>
              <w:ind w:right="57"/>
              <w:jc w:val="right"/>
            </w:pPr>
            <w:r>
              <w:t>613 664</w:t>
            </w:r>
          </w:p>
        </w:tc>
        <w:tc>
          <w:tcPr>
            <w:tcW w:w="851" w:type="dxa"/>
            <w:vAlign w:val="bottom"/>
          </w:tcPr>
          <w:p w:rsidR="00000000" w:rsidRDefault="00000000">
            <w:pPr>
              <w:pStyle w:val="a1"/>
              <w:ind w:right="57"/>
              <w:jc w:val="right"/>
            </w:pPr>
            <w:r>
              <w:t>760 828</w:t>
            </w:r>
          </w:p>
        </w:tc>
        <w:tc>
          <w:tcPr>
            <w:tcW w:w="1418" w:type="dxa"/>
            <w:vAlign w:val="bottom"/>
          </w:tcPr>
          <w:p w:rsidR="00000000" w:rsidRDefault="00000000">
            <w:pPr>
              <w:pStyle w:val="a1"/>
              <w:ind w:right="340"/>
              <w:jc w:val="right"/>
            </w:pPr>
            <w:r>
              <w:t>646 500</w:t>
            </w:r>
          </w:p>
        </w:tc>
        <w:tc>
          <w:tcPr>
            <w:tcW w:w="1418" w:type="dxa"/>
            <w:vAlign w:val="bottom"/>
          </w:tcPr>
          <w:p w:rsidR="00000000" w:rsidRDefault="00000000">
            <w:pPr>
              <w:pStyle w:val="a1"/>
              <w:ind w:right="340"/>
              <w:jc w:val="right"/>
            </w:pPr>
            <w:r>
              <w:t>805 366</w:t>
            </w:r>
          </w:p>
        </w:tc>
      </w:tr>
      <w:tr w:rsidR="00000000">
        <w:tblPrEx>
          <w:tblCellMar>
            <w:top w:w="0" w:type="dxa"/>
            <w:bottom w:w="0" w:type="dxa"/>
          </w:tblCellMar>
        </w:tblPrEx>
        <w:trPr>
          <w:jc w:val="center"/>
        </w:trPr>
        <w:tc>
          <w:tcPr>
            <w:tcW w:w="2098" w:type="dxa"/>
          </w:tcPr>
          <w:p w:rsidR="00000000" w:rsidRDefault="00000000">
            <w:pPr>
              <w:pStyle w:val="a1"/>
            </w:pPr>
            <w:r>
              <w:t>Число уче</w:t>
            </w:r>
            <w:r>
              <w:t>б</w:t>
            </w:r>
            <w:r>
              <w:t>ных часов</w:t>
            </w:r>
          </w:p>
        </w:tc>
        <w:tc>
          <w:tcPr>
            <w:tcW w:w="851" w:type="dxa"/>
            <w:vAlign w:val="bottom"/>
          </w:tcPr>
          <w:p w:rsidR="00000000" w:rsidRDefault="00000000">
            <w:pPr>
              <w:pStyle w:val="a1"/>
              <w:ind w:right="57"/>
              <w:jc w:val="right"/>
            </w:pPr>
            <w:r>
              <w:t>11 040</w:t>
            </w:r>
          </w:p>
        </w:tc>
        <w:tc>
          <w:tcPr>
            <w:tcW w:w="851" w:type="dxa"/>
            <w:vAlign w:val="bottom"/>
          </w:tcPr>
          <w:p w:rsidR="00000000" w:rsidRDefault="00000000">
            <w:pPr>
              <w:pStyle w:val="a1"/>
              <w:ind w:right="57"/>
              <w:jc w:val="right"/>
            </w:pPr>
            <w:r>
              <w:t>30 014</w:t>
            </w:r>
          </w:p>
        </w:tc>
        <w:tc>
          <w:tcPr>
            <w:tcW w:w="851" w:type="dxa"/>
            <w:vAlign w:val="bottom"/>
          </w:tcPr>
          <w:p w:rsidR="00000000" w:rsidRDefault="00000000">
            <w:pPr>
              <w:pStyle w:val="a1"/>
              <w:ind w:right="57"/>
              <w:jc w:val="right"/>
            </w:pPr>
            <w:r>
              <w:t>48 802</w:t>
            </w:r>
          </w:p>
        </w:tc>
        <w:tc>
          <w:tcPr>
            <w:tcW w:w="851" w:type="dxa"/>
            <w:vAlign w:val="bottom"/>
          </w:tcPr>
          <w:p w:rsidR="00000000" w:rsidRDefault="00000000">
            <w:pPr>
              <w:pStyle w:val="a1"/>
              <w:ind w:right="57"/>
              <w:jc w:val="right"/>
            </w:pPr>
            <w:r>
              <w:t>48 886</w:t>
            </w:r>
          </w:p>
        </w:tc>
        <w:tc>
          <w:tcPr>
            <w:tcW w:w="851" w:type="dxa"/>
            <w:vAlign w:val="bottom"/>
          </w:tcPr>
          <w:p w:rsidR="00000000" w:rsidRDefault="00000000">
            <w:pPr>
              <w:pStyle w:val="a1"/>
              <w:ind w:right="57"/>
              <w:jc w:val="right"/>
            </w:pPr>
            <w:r>
              <w:t>55 371</w:t>
            </w:r>
          </w:p>
        </w:tc>
        <w:tc>
          <w:tcPr>
            <w:tcW w:w="851" w:type="dxa"/>
            <w:vAlign w:val="bottom"/>
          </w:tcPr>
          <w:p w:rsidR="00000000" w:rsidRDefault="00000000">
            <w:pPr>
              <w:pStyle w:val="a1"/>
              <w:ind w:right="57"/>
              <w:jc w:val="right"/>
            </w:pPr>
            <w:r>
              <w:t>72 626</w:t>
            </w:r>
          </w:p>
        </w:tc>
        <w:tc>
          <w:tcPr>
            <w:tcW w:w="1418" w:type="dxa"/>
            <w:vAlign w:val="bottom"/>
          </w:tcPr>
          <w:p w:rsidR="00000000" w:rsidRDefault="00000000">
            <w:pPr>
              <w:pStyle w:val="a1"/>
              <w:ind w:right="340"/>
              <w:jc w:val="right"/>
            </w:pPr>
            <w:r>
              <w:t>60 554</w:t>
            </w:r>
          </w:p>
        </w:tc>
        <w:tc>
          <w:tcPr>
            <w:tcW w:w="1418" w:type="dxa"/>
            <w:vAlign w:val="bottom"/>
          </w:tcPr>
          <w:p w:rsidR="00000000" w:rsidRDefault="00000000">
            <w:pPr>
              <w:pStyle w:val="a1"/>
              <w:ind w:right="340"/>
              <w:jc w:val="right"/>
            </w:pPr>
            <w:r>
              <w:t>81 061</w:t>
            </w:r>
          </w:p>
        </w:tc>
      </w:tr>
      <w:tr w:rsidR="00000000">
        <w:tblPrEx>
          <w:tblCellMar>
            <w:top w:w="0" w:type="dxa"/>
            <w:bottom w:w="0" w:type="dxa"/>
          </w:tblCellMar>
        </w:tblPrEx>
        <w:trPr>
          <w:jc w:val="center"/>
        </w:trPr>
        <w:tc>
          <w:tcPr>
            <w:tcW w:w="2098" w:type="dxa"/>
          </w:tcPr>
          <w:p w:rsidR="00000000" w:rsidRDefault="00000000">
            <w:pPr>
              <w:pStyle w:val="a1"/>
            </w:pPr>
            <w:r>
              <w:t>Число предприятий-участников</w:t>
            </w:r>
          </w:p>
        </w:tc>
        <w:tc>
          <w:tcPr>
            <w:tcW w:w="851" w:type="dxa"/>
            <w:vAlign w:val="bottom"/>
          </w:tcPr>
          <w:p w:rsidR="00000000" w:rsidRDefault="00000000">
            <w:pPr>
              <w:pStyle w:val="a1"/>
              <w:ind w:right="57"/>
              <w:jc w:val="right"/>
            </w:pPr>
            <w:r>
              <w:t>45 740</w:t>
            </w:r>
          </w:p>
        </w:tc>
        <w:tc>
          <w:tcPr>
            <w:tcW w:w="851" w:type="dxa"/>
            <w:vAlign w:val="bottom"/>
          </w:tcPr>
          <w:p w:rsidR="00000000" w:rsidRDefault="00000000">
            <w:pPr>
              <w:pStyle w:val="a1"/>
              <w:ind w:right="57"/>
              <w:jc w:val="right"/>
            </w:pPr>
            <w:r>
              <w:t>104 592</w:t>
            </w:r>
          </w:p>
        </w:tc>
        <w:tc>
          <w:tcPr>
            <w:tcW w:w="851" w:type="dxa"/>
            <w:vAlign w:val="bottom"/>
          </w:tcPr>
          <w:p w:rsidR="00000000" w:rsidRDefault="00000000">
            <w:pPr>
              <w:pStyle w:val="a1"/>
              <w:ind w:right="57"/>
              <w:jc w:val="right"/>
            </w:pPr>
            <w:r>
              <w:t>174 897</w:t>
            </w:r>
          </w:p>
        </w:tc>
        <w:tc>
          <w:tcPr>
            <w:tcW w:w="851" w:type="dxa"/>
            <w:vAlign w:val="bottom"/>
          </w:tcPr>
          <w:p w:rsidR="00000000" w:rsidRDefault="00000000">
            <w:pPr>
              <w:pStyle w:val="a1"/>
              <w:ind w:right="57"/>
              <w:jc w:val="right"/>
            </w:pPr>
            <w:r>
              <w:t>183 742</w:t>
            </w:r>
          </w:p>
        </w:tc>
        <w:tc>
          <w:tcPr>
            <w:tcW w:w="851" w:type="dxa"/>
            <w:vAlign w:val="bottom"/>
          </w:tcPr>
          <w:p w:rsidR="00000000" w:rsidRDefault="00000000">
            <w:pPr>
              <w:pStyle w:val="a1"/>
              <w:ind w:right="57"/>
              <w:jc w:val="right"/>
            </w:pPr>
            <w:r>
              <w:t>307 237</w:t>
            </w:r>
          </w:p>
        </w:tc>
        <w:tc>
          <w:tcPr>
            <w:tcW w:w="851" w:type="dxa"/>
            <w:vAlign w:val="bottom"/>
          </w:tcPr>
          <w:p w:rsidR="00000000" w:rsidRDefault="00000000">
            <w:pPr>
              <w:pStyle w:val="a1"/>
              <w:ind w:right="57"/>
              <w:jc w:val="right"/>
            </w:pPr>
            <w:r>
              <w:t>418 748</w:t>
            </w:r>
          </w:p>
        </w:tc>
        <w:tc>
          <w:tcPr>
            <w:tcW w:w="1418" w:type="dxa"/>
            <w:vAlign w:val="bottom"/>
          </w:tcPr>
          <w:p w:rsidR="00000000" w:rsidRDefault="00000000">
            <w:pPr>
              <w:pStyle w:val="a1"/>
              <w:ind w:right="340"/>
              <w:jc w:val="right"/>
            </w:pPr>
            <w:r>
              <w:t>326 200</w:t>
            </w:r>
          </w:p>
        </w:tc>
        <w:tc>
          <w:tcPr>
            <w:tcW w:w="1418" w:type="dxa"/>
            <w:vAlign w:val="bottom"/>
          </w:tcPr>
          <w:p w:rsidR="00000000" w:rsidRDefault="00000000">
            <w:pPr>
              <w:pStyle w:val="a1"/>
              <w:ind w:right="340"/>
              <w:jc w:val="right"/>
            </w:pPr>
            <w:r>
              <w:t>430 497</w:t>
            </w:r>
          </w:p>
        </w:tc>
      </w:tr>
    </w:tbl>
    <w:p w:rsidR="00000000" w:rsidRDefault="00000000">
      <w:pPr>
        <w:pStyle w:val="a2"/>
        <w:spacing w:before="120"/>
      </w:pPr>
      <w:r>
        <w:t>Источник: Министерство труда и социального обеспечения.</w:t>
      </w:r>
    </w:p>
    <w:p w:rsidR="00000000" w:rsidRDefault="00000000">
      <w:pPr>
        <w:pStyle w:val="a2"/>
      </w:pPr>
      <w:r>
        <w:rPr>
          <w:vertAlign w:val="superscript"/>
        </w:rPr>
        <w:t>1</w:t>
      </w:r>
      <w:r>
        <w:t xml:space="preserve"> Оценка.</w:t>
      </w:r>
    </w:p>
    <w:p w:rsidR="00000000" w:rsidRDefault="00000000">
      <w:pPr>
        <w:pStyle w:val="a2"/>
      </w:pPr>
      <w:r>
        <w:t xml:space="preserve">* Данных с разбивкой по полу не имеется. </w:t>
      </w:r>
    </w:p>
    <w:p w:rsidR="00000000" w:rsidRDefault="00000000">
      <w:pPr>
        <w:pStyle w:val="CommentText"/>
      </w:pPr>
    </w:p>
    <w:p w:rsidR="00000000" w:rsidRDefault="00000000">
      <w:pPr>
        <w:pStyle w:val="Heading3"/>
        <w:spacing w:before="0"/>
      </w:pPr>
      <w:r>
        <w:t xml:space="preserve">Другие планы, программы и проекты </w:t>
      </w:r>
    </w:p>
    <w:p w:rsidR="00000000" w:rsidRDefault="00000000">
      <w:r>
        <w:t>511.</w:t>
      </w:r>
      <w:r>
        <w:tab/>
        <w:t>План действий "Больше хороших мест для женщин Мексики" разработан с учетом основных направлений политики по выполнению решений четвертой Всемирной конференции по положению женщин, а также программ развития страны, в частности национальной программы по улучшению положения женщин (ПРОНАМ) на 1995–2000 годы. План призван способствовать созданию большего количества и более высоко оплачиваемых раб</w:t>
      </w:r>
      <w:r>
        <w:t>о</w:t>
      </w:r>
      <w:r>
        <w:t xml:space="preserve">чих мест для женщин путем координации и объединения усилий различных агентов, действующих на рынке труда, в период 1998–2000 годов. </w:t>
      </w:r>
    </w:p>
    <w:p w:rsidR="00000000" w:rsidRDefault="00000000">
      <w:r>
        <w:t>512.</w:t>
      </w:r>
      <w:r>
        <w:tab/>
        <w:t>Принятие данного плана стало результатом сотрудничества между Международной организацией труда (МОТ), Министерством труда и социального обеспечения, Национальной комиссией по делам женщин (НКЖ), М</w:t>
      </w:r>
      <w:r>
        <w:t>и</w:t>
      </w:r>
      <w:r>
        <w:t>нистерством иностранных дел и другими государственными учреждениями, организациями работодателей и тр</w:t>
      </w:r>
      <w:r>
        <w:t>у</w:t>
      </w:r>
      <w:r>
        <w:t>дящихся, научными центрами и высшими учебными заведениями. Международную поддержку в организации м</w:t>
      </w:r>
      <w:r>
        <w:t>е</w:t>
      </w:r>
      <w:r>
        <w:t>роприятий, предусмотренных данным планом, оказывает Международная программа МОТ "Больше хороших мест для женщин", принятая 265-й сессией Административного совета Международной организации труда в марте 1996 года и ос</w:t>
      </w:r>
      <w:r>
        <w:t>у</w:t>
      </w:r>
      <w:r>
        <w:t xml:space="preserve">ществляемая с июня 1997 года. </w:t>
      </w:r>
    </w:p>
    <w:p w:rsidR="00000000" w:rsidRDefault="00000000">
      <w:r>
        <w:t>513.</w:t>
      </w:r>
      <w:r>
        <w:tab/>
        <w:t>В ходе подготовки национальной программы, а также ее последующей разработки, проведения и монитори</w:t>
      </w:r>
      <w:r>
        <w:t>н</w:t>
      </w:r>
      <w:r>
        <w:t>га ее мероприятий были образованы три органа, ответственных за осуществление данной программы. Один из них – национальный координационный комитет – привлек к участию в программе ряд неправительственных организ</w:t>
      </w:r>
      <w:r>
        <w:t>а</w:t>
      </w:r>
      <w:r>
        <w:t>ций. Кроме того, по предложению МОТ была создана Группа консультантов ПРОНАМ из представителей неправ</w:t>
      </w:r>
      <w:r>
        <w:t>и</w:t>
      </w:r>
      <w:r>
        <w:t>тельственных организаций, профессиональных ассоциаций и других общественных объедин</w:t>
      </w:r>
      <w:r>
        <w:t>е</w:t>
      </w:r>
      <w:r>
        <w:t xml:space="preserve">ний. </w:t>
      </w:r>
    </w:p>
    <w:p w:rsidR="00000000" w:rsidRDefault="00000000">
      <w:r>
        <w:t>514.</w:t>
      </w:r>
      <w:r>
        <w:tab/>
        <w:t>В рамках этой программы Главное управление по вопросам гендерного равенства Министерства тр</w:t>
      </w:r>
      <w:r>
        <w:t>у</w:t>
      </w:r>
      <w:r>
        <w:t>да и социального обеспечения во взаимодействии с Генеральной прокуратурой охраны труда (ПРОФЕДЕТ) пров</w:t>
      </w:r>
      <w:r>
        <w:t>о</w:t>
      </w:r>
      <w:r>
        <w:t>дит активную деятельность по разъяснению и охране прав работающей женщины. В частности, создаются орган</w:t>
      </w:r>
      <w:r>
        <w:t>и</w:t>
      </w:r>
      <w:r>
        <w:t>зационные формы и реализуются программы профессионального обучения с целью повысить занятость среди женщин и обеспечить им возможности более высокой оплаты труда. Кроме того, проводятся занятия по генде</w:t>
      </w:r>
      <w:r>
        <w:t>р</w:t>
      </w:r>
      <w:r>
        <w:t xml:space="preserve">ной тематике с лицами, ответственными за выполнение соответствующих программ. Также начато осуществление экспериментальных программ в двух субъектах Федерации. Одна из этих программ предназначена для городских женщин-предпринимателей, другая – для работниц сборочных предприятий, производящих продукцию на экспорт. </w:t>
      </w:r>
    </w:p>
    <w:p w:rsidR="00000000" w:rsidRDefault="00000000">
      <w:r>
        <w:t>515.</w:t>
      </w:r>
      <w:r>
        <w:tab/>
        <w:t>В штате Коауила экспериментальной программой было охвачено 2500 работниц десяти сборочных предприятий. С ними было проведено 102 занятия по развитию навыков поведения с позиции гендерного равенства; общий об</w:t>
      </w:r>
      <w:r>
        <w:t>ъ</w:t>
      </w:r>
      <w:r>
        <w:t>ем курса составил 7500 человеко-часов; в среднем по 3 часа на каждого участника. Было также проведено 102 с</w:t>
      </w:r>
      <w:r>
        <w:t>е</w:t>
      </w:r>
      <w:r>
        <w:t>минара по вопросам безопасности и гигиены труда. Кроме того, был прочитан курс лекций по вопросу о гендерном подх</w:t>
      </w:r>
      <w:r>
        <w:t>о</w:t>
      </w:r>
      <w:r>
        <w:t>де к решению задач в сфере повышения квалификации и социального развития трудящихся, организованный для руководящих работников предприятий (директоров, управляющих, начальников отделов и участков) и профсою</w:t>
      </w:r>
      <w:r>
        <w:t>з</w:t>
      </w:r>
      <w:r>
        <w:t xml:space="preserve">ных деятелей; всего данный курс прослушал 361 человек. </w:t>
      </w:r>
    </w:p>
    <w:p w:rsidR="00000000" w:rsidRDefault="00000000">
      <w:r>
        <w:t>516.</w:t>
      </w:r>
      <w:r>
        <w:tab/>
        <w:t>Кроме того, был организован семинар по гендерным вопросам для федеральных и местных инспекторов по охране труда. Велись занятия по программе "Школа для родителей: все для блага наших детей"; обучение прошли 2457 женщин. Образованы также четыре группы родственников, помогающих работающим матерям в уходе за детьми; для них был прочитан курс лекций по психологии поведения. Благодаря осуществлению этой последней программы была ок</w:t>
      </w:r>
      <w:r>
        <w:t>а</w:t>
      </w:r>
      <w:r>
        <w:t>зана психологическая п</w:t>
      </w:r>
      <w:r>
        <w:t>о</w:t>
      </w:r>
      <w:r>
        <w:t xml:space="preserve">мощь 95 семьям. </w:t>
      </w:r>
    </w:p>
    <w:p w:rsidR="00000000" w:rsidRDefault="00000000">
      <w:r>
        <w:t>517.</w:t>
      </w:r>
      <w:r>
        <w:tab/>
        <w:t>Программа модернизации профессионально-технического обучения (ПМЕТИК), которая осуществляется с 1995 года по инициативе и под эгидой Министерства труда и социального обеспечения, Министерства просвещ</w:t>
      </w:r>
      <w:r>
        <w:t>е</w:t>
      </w:r>
      <w:r>
        <w:t>ния и Совета по унификации критериев профессиональной квалификации коммунальных и социальных служб (КОНОСЕР), преследует цель создания необходимых условий для реорганизации системы профессионального об</w:t>
      </w:r>
      <w:r>
        <w:t>у</w:t>
      </w:r>
      <w:r>
        <w:t>чения и повышения его качества, с тем чтобы данная система в большей мере отвечала запросам трудящихся и р</w:t>
      </w:r>
      <w:r>
        <w:t>а</w:t>
      </w:r>
      <w:r>
        <w:t xml:space="preserve">ботодателей. </w:t>
      </w:r>
    </w:p>
    <w:p w:rsidR="00000000" w:rsidRDefault="00000000">
      <w:r>
        <w:t>518.</w:t>
      </w:r>
      <w:r>
        <w:tab/>
        <w:t>КОНОСЕР представляет собой общенациональную, некоммерческую организацию, в которую входят представители трех общественных сил: предпринимателей, государства и общественных организаций. Главная з</w:t>
      </w:r>
      <w:r>
        <w:t>а</w:t>
      </w:r>
      <w:r>
        <w:t>дача Совета – разработка, проведение в жизнь и усовершенствование Единой системы критериев оценки профе</w:t>
      </w:r>
      <w:r>
        <w:t>с</w:t>
      </w:r>
      <w:r>
        <w:t xml:space="preserve">сиональной квалификации. </w:t>
      </w:r>
    </w:p>
    <w:p w:rsidR="00000000" w:rsidRDefault="00000000">
      <w:r>
        <w:t>519.</w:t>
      </w:r>
      <w:r>
        <w:tab/>
        <w:t>Единая система оценки профессиональной квалификации, разработка которой является составной частью программы модернизации профессионально-технического обучения, осуществляемой Советом, должна объединить в себе технические нормы оценки профессиональной квалификации, позволяющие представить последнюю как определенную совокупность знаний, навыков и установок, необходимых для успешного решения профессионал</w:t>
      </w:r>
      <w:r>
        <w:t>ь</w:t>
      </w:r>
      <w:r>
        <w:t>ных задач на уровне требований к качеству, предъявляемых современным производством. В целях повышения э</w:t>
      </w:r>
      <w:r>
        <w:t>ф</w:t>
      </w:r>
      <w:r>
        <w:t xml:space="preserve">фективности указанных технических норм их разработка ведется при участии представителей предпринимателей и трудящихся. </w:t>
      </w:r>
    </w:p>
    <w:p w:rsidR="00000000" w:rsidRDefault="00000000">
      <w:r>
        <w:t>520.</w:t>
      </w:r>
      <w:r>
        <w:tab/>
        <w:t>Сознавая важность поставленных в этой области задач, Национальная комиссия по делам женщин поставила перед КОНОСЕР вопрос об учреждении совета по унификации критериев профессиональной квалификации ко</w:t>
      </w:r>
      <w:r>
        <w:t>м</w:t>
      </w:r>
      <w:r>
        <w:t>мунальных и социальных служб, а также подкомитета по вопросам предоставления услуг на дому, считая, что с особо трудной ситуацией сталкиваются именно домашние работницы. Для того чтобы улучшить социальное пол</w:t>
      </w:r>
      <w:r>
        <w:t>о</w:t>
      </w:r>
      <w:r>
        <w:t>жение этой категории женщин, расширить их возможности в сфере образования и на рынке труда и тем самым сп</w:t>
      </w:r>
      <w:r>
        <w:t>о</w:t>
      </w:r>
      <w:r>
        <w:t>собствовать повышению их доходов, было принято решение разработать документ, который удостоверял бы их знания и защищал их интересы на рынке труда. В результате проведенной работы были официально одобрены и приняты пять сертификатов, четыре из которых относятся к сфере предоставления услуг на дому и один – к сфере парикмахерско-косметических услуг. Конкретнее, к сферам таких услуг относятся:</w:t>
      </w:r>
    </w:p>
    <w:p w:rsidR="00000000" w:rsidRDefault="00000000">
      <w:pPr>
        <w:tabs>
          <w:tab w:val="left" w:pos="284"/>
        </w:tabs>
        <w:spacing w:after="120"/>
      </w:pPr>
      <w:r>
        <w:tab/>
        <w:t>1.</w:t>
      </w:r>
      <w:r>
        <w:tab/>
        <w:t>Основные услуги по уборке дома.</w:t>
      </w:r>
    </w:p>
    <w:p w:rsidR="00000000" w:rsidRDefault="00000000">
      <w:pPr>
        <w:pStyle w:val="Header"/>
        <w:tabs>
          <w:tab w:val="clear" w:pos="4677"/>
          <w:tab w:val="clear" w:pos="9355"/>
          <w:tab w:val="left" w:pos="284"/>
        </w:tabs>
        <w:spacing w:after="120"/>
      </w:pPr>
      <w:r>
        <w:tab/>
        <w:t>2.</w:t>
      </w:r>
      <w:r>
        <w:tab/>
        <w:t>Услуги по стирке и глажению одежды.</w:t>
      </w:r>
    </w:p>
    <w:p w:rsidR="00000000" w:rsidRDefault="00000000">
      <w:pPr>
        <w:tabs>
          <w:tab w:val="left" w:pos="284"/>
        </w:tabs>
        <w:spacing w:after="120"/>
      </w:pPr>
      <w:r>
        <w:tab/>
        <w:t>3.</w:t>
      </w:r>
      <w:r>
        <w:tab/>
        <w:t>Основные услуги по приготовлению пищи.</w:t>
      </w:r>
    </w:p>
    <w:p w:rsidR="00000000" w:rsidRDefault="00000000">
      <w:pPr>
        <w:tabs>
          <w:tab w:val="left" w:pos="284"/>
        </w:tabs>
        <w:spacing w:after="120"/>
      </w:pPr>
      <w:r>
        <w:tab/>
        <w:t>4.</w:t>
      </w:r>
      <w:r>
        <w:tab/>
        <w:t>Кулинарные услуги экстра-класса.</w:t>
      </w:r>
    </w:p>
    <w:p w:rsidR="00000000" w:rsidRDefault="00000000">
      <w:pPr>
        <w:tabs>
          <w:tab w:val="left" w:pos="284"/>
        </w:tabs>
      </w:pPr>
      <w:r>
        <w:tab/>
        <w:t>5.</w:t>
      </w:r>
      <w:r>
        <w:tab/>
        <w:t xml:space="preserve">Услуги парикмахера. </w:t>
      </w:r>
    </w:p>
    <w:p w:rsidR="00000000" w:rsidRDefault="00000000">
      <w:r>
        <w:t>521.</w:t>
      </w:r>
      <w:r>
        <w:tab/>
        <w:t>Национальной финансовой компанией разработана и проводится в жизнь общая программа комплексной поддержки предприятий с минимальным числом работников, основная цель которой заключается в поддержке д</w:t>
      </w:r>
      <w:r>
        <w:t>е</w:t>
      </w:r>
      <w:r>
        <w:t>ловых начинаний женщин-предпринимателей, возглавляющих предприятия указанного типа. Создатели указанной программы стремятся обеспечить наибольшую отдачу от инвестиций и предпринимательской деятельности в да</w:t>
      </w:r>
      <w:r>
        <w:t>н</w:t>
      </w:r>
      <w:r>
        <w:t>ной области, проводя в жизнь комплекс мероприятий по финансированию, распространению информации, профе</w:t>
      </w:r>
      <w:r>
        <w:t>с</w:t>
      </w:r>
      <w:r>
        <w:t>сиональному обучению и консультированию указанных предприятий, исходя при этом из убеждения, что подобная поддержка должна быть адекватной ситуации, своевременной и широко доступной. Можно указать и другие пр</w:t>
      </w:r>
      <w:r>
        <w:t>о</w:t>
      </w:r>
      <w:r>
        <w:t>граммы, призванные обеспечить женщинам-предпринимателям кредитование и финансовую поддержку в целях развития производства, такие как программы Национального банка сельскохозяйственного кредита (БАНРУРАЛЬ), Национального фонда поддержки общественных предприятий (ФОНАЭС) и Фонда по</w:t>
      </w:r>
      <w:r>
        <w:t>д</w:t>
      </w:r>
      <w:r>
        <w:t xml:space="preserve">держки женщин-предпринимателей (оба фонда принадлежат Министерству социального развития), </w:t>
      </w:r>
      <w:r>
        <w:rPr>
          <w:lang w:val="es-ES_tradnl"/>
        </w:rPr>
        <w:t xml:space="preserve">Ассоциации попечителей сельскохозяйственного сектора (ФИРА), </w:t>
      </w:r>
      <w:r>
        <w:t>р</w:t>
      </w:r>
      <w:r>
        <w:rPr>
          <w:lang w:val="es-ES_tradnl"/>
        </w:rPr>
        <w:t xml:space="preserve">егиональных фондов для коренного населения Института по проблемам коренного населения (ИНИ), Национального доверительного фонда развития сельских общин (ФИФОНАФЕ) и </w:t>
      </w:r>
      <w:r>
        <w:t>п</w:t>
      </w:r>
      <w:r>
        <w:rPr>
          <w:lang w:val="es-ES_tradnl"/>
        </w:rPr>
        <w:t xml:space="preserve">рограмма улучшения положения женщин-крестьянок. Характеристика всех перечисленных программ будет дана ниже, в разделах данного доклада, относящихся к выполнению статей </w:t>
      </w:r>
      <w:r>
        <w:t xml:space="preserve">13 и 14 </w:t>
      </w:r>
      <w:r>
        <w:rPr>
          <w:lang w:val="es-ES_tradnl"/>
        </w:rPr>
        <w:t>Конвенции.</w:t>
      </w:r>
      <w:r>
        <w:t xml:space="preserve"> </w:t>
      </w:r>
    </w:p>
    <w:p w:rsidR="00000000" w:rsidRDefault="00000000">
      <w:r>
        <w:t>522.</w:t>
      </w:r>
      <w:r>
        <w:tab/>
        <w:t>В целях обеспечения занятости женщин с частичной потерей трудоспособности Национальная система ко</w:t>
      </w:r>
      <w:r>
        <w:t>м</w:t>
      </w:r>
      <w:r>
        <w:t>плексного развития семьи (ДИФ) в сотрудничестве с подкомиссией по трудовой реабилитации, профессиональному обучению и охране труда организует начиная с 1995 года работу агентств трудовой интеграции лиц с частичной потерей трудоспособности, для которых работают службы профессиональной и трудовой ориентации и службы псих</w:t>
      </w:r>
      <w:r>
        <w:t>о</w:t>
      </w:r>
      <w:r>
        <w:t xml:space="preserve">логов-консультантов. </w:t>
      </w:r>
    </w:p>
    <w:p w:rsidR="00000000" w:rsidRDefault="00000000">
      <w:r>
        <w:t>523.</w:t>
      </w:r>
      <w:r>
        <w:tab/>
        <w:t>Со своей стороны Национальный институт геронтологии (ИНСЕН) осуществляет программу, призванную расширить возможности трудоустройства для пожилых людей и содействовать возвращению пожилых женщин на оплачиваемую работу. Для этой цели в Институте создан банк данных о лицах, ищущих работу, и о потенциальных работодателях. В 1998 году Биржа труда ИНСЕН получила заявки от 384 женщин, из которых смогла трудоустр</w:t>
      </w:r>
      <w:r>
        <w:t>о</w:t>
      </w:r>
      <w:r>
        <w:t xml:space="preserve">ить 353, то есть удовлетворила 92 процента заявок. Тот же Институт осуществлял программы профессионального обучения и организации активного досуга для своих подопечных. </w:t>
      </w:r>
    </w:p>
    <w:p w:rsidR="00000000" w:rsidRDefault="00000000">
      <w:r>
        <w:t>524.</w:t>
      </w:r>
      <w:r>
        <w:tab/>
        <w:t xml:space="preserve">В других разделах настоящего доклада приводятся сведения об изменениях, внесенных в законодательство в целях защиты прав трудящихся-женщин. </w:t>
      </w:r>
    </w:p>
    <w:p w:rsidR="00000000" w:rsidRDefault="00000000">
      <w:pPr>
        <w:pStyle w:val="Heading2"/>
      </w:pPr>
      <w:r>
        <w:br w:type="page"/>
        <w:t xml:space="preserve">СТАТЬЯ 12 </w:t>
      </w:r>
    </w:p>
    <w:p w:rsidR="00000000" w:rsidRDefault="00000000">
      <w:pPr>
        <w:pStyle w:val="Heading3"/>
      </w:pPr>
      <w:r>
        <w:t xml:space="preserve">Охрана здоровья женщины </w:t>
      </w:r>
    </w:p>
    <w:p w:rsidR="00000000" w:rsidRDefault="00000000">
      <w:r>
        <w:t>525.</w:t>
      </w:r>
      <w:r>
        <w:tab/>
        <w:t>В последние годы были предприняты важные реформы системы здравоохранения с целью гарантировать всем гражданам доступ ко все более широкому набору комплексных и качес</w:t>
      </w:r>
      <w:r>
        <w:t>т</w:t>
      </w:r>
      <w:r>
        <w:t xml:space="preserve">венных медицинских услуг. </w:t>
      </w:r>
    </w:p>
    <w:p w:rsidR="00000000" w:rsidRDefault="00000000">
      <w:r>
        <w:t>526.</w:t>
      </w:r>
      <w:r>
        <w:tab/>
        <w:t>По оценкам КОНАПО, в 2000 году средняя продолжительность жизни составила в цифровом выражении в стране 75,35 года (73,1 года для мужчин и 77,6 года для женщин). При том что эти цифры свидетельствуют о знач</w:t>
      </w:r>
      <w:r>
        <w:t>и</w:t>
      </w:r>
      <w:r>
        <w:t>тельном прогрессе, сохраняются серьезные различия в показателях продолжительности жизни по различным гру</w:t>
      </w:r>
      <w:r>
        <w:t>п</w:t>
      </w:r>
      <w:r>
        <w:t>пам населения, что, несомненно, отражает общую тенденцию неравномерности разв</w:t>
      </w:r>
      <w:r>
        <w:t>и</w:t>
      </w:r>
      <w:r>
        <w:t xml:space="preserve">тия. </w:t>
      </w:r>
    </w:p>
    <w:p w:rsidR="00000000" w:rsidRDefault="00000000">
      <w:r>
        <w:t>527.</w:t>
      </w:r>
      <w:r>
        <w:tab/>
        <w:t>Снижение уровня смертности происходило одновременно с быстрым изменением общей картины заболева</w:t>
      </w:r>
      <w:r>
        <w:t>е</w:t>
      </w:r>
      <w:r>
        <w:t>мости мексиканского населения. Было отмечено относительное уменьшение количества инфекционных заболев</w:t>
      </w:r>
      <w:r>
        <w:t>а</w:t>
      </w:r>
      <w:r>
        <w:t>ний с летальным исходом и, соответственно, относительное увеличение количества смертей, наступивших как следствие патологических состояний неинфекционного характ</w:t>
      </w:r>
      <w:r>
        <w:t>е</w:t>
      </w:r>
      <w:r>
        <w:t xml:space="preserve">ра. </w:t>
      </w:r>
    </w:p>
    <w:p w:rsidR="00000000" w:rsidRDefault="00000000">
      <w:r>
        <w:t>528.</w:t>
      </w:r>
      <w:r>
        <w:tab/>
        <w:t xml:space="preserve">Среди последних следует особо выделить болезни сердца, злокачественные опухоли и сахарный диабет. Эти виды заболеваний занимают первые три места по уровню смертности; их показатели в 1998 году: 71,1; </w:t>
      </w:r>
      <w:r>
        <w:br/>
        <w:t>54,4 и 43,3 случая со смертельным исходом на 100 тыс. человек. Можно также отметить, что смертность от болезней сердца несколько выше среди мужчин – 72,30 на 100 тыс. человек, тогда как у женщин это соотношение соста</w:t>
      </w:r>
      <w:r>
        <w:t>в</w:t>
      </w:r>
      <w:r>
        <w:t>ляет 69,82 на 100 тыс. человек; в то же время злокачественные опухоли и диабет приводят к более высокой смер</w:t>
      </w:r>
      <w:r>
        <w:t>т</w:t>
      </w:r>
      <w:r>
        <w:t>ности среди женщин – соответственно, 56,40 и 47,65 на 100 тыс. человек, тогда как среди мужчин эти показатели составляют, соответственно, 52,55 и 38,86 на 100 тыс. человек. Тенденция остается неизменной и в самые после</w:t>
      </w:r>
      <w:r>
        <w:t>д</w:t>
      </w:r>
      <w:r>
        <w:t xml:space="preserve">ние годы: так, смертность от болезней сердца составила в 1999 году 69,61, а по оценкам на 2000 год, составит 70,89 случая со смертельным исходом на 100 тыс. человек. </w:t>
      </w:r>
    </w:p>
    <w:p w:rsidR="00000000" w:rsidRDefault="00000000">
      <w:r>
        <w:t>529.</w:t>
      </w:r>
      <w:r>
        <w:tab/>
        <w:t>Снижение уровня детской смертности также существенно повлияло на рост средней продолжительности жизни. По оценкам КОНАПО, этот показатель составит в 2000 году 24,93 случая смерти детей в возрасте до одного года на каждую тысячу живорождений, то есть уровень детской смертности снизился на 20 процентов по сравн</w:t>
      </w:r>
      <w:r>
        <w:t>е</w:t>
      </w:r>
      <w:r>
        <w:t>нию с уровнем 1994 года, когда этот показатель был равен 31,4.</w:t>
      </w:r>
    </w:p>
    <w:p w:rsidR="00000000" w:rsidRDefault="00000000"/>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4"/>
      </w:tblGrid>
      <w:tr w:rsidR="00000000">
        <w:tblPrEx>
          <w:tblCellMar>
            <w:top w:w="0" w:type="dxa"/>
            <w:bottom w:w="0" w:type="dxa"/>
          </w:tblCellMar>
        </w:tblPrEx>
        <w:tc>
          <w:tcPr>
            <w:tcW w:w="8364" w:type="dxa"/>
          </w:tcPr>
          <w:p w:rsidR="00000000" w:rsidRDefault="00000000">
            <w:pPr>
              <w:spacing w:before="120" w:after="120"/>
              <w:jc w:val="center"/>
              <w:rPr>
                <w:b/>
              </w:rPr>
            </w:pPr>
            <w:r>
              <w:rPr>
                <w:b/>
              </w:rPr>
              <w:t>Основные программы и виды услуг комплексного медицинского обслуживания женщин</w:t>
            </w:r>
          </w:p>
          <w:p w:rsidR="00000000" w:rsidRDefault="00000000">
            <w:pPr>
              <w:tabs>
                <w:tab w:val="left" w:pos="318"/>
              </w:tabs>
              <w:spacing w:before="120" w:after="0"/>
              <w:ind w:left="318" w:hanging="318"/>
            </w:pPr>
            <w:r>
              <w:sym w:font="Symbol" w:char="F0B7"/>
            </w:r>
            <w:r>
              <w:tab/>
              <w:t>Основной пакет медицинских услуг, предоставляемых в рамках "Стратегии расшир</w:t>
            </w:r>
            <w:r>
              <w:t>е</w:t>
            </w:r>
            <w:r>
              <w:t>ния системы охраны здоровья населения" (включая профилактику, улучшение питания и о</w:t>
            </w:r>
            <w:r>
              <w:t>х</w:t>
            </w:r>
            <w:r>
              <w:t>рану здоровья матерей)</w:t>
            </w:r>
          </w:p>
          <w:p w:rsidR="00000000" w:rsidRDefault="00000000">
            <w:pPr>
              <w:tabs>
                <w:tab w:val="left" w:pos="318"/>
              </w:tabs>
              <w:spacing w:before="120" w:after="0"/>
            </w:pPr>
            <w:r>
              <w:sym w:font="Symbol" w:char="F0B7"/>
            </w:r>
            <w:r>
              <w:tab/>
              <w:t>Национальная программа охраны репродуктивного здоровья</w:t>
            </w:r>
          </w:p>
          <w:p w:rsidR="00000000" w:rsidRDefault="00000000">
            <w:pPr>
              <w:pStyle w:val="Header"/>
              <w:tabs>
                <w:tab w:val="clear" w:pos="4677"/>
                <w:tab w:val="clear" w:pos="9355"/>
                <w:tab w:val="left" w:pos="318"/>
              </w:tabs>
              <w:spacing w:before="120" w:after="0"/>
            </w:pPr>
            <w:r>
              <w:sym w:font="Symbol" w:char="F0B7"/>
            </w:r>
            <w:r>
              <w:tab/>
              <w:t>Программа охраны репродуктивного здоровья и планирования семьи</w:t>
            </w:r>
          </w:p>
          <w:p w:rsidR="00000000" w:rsidRDefault="00000000">
            <w:pPr>
              <w:tabs>
                <w:tab w:val="left" w:pos="318"/>
              </w:tabs>
              <w:spacing w:before="120" w:after="0"/>
            </w:pPr>
            <w:r>
              <w:sym w:font="Symbol" w:char="F0B7"/>
            </w:r>
            <w:r>
              <w:tab/>
              <w:t>Национальная программа профилактики и лечения рака ше</w:t>
            </w:r>
            <w:r>
              <w:t>й</w:t>
            </w:r>
            <w:r>
              <w:t>ки матки</w:t>
            </w:r>
          </w:p>
          <w:p w:rsidR="00000000" w:rsidRDefault="00000000">
            <w:pPr>
              <w:tabs>
                <w:tab w:val="left" w:pos="318"/>
              </w:tabs>
              <w:spacing w:before="120" w:after="0"/>
            </w:pPr>
            <w:r>
              <w:sym w:font="Symbol" w:char="F0B7"/>
            </w:r>
            <w:r>
              <w:tab/>
              <w:t>Национальный сертификат здоровья женщины</w:t>
            </w:r>
          </w:p>
          <w:p w:rsidR="00000000" w:rsidRDefault="00000000">
            <w:pPr>
              <w:tabs>
                <w:tab w:val="left" w:pos="318"/>
              </w:tabs>
              <w:spacing w:before="120" w:after="120"/>
            </w:pPr>
            <w:r>
              <w:sym w:font="Symbol" w:char="F0B7"/>
            </w:r>
            <w:r>
              <w:tab/>
              <w:t>Программа "Больница – друг матери и ребенка"</w:t>
            </w:r>
          </w:p>
        </w:tc>
      </w:tr>
    </w:tbl>
    <w:p w:rsidR="00000000" w:rsidRDefault="00000000"/>
    <w:p w:rsidR="00000000" w:rsidRDefault="00000000">
      <w:pPr>
        <w:jc w:val="center"/>
        <w:rPr>
          <w:b/>
        </w:rPr>
      </w:pPr>
      <w:r>
        <w:br w:type="page"/>
      </w:r>
      <w:r>
        <w:rPr>
          <w:b/>
        </w:rPr>
        <w:t>Причины смертности, с разбивкой по п</w:t>
      </w:r>
      <w:r>
        <w:rPr>
          <w:b/>
        </w:rPr>
        <w:t>о</w:t>
      </w:r>
      <w:r>
        <w:rPr>
          <w:b/>
        </w:rPr>
        <w:t>лу (выборочно),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5"/>
        <w:gridCol w:w="1985"/>
      </w:tblGrid>
      <w:tr w:rsidR="00000000">
        <w:tblPrEx>
          <w:tblCellMar>
            <w:top w:w="0" w:type="dxa"/>
            <w:bottom w:w="0" w:type="dxa"/>
          </w:tblCellMar>
        </w:tblPrEx>
        <w:trPr>
          <w:jc w:val="center"/>
        </w:trPr>
        <w:tc>
          <w:tcPr>
            <w:tcW w:w="5670" w:type="dxa"/>
          </w:tcPr>
          <w:p w:rsidR="00000000" w:rsidRDefault="00000000">
            <w:pPr>
              <w:pStyle w:val="a1"/>
              <w:rPr>
                <w:b/>
              </w:rPr>
            </w:pPr>
            <w:r>
              <w:rPr>
                <w:b/>
              </w:rPr>
              <w:t>Причина</w:t>
            </w:r>
          </w:p>
        </w:tc>
        <w:tc>
          <w:tcPr>
            <w:tcW w:w="1985" w:type="dxa"/>
          </w:tcPr>
          <w:p w:rsidR="00000000" w:rsidRDefault="00000000">
            <w:pPr>
              <w:pStyle w:val="a1"/>
              <w:jc w:val="center"/>
              <w:rPr>
                <w:b/>
              </w:rPr>
            </w:pPr>
            <w:r>
              <w:rPr>
                <w:b/>
              </w:rPr>
              <w:t>Число сл</w:t>
            </w:r>
            <w:r>
              <w:rPr>
                <w:b/>
              </w:rPr>
              <w:t>у</w:t>
            </w:r>
            <w:r>
              <w:rPr>
                <w:b/>
              </w:rPr>
              <w:t>чаев</w:t>
            </w:r>
          </w:p>
        </w:tc>
        <w:tc>
          <w:tcPr>
            <w:tcW w:w="1985" w:type="dxa"/>
          </w:tcPr>
          <w:p w:rsidR="00000000" w:rsidRDefault="00000000">
            <w:pPr>
              <w:pStyle w:val="a1"/>
              <w:jc w:val="center"/>
              <w:rPr>
                <w:b/>
              </w:rPr>
            </w:pPr>
            <w:r>
              <w:rPr>
                <w:b/>
              </w:rPr>
              <w:t>Процентная доля</w:t>
            </w:r>
          </w:p>
        </w:tc>
      </w:tr>
      <w:tr w:rsidR="00000000">
        <w:tblPrEx>
          <w:tblCellMar>
            <w:top w:w="0" w:type="dxa"/>
            <w:bottom w:w="0" w:type="dxa"/>
          </w:tblCellMar>
        </w:tblPrEx>
        <w:trPr>
          <w:jc w:val="center"/>
        </w:trPr>
        <w:tc>
          <w:tcPr>
            <w:tcW w:w="5670" w:type="dxa"/>
          </w:tcPr>
          <w:p w:rsidR="00000000" w:rsidRDefault="00000000">
            <w:pPr>
              <w:pStyle w:val="a1"/>
              <w:rPr>
                <w:b/>
              </w:rPr>
            </w:pPr>
            <w:r>
              <w:rPr>
                <w:b/>
              </w:rPr>
              <w:t>Мужчины</w:t>
            </w:r>
          </w:p>
        </w:tc>
        <w:tc>
          <w:tcPr>
            <w:tcW w:w="1985" w:type="dxa"/>
          </w:tcPr>
          <w:p w:rsidR="00000000" w:rsidRDefault="00000000">
            <w:pPr>
              <w:pStyle w:val="a1"/>
              <w:jc w:val="center"/>
              <w:rPr>
                <w:b/>
              </w:rPr>
            </w:pPr>
            <w:r>
              <w:rPr>
                <w:b/>
              </w:rPr>
              <w:t>247 082</w:t>
            </w:r>
          </w:p>
        </w:tc>
        <w:tc>
          <w:tcPr>
            <w:tcW w:w="1985" w:type="dxa"/>
          </w:tcPr>
          <w:p w:rsidR="00000000" w:rsidRDefault="00000000">
            <w:pPr>
              <w:pStyle w:val="a1"/>
              <w:jc w:val="center"/>
              <w:rPr>
                <w:b/>
              </w:rPr>
            </w:pPr>
            <w:r>
              <w:rPr>
                <w:b/>
              </w:rPr>
              <w:t>100,0</w:t>
            </w:r>
          </w:p>
        </w:tc>
      </w:tr>
      <w:tr w:rsidR="00000000">
        <w:tblPrEx>
          <w:tblCellMar>
            <w:top w:w="0" w:type="dxa"/>
            <w:bottom w:w="0" w:type="dxa"/>
          </w:tblCellMar>
        </w:tblPrEx>
        <w:trPr>
          <w:jc w:val="center"/>
        </w:trPr>
        <w:tc>
          <w:tcPr>
            <w:tcW w:w="5670" w:type="dxa"/>
          </w:tcPr>
          <w:p w:rsidR="00000000" w:rsidRDefault="00000000">
            <w:pPr>
              <w:pStyle w:val="a1"/>
            </w:pPr>
            <w:r>
              <w:t>Болезни сердца</w:t>
            </w:r>
          </w:p>
        </w:tc>
        <w:tc>
          <w:tcPr>
            <w:tcW w:w="1985" w:type="dxa"/>
          </w:tcPr>
          <w:p w:rsidR="00000000" w:rsidRDefault="00000000">
            <w:pPr>
              <w:pStyle w:val="a1"/>
              <w:jc w:val="center"/>
            </w:pPr>
            <w:r>
              <w:t>30 574</w:t>
            </w:r>
          </w:p>
        </w:tc>
        <w:tc>
          <w:tcPr>
            <w:tcW w:w="1985" w:type="dxa"/>
          </w:tcPr>
          <w:p w:rsidR="00000000" w:rsidRDefault="00000000">
            <w:pPr>
              <w:pStyle w:val="a1"/>
              <w:jc w:val="center"/>
            </w:pPr>
            <w:r>
              <w:t>12,4</w:t>
            </w:r>
          </w:p>
        </w:tc>
      </w:tr>
      <w:tr w:rsidR="00000000">
        <w:tblPrEx>
          <w:tblCellMar>
            <w:top w:w="0" w:type="dxa"/>
            <w:bottom w:w="0" w:type="dxa"/>
          </w:tblCellMar>
        </w:tblPrEx>
        <w:trPr>
          <w:jc w:val="center"/>
        </w:trPr>
        <w:tc>
          <w:tcPr>
            <w:tcW w:w="5670" w:type="dxa"/>
          </w:tcPr>
          <w:p w:rsidR="00000000" w:rsidRDefault="00000000">
            <w:pPr>
              <w:pStyle w:val="a1"/>
            </w:pPr>
            <w:r>
              <w:t>Несчастные случаи</w:t>
            </w:r>
          </w:p>
        </w:tc>
        <w:tc>
          <w:tcPr>
            <w:tcW w:w="1985" w:type="dxa"/>
          </w:tcPr>
          <w:p w:rsidR="00000000" w:rsidRDefault="00000000">
            <w:pPr>
              <w:pStyle w:val="a1"/>
              <w:jc w:val="center"/>
            </w:pPr>
            <w:r>
              <w:t>25 296</w:t>
            </w:r>
          </w:p>
        </w:tc>
        <w:tc>
          <w:tcPr>
            <w:tcW w:w="1985" w:type="dxa"/>
          </w:tcPr>
          <w:p w:rsidR="00000000" w:rsidRDefault="00000000">
            <w:pPr>
              <w:pStyle w:val="a1"/>
              <w:jc w:val="center"/>
            </w:pPr>
            <w:r>
              <w:t>10,2</w:t>
            </w:r>
          </w:p>
        </w:tc>
      </w:tr>
      <w:tr w:rsidR="00000000">
        <w:tblPrEx>
          <w:tblCellMar>
            <w:top w:w="0" w:type="dxa"/>
            <w:bottom w:w="0" w:type="dxa"/>
          </w:tblCellMar>
        </w:tblPrEx>
        <w:trPr>
          <w:jc w:val="center"/>
        </w:trPr>
        <w:tc>
          <w:tcPr>
            <w:tcW w:w="5670" w:type="dxa"/>
          </w:tcPr>
          <w:p w:rsidR="00000000" w:rsidRDefault="00000000">
            <w:pPr>
              <w:pStyle w:val="a1"/>
            </w:pPr>
            <w:r>
              <w:t>Злокачественные опух</w:t>
            </w:r>
            <w:r>
              <w:t>о</w:t>
            </w:r>
            <w:r>
              <w:t>ли</w:t>
            </w:r>
          </w:p>
        </w:tc>
        <w:tc>
          <w:tcPr>
            <w:tcW w:w="1985" w:type="dxa"/>
          </w:tcPr>
          <w:p w:rsidR="00000000" w:rsidRDefault="00000000">
            <w:pPr>
              <w:pStyle w:val="a1"/>
              <w:jc w:val="center"/>
            </w:pPr>
            <w:r>
              <w:t>25 145</w:t>
            </w:r>
          </w:p>
        </w:tc>
        <w:tc>
          <w:tcPr>
            <w:tcW w:w="1985" w:type="dxa"/>
          </w:tcPr>
          <w:p w:rsidR="00000000" w:rsidRDefault="00000000">
            <w:pPr>
              <w:pStyle w:val="a1"/>
              <w:jc w:val="center"/>
            </w:pPr>
            <w:r>
              <w:t>10,2</w:t>
            </w:r>
          </w:p>
        </w:tc>
      </w:tr>
      <w:tr w:rsidR="00000000">
        <w:tblPrEx>
          <w:tblCellMar>
            <w:top w:w="0" w:type="dxa"/>
            <w:bottom w:w="0" w:type="dxa"/>
          </w:tblCellMar>
        </w:tblPrEx>
        <w:trPr>
          <w:jc w:val="center"/>
        </w:trPr>
        <w:tc>
          <w:tcPr>
            <w:tcW w:w="5670" w:type="dxa"/>
          </w:tcPr>
          <w:p w:rsidR="00000000" w:rsidRDefault="00000000">
            <w:pPr>
              <w:pStyle w:val="a1"/>
            </w:pPr>
            <w:r>
              <w:t>Цирроз и другие хронические заболевания п</w:t>
            </w:r>
            <w:r>
              <w:t>е</w:t>
            </w:r>
            <w:r>
              <w:t>чени</w:t>
            </w:r>
          </w:p>
        </w:tc>
        <w:tc>
          <w:tcPr>
            <w:tcW w:w="1985" w:type="dxa"/>
          </w:tcPr>
          <w:p w:rsidR="00000000" w:rsidRDefault="00000000">
            <w:pPr>
              <w:pStyle w:val="a1"/>
              <w:jc w:val="center"/>
            </w:pPr>
            <w:r>
              <w:t>19 701</w:t>
            </w:r>
          </w:p>
        </w:tc>
        <w:tc>
          <w:tcPr>
            <w:tcW w:w="1985" w:type="dxa"/>
          </w:tcPr>
          <w:p w:rsidR="00000000" w:rsidRDefault="00000000">
            <w:pPr>
              <w:pStyle w:val="a1"/>
              <w:jc w:val="center"/>
            </w:pPr>
            <w:r>
              <w:t>8,0</w:t>
            </w:r>
          </w:p>
        </w:tc>
      </w:tr>
      <w:tr w:rsidR="00000000">
        <w:tblPrEx>
          <w:tblCellMar>
            <w:top w:w="0" w:type="dxa"/>
            <w:bottom w:w="0" w:type="dxa"/>
          </w:tblCellMar>
        </w:tblPrEx>
        <w:trPr>
          <w:jc w:val="center"/>
        </w:trPr>
        <w:tc>
          <w:tcPr>
            <w:tcW w:w="5670" w:type="dxa"/>
          </w:tcPr>
          <w:p w:rsidR="00000000" w:rsidRDefault="00000000">
            <w:pPr>
              <w:pStyle w:val="a1"/>
            </w:pPr>
            <w:r>
              <w:t>Сахарный диабет</w:t>
            </w:r>
          </w:p>
        </w:tc>
        <w:tc>
          <w:tcPr>
            <w:tcW w:w="1985" w:type="dxa"/>
          </w:tcPr>
          <w:p w:rsidR="00000000" w:rsidRDefault="00000000">
            <w:pPr>
              <w:pStyle w:val="a1"/>
              <w:jc w:val="center"/>
            </w:pPr>
            <w:r>
              <w:t>17 365</w:t>
            </w:r>
          </w:p>
        </w:tc>
        <w:tc>
          <w:tcPr>
            <w:tcW w:w="1985" w:type="dxa"/>
          </w:tcPr>
          <w:p w:rsidR="00000000" w:rsidRDefault="00000000">
            <w:pPr>
              <w:pStyle w:val="a1"/>
              <w:jc w:val="center"/>
            </w:pPr>
            <w:r>
              <w:t>7,0</w:t>
            </w:r>
          </w:p>
        </w:tc>
      </w:tr>
      <w:tr w:rsidR="00000000">
        <w:tblPrEx>
          <w:tblCellMar>
            <w:top w:w="0" w:type="dxa"/>
            <w:bottom w:w="0" w:type="dxa"/>
          </w:tblCellMar>
        </w:tblPrEx>
        <w:trPr>
          <w:jc w:val="center"/>
        </w:trPr>
        <w:tc>
          <w:tcPr>
            <w:tcW w:w="5670" w:type="dxa"/>
          </w:tcPr>
          <w:p w:rsidR="00000000" w:rsidRDefault="00000000">
            <w:pPr>
              <w:pStyle w:val="a1"/>
            </w:pPr>
            <w:r>
              <w:t>Некоторые случаи патологии внутриутробного развития</w:t>
            </w:r>
          </w:p>
        </w:tc>
        <w:tc>
          <w:tcPr>
            <w:tcW w:w="1985" w:type="dxa"/>
          </w:tcPr>
          <w:p w:rsidR="00000000" w:rsidRDefault="00000000">
            <w:pPr>
              <w:pStyle w:val="a1"/>
              <w:jc w:val="center"/>
            </w:pPr>
            <w:r>
              <w:t>11 201</w:t>
            </w:r>
          </w:p>
        </w:tc>
        <w:tc>
          <w:tcPr>
            <w:tcW w:w="1985" w:type="dxa"/>
          </w:tcPr>
          <w:p w:rsidR="00000000" w:rsidRDefault="00000000">
            <w:pPr>
              <w:pStyle w:val="a1"/>
              <w:jc w:val="center"/>
            </w:pPr>
            <w:r>
              <w:t>4,5</w:t>
            </w:r>
          </w:p>
        </w:tc>
      </w:tr>
      <w:tr w:rsidR="00000000">
        <w:tblPrEx>
          <w:tblCellMar>
            <w:top w:w="0" w:type="dxa"/>
            <w:bottom w:w="0" w:type="dxa"/>
          </w:tblCellMar>
        </w:tblPrEx>
        <w:trPr>
          <w:jc w:val="center"/>
        </w:trPr>
        <w:tc>
          <w:tcPr>
            <w:tcW w:w="5670" w:type="dxa"/>
          </w:tcPr>
          <w:p w:rsidR="00000000" w:rsidRDefault="00000000">
            <w:pPr>
              <w:pStyle w:val="a1"/>
            </w:pPr>
            <w:r>
              <w:t>Убийства и тяжкие телесные повреждения, причине</w:t>
            </w:r>
            <w:r>
              <w:t>н</w:t>
            </w:r>
            <w:r>
              <w:t>ные другими лицами</w:t>
            </w:r>
          </w:p>
        </w:tc>
        <w:tc>
          <w:tcPr>
            <w:tcW w:w="1985" w:type="dxa"/>
          </w:tcPr>
          <w:p w:rsidR="00000000" w:rsidRDefault="00000000">
            <w:pPr>
              <w:pStyle w:val="a1"/>
              <w:jc w:val="center"/>
            </w:pPr>
            <w:r>
              <w:t>10 591</w:t>
            </w:r>
          </w:p>
        </w:tc>
        <w:tc>
          <w:tcPr>
            <w:tcW w:w="1985" w:type="dxa"/>
          </w:tcPr>
          <w:p w:rsidR="00000000" w:rsidRDefault="00000000">
            <w:pPr>
              <w:pStyle w:val="a1"/>
              <w:jc w:val="center"/>
            </w:pPr>
            <w:r>
              <w:t>4,3</w:t>
            </w:r>
          </w:p>
        </w:tc>
      </w:tr>
      <w:tr w:rsidR="00000000">
        <w:tblPrEx>
          <w:tblCellMar>
            <w:top w:w="0" w:type="dxa"/>
            <w:bottom w:w="0" w:type="dxa"/>
          </w:tblCellMar>
        </w:tblPrEx>
        <w:trPr>
          <w:jc w:val="center"/>
        </w:trPr>
        <w:tc>
          <w:tcPr>
            <w:tcW w:w="5670" w:type="dxa"/>
          </w:tcPr>
          <w:p w:rsidR="00000000" w:rsidRDefault="00000000">
            <w:pPr>
              <w:pStyle w:val="a1"/>
            </w:pPr>
            <w:r>
              <w:t>Прочие</w:t>
            </w:r>
          </w:p>
        </w:tc>
        <w:tc>
          <w:tcPr>
            <w:tcW w:w="1985" w:type="dxa"/>
          </w:tcPr>
          <w:p w:rsidR="00000000" w:rsidRDefault="00000000">
            <w:pPr>
              <w:pStyle w:val="a1"/>
              <w:jc w:val="center"/>
            </w:pPr>
            <w:r>
              <w:t>107 209</w:t>
            </w:r>
          </w:p>
        </w:tc>
        <w:tc>
          <w:tcPr>
            <w:tcW w:w="1985" w:type="dxa"/>
          </w:tcPr>
          <w:p w:rsidR="00000000" w:rsidRDefault="00000000">
            <w:pPr>
              <w:pStyle w:val="a1"/>
              <w:jc w:val="center"/>
            </w:pPr>
            <w:r>
              <w:t>43,4</w:t>
            </w:r>
          </w:p>
        </w:tc>
      </w:tr>
      <w:tr w:rsidR="00000000">
        <w:tblPrEx>
          <w:tblCellMar>
            <w:top w:w="0" w:type="dxa"/>
            <w:bottom w:w="0" w:type="dxa"/>
          </w:tblCellMar>
        </w:tblPrEx>
        <w:trPr>
          <w:jc w:val="center"/>
        </w:trPr>
        <w:tc>
          <w:tcPr>
            <w:tcW w:w="5670" w:type="dxa"/>
          </w:tcPr>
          <w:p w:rsidR="00000000" w:rsidRDefault="00000000">
            <w:pPr>
              <w:pStyle w:val="a1"/>
              <w:rPr>
                <w:b/>
              </w:rPr>
            </w:pPr>
            <w:r>
              <w:rPr>
                <w:b/>
              </w:rPr>
              <w:t>Женщины</w:t>
            </w:r>
          </w:p>
        </w:tc>
        <w:tc>
          <w:tcPr>
            <w:tcW w:w="1985" w:type="dxa"/>
          </w:tcPr>
          <w:p w:rsidR="00000000" w:rsidRDefault="00000000">
            <w:pPr>
              <w:pStyle w:val="a1"/>
              <w:jc w:val="center"/>
              <w:rPr>
                <w:b/>
              </w:rPr>
            </w:pPr>
            <w:r>
              <w:rPr>
                <w:b/>
              </w:rPr>
              <w:t>194 502</w:t>
            </w:r>
          </w:p>
        </w:tc>
        <w:tc>
          <w:tcPr>
            <w:tcW w:w="1985" w:type="dxa"/>
          </w:tcPr>
          <w:p w:rsidR="00000000" w:rsidRDefault="00000000">
            <w:pPr>
              <w:pStyle w:val="a1"/>
              <w:jc w:val="center"/>
              <w:rPr>
                <w:b/>
              </w:rPr>
            </w:pPr>
            <w:r>
              <w:rPr>
                <w:b/>
              </w:rPr>
              <w:t>100,0</w:t>
            </w:r>
          </w:p>
        </w:tc>
      </w:tr>
      <w:tr w:rsidR="00000000">
        <w:tblPrEx>
          <w:tblCellMar>
            <w:top w:w="0" w:type="dxa"/>
            <w:bottom w:w="0" w:type="dxa"/>
          </w:tblCellMar>
        </w:tblPrEx>
        <w:trPr>
          <w:jc w:val="center"/>
        </w:trPr>
        <w:tc>
          <w:tcPr>
            <w:tcW w:w="5670" w:type="dxa"/>
          </w:tcPr>
          <w:p w:rsidR="00000000" w:rsidRDefault="00000000">
            <w:pPr>
              <w:pStyle w:val="a1"/>
            </w:pPr>
            <w:r>
              <w:t>Болезни сердца</w:t>
            </w:r>
          </w:p>
        </w:tc>
        <w:tc>
          <w:tcPr>
            <w:tcW w:w="1985" w:type="dxa"/>
          </w:tcPr>
          <w:p w:rsidR="00000000" w:rsidRDefault="00000000">
            <w:pPr>
              <w:pStyle w:val="a1"/>
              <w:jc w:val="center"/>
            </w:pPr>
            <w:r>
              <w:t>30 520</w:t>
            </w:r>
          </w:p>
        </w:tc>
        <w:tc>
          <w:tcPr>
            <w:tcW w:w="1985" w:type="dxa"/>
          </w:tcPr>
          <w:p w:rsidR="00000000" w:rsidRDefault="00000000">
            <w:pPr>
              <w:pStyle w:val="a1"/>
              <w:jc w:val="center"/>
            </w:pPr>
            <w:r>
              <w:t>15,7</w:t>
            </w:r>
          </w:p>
        </w:tc>
      </w:tr>
      <w:tr w:rsidR="00000000">
        <w:tblPrEx>
          <w:tblCellMar>
            <w:top w:w="0" w:type="dxa"/>
            <w:bottom w:w="0" w:type="dxa"/>
          </w:tblCellMar>
        </w:tblPrEx>
        <w:trPr>
          <w:jc w:val="center"/>
        </w:trPr>
        <w:tc>
          <w:tcPr>
            <w:tcW w:w="5670" w:type="dxa"/>
          </w:tcPr>
          <w:p w:rsidR="00000000" w:rsidRDefault="00000000">
            <w:pPr>
              <w:pStyle w:val="a1"/>
            </w:pPr>
            <w:r>
              <w:t>Злокачественные опух</w:t>
            </w:r>
            <w:r>
              <w:t>о</w:t>
            </w:r>
            <w:r>
              <w:t xml:space="preserve">ли </w:t>
            </w:r>
          </w:p>
        </w:tc>
        <w:tc>
          <w:tcPr>
            <w:tcW w:w="1985" w:type="dxa"/>
          </w:tcPr>
          <w:p w:rsidR="00000000" w:rsidRDefault="00000000">
            <w:pPr>
              <w:pStyle w:val="a1"/>
              <w:jc w:val="center"/>
            </w:pPr>
            <w:r>
              <w:t>27 448</w:t>
            </w:r>
          </w:p>
        </w:tc>
        <w:tc>
          <w:tcPr>
            <w:tcW w:w="1985" w:type="dxa"/>
          </w:tcPr>
          <w:p w:rsidR="00000000" w:rsidRDefault="00000000">
            <w:pPr>
              <w:pStyle w:val="a1"/>
              <w:jc w:val="center"/>
            </w:pPr>
            <w:r>
              <w:t>14,1</w:t>
            </w:r>
          </w:p>
        </w:tc>
      </w:tr>
      <w:tr w:rsidR="00000000">
        <w:tblPrEx>
          <w:tblCellMar>
            <w:top w:w="0" w:type="dxa"/>
            <w:bottom w:w="0" w:type="dxa"/>
          </w:tblCellMar>
        </w:tblPrEx>
        <w:trPr>
          <w:jc w:val="center"/>
        </w:trPr>
        <w:tc>
          <w:tcPr>
            <w:tcW w:w="5670" w:type="dxa"/>
          </w:tcPr>
          <w:p w:rsidR="00000000" w:rsidRDefault="00000000">
            <w:pPr>
              <w:pStyle w:val="a1"/>
            </w:pPr>
            <w:r>
              <w:t xml:space="preserve">Сахарный диабет </w:t>
            </w:r>
          </w:p>
        </w:tc>
        <w:tc>
          <w:tcPr>
            <w:tcW w:w="1985" w:type="dxa"/>
          </w:tcPr>
          <w:p w:rsidR="00000000" w:rsidRDefault="00000000">
            <w:pPr>
              <w:pStyle w:val="a1"/>
              <w:jc w:val="center"/>
            </w:pPr>
            <w:r>
              <w:t>22 031</w:t>
            </w:r>
          </w:p>
        </w:tc>
        <w:tc>
          <w:tcPr>
            <w:tcW w:w="1985" w:type="dxa"/>
          </w:tcPr>
          <w:p w:rsidR="00000000" w:rsidRDefault="00000000">
            <w:pPr>
              <w:pStyle w:val="a1"/>
              <w:jc w:val="center"/>
            </w:pPr>
            <w:r>
              <w:t>11,3</w:t>
            </w:r>
          </w:p>
        </w:tc>
      </w:tr>
      <w:tr w:rsidR="00000000">
        <w:tblPrEx>
          <w:tblCellMar>
            <w:top w:w="0" w:type="dxa"/>
            <w:bottom w:w="0" w:type="dxa"/>
          </w:tblCellMar>
        </w:tblPrEx>
        <w:trPr>
          <w:jc w:val="center"/>
        </w:trPr>
        <w:tc>
          <w:tcPr>
            <w:tcW w:w="5670" w:type="dxa"/>
          </w:tcPr>
          <w:p w:rsidR="00000000" w:rsidRDefault="00000000">
            <w:pPr>
              <w:pStyle w:val="a1"/>
            </w:pPr>
            <w:r>
              <w:t>Заболевания сосудов мозга</w:t>
            </w:r>
          </w:p>
        </w:tc>
        <w:tc>
          <w:tcPr>
            <w:tcW w:w="1985" w:type="dxa"/>
          </w:tcPr>
          <w:p w:rsidR="00000000" w:rsidRDefault="00000000">
            <w:pPr>
              <w:pStyle w:val="a1"/>
              <w:jc w:val="center"/>
            </w:pPr>
            <w:r>
              <w:t>11 931</w:t>
            </w:r>
          </w:p>
        </w:tc>
        <w:tc>
          <w:tcPr>
            <w:tcW w:w="1985" w:type="dxa"/>
          </w:tcPr>
          <w:p w:rsidR="00000000" w:rsidRDefault="00000000">
            <w:pPr>
              <w:pStyle w:val="a1"/>
              <w:jc w:val="center"/>
            </w:pPr>
            <w:r>
              <w:t>6,1</w:t>
            </w:r>
          </w:p>
        </w:tc>
      </w:tr>
      <w:tr w:rsidR="00000000">
        <w:tblPrEx>
          <w:tblCellMar>
            <w:top w:w="0" w:type="dxa"/>
            <w:bottom w:w="0" w:type="dxa"/>
          </w:tblCellMar>
        </w:tblPrEx>
        <w:trPr>
          <w:jc w:val="center"/>
        </w:trPr>
        <w:tc>
          <w:tcPr>
            <w:tcW w:w="5670" w:type="dxa"/>
          </w:tcPr>
          <w:p w:rsidR="00000000" w:rsidRDefault="00000000">
            <w:pPr>
              <w:pStyle w:val="a1"/>
            </w:pPr>
            <w:r>
              <w:t>Некоторые случаи патологии внутриутробного развития</w:t>
            </w:r>
          </w:p>
        </w:tc>
        <w:tc>
          <w:tcPr>
            <w:tcW w:w="1985" w:type="dxa"/>
          </w:tcPr>
          <w:p w:rsidR="00000000" w:rsidRDefault="00000000">
            <w:pPr>
              <w:pStyle w:val="a1"/>
              <w:jc w:val="center"/>
            </w:pPr>
            <w:r>
              <w:t>8 284</w:t>
            </w:r>
          </w:p>
        </w:tc>
        <w:tc>
          <w:tcPr>
            <w:tcW w:w="1985" w:type="dxa"/>
          </w:tcPr>
          <w:p w:rsidR="00000000" w:rsidRDefault="00000000">
            <w:pPr>
              <w:pStyle w:val="a1"/>
              <w:jc w:val="center"/>
            </w:pPr>
            <w:r>
              <w:t>4,3</w:t>
            </w:r>
          </w:p>
        </w:tc>
      </w:tr>
      <w:tr w:rsidR="00000000">
        <w:tblPrEx>
          <w:tblCellMar>
            <w:top w:w="0" w:type="dxa"/>
            <w:bottom w:w="0" w:type="dxa"/>
          </w:tblCellMar>
        </w:tblPrEx>
        <w:trPr>
          <w:jc w:val="center"/>
        </w:trPr>
        <w:tc>
          <w:tcPr>
            <w:tcW w:w="5670" w:type="dxa"/>
          </w:tcPr>
          <w:p w:rsidR="00000000" w:rsidRDefault="00000000">
            <w:pPr>
              <w:pStyle w:val="a1"/>
            </w:pPr>
            <w:r>
              <w:t>Несчастные случаи</w:t>
            </w:r>
          </w:p>
        </w:tc>
        <w:tc>
          <w:tcPr>
            <w:tcW w:w="1985" w:type="dxa"/>
          </w:tcPr>
          <w:p w:rsidR="00000000" w:rsidRDefault="00000000">
            <w:pPr>
              <w:pStyle w:val="a1"/>
              <w:jc w:val="center"/>
            </w:pPr>
            <w:r>
              <w:t>7 382</w:t>
            </w:r>
          </w:p>
        </w:tc>
        <w:tc>
          <w:tcPr>
            <w:tcW w:w="1985" w:type="dxa"/>
          </w:tcPr>
          <w:p w:rsidR="00000000" w:rsidRDefault="00000000">
            <w:pPr>
              <w:pStyle w:val="a1"/>
              <w:jc w:val="center"/>
            </w:pPr>
            <w:r>
              <w:t>3,8</w:t>
            </w:r>
          </w:p>
        </w:tc>
      </w:tr>
      <w:tr w:rsidR="00000000">
        <w:tblPrEx>
          <w:tblCellMar>
            <w:top w:w="0" w:type="dxa"/>
            <w:bottom w:w="0" w:type="dxa"/>
          </w:tblCellMar>
        </w:tblPrEx>
        <w:trPr>
          <w:jc w:val="center"/>
        </w:trPr>
        <w:tc>
          <w:tcPr>
            <w:tcW w:w="5670" w:type="dxa"/>
          </w:tcPr>
          <w:p w:rsidR="00000000" w:rsidRDefault="00000000">
            <w:pPr>
              <w:pStyle w:val="a1"/>
            </w:pPr>
            <w:r>
              <w:t>Пневмония и вирусный грипп</w:t>
            </w:r>
          </w:p>
        </w:tc>
        <w:tc>
          <w:tcPr>
            <w:tcW w:w="1985" w:type="dxa"/>
          </w:tcPr>
          <w:p w:rsidR="00000000" w:rsidRDefault="00000000">
            <w:pPr>
              <w:pStyle w:val="a1"/>
              <w:jc w:val="center"/>
              <w:rPr>
                <w:lang w:val="en-US"/>
              </w:rPr>
            </w:pPr>
            <w:r>
              <w:rPr>
                <w:lang w:val="en-US"/>
              </w:rPr>
              <w:t>6</w:t>
            </w:r>
            <w:r>
              <w:t xml:space="preserve"> </w:t>
            </w:r>
            <w:r>
              <w:rPr>
                <w:lang w:val="en-US"/>
              </w:rPr>
              <w:t>879</w:t>
            </w:r>
          </w:p>
        </w:tc>
        <w:tc>
          <w:tcPr>
            <w:tcW w:w="1985" w:type="dxa"/>
          </w:tcPr>
          <w:p w:rsidR="00000000" w:rsidRDefault="00000000">
            <w:pPr>
              <w:pStyle w:val="a1"/>
              <w:jc w:val="center"/>
              <w:rPr>
                <w:lang w:val="en-US"/>
              </w:rPr>
            </w:pPr>
            <w:r>
              <w:rPr>
                <w:lang w:val="en-US"/>
              </w:rPr>
              <w:t>3,5</w:t>
            </w:r>
          </w:p>
        </w:tc>
      </w:tr>
      <w:tr w:rsidR="00000000">
        <w:tblPrEx>
          <w:tblCellMar>
            <w:top w:w="0" w:type="dxa"/>
            <w:bottom w:w="0" w:type="dxa"/>
          </w:tblCellMar>
        </w:tblPrEx>
        <w:trPr>
          <w:jc w:val="center"/>
        </w:trPr>
        <w:tc>
          <w:tcPr>
            <w:tcW w:w="5670" w:type="dxa"/>
          </w:tcPr>
          <w:p w:rsidR="00000000" w:rsidRDefault="00000000">
            <w:pPr>
              <w:pStyle w:val="a1"/>
              <w:rPr>
                <w:lang w:val="en-US"/>
              </w:rPr>
            </w:pPr>
            <w:r>
              <w:t>Прочие</w:t>
            </w:r>
          </w:p>
        </w:tc>
        <w:tc>
          <w:tcPr>
            <w:tcW w:w="1985" w:type="dxa"/>
          </w:tcPr>
          <w:p w:rsidR="00000000" w:rsidRDefault="00000000">
            <w:pPr>
              <w:pStyle w:val="a1"/>
              <w:jc w:val="center"/>
              <w:rPr>
                <w:lang w:val="en-US"/>
              </w:rPr>
            </w:pPr>
            <w:r>
              <w:rPr>
                <w:lang w:val="en-US"/>
              </w:rPr>
              <w:t>80</w:t>
            </w:r>
            <w:r>
              <w:t xml:space="preserve"> </w:t>
            </w:r>
            <w:r>
              <w:rPr>
                <w:lang w:val="en-US"/>
              </w:rPr>
              <w:t>027</w:t>
            </w:r>
          </w:p>
        </w:tc>
        <w:tc>
          <w:tcPr>
            <w:tcW w:w="1985" w:type="dxa"/>
          </w:tcPr>
          <w:p w:rsidR="00000000" w:rsidRDefault="00000000">
            <w:pPr>
              <w:pStyle w:val="a1"/>
              <w:jc w:val="center"/>
              <w:rPr>
                <w:lang w:val="en-US"/>
              </w:rPr>
            </w:pPr>
            <w:r>
              <w:rPr>
                <w:lang w:val="en-US"/>
              </w:rPr>
              <w:t>41,1</w:t>
            </w:r>
          </w:p>
        </w:tc>
      </w:tr>
    </w:tbl>
    <w:p w:rsidR="00000000" w:rsidRDefault="00000000">
      <w:pPr>
        <w:pStyle w:val="a2"/>
        <w:spacing w:after="0"/>
      </w:pPr>
    </w:p>
    <w:p w:rsidR="00000000" w:rsidRDefault="00000000">
      <w:pPr>
        <w:pStyle w:val="a2"/>
        <w:rPr>
          <w:lang w:val="en-US"/>
        </w:rPr>
      </w:pPr>
      <w:r>
        <w:t>Источник</w:t>
      </w:r>
      <w:r>
        <w:rPr>
          <w:lang w:val="en-US"/>
        </w:rPr>
        <w:t xml:space="preserve">: INEGI, "Estadísticas vitales", 1997-1998. </w:t>
      </w:r>
    </w:p>
    <w:p w:rsidR="00000000" w:rsidRDefault="00000000">
      <w:pPr>
        <w:pStyle w:val="a2"/>
      </w:pPr>
      <w:r>
        <w:t>В основу положена классификация, приведенная в десятом пересмотренном издании "Международной классиф</w:t>
      </w:r>
      <w:r>
        <w:t>и</w:t>
      </w:r>
      <w:r>
        <w:t xml:space="preserve">кации болезней". Источник содержит статистические данные по 20 важнейшим причинам смертности по каждому из разделов. </w:t>
      </w:r>
    </w:p>
    <w:p w:rsidR="00000000" w:rsidRDefault="00000000">
      <w:pPr>
        <w:pStyle w:val="Heading3"/>
        <w:spacing w:before="480"/>
      </w:pPr>
      <w:r>
        <w:t>Расширение системы охраны здоровья населения: "Основной пакет медицинских у</w:t>
      </w:r>
      <w:r>
        <w:t>с</w:t>
      </w:r>
      <w:r>
        <w:t xml:space="preserve">луг" </w:t>
      </w:r>
    </w:p>
    <w:p w:rsidR="00000000" w:rsidRDefault="00000000">
      <w:r>
        <w:t>530.</w:t>
      </w:r>
      <w:r>
        <w:tab/>
        <w:t>Практическая реализация программы "Основной пакет медицинских услуг" (ПАБСС) в период 1995–2000 годов путем выполнения программы расширения системы охраны здоровья населения (ПАК), программы образ</w:t>
      </w:r>
      <w:r>
        <w:t>о</w:t>
      </w:r>
      <w:r>
        <w:t>вания, здравоохранения и питания (ПРОГРЕСА), программы ИМСС – Солидарность, программы обслуживания ра</w:t>
      </w:r>
      <w:r>
        <w:t>й</w:t>
      </w:r>
      <w:r>
        <w:t>онов с индейским населением (ПАСИ) и программы "Сельская хирургия", среди прочего, обеспечила бесплатный доступ к основным формам медицинского обслуживания для 16 млн. человек, живущих в нищете, что стало ко</w:t>
      </w:r>
      <w:r>
        <w:t>н</w:t>
      </w:r>
      <w:r>
        <w:t>кретным воплощением п</w:t>
      </w:r>
      <w:r>
        <w:t>о</w:t>
      </w:r>
      <w:r>
        <w:t xml:space="preserve">литики здравоохранения для всех. </w:t>
      </w:r>
    </w:p>
    <w:p w:rsidR="00000000" w:rsidRDefault="00000000">
      <w:r>
        <w:t>531.</w:t>
      </w:r>
      <w:r>
        <w:tab/>
        <w:t>ПАБСС представляет собой набор из 13 видов услуг, рассчитанных на предотвращение заболеваний, пре</w:t>
      </w:r>
      <w:r>
        <w:t>д</w:t>
      </w:r>
      <w:r>
        <w:t>ставляющих собой главную опасность для здоровья населения, а именно инфекционных, респираторных и жел</w:t>
      </w:r>
      <w:r>
        <w:t>у</w:t>
      </w:r>
      <w:r>
        <w:t xml:space="preserve">дочно-кишечных заболеваний, а также на осуществление таких основных профилактических мероприятий, как обучение основам гигиены, организация санитарных служб в населенных пунктах и борьба с переносчиками ряда болезней, в частности малярии, тропической лихорадки и холеры. Кроме того, ПАБСС включает меры по охране здоровья матери и ребенка (в том числе в дородовой период) и по лечению женских болезней, а также программу вакцинации; причем за период 1995–2000 годов число применяемых вакцин выросло с 6 до 12. </w:t>
      </w:r>
    </w:p>
    <w:p w:rsidR="00000000" w:rsidRDefault="00000000">
      <w:r>
        <w:t>532.</w:t>
      </w:r>
      <w:r>
        <w:tab/>
        <w:t>Программа расширения системы охраны здоровья населения (ПАК), принятая в 1996 году, стала главным средством практического применения ПАБСС. В настоящее время предоставление "Основного пакета медицинских услуг" в рамках данной программы практикуется более чем в 40 тыс. населенных пунктов, входящих в состав 874 муниципалитетов в 19 субъектах Федерации. Всего в текущем году этой программой было охвачено 8,1 млн. чел</w:t>
      </w:r>
      <w:r>
        <w:t>о</w:t>
      </w:r>
      <w:r>
        <w:t xml:space="preserve">век, из которых 5 млн. проживают в городах и селах с преобладающим индейским населением. </w:t>
      </w:r>
    </w:p>
    <w:p w:rsidR="00000000" w:rsidRDefault="00000000">
      <w:r>
        <w:t>533.</w:t>
      </w:r>
      <w:r>
        <w:tab/>
        <w:t>Что касается программы ПРОГРЕСА, то ее собственное медицинское направление обеспечило возможность бесплатного пользования уже упомянутого ПАБСС членам 2,6 млн. семей, проживающих в условиях крайней н</w:t>
      </w:r>
      <w:r>
        <w:t>и</w:t>
      </w:r>
      <w:r>
        <w:t>щеты в 53 тыс. населенных пунктов 31 субъекта Федерации. Кроме того, указанной программой предусмотрено распределение продовольственных пайков, в результате чего удалось улучшить питание детей в возрасте от 4 мес</w:t>
      </w:r>
      <w:r>
        <w:t>я</w:t>
      </w:r>
      <w:r>
        <w:t>цев до 2 лет и оказать продовольственную помощь детям от 2 до 5 лет, не получающих достаточного питания, а также всем нуждающимся женщинам в период беременности и кормления. В рамках той же программы ведется работа по распространению медицинских знаний и организации медицинского обслуж</w:t>
      </w:r>
      <w:r>
        <w:t>и</w:t>
      </w:r>
      <w:r>
        <w:t xml:space="preserve">вания. </w:t>
      </w:r>
    </w:p>
    <w:p w:rsidR="00000000" w:rsidRDefault="00000000">
      <w:r>
        <w:t>534.</w:t>
      </w:r>
      <w:r>
        <w:tab/>
        <w:t>Программа ИМСС – Солидарность обеспечивает медицинское обслуживание первого и второго уровня 11 млн. человек, проживающих в 16 тыс. удаленных поселений в 17 субъектах Федерации, причем 76 процентов ук</w:t>
      </w:r>
      <w:r>
        <w:t>а</w:t>
      </w:r>
      <w:r>
        <w:t>занного числа населенных пунктов связаны с внешним миром лишь проселочными дорогами или горными троп</w:t>
      </w:r>
      <w:r>
        <w:t>а</w:t>
      </w:r>
      <w:r>
        <w:t>ми. В целом программой охвачено 1,9 млн. крестьянских и индейских семей, для медицинского обслуживания к</w:t>
      </w:r>
      <w:r>
        <w:t>о</w:t>
      </w:r>
      <w:r>
        <w:t>торых создано 3540 пунктов оказания первой медицинской помощи и 69 сельских больниц, и при поддержке сп</w:t>
      </w:r>
      <w:r>
        <w:t>е</w:t>
      </w:r>
      <w:r>
        <w:t>циалистов программы ПРОГРЕСА программой ИМСС было создано 225 микрорайонов здравоохранения, каждый из которых объединяет в среднем 10 населенных пунктов, не имеющих собственных медицинских и санитарных служб. В центре внимания программы ИМСС – Солидарность – профилактика заболеваний, однако программой та</w:t>
      </w:r>
      <w:r>
        <w:t>к</w:t>
      </w:r>
      <w:r>
        <w:t>же предусмотрено проведение лечебных и оздоровительных мероприятий. В осуществлении программы учас</w:t>
      </w:r>
      <w:r>
        <w:t>т</w:t>
      </w:r>
      <w:r>
        <w:t>вуют 247 тыс. добровольцев, преимущественно женщин, чьи усилия направлены на улучшение общих санита</w:t>
      </w:r>
      <w:r>
        <w:t>р</w:t>
      </w:r>
      <w:r>
        <w:t xml:space="preserve">но-гигиенических условий и условий жизни как отдельных семей, так и сельских общин. </w:t>
      </w:r>
    </w:p>
    <w:p w:rsidR="00000000" w:rsidRDefault="00000000">
      <w:r>
        <w:t>535.</w:t>
      </w:r>
      <w:r>
        <w:tab/>
        <w:t xml:space="preserve">Программа ПАСИ обеспечивает предоставление уже упомянутого "Основного пакета медицинских услуг" почти 626 тыс. жителей (в частности, более чем 300 тыс. индейцев), проживающих в 933 населенных пунктах. </w:t>
      </w:r>
    </w:p>
    <w:p w:rsidR="00000000" w:rsidRDefault="00000000">
      <w:r>
        <w:t>536.</w:t>
      </w:r>
      <w:r>
        <w:tab/>
        <w:t>Программа "Сельская хирургия" и хирурги, работающие по программе ИМСС – Солидарность, осуществляют медицинское обслуживание лиц, страдающих болезнями, ведущими к инвалидности и требующими хирургическ</w:t>
      </w:r>
      <w:r>
        <w:t>о</w:t>
      </w:r>
      <w:r>
        <w:t>го вмешательства. В ходе выполнения данной программы за последние шесть лет была оказана медицинская п</w:t>
      </w:r>
      <w:r>
        <w:t>о</w:t>
      </w:r>
      <w:r>
        <w:t>мощь примерно 47 тыс. граждан, проживающих в удаленных сельских районах страны. Программа делает упор на использовании местных кадров, для которых созданы центры профессионального обучения и повышения квалиф</w:t>
      </w:r>
      <w:r>
        <w:t>и</w:t>
      </w:r>
      <w:r>
        <w:t xml:space="preserve">кации, действующие в 15 субъектах Федерации. </w:t>
      </w:r>
    </w:p>
    <w:p w:rsidR="00000000" w:rsidRDefault="00000000">
      <w:r>
        <w:t>537.</w:t>
      </w:r>
      <w:r>
        <w:tab/>
        <w:t>Всемирная организация здравоохранения (ВОЗ) и Панамериканская организация здравоохранения (ПАОЗ) провели аттестацию программ предоставления основных медицинских услуг в 28 субъектах Федерации. В штате Чьяпас аттестация должна быть закончена в конце текущего года, а в 2001 году ее пройдут медицинские службы штатов Мехико и Оахака и федерального окр</w:t>
      </w:r>
      <w:r>
        <w:t>у</w:t>
      </w:r>
      <w:r>
        <w:t xml:space="preserve">га. </w:t>
      </w:r>
    </w:p>
    <w:p w:rsidR="00000000" w:rsidRDefault="00000000">
      <w:r>
        <w:t>538.</w:t>
      </w:r>
      <w:r>
        <w:tab/>
        <w:t>Осуществление программы муниципального здравоохранения позволило расширить охват населения мер</w:t>
      </w:r>
      <w:r>
        <w:t>о</w:t>
      </w:r>
      <w:r>
        <w:t>приятиями по повышению уровня личной гигиены и санитарного состояния населенных пунктов.</w:t>
      </w:r>
      <w:r>
        <w:br/>
        <w:t xml:space="preserve"> В результате уд</w:t>
      </w:r>
      <w:r>
        <w:t>а</w:t>
      </w:r>
      <w:r>
        <w:t xml:space="preserve">лось разрешить некоторые из задач, стоящих перед системой здравоохранения. В 2000 году указанная программа осуществлялась в 1540 муниципалитетах – на 188 муниципалитетов больше, чем в </w:t>
      </w:r>
      <w:r>
        <w:br/>
        <w:t>1999 году. Мероприятия в си</w:t>
      </w:r>
      <w:r>
        <w:t>с</w:t>
      </w:r>
      <w:r>
        <w:t>теме здравоохранения, проводимые государственными органами, дополняются деятельностью более чем 2 млн. граждан, добровольно и постоянно работающих в качестве сотрудников, активистов и помощников в службах здр</w:t>
      </w:r>
      <w:r>
        <w:t>а</w:t>
      </w:r>
      <w:r>
        <w:t>воохр</w:t>
      </w:r>
      <w:r>
        <w:t>а</w:t>
      </w:r>
      <w:r>
        <w:t xml:space="preserve">нения в сельской местности. </w:t>
      </w:r>
    </w:p>
    <w:p w:rsidR="00000000" w:rsidRDefault="00000000">
      <w:r>
        <w:t>539.</w:t>
      </w:r>
      <w:r>
        <w:tab/>
        <w:t>Добровольцы, работающие в системе здравоохранения, – в большинстве своем женщины – это очень ценные кадры, являющиеся связующим звеном между населением и органами здравоохранения, ответственными за осущ</w:t>
      </w:r>
      <w:r>
        <w:t>е</w:t>
      </w:r>
      <w:r>
        <w:t>ствление соответствующих программ. За период с 1994 года по настоящее время было подготовлено почти 1,4 млн. добровольных сотрудниц, каждая из которых обслуживает в среднем девять семей, проживающих как в сельской местности, так и в г</w:t>
      </w:r>
      <w:r>
        <w:t>о</w:t>
      </w:r>
      <w:r>
        <w:t xml:space="preserve">родских и пригородных районах. </w:t>
      </w:r>
    </w:p>
    <w:p w:rsidR="00000000" w:rsidRDefault="00000000">
      <w:r>
        <w:t>540.</w:t>
      </w:r>
      <w:r>
        <w:tab/>
        <w:t>В 1999 году впервые были вывешены белые флаги в 1234 сельских населенных пунктах (с населением менее 2500 человек). Это означает, что в текущем году число населенных пунктов, в которых 100 процентов матерей, б</w:t>
      </w:r>
      <w:r>
        <w:t>е</w:t>
      </w:r>
      <w:r>
        <w:t>ременных и кормящих женщин прошли надлежащую подготовку для пользования системой ПАБСС, составляет уже 5690. Кроме того, зарегистрировано 34 248 домов "Друзей здор</w:t>
      </w:r>
      <w:r>
        <w:t>о</w:t>
      </w:r>
      <w:r>
        <w:t xml:space="preserve">вого детства и материнства". </w:t>
      </w:r>
    </w:p>
    <w:p w:rsidR="00000000" w:rsidRDefault="00000000">
      <w:pPr>
        <w:pStyle w:val="Heading3"/>
      </w:pPr>
      <w:r>
        <w:t xml:space="preserve">Репродуктивное здоровье </w:t>
      </w:r>
    </w:p>
    <w:p w:rsidR="00000000" w:rsidRDefault="00000000">
      <w:r>
        <w:t>541.</w:t>
      </w:r>
      <w:r>
        <w:tab/>
        <w:t>Принятие и проведение в жизнь комплексного подхода к охране репродуктивного здоровья дало толчок ш</w:t>
      </w:r>
      <w:r>
        <w:t>и</w:t>
      </w:r>
      <w:r>
        <w:t>рокой мобилизации человеческих и финансовых ресурсов с целью повышения общего уровня предоставляемых медицинских услуг, а также интенсификации подготовки тысяч сотрудников системы здравоохранения к решению задач охраны репродуктивного здоровья и проведению соответствующих мероприятий, которые принимают форму интерактивных программ, пользующихся большой популярностью у н</w:t>
      </w:r>
      <w:r>
        <w:t>а</w:t>
      </w:r>
      <w:r>
        <w:t xml:space="preserve">селения. </w:t>
      </w:r>
    </w:p>
    <w:p w:rsidR="00000000" w:rsidRDefault="00000000">
      <w:r>
        <w:t>542.</w:t>
      </w:r>
      <w:r>
        <w:tab/>
        <w:t>В результате проведения в последние годы ряда программ по расширению системы охраны здоровья насел</w:t>
      </w:r>
      <w:r>
        <w:t>е</w:t>
      </w:r>
      <w:r>
        <w:t>ния доля жителей страны, имеющих доступ к основным видам услуг по охране репродуктивного здоровья, выросла, по нашим оценкам, с 89,1 процента в 1994 году до 96 процентов в 1998 году. Следует отметить, что ощущается н</w:t>
      </w:r>
      <w:r>
        <w:t>е</w:t>
      </w:r>
      <w:r>
        <w:t>обходимость постоянно расширять набор этих услуг, а также увеличивать доступ населения к другим формам о</w:t>
      </w:r>
      <w:r>
        <w:t>х</w:t>
      </w:r>
      <w:r>
        <w:t>раны репродуктивного здоровья, таким как профилактика, раннее диагностирование и своевременное лечение заб</w:t>
      </w:r>
      <w:r>
        <w:t>о</w:t>
      </w:r>
      <w:r>
        <w:t xml:space="preserve">леваний, передаваемых половым путем, в частности ВИЧ/СПИДа. </w:t>
      </w:r>
    </w:p>
    <w:p w:rsidR="00000000" w:rsidRDefault="00000000">
      <w:r>
        <w:t>543.</w:t>
      </w:r>
      <w:r>
        <w:tab/>
        <w:t>Среди женщин репродуктивного возраста опасности, связанные с беременностью, родами и послеродовым периодом, по-прежнему чреваты вероятностью летального исхода. Нынешний уровень смертности по этим прич</w:t>
      </w:r>
      <w:r>
        <w:t>и</w:t>
      </w:r>
      <w:r>
        <w:t>нам представляется все еще очень высоким, а темпы его снижения – меньшими, чем необходимо. Нищета и соц</w:t>
      </w:r>
      <w:r>
        <w:t>и</w:t>
      </w:r>
      <w:r>
        <w:t>альное отчуждение имеют одним из последствий высокую заболеваемость и относительно раннюю смертность р</w:t>
      </w:r>
      <w:r>
        <w:t>о</w:t>
      </w:r>
      <w:r>
        <w:t>жениц; при этом сохраняется значительный разрыв между показателями по разным регионам стр</w:t>
      </w:r>
      <w:r>
        <w:t>а</w:t>
      </w:r>
      <w:r>
        <w:t xml:space="preserve">ны. </w:t>
      </w:r>
    </w:p>
    <w:p w:rsidR="00000000" w:rsidRDefault="00000000">
      <w:r>
        <w:t>544.</w:t>
      </w:r>
      <w:r>
        <w:tab/>
        <w:t xml:space="preserve">Показатель материнской смертности сократился с 6,68 случая на каждые 10 тыс. живорождений в </w:t>
      </w:r>
      <w:r>
        <w:br/>
        <w:t xml:space="preserve">1994 году до 3,01 в 1999 году. Если общую смертность при родах принять за 100 процентов, то в 87,2 процента случаев причиной смерти была патология, непосредственно связанная с беременностью и родами, в </w:t>
      </w:r>
      <w:r>
        <w:br/>
        <w:t xml:space="preserve">7 процентах случаев – патология, косвенно связанная с беременностью и родами, и в 5,8 процента случаев – </w:t>
      </w:r>
      <w:r>
        <w:br/>
        <w:t>не связанная с этим. Осно</w:t>
      </w:r>
      <w:r>
        <w:t>в</w:t>
      </w:r>
      <w:r>
        <w:t xml:space="preserve">ными причинами осложнений при родах являются прежде всего кровотечения </w:t>
      </w:r>
      <w:r>
        <w:br/>
        <w:t>(46,7 процента), эклампсия (28 пр</w:t>
      </w:r>
      <w:r>
        <w:t>о</w:t>
      </w:r>
      <w:r>
        <w:t>це</w:t>
      </w:r>
      <w:r>
        <w:t>н</w:t>
      </w:r>
      <w:r>
        <w:t xml:space="preserve">тов) и сепсис (16 процентов). </w:t>
      </w:r>
    </w:p>
    <w:p w:rsidR="00000000" w:rsidRDefault="00000000">
      <w:pPr>
        <w:jc w:val="center"/>
        <w:rPr>
          <w:b/>
        </w:rPr>
      </w:pPr>
      <w:r>
        <w:rPr>
          <w:b/>
        </w:rPr>
        <w:t>Оценка материнской смертности</w:t>
      </w:r>
      <w:r>
        <w:rPr>
          <w:b/>
          <w:vertAlign w:val="superscript"/>
        </w:rPr>
        <w:t>1</w:t>
      </w:r>
      <w:r>
        <w:rPr>
          <w:b/>
        </w:rPr>
        <w:t>, 1990–1998 годы</w:t>
      </w:r>
      <w:r>
        <w:rPr>
          <w:b/>
        </w:rPr>
        <w:br/>
        <w:t>(в процентах)</w:t>
      </w:r>
    </w:p>
    <w:tbl>
      <w:tblPr>
        <w:tblW w:w="0" w:type="auto"/>
        <w:tblInd w:w="1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59"/>
        <w:gridCol w:w="2669"/>
      </w:tblGrid>
      <w:tr w:rsidR="00000000">
        <w:tblPrEx>
          <w:tblCellMar>
            <w:top w:w="0" w:type="dxa"/>
            <w:bottom w:w="0" w:type="dxa"/>
          </w:tblCellMar>
        </w:tblPrEx>
        <w:tc>
          <w:tcPr>
            <w:tcW w:w="2859" w:type="dxa"/>
          </w:tcPr>
          <w:p w:rsidR="00000000" w:rsidRDefault="00000000">
            <w:pPr>
              <w:pStyle w:val="a1"/>
              <w:jc w:val="center"/>
              <w:rPr>
                <w:b/>
              </w:rPr>
            </w:pPr>
            <w:r>
              <w:rPr>
                <w:b/>
              </w:rPr>
              <w:t>Год</w:t>
            </w:r>
          </w:p>
        </w:tc>
        <w:tc>
          <w:tcPr>
            <w:tcW w:w="2669" w:type="dxa"/>
          </w:tcPr>
          <w:p w:rsidR="00000000" w:rsidRDefault="00000000">
            <w:pPr>
              <w:pStyle w:val="a1"/>
              <w:jc w:val="center"/>
              <w:rPr>
                <w:b/>
              </w:rPr>
            </w:pPr>
            <w:r>
              <w:rPr>
                <w:b/>
              </w:rPr>
              <w:t>Всего</w:t>
            </w:r>
          </w:p>
        </w:tc>
      </w:tr>
      <w:tr w:rsidR="00000000">
        <w:tblPrEx>
          <w:tblCellMar>
            <w:top w:w="0" w:type="dxa"/>
            <w:bottom w:w="0" w:type="dxa"/>
          </w:tblCellMar>
        </w:tblPrEx>
        <w:tc>
          <w:tcPr>
            <w:tcW w:w="2859" w:type="dxa"/>
          </w:tcPr>
          <w:p w:rsidR="00000000" w:rsidRDefault="00000000">
            <w:pPr>
              <w:pStyle w:val="a1"/>
              <w:jc w:val="center"/>
            </w:pPr>
            <w:r>
              <w:t>1990</w:t>
            </w:r>
          </w:p>
        </w:tc>
        <w:tc>
          <w:tcPr>
            <w:tcW w:w="2669" w:type="dxa"/>
          </w:tcPr>
          <w:p w:rsidR="00000000" w:rsidRDefault="00000000">
            <w:pPr>
              <w:pStyle w:val="a1"/>
              <w:jc w:val="center"/>
            </w:pPr>
            <w:r>
              <w:t>5,4</w:t>
            </w:r>
          </w:p>
        </w:tc>
      </w:tr>
      <w:tr w:rsidR="00000000">
        <w:tblPrEx>
          <w:tblCellMar>
            <w:top w:w="0" w:type="dxa"/>
            <w:bottom w:w="0" w:type="dxa"/>
          </w:tblCellMar>
        </w:tblPrEx>
        <w:tc>
          <w:tcPr>
            <w:tcW w:w="2859" w:type="dxa"/>
          </w:tcPr>
          <w:p w:rsidR="00000000" w:rsidRDefault="00000000">
            <w:pPr>
              <w:pStyle w:val="a1"/>
              <w:jc w:val="center"/>
            </w:pPr>
            <w:r>
              <w:t>1995</w:t>
            </w:r>
          </w:p>
        </w:tc>
        <w:tc>
          <w:tcPr>
            <w:tcW w:w="2669" w:type="dxa"/>
          </w:tcPr>
          <w:p w:rsidR="00000000" w:rsidRDefault="00000000">
            <w:pPr>
              <w:pStyle w:val="a1"/>
              <w:jc w:val="center"/>
            </w:pPr>
            <w:r>
              <w:t>5,3</w:t>
            </w:r>
          </w:p>
        </w:tc>
      </w:tr>
      <w:tr w:rsidR="00000000">
        <w:tblPrEx>
          <w:tblCellMar>
            <w:top w:w="0" w:type="dxa"/>
            <w:bottom w:w="0" w:type="dxa"/>
          </w:tblCellMar>
        </w:tblPrEx>
        <w:tc>
          <w:tcPr>
            <w:tcW w:w="2859" w:type="dxa"/>
          </w:tcPr>
          <w:p w:rsidR="00000000" w:rsidRDefault="00000000">
            <w:pPr>
              <w:pStyle w:val="a1"/>
              <w:jc w:val="center"/>
            </w:pPr>
            <w:r>
              <w:t>1996</w:t>
            </w:r>
          </w:p>
        </w:tc>
        <w:tc>
          <w:tcPr>
            <w:tcW w:w="2669" w:type="dxa"/>
          </w:tcPr>
          <w:p w:rsidR="00000000" w:rsidRDefault="00000000">
            <w:pPr>
              <w:pStyle w:val="a1"/>
              <w:jc w:val="center"/>
            </w:pPr>
            <w:r>
              <w:t>4,8</w:t>
            </w:r>
          </w:p>
        </w:tc>
      </w:tr>
      <w:tr w:rsidR="00000000">
        <w:tblPrEx>
          <w:tblCellMar>
            <w:top w:w="0" w:type="dxa"/>
            <w:bottom w:w="0" w:type="dxa"/>
          </w:tblCellMar>
        </w:tblPrEx>
        <w:tc>
          <w:tcPr>
            <w:tcW w:w="2859" w:type="dxa"/>
          </w:tcPr>
          <w:p w:rsidR="00000000" w:rsidRDefault="00000000">
            <w:pPr>
              <w:pStyle w:val="a1"/>
              <w:jc w:val="center"/>
            </w:pPr>
            <w:r>
              <w:t>1997</w:t>
            </w:r>
          </w:p>
        </w:tc>
        <w:tc>
          <w:tcPr>
            <w:tcW w:w="2669" w:type="dxa"/>
          </w:tcPr>
          <w:p w:rsidR="00000000" w:rsidRDefault="00000000">
            <w:pPr>
              <w:pStyle w:val="a1"/>
              <w:jc w:val="center"/>
            </w:pPr>
            <w:r>
              <w:t>4,7</w:t>
            </w:r>
          </w:p>
        </w:tc>
      </w:tr>
      <w:tr w:rsidR="00000000">
        <w:tblPrEx>
          <w:tblCellMar>
            <w:top w:w="0" w:type="dxa"/>
            <w:bottom w:w="0" w:type="dxa"/>
          </w:tblCellMar>
        </w:tblPrEx>
        <w:tc>
          <w:tcPr>
            <w:tcW w:w="2859" w:type="dxa"/>
          </w:tcPr>
          <w:p w:rsidR="00000000" w:rsidRDefault="00000000">
            <w:pPr>
              <w:pStyle w:val="a1"/>
              <w:jc w:val="center"/>
            </w:pPr>
            <w:r>
              <w:t>1998</w:t>
            </w:r>
          </w:p>
        </w:tc>
        <w:tc>
          <w:tcPr>
            <w:tcW w:w="2669" w:type="dxa"/>
          </w:tcPr>
          <w:p w:rsidR="00000000" w:rsidRDefault="00000000">
            <w:pPr>
              <w:pStyle w:val="a1"/>
              <w:jc w:val="center"/>
            </w:pPr>
            <w:r>
              <w:t>5,3</w:t>
            </w:r>
          </w:p>
        </w:tc>
      </w:tr>
    </w:tbl>
    <w:p w:rsidR="00000000" w:rsidRDefault="00000000">
      <w:pPr>
        <w:pStyle w:val="a2"/>
        <w:spacing w:before="120" w:after="60"/>
        <w:ind w:left="1985" w:right="2132"/>
      </w:pPr>
      <w:r>
        <w:rPr>
          <w:vertAlign w:val="superscript"/>
        </w:rPr>
        <w:t>1</w:t>
      </w:r>
      <w:r>
        <w:t xml:space="preserve"> Число случаев материнской смертности на 10 тыс. живорождений.</w:t>
      </w:r>
    </w:p>
    <w:p w:rsidR="00000000" w:rsidRDefault="00000000">
      <w:pPr>
        <w:pStyle w:val="a2"/>
        <w:ind w:left="1985" w:right="2133"/>
      </w:pPr>
      <w:r>
        <w:t xml:space="preserve">Источник: ИНЕГИ. </w:t>
      </w:r>
      <w:r>
        <w:rPr>
          <w:i/>
        </w:rPr>
        <w:t>Женщины и мужчины в Мексике</w:t>
      </w:r>
      <w:r>
        <w:t>, 4-е изд. ССА.</w:t>
      </w:r>
      <w:r>
        <w:rPr>
          <w:i/>
        </w:rPr>
        <w:t xml:space="preserve"> Смертность</w:t>
      </w:r>
      <w:r>
        <w:t xml:space="preserve">, 1998 год. </w:t>
      </w:r>
    </w:p>
    <w:p w:rsidR="00000000" w:rsidRDefault="00000000">
      <w:r>
        <w:t>545.</w:t>
      </w:r>
      <w:r>
        <w:tab/>
        <w:t>Национальный межведомственный комитет по изучению причин смертности в период беременности и родов учредил 31 государственный комитет, на которые возложены функции контроля и оценки мероприятий, напра</w:t>
      </w:r>
      <w:r>
        <w:t>в</w:t>
      </w:r>
      <w:r>
        <w:t xml:space="preserve">ленных на устранение причин материнской заболеваемости и смертности. Подобные комитеты созданы и во всех государственных больницах, имеющих родильные и педиатрические отделения, а также в </w:t>
      </w:r>
      <w:r>
        <w:br/>
        <w:t>218 медицинских окр</w:t>
      </w:r>
      <w:r>
        <w:t>у</w:t>
      </w:r>
      <w:r>
        <w:t>гах, подведомственных Министерству здравоохран</w:t>
      </w:r>
      <w:r>
        <w:t>е</w:t>
      </w:r>
      <w:r>
        <w:t xml:space="preserve">ния. </w:t>
      </w:r>
    </w:p>
    <w:p w:rsidR="00000000" w:rsidRDefault="00000000">
      <w:r>
        <w:t>546.</w:t>
      </w:r>
      <w:r>
        <w:tab/>
        <w:t>Кроме того, в 1999 году комитеты по изучению причин смертности при родах были преобразованы в ком</w:t>
      </w:r>
      <w:r>
        <w:t>и</w:t>
      </w:r>
      <w:r>
        <w:t xml:space="preserve">теты по профилактике, изучению причин и мониторингу заболеваемости и смертности в период беременности и родов. Тем самым на них были возложены задачи предотвращения указанных явлений, в дополнение к задачам сбора и распространения информации и организации учебного процесса. </w:t>
      </w:r>
    </w:p>
    <w:p w:rsidR="00000000" w:rsidRDefault="00000000">
      <w:r>
        <w:t>547.</w:t>
      </w:r>
      <w:r>
        <w:tab/>
        <w:t>Одновременно различными учреждениями системы здравоохранения были разработаны программы, пр</w:t>
      </w:r>
      <w:r>
        <w:t>и</w:t>
      </w:r>
      <w:r>
        <w:t>званные способствовать снижению уровня смертности матерей – как взрослых, так и девушек-подростков. В час</w:t>
      </w:r>
      <w:r>
        <w:t>т</w:t>
      </w:r>
      <w:r>
        <w:t>ности, в ходе выполнения программы ИМСС – Солидарность были освоены такие формы работы, как интерактивный курс распространения знаний, имеющий целью преподать женщинам основы сексуального воспитания и заботы о собственном здоровье; в эти курсы входило, среди прочего, обсуждение таких вопросов, как взаимопонимание в семье, подростковая сексуальность, ранняя беременность, заболевания, передаваемые половым путем, проблема прин</w:t>
      </w:r>
      <w:r>
        <w:t>я</w:t>
      </w:r>
      <w:r>
        <w:t>тия решений. Такие курсы проводились, в частности, по спутниковым каналам, что дало возможность приобщить к участию в диалоге около 2,6 млн. человек, 50 процентов которых составляли женщины. Подобные методы распр</w:t>
      </w:r>
      <w:r>
        <w:t>о</w:t>
      </w:r>
      <w:r>
        <w:t>странения знаний способствовали изменению отношения женщин к задаче охраны собстве</w:t>
      </w:r>
      <w:r>
        <w:t>н</w:t>
      </w:r>
      <w:r>
        <w:t xml:space="preserve">ного здоровья. </w:t>
      </w:r>
    </w:p>
    <w:p w:rsidR="00000000" w:rsidRDefault="00000000">
      <w:r>
        <w:t>548.</w:t>
      </w:r>
      <w:r>
        <w:tab/>
        <w:t>В рамках программы ИМСС – Солидарность действует также простая и эффективная служба эпидемиологич</w:t>
      </w:r>
      <w:r>
        <w:t>е</w:t>
      </w:r>
      <w:r>
        <w:t>ского контроля за причинами материнской смертности, способствующая своевременному выявлению некоторых из этих причин, что дает возможность принять меры по уменьшению количества заболеваний со смертельным исх</w:t>
      </w:r>
      <w:r>
        <w:t>о</w:t>
      </w:r>
      <w:r>
        <w:t xml:space="preserve">дом. </w:t>
      </w:r>
    </w:p>
    <w:p w:rsidR="00000000" w:rsidRDefault="00000000">
      <w:pPr>
        <w:spacing w:before="240"/>
        <w:jc w:val="center"/>
        <w:rPr>
          <w:b/>
        </w:rPr>
      </w:pPr>
      <w:r>
        <w:rPr>
          <w:b/>
        </w:rPr>
        <w:t>Причины материнской смертности, по данным на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985"/>
        <w:gridCol w:w="1985"/>
      </w:tblGrid>
      <w:tr w:rsidR="00000000">
        <w:tblPrEx>
          <w:tblCellMar>
            <w:top w:w="0" w:type="dxa"/>
            <w:bottom w:w="0" w:type="dxa"/>
          </w:tblCellMar>
        </w:tblPrEx>
        <w:trPr>
          <w:jc w:val="center"/>
        </w:trPr>
        <w:tc>
          <w:tcPr>
            <w:tcW w:w="5670" w:type="dxa"/>
          </w:tcPr>
          <w:p w:rsidR="00000000" w:rsidRDefault="00000000">
            <w:pPr>
              <w:pStyle w:val="a1"/>
              <w:rPr>
                <w:b/>
              </w:rPr>
            </w:pPr>
            <w:r>
              <w:rPr>
                <w:b/>
              </w:rPr>
              <w:t>Причина</w:t>
            </w:r>
          </w:p>
        </w:tc>
        <w:tc>
          <w:tcPr>
            <w:tcW w:w="1985" w:type="dxa"/>
          </w:tcPr>
          <w:p w:rsidR="00000000" w:rsidRDefault="00000000">
            <w:pPr>
              <w:pStyle w:val="a1"/>
              <w:jc w:val="center"/>
              <w:rPr>
                <w:b/>
              </w:rPr>
            </w:pPr>
            <w:r>
              <w:rPr>
                <w:b/>
              </w:rPr>
              <w:t>Число сл</w:t>
            </w:r>
            <w:r>
              <w:rPr>
                <w:b/>
              </w:rPr>
              <w:t>у</w:t>
            </w:r>
            <w:r>
              <w:rPr>
                <w:b/>
              </w:rPr>
              <w:t>чаев</w:t>
            </w:r>
          </w:p>
        </w:tc>
        <w:tc>
          <w:tcPr>
            <w:tcW w:w="1985" w:type="dxa"/>
          </w:tcPr>
          <w:p w:rsidR="00000000" w:rsidRDefault="00000000">
            <w:pPr>
              <w:pStyle w:val="a1"/>
              <w:jc w:val="center"/>
              <w:rPr>
                <w:b/>
              </w:rPr>
            </w:pPr>
            <w:r>
              <w:rPr>
                <w:b/>
              </w:rPr>
              <w:t>Проце</w:t>
            </w:r>
            <w:r>
              <w:rPr>
                <w:b/>
              </w:rPr>
              <w:t>н</w:t>
            </w:r>
            <w:r>
              <w:rPr>
                <w:b/>
              </w:rPr>
              <w:t>тная доля</w:t>
            </w:r>
          </w:p>
        </w:tc>
      </w:tr>
      <w:tr w:rsidR="00000000">
        <w:tblPrEx>
          <w:tblCellMar>
            <w:top w:w="0" w:type="dxa"/>
            <w:bottom w:w="0" w:type="dxa"/>
          </w:tblCellMar>
        </w:tblPrEx>
        <w:trPr>
          <w:jc w:val="center"/>
        </w:trPr>
        <w:tc>
          <w:tcPr>
            <w:tcW w:w="5670" w:type="dxa"/>
          </w:tcPr>
          <w:p w:rsidR="00000000" w:rsidRDefault="00000000">
            <w:pPr>
              <w:pStyle w:val="a1"/>
            </w:pPr>
            <w:r>
              <w:t>Всего</w:t>
            </w:r>
          </w:p>
        </w:tc>
        <w:tc>
          <w:tcPr>
            <w:tcW w:w="1985" w:type="dxa"/>
            <w:vAlign w:val="bottom"/>
          </w:tcPr>
          <w:p w:rsidR="00000000" w:rsidRDefault="00000000">
            <w:pPr>
              <w:pStyle w:val="a1"/>
              <w:ind w:right="604"/>
              <w:jc w:val="right"/>
            </w:pPr>
            <w:r>
              <w:t>1 415</w:t>
            </w:r>
          </w:p>
        </w:tc>
        <w:tc>
          <w:tcPr>
            <w:tcW w:w="1985" w:type="dxa"/>
            <w:vAlign w:val="bottom"/>
          </w:tcPr>
          <w:p w:rsidR="00000000" w:rsidRDefault="00000000">
            <w:pPr>
              <w:pStyle w:val="a1"/>
              <w:ind w:right="746"/>
              <w:jc w:val="right"/>
            </w:pPr>
            <w:r>
              <w:t>100</w:t>
            </w:r>
          </w:p>
        </w:tc>
      </w:tr>
      <w:tr w:rsidR="00000000">
        <w:tblPrEx>
          <w:tblCellMar>
            <w:top w:w="0" w:type="dxa"/>
            <w:bottom w:w="0" w:type="dxa"/>
          </w:tblCellMar>
        </w:tblPrEx>
        <w:trPr>
          <w:jc w:val="center"/>
        </w:trPr>
        <w:tc>
          <w:tcPr>
            <w:tcW w:w="5670" w:type="dxa"/>
          </w:tcPr>
          <w:p w:rsidR="00000000" w:rsidRDefault="00000000">
            <w:pPr>
              <w:pStyle w:val="a1"/>
              <w:rPr>
                <w:b/>
              </w:rPr>
            </w:pPr>
            <w:r>
              <w:rPr>
                <w:b/>
              </w:rPr>
              <w:t>Патологии, непосредственно связанные с б</w:t>
            </w:r>
            <w:r>
              <w:rPr>
                <w:b/>
              </w:rPr>
              <w:t>е</w:t>
            </w:r>
            <w:r>
              <w:rPr>
                <w:b/>
              </w:rPr>
              <w:t xml:space="preserve">ременностью </w:t>
            </w:r>
            <w:r>
              <w:rPr>
                <w:b/>
              </w:rPr>
              <w:br/>
              <w:t>и родами</w:t>
            </w:r>
          </w:p>
        </w:tc>
        <w:tc>
          <w:tcPr>
            <w:tcW w:w="1985" w:type="dxa"/>
            <w:vAlign w:val="bottom"/>
          </w:tcPr>
          <w:p w:rsidR="00000000" w:rsidRDefault="00000000">
            <w:pPr>
              <w:pStyle w:val="a1"/>
              <w:ind w:right="604"/>
              <w:jc w:val="right"/>
              <w:rPr>
                <w:b/>
              </w:rPr>
            </w:pPr>
            <w:r>
              <w:rPr>
                <w:b/>
              </w:rPr>
              <w:t>1 257</w:t>
            </w:r>
          </w:p>
        </w:tc>
        <w:tc>
          <w:tcPr>
            <w:tcW w:w="1985" w:type="dxa"/>
            <w:vAlign w:val="bottom"/>
          </w:tcPr>
          <w:p w:rsidR="00000000" w:rsidRDefault="00000000">
            <w:pPr>
              <w:pStyle w:val="a1"/>
              <w:ind w:right="746"/>
              <w:jc w:val="right"/>
              <w:rPr>
                <w:b/>
              </w:rPr>
            </w:pPr>
            <w:r>
              <w:rPr>
                <w:b/>
              </w:rPr>
              <w:t>88,8</w:t>
            </w:r>
          </w:p>
        </w:tc>
      </w:tr>
      <w:tr w:rsidR="00000000">
        <w:tblPrEx>
          <w:tblCellMar>
            <w:top w:w="0" w:type="dxa"/>
            <w:bottom w:w="0" w:type="dxa"/>
          </w:tblCellMar>
        </w:tblPrEx>
        <w:trPr>
          <w:jc w:val="center"/>
        </w:trPr>
        <w:tc>
          <w:tcPr>
            <w:tcW w:w="5670" w:type="dxa"/>
          </w:tcPr>
          <w:p w:rsidR="00000000" w:rsidRDefault="00000000">
            <w:pPr>
              <w:pStyle w:val="a1"/>
            </w:pPr>
            <w:r>
              <w:t>Аборты</w:t>
            </w:r>
          </w:p>
        </w:tc>
        <w:tc>
          <w:tcPr>
            <w:tcW w:w="1985" w:type="dxa"/>
            <w:vAlign w:val="bottom"/>
          </w:tcPr>
          <w:p w:rsidR="00000000" w:rsidRDefault="00000000">
            <w:pPr>
              <w:pStyle w:val="a1"/>
              <w:ind w:right="604"/>
              <w:jc w:val="right"/>
            </w:pPr>
            <w:r>
              <w:t>110</w:t>
            </w:r>
          </w:p>
        </w:tc>
        <w:tc>
          <w:tcPr>
            <w:tcW w:w="1985" w:type="dxa"/>
            <w:vAlign w:val="bottom"/>
          </w:tcPr>
          <w:p w:rsidR="00000000" w:rsidRDefault="00000000">
            <w:pPr>
              <w:pStyle w:val="a1"/>
              <w:ind w:right="746"/>
              <w:jc w:val="right"/>
            </w:pPr>
            <w:r>
              <w:t>7,8</w:t>
            </w:r>
          </w:p>
        </w:tc>
      </w:tr>
      <w:tr w:rsidR="00000000">
        <w:tblPrEx>
          <w:tblCellMar>
            <w:top w:w="0" w:type="dxa"/>
            <w:bottom w:w="0" w:type="dxa"/>
          </w:tblCellMar>
        </w:tblPrEx>
        <w:trPr>
          <w:jc w:val="center"/>
        </w:trPr>
        <w:tc>
          <w:tcPr>
            <w:tcW w:w="5670" w:type="dxa"/>
          </w:tcPr>
          <w:p w:rsidR="00000000" w:rsidRDefault="00000000">
            <w:pPr>
              <w:pStyle w:val="a1"/>
            </w:pPr>
            <w:r>
              <w:t>Протеинурический отек и гипертонические кризы во время беременности, родов и в п</w:t>
            </w:r>
            <w:r>
              <w:t>о</w:t>
            </w:r>
            <w:r>
              <w:t>слеродовой период</w:t>
            </w:r>
          </w:p>
        </w:tc>
        <w:tc>
          <w:tcPr>
            <w:tcW w:w="1985" w:type="dxa"/>
            <w:vAlign w:val="bottom"/>
          </w:tcPr>
          <w:p w:rsidR="00000000" w:rsidRDefault="00000000">
            <w:pPr>
              <w:pStyle w:val="a1"/>
              <w:ind w:right="604"/>
              <w:jc w:val="right"/>
            </w:pPr>
            <w:r>
              <w:t>474</w:t>
            </w:r>
          </w:p>
        </w:tc>
        <w:tc>
          <w:tcPr>
            <w:tcW w:w="1985" w:type="dxa"/>
            <w:vAlign w:val="bottom"/>
          </w:tcPr>
          <w:p w:rsidR="00000000" w:rsidRDefault="00000000">
            <w:pPr>
              <w:pStyle w:val="a1"/>
              <w:ind w:right="746"/>
              <w:jc w:val="right"/>
            </w:pPr>
            <w:r>
              <w:t>33,5</w:t>
            </w:r>
          </w:p>
        </w:tc>
      </w:tr>
      <w:tr w:rsidR="00000000">
        <w:tblPrEx>
          <w:tblCellMar>
            <w:top w:w="0" w:type="dxa"/>
            <w:bottom w:w="0" w:type="dxa"/>
          </w:tblCellMar>
        </w:tblPrEx>
        <w:trPr>
          <w:jc w:val="center"/>
        </w:trPr>
        <w:tc>
          <w:tcPr>
            <w:tcW w:w="5670" w:type="dxa"/>
          </w:tcPr>
          <w:p w:rsidR="00000000" w:rsidRDefault="00000000">
            <w:pPr>
              <w:pStyle w:val="a1"/>
            </w:pPr>
            <w:r>
              <w:t>Кровотечения в период беременности, родов и в послерод</w:t>
            </w:r>
            <w:r>
              <w:t>о</w:t>
            </w:r>
            <w:r>
              <w:t xml:space="preserve">вой период </w:t>
            </w:r>
          </w:p>
        </w:tc>
        <w:tc>
          <w:tcPr>
            <w:tcW w:w="1985" w:type="dxa"/>
            <w:vAlign w:val="bottom"/>
          </w:tcPr>
          <w:p w:rsidR="00000000" w:rsidRDefault="00000000">
            <w:pPr>
              <w:pStyle w:val="a1"/>
              <w:ind w:right="604"/>
              <w:jc w:val="right"/>
            </w:pPr>
            <w:r>
              <w:t>243</w:t>
            </w:r>
          </w:p>
        </w:tc>
        <w:tc>
          <w:tcPr>
            <w:tcW w:w="1985" w:type="dxa"/>
            <w:vAlign w:val="bottom"/>
          </w:tcPr>
          <w:p w:rsidR="00000000" w:rsidRDefault="00000000">
            <w:pPr>
              <w:pStyle w:val="a1"/>
              <w:ind w:right="746"/>
              <w:jc w:val="right"/>
            </w:pPr>
            <w:r>
              <w:t>17,2</w:t>
            </w:r>
          </w:p>
        </w:tc>
      </w:tr>
      <w:tr w:rsidR="00000000">
        <w:tblPrEx>
          <w:tblCellMar>
            <w:top w:w="0" w:type="dxa"/>
            <w:bottom w:w="0" w:type="dxa"/>
          </w:tblCellMar>
        </w:tblPrEx>
        <w:trPr>
          <w:jc w:val="center"/>
        </w:trPr>
        <w:tc>
          <w:tcPr>
            <w:tcW w:w="5670" w:type="dxa"/>
          </w:tcPr>
          <w:p w:rsidR="00000000" w:rsidRDefault="00000000">
            <w:pPr>
              <w:pStyle w:val="a1"/>
            </w:pPr>
            <w:r>
              <w:t>Сахарный диабет при бер</w:t>
            </w:r>
            <w:r>
              <w:t>е</w:t>
            </w:r>
            <w:r>
              <w:t>менности</w:t>
            </w:r>
          </w:p>
        </w:tc>
        <w:tc>
          <w:tcPr>
            <w:tcW w:w="1985" w:type="dxa"/>
            <w:vAlign w:val="bottom"/>
          </w:tcPr>
          <w:p w:rsidR="00000000" w:rsidRDefault="00000000">
            <w:pPr>
              <w:pStyle w:val="a1"/>
              <w:ind w:right="604"/>
              <w:jc w:val="right"/>
            </w:pPr>
            <w:r>
              <w:t>5</w:t>
            </w:r>
          </w:p>
        </w:tc>
        <w:tc>
          <w:tcPr>
            <w:tcW w:w="1985" w:type="dxa"/>
            <w:vAlign w:val="bottom"/>
          </w:tcPr>
          <w:p w:rsidR="00000000" w:rsidRDefault="00000000">
            <w:pPr>
              <w:pStyle w:val="a1"/>
              <w:ind w:right="746"/>
              <w:jc w:val="right"/>
            </w:pPr>
            <w:r>
              <w:t>0,4</w:t>
            </w:r>
          </w:p>
        </w:tc>
      </w:tr>
      <w:tr w:rsidR="00000000">
        <w:tblPrEx>
          <w:tblCellMar>
            <w:top w:w="0" w:type="dxa"/>
            <w:bottom w:w="0" w:type="dxa"/>
          </w:tblCellMar>
        </w:tblPrEx>
        <w:trPr>
          <w:jc w:val="center"/>
        </w:trPr>
        <w:tc>
          <w:tcPr>
            <w:tcW w:w="5670" w:type="dxa"/>
          </w:tcPr>
          <w:p w:rsidR="00000000" w:rsidRDefault="00000000">
            <w:pPr>
              <w:pStyle w:val="a1"/>
            </w:pPr>
            <w:r>
              <w:t>Непроходимость родового канала</w:t>
            </w:r>
          </w:p>
        </w:tc>
        <w:tc>
          <w:tcPr>
            <w:tcW w:w="1985" w:type="dxa"/>
            <w:vAlign w:val="bottom"/>
          </w:tcPr>
          <w:p w:rsidR="00000000" w:rsidRDefault="00000000">
            <w:pPr>
              <w:pStyle w:val="a1"/>
              <w:ind w:right="604"/>
              <w:jc w:val="right"/>
            </w:pPr>
            <w:r>
              <w:t>11</w:t>
            </w:r>
          </w:p>
        </w:tc>
        <w:tc>
          <w:tcPr>
            <w:tcW w:w="1985" w:type="dxa"/>
            <w:vAlign w:val="bottom"/>
          </w:tcPr>
          <w:p w:rsidR="00000000" w:rsidRDefault="00000000">
            <w:pPr>
              <w:pStyle w:val="a1"/>
              <w:ind w:right="746"/>
              <w:jc w:val="right"/>
            </w:pPr>
            <w:r>
              <w:t>0,8</w:t>
            </w:r>
          </w:p>
        </w:tc>
      </w:tr>
      <w:tr w:rsidR="00000000">
        <w:tblPrEx>
          <w:tblCellMar>
            <w:top w:w="0" w:type="dxa"/>
            <w:bottom w:w="0" w:type="dxa"/>
          </w:tblCellMar>
        </w:tblPrEx>
        <w:trPr>
          <w:jc w:val="center"/>
        </w:trPr>
        <w:tc>
          <w:tcPr>
            <w:tcW w:w="5670" w:type="dxa"/>
          </w:tcPr>
          <w:p w:rsidR="00000000" w:rsidRDefault="00000000">
            <w:pPr>
              <w:pStyle w:val="a1"/>
            </w:pPr>
            <w:r>
              <w:t>Послеродовые осложн</w:t>
            </w:r>
            <w:r>
              <w:t>е</w:t>
            </w:r>
            <w:r>
              <w:t>ния</w:t>
            </w:r>
          </w:p>
        </w:tc>
        <w:tc>
          <w:tcPr>
            <w:tcW w:w="1985" w:type="dxa"/>
            <w:vAlign w:val="bottom"/>
          </w:tcPr>
          <w:p w:rsidR="00000000" w:rsidRDefault="00000000">
            <w:pPr>
              <w:pStyle w:val="a1"/>
              <w:ind w:right="604"/>
              <w:jc w:val="right"/>
            </w:pPr>
            <w:r>
              <w:t>127</w:t>
            </w:r>
          </w:p>
        </w:tc>
        <w:tc>
          <w:tcPr>
            <w:tcW w:w="1985" w:type="dxa"/>
            <w:vAlign w:val="bottom"/>
          </w:tcPr>
          <w:p w:rsidR="00000000" w:rsidRDefault="00000000">
            <w:pPr>
              <w:pStyle w:val="a1"/>
              <w:ind w:right="746"/>
              <w:jc w:val="right"/>
            </w:pPr>
            <w:r>
              <w:t>9,0</w:t>
            </w:r>
          </w:p>
        </w:tc>
      </w:tr>
      <w:tr w:rsidR="00000000">
        <w:tblPrEx>
          <w:tblCellMar>
            <w:top w:w="0" w:type="dxa"/>
            <w:bottom w:w="0" w:type="dxa"/>
          </w:tblCellMar>
        </w:tblPrEx>
        <w:trPr>
          <w:jc w:val="center"/>
        </w:trPr>
        <w:tc>
          <w:tcPr>
            <w:tcW w:w="5670" w:type="dxa"/>
          </w:tcPr>
          <w:p w:rsidR="00000000" w:rsidRDefault="00000000">
            <w:pPr>
              <w:pStyle w:val="a1"/>
            </w:pPr>
            <w:r>
              <w:t>Сепсис и другие инфекции послеродового периода</w:t>
            </w:r>
          </w:p>
        </w:tc>
        <w:tc>
          <w:tcPr>
            <w:tcW w:w="1985" w:type="dxa"/>
            <w:vAlign w:val="bottom"/>
          </w:tcPr>
          <w:p w:rsidR="00000000" w:rsidRDefault="00000000">
            <w:pPr>
              <w:pStyle w:val="a1"/>
              <w:ind w:right="604"/>
              <w:jc w:val="right"/>
            </w:pPr>
            <w:r>
              <w:t>50</w:t>
            </w:r>
          </w:p>
        </w:tc>
        <w:tc>
          <w:tcPr>
            <w:tcW w:w="1985" w:type="dxa"/>
            <w:vAlign w:val="bottom"/>
          </w:tcPr>
          <w:p w:rsidR="00000000" w:rsidRDefault="00000000">
            <w:pPr>
              <w:pStyle w:val="a1"/>
              <w:ind w:right="746"/>
              <w:jc w:val="right"/>
            </w:pPr>
            <w:r>
              <w:t>3,5</w:t>
            </w:r>
          </w:p>
        </w:tc>
      </w:tr>
      <w:tr w:rsidR="00000000">
        <w:tblPrEx>
          <w:tblCellMar>
            <w:top w:w="0" w:type="dxa"/>
            <w:bottom w:w="0" w:type="dxa"/>
          </w:tblCellMar>
        </w:tblPrEx>
        <w:trPr>
          <w:jc w:val="center"/>
        </w:trPr>
        <w:tc>
          <w:tcPr>
            <w:tcW w:w="5670" w:type="dxa"/>
          </w:tcPr>
          <w:p w:rsidR="00000000" w:rsidRDefault="00000000">
            <w:pPr>
              <w:pStyle w:val="a1"/>
            </w:pPr>
            <w:r>
              <w:t>Другие патологии при беременн</w:t>
            </w:r>
            <w:r>
              <w:t>о</w:t>
            </w:r>
            <w:r>
              <w:t>сти и родах</w:t>
            </w:r>
          </w:p>
        </w:tc>
        <w:tc>
          <w:tcPr>
            <w:tcW w:w="1985" w:type="dxa"/>
            <w:vAlign w:val="bottom"/>
          </w:tcPr>
          <w:p w:rsidR="00000000" w:rsidRDefault="00000000">
            <w:pPr>
              <w:pStyle w:val="a1"/>
              <w:ind w:right="604"/>
              <w:jc w:val="right"/>
            </w:pPr>
            <w:r>
              <w:t>287</w:t>
            </w:r>
          </w:p>
        </w:tc>
        <w:tc>
          <w:tcPr>
            <w:tcW w:w="1985" w:type="dxa"/>
            <w:vAlign w:val="bottom"/>
          </w:tcPr>
          <w:p w:rsidR="00000000" w:rsidRDefault="00000000">
            <w:pPr>
              <w:pStyle w:val="a1"/>
              <w:ind w:right="746"/>
              <w:jc w:val="right"/>
            </w:pPr>
            <w:r>
              <w:t>20,3</w:t>
            </w:r>
          </w:p>
        </w:tc>
      </w:tr>
      <w:tr w:rsidR="00000000">
        <w:tblPrEx>
          <w:tblCellMar>
            <w:top w:w="0" w:type="dxa"/>
            <w:bottom w:w="0" w:type="dxa"/>
          </w:tblCellMar>
        </w:tblPrEx>
        <w:trPr>
          <w:jc w:val="center"/>
        </w:trPr>
        <w:tc>
          <w:tcPr>
            <w:tcW w:w="5670" w:type="dxa"/>
          </w:tcPr>
          <w:p w:rsidR="00000000" w:rsidRDefault="00000000">
            <w:pPr>
              <w:pStyle w:val="a1"/>
              <w:rPr>
                <w:b/>
              </w:rPr>
            </w:pPr>
            <w:r>
              <w:rPr>
                <w:b/>
              </w:rPr>
              <w:t>Патологии, непосредственно не связанные с беременностью и родами</w:t>
            </w:r>
          </w:p>
        </w:tc>
        <w:tc>
          <w:tcPr>
            <w:tcW w:w="1985" w:type="dxa"/>
            <w:vAlign w:val="bottom"/>
          </w:tcPr>
          <w:p w:rsidR="00000000" w:rsidRDefault="00000000">
            <w:pPr>
              <w:pStyle w:val="a1"/>
              <w:ind w:right="604"/>
              <w:jc w:val="right"/>
              <w:rPr>
                <w:b/>
              </w:rPr>
            </w:pPr>
            <w:r>
              <w:rPr>
                <w:b/>
              </w:rPr>
              <w:t>151</w:t>
            </w:r>
          </w:p>
        </w:tc>
        <w:tc>
          <w:tcPr>
            <w:tcW w:w="1985" w:type="dxa"/>
            <w:vAlign w:val="bottom"/>
          </w:tcPr>
          <w:p w:rsidR="00000000" w:rsidRDefault="00000000">
            <w:pPr>
              <w:pStyle w:val="a1"/>
              <w:ind w:right="746"/>
              <w:jc w:val="right"/>
              <w:rPr>
                <w:b/>
              </w:rPr>
            </w:pPr>
            <w:r>
              <w:rPr>
                <w:b/>
              </w:rPr>
              <w:t>10,7</w:t>
            </w:r>
          </w:p>
        </w:tc>
      </w:tr>
      <w:tr w:rsidR="00000000">
        <w:tblPrEx>
          <w:tblCellMar>
            <w:top w:w="0" w:type="dxa"/>
            <w:bottom w:w="0" w:type="dxa"/>
          </w:tblCellMar>
        </w:tblPrEx>
        <w:trPr>
          <w:jc w:val="center"/>
        </w:trPr>
        <w:tc>
          <w:tcPr>
            <w:tcW w:w="5670" w:type="dxa"/>
          </w:tcPr>
          <w:p w:rsidR="00000000" w:rsidRDefault="00000000">
            <w:pPr>
              <w:pStyle w:val="a1"/>
            </w:pPr>
            <w:r>
              <w:t>Смерть при родах по неустановленной прич</w:t>
            </w:r>
            <w:r>
              <w:t>и</w:t>
            </w:r>
            <w:r>
              <w:t>не</w:t>
            </w:r>
          </w:p>
        </w:tc>
        <w:tc>
          <w:tcPr>
            <w:tcW w:w="1985" w:type="dxa"/>
            <w:vAlign w:val="bottom"/>
          </w:tcPr>
          <w:p w:rsidR="00000000" w:rsidRDefault="00000000">
            <w:pPr>
              <w:pStyle w:val="a1"/>
              <w:ind w:right="604"/>
              <w:jc w:val="right"/>
              <w:rPr>
                <w:lang w:val="en-US"/>
              </w:rPr>
            </w:pPr>
            <w:r>
              <w:rPr>
                <w:lang w:val="en-US"/>
              </w:rPr>
              <w:t>7</w:t>
            </w:r>
          </w:p>
        </w:tc>
        <w:tc>
          <w:tcPr>
            <w:tcW w:w="1985" w:type="dxa"/>
            <w:vAlign w:val="bottom"/>
          </w:tcPr>
          <w:p w:rsidR="00000000" w:rsidRDefault="00000000">
            <w:pPr>
              <w:pStyle w:val="a1"/>
              <w:ind w:right="746"/>
              <w:jc w:val="right"/>
              <w:rPr>
                <w:lang w:val="en-US"/>
              </w:rPr>
            </w:pPr>
            <w:r>
              <w:rPr>
                <w:lang w:val="en-US"/>
              </w:rPr>
              <w:t>0,5</w:t>
            </w:r>
          </w:p>
        </w:tc>
      </w:tr>
    </w:tbl>
    <w:p w:rsidR="00000000" w:rsidRDefault="00000000">
      <w:pPr>
        <w:pStyle w:val="Header"/>
        <w:tabs>
          <w:tab w:val="clear" w:pos="4677"/>
          <w:tab w:val="clear" w:pos="9355"/>
        </w:tabs>
        <w:spacing w:after="0"/>
      </w:pPr>
    </w:p>
    <w:p w:rsidR="00000000" w:rsidRDefault="00000000">
      <w:pPr>
        <w:pStyle w:val="a2"/>
        <w:rPr>
          <w:lang w:val="en-US"/>
        </w:rPr>
      </w:pPr>
      <w:r>
        <w:t>Источник</w:t>
      </w:r>
      <w:r>
        <w:rPr>
          <w:lang w:val="en-US"/>
        </w:rPr>
        <w:t xml:space="preserve">: SSA. Mortalidad, 1998. </w:t>
      </w:r>
    </w:p>
    <w:p w:rsidR="00000000" w:rsidRDefault="00000000">
      <w:pPr>
        <w:pStyle w:val="Heading3"/>
      </w:pPr>
      <w:r>
        <w:t xml:space="preserve">Медицинское обслуживание женщин во время беременности и родов и в послеродовой период </w:t>
      </w:r>
    </w:p>
    <w:p w:rsidR="00000000" w:rsidRDefault="00000000">
      <w:r>
        <w:t>549.</w:t>
      </w:r>
      <w:r>
        <w:tab/>
        <w:t>Медицинское обслуживание беременных женщин осуществляется государственными, общественными и ч</w:t>
      </w:r>
      <w:r>
        <w:t>а</w:t>
      </w:r>
      <w:r>
        <w:t>стными учреждениями. Практическое применение ПАБСС предполагает, среди прочего, такие виды услуг, как у</w:t>
      </w:r>
      <w:r>
        <w:t>с</w:t>
      </w:r>
      <w:r>
        <w:t>тановление беременности, консультации в дородовой период, введение противостолбнячного анатоксина, стимул</w:t>
      </w:r>
      <w:r>
        <w:t>и</w:t>
      </w:r>
      <w:r>
        <w:t xml:space="preserve">рование грудного вскармливания, выявление и наблюдение патологий беременности, родовспоможение в обычных случаях, уход за новорожденными, введение железосодержащих препаратов беременным женщинам и повышение квалификации сотрудников общинных и государственных медицинских учреждений. </w:t>
      </w:r>
    </w:p>
    <w:p w:rsidR="00000000" w:rsidRDefault="00000000">
      <w:r>
        <w:t>550.</w:t>
      </w:r>
      <w:r>
        <w:tab/>
        <w:t xml:space="preserve">За последние шесть лет число консультаций, предоставленных каждой беременной женщине, выросло в среднем на 63 процента. Согласно оценкам по состоянию на текущий год их число составляет в среднем </w:t>
      </w:r>
      <w:r>
        <w:br/>
        <w:t>4,2 ко</w:t>
      </w:r>
      <w:r>
        <w:t>н</w:t>
      </w:r>
      <w:r>
        <w:t xml:space="preserve">сультации на каждый случай беременности, то есть почти на 8 процентов больше, чем в предыдущий год, что должно привести к дальнейшему снижению материнской и детской смертности. </w:t>
      </w:r>
    </w:p>
    <w:p w:rsidR="00000000" w:rsidRDefault="00000000">
      <w:r>
        <w:t>551.</w:t>
      </w:r>
      <w:r>
        <w:tab/>
        <w:t>Помимо указанных мер программой ИМСС – Солидарность предусмотрено внедрение более простой и э</w:t>
      </w:r>
      <w:r>
        <w:t>ф</w:t>
      </w:r>
      <w:r>
        <w:t xml:space="preserve">фективной системы эпидемиологического наблюдения, позволяющей лучше контролировать состояние здоровья женщин в первые три месяца беременности, выявлять на ранней стадии осложнения беременности, ставящие под угрозу жизнь матери и плода. Число консультаций подобного рода из расчета на каждую беременную женщину выросло с 4,6 в 1994 году до 6,7 в 1999 году. </w:t>
      </w:r>
    </w:p>
    <w:p w:rsidR="00000000" w:rsidRDefault="00000000">
      <w:r>
        <w:t>552.</w:t>
      </w:r>
      <w:r>
        <w:tab/>
        <w:t>Увеличился также объем медицинских услуг, оказываемых при родах. В 1999 году 86 процентов всех р</w:t>
      </w:r>
      <w:r>
        <w:t>о</w:t>
      </w:r>
      <w:r>
        <w:t>дов было принято квалифицированными медицинскими работниками, а во всех остальных случаях – деревенскими повитухами, прошедшими курс дополнительной подготовки. Сельские акушерки и повитухи, часто оказывающие помощь при родах женщинам, не имеющим образования и проживающим в сельских районах, продолжают выпо</w:t>
      </w:r>
      <w:r>
        <w:t>л</w:t>
      </w:r>
      <w:r>
        <w:t xml:space="preserve">нять функции родовспоможения, но количественные показатели их участия в этом процессе снизились – отчасти ввиду сокращения финансирования подобного рода деятельности, отчасти из-за недостаточной информации, поступающей с мест. В рамках программы ИМСС – Солидарность действуют </w:t>
      </w:r>
      <w:r>
        <w:br/>
        <w:t>6110 сельских повитух, на долю кот</w:t>
      </w:r>
      <w:r>
        <w:t>о</w:t>
      </w:r>
      <w:r>
        <w:t>рых приходится в среднем 18 760 родов ежегодно. Все эти женщины официально зарегистрированы как сотрудницы служб здравоохранения, как это и предполагалось программой реформирования системы здравоохр</w:t>
      </w:r>
      <w:r>
        <w:t>а</w:t>
      </w:r>
      <w:r>
        <w:t>нения, принятой в целях расширения охвата населения подобного рода услугами; все они прошли акушерские ку</w:t>
      </w:r>
      <w:r>
        <w:t>р</w:t>
      </w:r>
      <w:r>
        <w:t>сы, на которых особое внимание уделялось таким вопросам, как обеспечение благополучного течения беременн</w:t>
      </w:r>
      <w:r>
        <w:t>о</w:t>
      </w:r>
      <w:r>
        <w:t>сти и родов, возможные патологии и их симптомы, о которых следует своевременно сообщать в специализирова</w:t>
      </w:r>
      <w:r>
        <w:t>н</w:t>
      </w:r>
      <w:r>
        <w:t>ные медицинские учрежд</w:t>
      </w:r>
      <w:r>
        <w:t>е</w:t>
      </w:r>
      <w:r>
        <w:t xml:space="preserve">ния. </w:t>
      </w:r>
    </w:p>
    <w:p w:rsidR="00000000" w:rsidRDefault="00000000">
      <w:r>
        <w:t>553.</w:t>
      </w:r>
      <w:r>
        <w:tab/>
        <w:t xml:space="preserve">В результате осуществления программы "Больница – друг матери и ребенка " в текущем году </w:t>
      </w:r>
      <w:r>
        <w:br/>
        <w:t>95,4 процента государственных больниц прошли аттестацию. При этом помимо десяти условий прохождения аттестации, выдвин</w:t>
      </w:r>
      <w:r>
        <w:t>у</w:t>
      </w:r>
      <w:r>
        <w:t>тых ВОЗ/ПАОЗ и ЮНИСЕФ, программой установлено 18 дополнительных требований, выполнение которых нео</w:t>
      </w:r>
      <w:r>
        <w:t>б</w:t>
      </w:r>
      <w:r>
        <w:t>ходимо для решения задач комплексного подхода к охране материнства. В тех больницах, которые прошли указа</w:t>
      </w:r>
      <w:r>
        <w:t>н</w:t>
      </w:r>
      <w:r>
        <w:t>ную аттестацию, уделяется большое внимание грудному вскармливанию детей с момента рождения, обучению матерей уходу за новорожденными, пребыванию матери и ребенка в одной палате и своевременному выявлению отклонений в развитии плода, а также консультационной помощи по вопросам планирования семьи, прерывания беременности и реанимации новорожденных, страдающих врожденными сердечно-сосудистыми заб</w:t>
      </w:r>
      <w:r>
        <w:t>о</w:t>
      </w:r>
      <w:r>
        <w:t xml:space="preserve">леваниями. </w:t>
      </w:r>
    </w:p>
    <w:p w:rsidR="00000000" w:rsidRDefault="00000000">
      <w:r>
        <w:t>554.</w:t>
      </w:r>
      <w:r>
        <w:tab/>
        <w:t>Министерство здравоохранения разработало систему целевых мер по предупреждению и лечению острого токсикоза, например обязало иметь так называемый "красный чемоданчик", то есть аптечку, в которой постоянно содержится полный комплект медикаментов, необходимых в случае возникновения упомянутой патологии. Подо</w:t>
      </w:r>
      <w:r>
        <w:t>б</w:t>
      </w:r>
      <w:r>
        <w:t xml:space="preserve">ные аптечки имеются теперь в каждой больнице. </w:t>
      </w:r>
    </w:p>
    <w:p w:rsidR="00000000" w:rsidRDefault="00000000">
      <w:r>
        <w:t>555.</w:t>
      </w:r>
      <w:r>
        <w:tab/>
        <w:t xml:space="preserve">При участии учреждений здравоохранения и неправительственных организаций были проведены несколько кампаний по расширению охвата населения видами услуг, предоставляемых женщинам в период беременности, родов и в послеродовой период; при этом особое внимание уделялось наблюдению за состоянием женщин с первых месяцев беременности. </w:t>
      </w:r>
    </w:p>
    <w:p w:rsidR="00000000" w:rsidRDefault="00000000">
      <w:r>
        <w:br w:type="page"/>
        <w:t>556.</w:t>
      </w:r>
      <w:r>
        <w:tab/>
        <w:t>Лига охраны здоровья женщин федерального округа, в которую входит ряд общественных и научных орг</w:t>
      </w:r>
      <w:r>
        <w:t>а</w:t>
      </w:r>
      <w:r>
        <w:t>низаций, активизирует свою деятельность, направленную на защиту прав мексиканских женщин в области охраны здоровья. Эта организация борется за повышение качества медицинского обслуживания в сфере охраны репроду</w:t>
      </w:r>
      <w:r>
        <w:t>к</w:t>
      </w:r>
      <w:r>
        <w:t>тивного здоровья и за внесение изменений в законодательство, способствующих дальнейшему утверждению при</w:t>
      </w:r>
      <w:r>
        <w:t>н</w:t>
      </w:r>
      <w:r>
        <w:t>ципов социальной спр</w:t>
      </w:r>
      <w:r>
        <w:t>а</w:t>
      </w:r>
      <w:r>
        <w:t xml:space="preserve">ведливости. </w:t>
      </w:r>
    </w:p>
    <w:p w:rsidR="00000000" w:rsidRDefault="00000000">
      <w:pPr>
        <w:pStyle w:val="Heading3"/>
      </w:pPr>
      <w:r>
        <w:t xml:space="preserve">Кесарево сечение </w:t>
      </w:r>
    </w:p>
    <w:p w:rsidR="00000000" w:rsidRDefault="00000000">
      <w:r>
        <w:t>557.</w:t>
      </w:r>
      <w:r>
        <w:tab/>
        <w:t>Мексиканский комитет в защиту безопасного материнства (КПМСР), в состав которого входят представит</w:t>
      </w:r>
      <w:r>
        <w:t>е</w:t>
      </w:r>
      <w:r>
        <w:t>ли учреждений здравоохранения, неправительственных организаций, государственных комитетов и организаций международного сотрудничества, занят разработкой новых программ по распространению медицинских знаний среди населения, снижению материнской заболеваемости и смертности и обеспечению безопасных родов. Действуя совместно с Министерством здравоохранения, Национальным институтом проблем рождаемости, частными комп</w:t>
      </w:r>
      <w:r>
        <w:t>а</w:t>
      </w:r>
      <w:r>
        <w:t>ниями и международными организациями, КПМСР проводит политику сокращения частоты применения кесарева сечения, предполагающую, в частности, разработку научно обоснованных правил проведения этой операции, вн</w:t>
      </w:r>
      <w:r>
        <w:t>е</w:t>
      </w:r>
      <w:r>
        <w:t xml:space="preserve">дрение принципа наличия обязательного в этом случае заключения двух авторитетных и независимых инстанций для проведения такой операции, создание комиссий по наблюдению за применением кесарева сечения и подготовку квалифицированных медицинских кадров для работы в данной области – на уровне как медицинских факультетов, так и аспирантуры. </w:t>
      </w:r>
    </w:p>
    <w:p w:rsidR="00000000" w:rsidRDefault="00000000">
      <w:pPr>
        <w:spacing w:before="360" w:after="360"/>
        <w:jc w:val="center"/>
        <w:rPr>
          <w:b/>
        </w:rPr>
      </w:pPr>
      <w:r>
        <w:rPr>
          <w:b/>
        </w:rPr>
        <w:t xml:space="preserve">Процентное соотношение зарегистрированных случаев применения </w:t>
      </w:r>
      <w:r>
        <w:rPr>
          <w:b/>
        </w:rPr>
        <w:br/>
        <w:t>кесарева сечения различными учреждениями, 1998 год</w:t>
      </w:r>
    </w:p>
    <w:p w:rsidR="00000000" w:rsidRDefault="00000000">
      <w:pPr>
        <w:jc w:val="center"/>
      </w:pPr>
      <w:r>
        <w:pict>
          <v:shape id="_x0000_i1036" type="#_x0000_t75" style="width:317.25pt;height:167.25pt" fillcolor="window">
            <v:imagedata r:id="rId26" o:title="Graphic-12"/>
          </v:shape>
        </w:pict>
      </w:r>
    </w:p>
    <w:p w:rsidR="00000000" w:rsidRDefault="00000000">
      <w:pPr>
        <w:pStyle w:val="a2"/>
        <w:ind w:left="1701"/>
        <w:rPr>
          <w:lang w:val="en-US"/>
        </w:rPr>
      </w:pPr>
      <w:r>
        <w:t>Источник</w:t>
      </w:r>
      <w:r>
        <w:rPr>
          <w:lang w:val="en-US"/>
        </w:rPr>
        <w:t xml:space="preserve">: SSA, Boletín de información Estadística No. 18 del SNS, 1998. </w:t>
      </w:r>
    </w:p>
    <w:p w:rsidR="00000000" w:rsidRDefault="00000000"/>
    <w:p w:rsidR="00000000" w:rsidRDefault="00000000">
      <w:r>
        <w:t>558.</w:t>
      </w:r>
      <w:r>
        <w:tab/>
        <w:t>ИСССТЭ принял ряд мер по сокращению чрезмерно большого числа случаев применения кесарева сечения. В частности, были разработаны и приняты официальные инструкции, регулирующие хирургическое вмешательство во время родов. Ведется систематический контроль за проведением данного типа операций и претворяется в жизнь комплексное акушерское обследование рожениц, включающее составление графиков т</w:t>
      </w:r>
      <w:r>
        <w:t>е</w:t>
      </w:r>
      <w:r>
        <w:t xml:space="preserve">чения родов. </w:t>
      </w:r>
    </w:p>
    <w:p w:rsidR="00000000" w:rsidRDefault="00000000">
      <w:r>
        <w:t>559.</w:t>
      </w:r>
      <w:r>
        <w:tab/>
        <w:t>Одновременно в рамках программы ИМСС – Солидарность проводятся систематическое ежемесячное обсл</w:t>
      </w:r>
      <w:r>
        <w:t>е</w:t>
      </w:r>
      <w:r>
        <w:t>дование и анализ данных, касающихся применения кесарева сечения, в целях утверждения принципов своевреме</w:t>
      </w:r>
      <w:r>
        <w:t>н</w:t>
      </w:r>
      <w:r>
        <w:t xml:space="preserve">ного и оптимального решения проблем родовспоможения, от чего выиграли бы и мать, и ребенок. </w:t>
      </w:r>
    </w:p>
    <w:p w:rsidR="00000000" w:rsidRDefault="00000000">
      <w:pPr>
        <w:pStyle w:val="Heading3"/>
        <w:spacing w:before="0"/>
      </w:pPr>
      <w:r>
        <w:br w:type="page"/>
        <w:t xml:space="preserve">Аборты </w:t>
      </w:r>
    </w:p>
    <w:p w:rsidR="00000000" w:rsidRDefault="00000000">
      <w:pPr>
        <w:spacing w:after="260"/>
      </w:pPr>
      <w:r>
        <w:t>560.</w:t>
      </w:r>
      <w:r>
        <w:tab/>
        <w:t>Точка зрения правительства Мексики заключается в том, что аборт ни в коем случае не должен рассматр</w:t>
      </w:r>
      <w:r>
        <w:t>и</w:t>
      </w:r>
      <w:r>
        <w:t>ваться как один из инструментов планирования семьи. Эта позиция недвусмысленно заявлена в Национальной пр</w:t>
      </w:r>
      <w:r>
        <w:t>о</w:t>
      </w:r>
      <w:r>
        <w:t>грамме в области народонаселения на 1995–2000 годы, в Программе охраны репродуктивного здоровья и планир</w:t>
      </w:r>
      <w:r>
        <w:t>о</w:t>
      </w:r>
      <w:r>
        <w:t>вания семьи на 1995–2000 годы и в постановлении правительства Мексики о службах планирования семьи (</w:t>
      </w:r>
      <w:r>
        <w:rPr>
          <w:lang w:val="en-US"/>
        </w:rPr>
        <w:t>NOM</w:t>
      </w:r>
      <w:r>
        <w:t xml:space="preserve"> </w:t>
      </w:r>
      <w:r>
        <w:rPr>
          <w:lang w:val="en-US"/>
        </w:rPr>
        <w:t>SSA</w:t>
      </w:r>
      <w:r>
        <w:t>2-1993). В свою очередь, Программа реформирования системы здравоохранения на 1995–2000 годы выдвигает в качестве одной из задач предотвращение незапланированной беременности, равно как и искусственное ее прер</w:t>
      </w:r>
      <w:r>
        <w:t>ы</w:t>
      </w:r>
      <w:r>
        <w:t>вание, путем распространения информации и расширения служб планирования семьи. Одна из целей Программы охраны репродуктивного здоровья также заключается в обеспечении женщинам возможности планируемого, здор</w:t>
      </w:r>
      <w:r>
        <w:t>о</w:t>
      </w:r>
      <w:r>
        <w:t xml:space="preserve">вого и безопасного материнства. </w:t>
      </w:r>
    </w:p>
    <w:p w:rsidR="00000000" w:rsidRDefault="00000000">
      <w:pPr>
        <w:spacing w:after="260"/>
      </w:pPr>
      <w:r>
        <w:t>561.</w:t>
      </w:r>
      <w:r>
        <w:tab/>
        <w:t>С точки зрения учреждений национальной системы здравоохранения, аборт представляет собой одну из весьма распространенных причин заболеваемости и смертности женщин. Выкидыш – и особенно повторный вык</w:t>
      </w:r>
      <w:r>
        <w:t>и</w:t>
      </w:r>
      <w:r>
        <w:t>дыш – также является одной из причин бесплодия, а сложная этиология этого явления ставит перед медицинскими учреждениями задачу более глубокого анализа причин, своевременного диагноза и эффективного лечения. Данное направление деятельности учреждений, участвующих в Программе охраны репродуктивного здоровья, опирается на положения статьи 4 Конституции Мексики, согласно которой любой гражданин имеет право свободно, ответс</w:t>
      </w:r>
      <w:r>
        <w:t>т</w:t>
      </w:r>
      <w:r>
        <w:t xml:space="preserve">венно и на основе всей необходимой информации определять число своих детей и интервалы между их рождением. </w:t>
      </w:r>
    </w:p>
    <w:p w:rsidR="00000000" w:rsidRDefault="00000000">
      <w:pPr>
        <w:spacing w:after="260"/>
      </w:pPr>
      <w:r>
        <w:t>562.</w:t>
      </w:r>
      <w:r>
        <w:tab/>
        <w:t>Правительство Мексики считает, что искусственное прерывание родов представляет собой серьезную пр</w:t>
      </w:r>
      <w:r>
        <w:t>о</w:t>
      </w:r>
      <w:r>
        <w:t>блему, которую должны решать учреждения здравоохранения, уже в силу того, что занимает четвертое место ср</w:t>
      </w:r>
      <w:r>
        <w:t>е</w:t>
      </w:r>
      <w:r>
        <w:t>ди причин женской смертности и вызывает многочисленные осложнения, такие как прободение матки, кровотеч</w:t>
      </w:r>
      <w:r>
        <w:t>е</w:t>
      </w:r>
      <w:r>
        <w:t>ния и инфекции, подрывающие здоровье женщины, а зачастую и бесплодие. Кроме того, аборт часто имеет псих</w:t>
      </w:r>
      <w:r>
        <w:t>о</w:t>
      </w:r>
      <w:r>
        <w:t xml:space="preserve">логические последствия, к числу которых относятся депрессии, тревожные состояния и невротические страхи. </w:t>
      </w:r>
    </w:p>
    <w:p w:rsidR="00000000" w:rsidRDefault="00000000">
      <w:pPr>
        <w:spacing w:after="260"/>
      </w:pPr>
      <w:r>
        <w:t>563.</w:t>
      </w:r>
      <w:r>
        <w:tab/>
        <w:t>Основные направления деятельности, с помощью которых службы здравоохранения стремятся решить пр</w:t>
      </w:r>
      <w:r>
        <w:t>о</w:t>
      </w:r>
      <w:r>
        <w:t xml:space="preserve">блему абортов, следующие: </w:t>
      </w:r>
    </w:p>
    <w:p w:rsidR="00000000" w:rsidRDefault="00000000">
      <w:pPr>
        <w:tabs>
          <w:tab w:val="left" w:pos="284"/>
        </w:tabs>
        <w:spacing w:after="260"/>
        <w:ind w:left="567" w:hanging="567"/>
      </w:pPr>
      <w:r>
        <w:tab/>
      </w:r>
      <w:r>
        <w:sym w:font="Symbol" w:char="F0B7"/>
      </w:r>
      <w:r>
        <w:tab/>
      </w:r>
      <w:r>
        <w:rPr>
          <w:b/>
        </w:rPr>
        <w:t>Профилактика.</w:t>
      </w:r>
      <w:r>
        <w:t xml:space="preserve"> Предотвращение абортов возможно прежде всего путем предотвращения нежелательной беременности, что достигается повышением информированности населения, а также расширением сети учрежд</w:t>
      </w:r>
      <w:r>
        <w:t>е</w:t>
      </w:r>
      <w:r>
        <w:t>ний и повышением качества услуг в области планирования семьи. Государственной системой здравоохранения Мексики расширен набор предлагаемых населению методов контрацепции с учетом положения, возраста и потре</w:t>
      </w:r>
      <w:r>
        <w:t>б</w:t>
      </w:r>
      <w:r>
        <w:t>ностей каждой су</w:t>
      </w:r>
      <w:r>
        <w:t>п</w:t>
      </w:r>
      <w:r>
        <w:t xml:space="preserve">ружеской пары. </w:t>
      </w:r>
    </w:p>
    <w:p w:rsidR="00000000" w:rsidRDefault="00000000">
      <w:pPr>
        <w:tabs>
          <w:tab w:val="left" w:pos="284"/>
        </w:tabs>
        <w:spacing w:after="260"/>
        <w:ind w:left="567" w:hanging="567"/>
      </w:pPr>
      <w:r>
        <w:tab/>
      </w:r>
      <w:r>
        <w:sym w:font="Symbol" w:char="F0B7"/>
      </w:r>
      <w:r>
        <w:tab/>
      </w:r>
      <w:r>
        <w:rPr>
          <w:b/>
        </w:rPr>
        <w:t>Качественное медицинское обслуживание женщин в случаях неполного или осложненного аборта.</w:t>
      </w:r>
      <w:r>
        <w:t xml:space="preserve"> При р</w:t>
      </w:r>
      <w:r>
        <w:t>о</w:t>
      </w:r>
      <w:r>
        <w:t>дильных отделениях медицинских учреждений созданы курсы подготовки персонала к использованию метода внутриматочной аспирации, который может быть часто и с успехом использован вместо традиционного операти</w:t>
      </w:r>
      <w:r>
        <w:t>в</w:t>
      </w:r>
      <w:r>
        <w:t>ного вмешательства. Одновременно медицинскому персоналу преподаются уроки гуманного обращения с женщ</w:t>
      </w:r>
      <w:r>
        <w:t>и</w:t>
      </w:r>
      <w:r>
        <w:t xml:space="preserve">нами, имеющими какую-либо патологию беременности, а также пострадавшими от неполного или осложненного аборта. </w:t>
      </w:r>
    </w:p>
    <w:p w:rsidR="00000000" w:rsidRDefault="00000000">
      <w:pPr>
        <w:tabs>
          <w:tab w:val="left" w:pos="284"/>
        </w:tabs>
        <w:spacing w:after="260"/>
        <w:ind w:left="567" w:hanging="567"/>
      </w:pPr>
      <w:r>
        <w:tab/>
      </w:r>
      <w:r>
        <w:sym w:font="Symbol" w:char="F0B7"/>
      </w:r>
      <w:r>
        <w:tab/>
      </w:r>
      <w:r>
        <w:rPr>
          <w:b/>
        </w:rPr>
        <w:t>Консультации.</w:t>
      </w:r>
      <w:r>
        <w:t xml:space="preserve"> Персонал медицинских учреждений прошел специальную подготовку, с тем чтобы оказ</w:t>
      </w:r>
      <w:r>
        <w:t>ы</w:t>
      </w:r>
      <w:r>
        <w:t>вать консультационную помощь женщинам, которые были вынуждены пойти на операцию аборта, с тем чтобы преподать им основы знаний в области охраны материнства, разъяснить преимущества применения противозач</w:t>
      </w:r>
      <w:r>
        <w:t>а</w:t>
      </w:r>
      <w:r>
        <w:t>точных средств в период после аборта и дать им возможность избежать повторных операций такого рода. Мед</w:t>
      </w:r>
      <w:r>
        <w:t>и</w:t>
      </w:r>
      <w:r>
        <w:t>цинский персонал обязан проводить подобные консультации в духе абсолютного уважения к достоинству женщ</w:t>
      </w:r>
      <w:r>
        <w:t>и</w:t>
      </w:r>
      <w:r>
        <w:t xml:space="preserve">ны и признания ее права свободного выбора. </w:t>
      </w:r>
    </w:p>
    <w:p w:rsidR="00000000" w:rsidRDefault="00000000">
      <w:pPr>
        <w:tabs>
          <w:tab w:val="left" w:pos="284"/>
        </w:tabs>
        <w:spacing w:after="260"/>
        <w:ind w:left="567" w:hanging="567"/>
      </w:pPr>
      <w:r>
        <w:tab/>
      </w:r>
      <w:r>
        <w:sym w:font="Symbol" w:char="F0B7"/>
      </w:r>
      <w:r>
        <w:tab/>
      </w:r>
      <w:r>
        <w:rPr>
          <w:b/>
        </w:rPr>
        <w:t>Экстренная контрацепция.</w:t>
      </w:r>
      <w:r>
        <w:t xml:space="preserve"> Недавно Всемирной организацией здравоохранения был разработан метод пр</w:t>
      </w:r>
      <w:r>
        <w:t>и</w:t>
      </w:r>
      <w:r>
        <w:t>менения экстренной контрацепции в целях предотвращения нежелательной беременности и неизбежного аборта. Суть метода заключается в применении определенного средства до того, как произошло оплодотворение яйцекле</w:t>
      </w:r>
      <w:r>
        <w:t>т</w:t>
      </w:r>
      <w:r>
        <w:t>ки, то есть до наступления беременности. В настоящее время подкомитет по разработке нормативов профилактики и лечения болезней пересматривает свои предложения, с тем чтобы добиться включения этого метода в мексика</w:t>
      </w:r>
      <w:r>
        <w:t>н</w:t>
      </w:r>
      <w:r>
        <w:t>ские государственные нормативы, предусмотренные для служб планирования с</w:t>
      </w:r>
      <w:r>
        <w:t>е</w:t>
      </w:r>
      <w:r>
        <w:t xml:space="preserve">мьи. </w:t>
      </w:r>
    </w:p>
    <w:p w:rsidR="00000000" w:rsidRDefault="00000000">
      <w:pPr>
        <w:tabs>
          <w:tab w:val="left" w:pos="284"/>
        </w:tabs>
        <w:spacing w:after="260"/>
        <w:ind w:left="567" w:hanging="567"/>
      </w:pPr>
      <w:r>
        <w:tab/>
      </w:r>
      <w:r>
        <w:sym w:font="Symbol" w:char="F0B7"/>
      </w:r>
      <w:r>
        <w:tab/>
      </w:r>
      <w:r>
        <w:rPr>
          <w:b/>
        </w:rPr>
        <w:t>Прерывание беременности в случаях, разрешенных законом.</w:t>
      </w:r>
      <w:r>
        <w:t xml:space="preserve"> Министерство здравоохранения приступило к подготовке медицинского персонала и установке оборудования, отвечающего требованиям современной медицины, с тем чтобы обеспечить возможность прерывания беременности в случаях, предусмотренных законом, то есть с</w:t>
      </w:r>
      <w:r>
        <w:t>о</w:t>
      </w:r>
      <w:r>
        <w:t>гласно либо постановлению суда (если беременность наступила в результате изнасилования), либо медицинским показаниям. Мексика в лице двух своих представителей – от Министерства здравоохранения и от общественных организаций – приняла участие в консультациях для специалистов, проведенных отделом репродуктивного здор</w:t>
      </w:r>
      <w:r>
        <w:t>о</w:t>
      </w:r>
      <w:r>
        <w:t>вья и исследований Всемирной организации здравоохранения 18–22 сентября 2000 года, в ходе которых были в</w:t>
      </w:r>
      <w:r>
        <w:t>ы</w:t>
      </w:r>
      <w:r>
        <w:t>работаны технические нормы проведения подобных операций. Указанные нормы будут опубликованы на всех официальных языках Организации Объединенных Наций в конце ноября. Правительство Мексики намерено пр</w:t>
      </w:r>
      <w:r>
        <w:t>и</w:t>
      </w:r>
      <w:r>
        <w:t xml:space="preserve">слушиваться к рекомендациям в данной области, с тем чтобы выполнить обязательства, взятые в ходе двадцать первой специальной сессии Генеральной Ассамблеи Организации Объединенных Наций ("Каир+5"), состоявшейся в Нью-Йорке в 1999 году. </w:t>
      </w:r>
    </w:p>
    <w:p w:rsidR="00000000" w:rsidRDefault="00000000">
      <w:pPr>
        <w:tabs>
          <w:tab w:val="left" w:pos="284"/>
        </w:tabs>
        <w:spacing w:after="260"/>
        <w:ind w:left="567" w:hanging="567"/>
      </w:pPr>
      <w:r>
        <w:tab/>
      </w:r>
      <w:r>
        <w:sym w:font="Symbol" w:char="F0B7"/>
      </w:r>
      <w:r>
        <w:tab/>
      </w:r>
      <w:r>
        <w:rPr>
          <w:b/>
        </w:rPr>
        <w:t>Статистика абортов.</w:t>
      </w:r>
      <w:r>
        <w:t xml:space="preserve"> Точных статистических данных об абортах, а также о последовавших за ними осло</w:t>
      </w:r>
      <w:r>
        <w:t>ж</w:t>
      </w:r>
      <w:r>
        <w:t>нениях, в том числе с летальным исходом, в Мексике установить невозможно, поскольку большое число абортов проводится подпольно. Министерство здравоохранения располагает лишь сведениями о расходах государственных больниц, связанных с проведением абортов, предотвращением выкидышей и лечением их последствий, а также о численности смертельных исходов по причине осложнений, возникших после аборта. По данным Главного упра</w:t>
      </w:r>
      <w:r>
        <w:t>в</w:t>
      </w:r>
      <w:r>
        <w:t xml:space="preserve">ления статистики и информации Министерства здравоохранения, ежегодно в государственные больницы Мексики поступает 145 тыс. пациенток с диагнозом "выкидыш" или "угроза выкидыша", а также с осложнениями после аборта. На долю пациенток с диагнозом "непроизвольный выкидыш" приходится, по разным оценкам, от 20 до </w:t>
      </w:r>
      <w:r>
        <w:br/>
        <w:t>45 процентов указанного общего числа больных. По мнению сотрудников генерального секретариата Национального совета по народонаселению, если к указанной цифре добавить тех женщин, которые обращаются в частные кл</w:t>
      </w:r>
      <w:r>
        <w:t>и</w:t>
      </w:r>
      <w:r>
        <w:t>ники, а также женщин, не обращающихся в больницу, то общее число случаев выкидышей и абортов составит от 220 тыс. до 240 тыс. ежегодно. Согласно другим источникам, в частности по данным общественных организаций, р</w:t>
      </w:r>
      <w:r>
        <w:t>е</w:t>
      </w:r>
      <w:r>
        <w:t>альное количество подобных случ</w:t>
      </w:r>
      <w:r>
        <w:t>а</w:t>
      </w:r>
      <w:r>
        <w:t xml:space="preserve">ев еще больше. </w:t>
      </w:r>
    </w:p>
    <w:p w:rsidR="00000000" w:rsidRDefault="00000000">
      <w:pPr>
        <w:tabs>
          <w:tab w:val="left" w:pos="284"/>
        </w:tabs>
        <w:spacing w:after="260"/>
        <w:ind w:left="567" w:hanging="567"/>
      </w:pPr>
      <w:r>
        <w:tab/>
      </w:r>
      <w:r>
        <w:sym w:font="Symbol" w:char="F0B7"/>
      </w:r>
      <w:r>
        <w:tab/>
      </w:r>
      <w:r>
        <w:rPr>
          <w:b/>
        </w:rPr>
        <w:t>Статистика женской смертности от последствий аборта.</w:t>
      </w:r>
      <w:r>
        <w:t xml:space="preserve"> По нашим оценкам, ежегодно около </w:t>
      </w:r>
      <w:r>
        <w:br/>
        <w:t>100 женщин умирают вследствие вызванных абортом осложнений. Возможно, однако, эта цифра занижена, поскольку в ряде случаев в свидетельстве о смерти в качестве ее причины указываются кровотечения гинекологического происхо</w:t>
      </w:r>
      <w:r>
        <w:t>ж</w:t>
      </w:r>
      <w:r>
        <w:t>дения или заболевания, вызванные з</w:t>
      </w:r>
      <w:r>
        <w:t>а</w:t>
      </w:r>
      <w:r>
        <w:t xml:space="preserve">несенной инфекцией. </w:t>
      </w:r>
    </w:p>
    <w:p w:rsidR="00000000" w:rsidRDefault="00000000">
      <w:pPr>
        <w:pStyle w:val="Heading3"/>
        <w:spacing w:after="260"/>
      </w:pPr>
      <w:r>
        <w:t xml:space="preserve">Планирование семьи </w:t>
      </w:r>
    </w:p>
    <w:p w:rsidR="00000000" w:rsidRDefault="00000000">
      <w:pPr>
        <w:spacing w:after="260"/>
      </w:pPr>
      <w:r>
        <w:t>564.</w:t>
      </w:r>
      <w:r>
        <w:tab/>
        <w:t>Быстрое изменение демографической ситуации, проявившееся, в частности, в резком снижении уровня ро</w:t>
      </w:r>
      <w:r>
        <w:t>ж</w:t>
      </w:r>
      <w:r>
        <w:t>даемости в последние три десятилетия, нашло свое отражение и в представлениях и предпочтениях мексиканских супружеских пар, что, в свою очередь, создало благоприятную почву для работы служб планирования семьи и о</w:t>
      </w:r>
      <w:r>
        <w:t>х</w:t>
      </w:r>
      <w:r>
        <w:t xml:space="preserve">раны репродуктивного здоровья женщин. </w:t>
      </w:r>
    </w:p>
    <w:p w:rsidR="00000000" w:rsidRDefault="00000000">
      <w:pPr>
        <w:spacing w:after="260"/>
      </w:pPr>
      <w:r>
        <w:t>565.</w:t>
      </w:r>
      <w:r>
        <w:tab/>
        <w:t>Одним из  необходимых условий осуществления права каждого человека решать, сколько детей он должен иметь и когда, является его информированность о средствах регулирования рождаемости и о том, где и как их п</w:t>
      </w:r>
      <w:r>
        <w:t>о</w:t>
      </w:r>
      <w:r>
        <w:t>лучить. Кроме того, человек должен знать, какие конкретно средства ему подходят и где их получить, уметь пол</w:t>
      </w:r>
      <w:r>
        <w:t>ь</w:t>
      </w:r>
      <w:r>
        <w:t>зоваться ими с гарантированным успехом и без угрозы для здоровья. Кстати, следует отметить, что, по име</w:t>
      </w:r>
      <w:r>
        <w:t>ю</w:t>
      </w:r>
      <w:r>
        <w:t xml:space="preserve">щимся данным, около 97 процентов мексиканских женщин фертильного возраста знакомы, по крайней мере, с одним способом предотвращения нежелательной беременности; при этом непрерывно растет число лиц, обращающихся со своими проблемами в службы планирования семьи. </w:t>
      </w:r>
    </w:p>
    <w:p w:rsidR="00000000" w:rsidRDefault="00000000">
      <w:pPr>
        <w:spacing w:after="260"/>
      </w:pPr>
      <w:r>
        <w:t>566.</w:t>
      </w:r>
      <w:r>
        <w:tab/>
        <w:t>Применение методов контрацепции женщинами фертильного возраста значительно выросло за последние годы. Процесс этот начался в 70-е годы, когда было инициировано осуществление государственных программ пл</w:t>
      </w:r>
      <w:r>
        <w:t>а</w:t>
      </w:r>
      <w:r>
        <w:t xml:space="preserve">нирования семьи: число женщин, пользовавшихся противозачаточными средствами, росло ежегодно в среднем на 3 процента в период 1976–1982 годов. В последующем пятилетии рост замедлился до </w:t>
      </w:r>
      <w:r>
        <w:br/>
        <w:t>1 процента в год; затем, в период с 1987 по 1992, год произошло новое ускорение – ежегодный прирост этого показателя составил 2 процента. Нак</w:t>
      </w:r>
      <w:r>
        <w:t>о</w:t>
      </w:r>
      <w:r>
        <w:t>нец, в период 1992–1997 годов, когда информированность населения о методах контрацепции приблизилась к ма</w:t>
      </w:r>
      <w:r>
        <w:t>к</w:t>
      </w:r>
      <w:r>
        <w:t xml:space="preserve">симальной, рост указанного показателя составлял в среднем </w:t>
      </w:r>
      <w:r>
        <w:br/>
        <w:t xml:space="preserve">1 процент в год. </w:t>
      </w:r>
    </w:p>
    <w:p w:rsidR="00000000" w:rsidRDefault="00000000">
      <w:pPr>
        <w:spacing w:after="260"/>
      </w:pPr>
      <w:r>
        <w:t>567.</w:t>
      </w:r>
      <w:r>
        <w:tab/>
        <w:t>Несмотря на то что информация о планировании семьи доступна всем слоям населения, остается весьма а</w:t>
      </w:r>
      <w:r>
        <w:t>к</w:t>
      </w:r>
      <w:r>
        <w:t>туальной задача преодоления косности, характерной для восприятия данного вопроса малообеспеченными слоями населения. Первыми проводниками политики планирования семьи в Мексике были женщины с высоким уровнем образования: в 1976 году каждая вторая женщина со средним и более высоким уровнем образования применяла то или иное средство регулирования деторождения. Женщины с законченным начальным образованием достигли эт</w:t>
      </w:r>
      <w:r>
        <w:t>о</w:t>
      </w:r>
      <w:r>
        <w:t>го показателя шестью годами позже; женщины с незаконченным начальным – пятнадцатью годами позже; а женщ</w:t>
      </w:r>
      <w:r>
        <w:t>и</w:t>
      </w:r>
      <w:r>
        <w:t>ны без образования не вышли на этот уровень и в настоящее время. Тем не менее разрыв между категориями же</w:t>
      </w:r>
      <w:r>
        <w:t>н</w:t>
      </w:r>
      <w:r>
        <w:t xml:space="preserve">щин разного уровня образования сократился с 46 пунктов в 1987 году до 27 пунктов в 1997 году. </w:t>
      </w:r>
    </w:p>
    <w:p w:rsidR="00000000" w:rsidRDefault="00000000">
      <w:pPr>
        <w:spacing w:after="260"/>
      </w:pPr>
      <w:r>
        <w:t>568.</w:t>
      </w:r>
      <w:r>
        <w:tab/>
        <w:t>Одной из групп населения, наиболее отсталых в плане использования противозачаточных средств, являются девушки в возрасте 15–19 лет. При том что и в этой группе отмечается значительный прогресс – доля пользующихся прот</w:t>
      </w:r>
      <w:r>
        <w:t>и</w:t>
      </w:r>
      <w:r>
        <w:t>возачаточными средствами выросла здесь с 30,2 процента в 1987 году до 44,9 процента в 1997 году, – все же в этой группе женщин зарегистрирован один из самых низких уровней применения указанных средств. Еще ниже этот уровень в группе бездетных женщин – менее четверти их пользуются контрацептивами. Следует, однако, отметить, что разрыв между этими группами и теми группами, где отмечены наиболее высокие показатели, сокращается: если в 1976 году наиболее высокие показатели превосходили самые низкие в 6 раз, то в 1987 году это соотношение с</w:t>
      </w:r>
      <w:r>
        <w:t>о</w:t>
      </w:r>
      <w:r>
        <w:t>ставляло уже 4,4, а в 1997 году – 3,4. Приведенные цифры свидетельствуют о том, что одна из типичных для ме</w:t>
      </w:r>
      <w:r>
        <w:t>к</w:t>
      </w:r>
      <w:r>
        <w:t>сиканской культуры моделей поведения – раннее материнство – также начинает изменят</w:t>
      </w:r>
      <w:r>
        <w:t>ь</w:t>
      </w:r>
      <w:r>
        <w:t xml:space="preserve">ся. </w:t>
      </w:r>
    </w:p>
    <w:p w:rsidR="00000000" w:rsidRDefault="00000000">
      <w:pPr>
        <w:spacing w:after="260"/>
      </w:pPr>
      <w:r>
        <w:t>569.</w:t>
      </w:r>
      <w:r>
        <w:tab/>
        <w:t>По имеющимся данным, доля женщин, применяющих противозачаточные средства, по отношению ко всему женскому населению выросла с 30 процентов в 1976 году до 63,1 процента в 1992 году, а затем уже составляла 66,5 и 68,5 процента в 1995 и 1997 годах, соответственно. Самые последние оценки показывают, что задача, поставле</w:t>
      </w:r>
      <w:r>
        <w:t>н</w:t>
      </w:r>
      <w:r>
        <w:t xml:space="preserve">ная Национальной программой в области народонаселения (ПНП), – достичь в 2000 году такого уровня применения противозачаточных средств, чтобы доля пользующихся ими составила 70,2 процента женского населения страны, – была выполнена и даже несколько перевыполнена. </w:t>
      </w:r>
    </w:p>
    <w:p w:rsidR="00000000" w:rsidRDefault="00000000">
      <w:pPr>
        <w:spacing w:after="260"/>
      </w:pPr>
      <w:r>
        <w:t>570.</w:t>
      </w:r>
      <w:r>
        <w:tab/>
        <w:t>Согласно оценкам КОНАПО, в настоящее время доля женщин, использующих противозачаточные средс</w:t>
      </w:r>
      <w:r>
        <w:t>т</w:t>
      </w:r>
      <w:r>
        <w:t>ва, составляет 70,8 процента женского населения страны. Число замужних женщин, использующих эти средства, выросло с 9,2 млн. в 1994 году до 11,3 млн. в 2000 году, в то время как общее число применяющих такие средства, состоящих и не состоящих в браке, выросло с 9,8 до 12,4 млн. за тот же период</w:t>
      </w:r>
      <w:r>
        <w:rPr>
          <w:vertAlign w:val="superscript"/>
        </w:rPr>
        <w:footnoteReference w:id="5"/>
      </w:r>
      <w:r>
        <w:t>. Одновременно и в тесной связи с только приведенными фактами удалось выполнить поставленную ранее задачу свести годовой естественный пр</w:t>
      </w:r>
      <w:r>
        <w:t>и</w:t>
      </w:r>
      <w:r>
        <w:t>рост населения к уровню 1,74 процента в 2000 году. Приведенная оценка подтверждается недавно опубликованн</w:t>
      </w:r>
      <w:r>
        <w:t>ы</w:t>
      </w:r>
      <w:r>
        <w:t>ми предварительными результатами переписи населения и жилого фонда, проведенной в 2000 году. Данные пер</w:t>
      </w:r>
      <w:r>
        <w:t>е</w:t>
      </w:r>
      <w:r>
        <w:t>писи свидетельствуют, что показатели прироста населения в период 1995–2000 годов были на уровне, установле</w:t>
      </w:r>
      <w:r>
        <w:t>н</w:t>
      </w:r>
      <w:r>
        <w:t>ном Национальным советом по народонас</w:t>
      </w:r>
      <w:r>
        <w:t>е</w:t>
      </w:r>
      <w:r>
        <w:t xml:space="preserve">лению, или даже несколько ниже этого уровня. </w:t>
      </w:r>
    </w:p>
    <w:p w:rsidR="00000000" w:rsidRDefault="00000000">
      <w:pPr>
        <w:spacing w:after="260"/>
      </w:pPr>
      <w:r>
        <w:t>571.</w:t>
      </w:r>
      <w:r>
        <w:tab/>
        <w:t>Для того чтобы выполнить задачи, поставленные Национальной программой в области народонаселения, потребовалось активизировать политику планирования семьи, с тем чтобы достичь уровня 70 процентов (доля г</w:t>
      </w:r>
      <w:r>
        <w:t>о</w:t>
      </w:r>
      <w:r>
        <w:t>родских женщин, состоящих в браке и пользующихся противозачаточными средствами, в то время как доля сел</w:t>
      </w:r>
      <w:r>
        <w:t>ь</w:t>
      </w:r>
      <w:r>
        <w:t xml:space="preserve">ских женщин, применяющих противозачаточные средства, составила в 2000 году чуть больше </w:t>
      </w:r>
      <w:r>
        <w:br/>
        <w:t>57 процентов). Результаты п</w:t>
      </w:r>
      <w:r>
        <w:t>о</w:t>
      </w:r>
      <w:r>
        <w:t>следнего национального опроса (ЭНАДИД, 1997 год) свидетельствуют, что в период 1992–1997 годов доля же</w:t>
      </w:r>
      <w:r>
        <w:t>н</w:t>
      </w:r>
      <w:r>
        <w:t>щин, использующих противозачаточные средства, в социальной группе женщин фертильного возраста, прожива</w:t>
      </w:r>
      <w:r>
        <w:t>ю</w:t>
      </w:r>
      <w:r>
        <w:t xml:space="preserve">щих в городах и состоящих в браке, увеличилась с 70,1 до </w:t>
      </w:r>
      <w:r>
        <w:br/>
        <w:t>73,3 процента, а среди женщин, проживающих в сел</w:t>
      </w:r>
      <w:r>
        <w:t>ь</w:t>
      </w:r>
      <w:r>
        <w:t>ской местности, с 44,6 до 53,6 процента. Кроме того, данные обследования репродуктивного здоровья, проведенн</w:t>
      </w:r>
      <w:r>
        <w:t>о</w:t>
      </w:r>
      <w:r>
        <w:t>го совместно сотрудниками КОНАПО и ИМСС – Солидарность в начале 1999 года, дают основание заключить, что 56,6 процента женщин фертильного возраста, проживавших в населенных пунктах, входящих в зону действия пр</w:t>
      </w:r>
      <w:r>
        <w:t>о</w:t>
      </w:r>
      <w:r>
        <w:t>граммы ИМСС – Солидарность, пользовались каким-либо из методов контрацепции. Следует отметить, что указа</w:t>
      </w:r>
      <w:r>
        <w:t>н</w:t>
      </w:r>
      <w:r>
        <w:t xml:space="preserve">ная программа проводится в жизнь в 17 субъектах Федерации, и причем в тех, где налицо наиболее явные признаки бедности и социальной незащищенности населения. </w:t>
      </w:r>
    </w:p>
    <w:p w:rsidR="00000000" w:rsidRDefault="00000000">
      <w:pPr>
        <w:spacing w:after="260"/>
      </w:pPr>
      <w:r>
        <w:t>572.</w:t>
      </w:r>
      <w:r>
        <w:tab/>
        <w:t>Деятельность государственных учреждений здравоохранения позволила расширить доступ населения и п</w:t>
      </w:r>
      <w:r>
        <w:t>о</w:t>
      </w:r>
      <w:r>
        <w:t>высить качество услуг в области планирования семьи в масштабах всей страны. В 1979 году процентные доли женщин, обращавшихся за услугами подобного рода в аптеки и консультации государственного и частного секторов, были примерно равными. В 1992 году процент женщин, обращавшихся с данной целью в учреждения государс</w:t>
      </w:r>
      <w:r>
        <w:t>т</w:t>
      </w:r>
      <w:r>
        <w:t>венного сектора, составлял уже 66,6, а в 1997 году 72,5 процента. В абсолютных цифрах рост спроса на данные у</w:t>
      </w:r>
      <w:r>
        <w:t>с</w:t>
      </w:r>
      <w:r>
        <w:t>луги привел к тому, что национальная система здравоохранения вынуждена была увеличить объем предоставля</w:t>
      </w:r>
      <w:r>
        <w:t>е</w:t>
      </w:r>
      <w:r>
        <w:t xml:space="preserve">мых услуг в этой области почти в 7 раз за последние 18 лет. </w:t>
      </w:r>
    </w:p>
    <w:p w:rsidR="00000000" w:rsidRDefault="00000000">
      <w:pPr>
        <w:spacing w:after="260"/>
      </w:pPr>
      <w:r>
        <w:t>573.</w:t>
      </w:r>
      <w:r>
        <w:tab/>
        <w:t xml:space="preserve">Показатели использования противозачаточных средств, равно как и показатели рождаемости и смертности, резко меняются от штата к штату, хотя  и здесь можно наблюдать тенденцию к постепенному выравниванию. В связи с этим следует отметить, что на протяжении 90-х годов в стране в целом отмечался значительный рост доли женщин фертильного возраста, состоящих в браке и пользовавшихся контрацептивами в целях ограничения числа детей и регулирования интервалов между их рождением. </w:t>
      </w:r>
    </w:p>
    <w:p w:rsidR="00000000" w:rsidRDefault="00000000">
      <w:pPr>
        <w:spacing w:after="260"/>
      </w:pPr>
      <w:r>
        <w:t>574.</w:t>
      </w:r>
      <w:r>
        <w:tab/>
        <w:t xml:space="preserve">По оценкам, самый низкий уровень использования контрацепции характерен для штата Герреро </w:t>
      </w:r>
      <w:r>
        <w:br/>
        <w:t>(52 процента в 2000 году), тогда как самый высокий уровень отмечен в Синалоа и Нижней Калифорнии Южной (79 и 78,3 процента в 2000 году, соответственно). По прогнозам КОНАПО, в текущем году 21 субъект Федерации до</w:t>
      </w:r>
      <w:r>
        <w:t>с</w:t>
      </w:r>
      <w:r>
        <w:t>тигнет или превзойдет уровень, выдвинутый ПНП в качестве задачи на этот год (70,2 процента); еще в шести субъектах будет достигнут уровень 64–70 процентов; однако в пяти субъектах (штаты Чьяпас, Гуанахуато, Герреро, Оахака и и Пуэбла) данный показатель для женщин фертильного возраста, состоящих в браке, останется ниже 64 пр</w:t>
      </w:r>
      <w:r>
        <w:t>о</w:t>
      </w:r>
      <w:r>
        <w:t xml:space="preserve">центов. </w:t>
      </w:r>
    </w:p>
    <w:p w:rsidR="00000000" w:rsidRDefault="00000000">
      <w:pPr>
        <w:spacing w:after="260"/>
      </w:pPr>
      <w:r>
        <w:t>575.</w:t>
      </w:r>
      <w:r>
        <w:tab/>
        <w:t>Неудовлетворенный спрос на противозачаточные средства (то есть наличие женщин, способных заберем</w:t>
      </w:r>
      <w:r>
        <w:t>е</w:t>
      </w:r>
      <w:r>
        <w:t>неть и высказывающих желание ограничить число детей и увеличить интервалы между их рождением, но при этом не применяющих ни одного вида контрацепции) – это наиболее достоверное свидетельство отставания страны в да</w:t>
      </w:r>
      <w:r>
        <w:t>н</w:t>
      </w:r>
      <w:r>
        <w:t>ной области и одновременно свидетельство недостаточной доступности данных средств и не слишком высокого качества предоставляемых в этой сфере услуг. Неудовлетворенный спрос понизился в масштабах всей страны с 25,1 процента всех женщин фертильного возраста, состоящих в браке, в 1987 году до 16,1 процента в 1995 году и с 12,1 процента в той же группе в 1997 году до примерно 10 процентов в настоящее вр</w:t>
      </w:r>
      <w:r>
        <w:t>е</w:t>
      </w:r>
      <w:r>
        <w:t xml:space="preserve">мя. </w:t>
      </w:r>
    </w:p>
    <w:p w:rsidR="00000000" w:rsidRDefault="00000000">
      <w:pPr>
        <w:spacing w:after="260"/>
      </w:pPr>
      <w:r>
        <w:t>576.</w:t>
      </w:r>
      <w:r>
        <w:tab/>
        <w:t>Неудовлетворенный спрос остается на очень высоком уровне в тех социальных группах и районах страны, которые имеют наиболее ограниченный доступ к благам экономического и социального развития. Среди женщин, не получивших образования и проживающих в сельской местности (в населенных пунктах, имеющих менее 2500 жителей), этот показатель составляет примерно 22 процента; при этом в подгруппе девушек 15–19 лет он достигает 26,7 процента. Одновременно заметны существенные различия по данному показателю между различными субъе</w:t>
      </w:r>
      <w:r>
        <w:t>к</w:t>
      </w:r>
      <w:r>
        <w:t>тами Федерации. Так, для штата Герреро  характерен наиболее высокий неудовлетворенный спрос, примерно ра</w:t>
      </w:r>
      <w:r>
        <w:t>в</w:t>
      </w:r>
      <w:r>
        <w:t>ный показателю, зарегистрированному в качестве среднего по стране в 1987 году, а наилучшие показатели отмеч</w:t>
      </w:r>
      <w:r>
        <w:t>е</w:t>
      </w:r>
      <w:r>
        <w:t xml:space="preserve">ны в штате Нуэво-Леон, где неудовлетворенный спрос более чем в </w:t>
      </w:r>
      <w:r>
        <w:br/>
        <w:t>2 раза ниже, чем в сре</w:t>
      </w:r>
      <w:r>
        <w:t>д</w:t>
      </w:r>
      <w:r>
        <w:t xml:space="preserve">нем по стране. </w:t>
      </w:r>
    </w:p>
    <w:p w:rsidR="00000000" w:rsidRDefault="00000000">
      <w:pPr>
        <w:spacing w:after="260"/>
      </w:pPr>
      <w:r>
        <w:t>577.</w:t>
      </w:r>
      <w:r>
        <w:tab/>
        <w:t>Охват населения акушерскими службами, занимающимися прерыванием беременности (находящимися в ведении ССА, ИМСС и ИСССТЭ) при наличии добровольного и осознанного согласия женщины, достигает в сре</w:t>
      </w:r>
      <w:r>
        <w:t>д</w:t>
      </w:r>
      <w:r>
        <w:t>нем 55 процентов. Участие мужчин в планировании семьи проявилось, в частности, в том, что в текущем году вс</w:t>
      </w:r>
      <w:r>
        <w:t>е</w:t>
      </w:r>
      <w:r>
        <w:t xml:space="preserve">ми учреждениями национальной системы здравоохранения было сделано около 30 тыс. операций вазэктомии. За последнее десятилетие число подобных операций в рамках той же системы составило 275 тыс. </w:t>
      </w:r>
    </w:p>
    <w:p w:rsidR="00000000" w:rsidRDefault="00000000">
      <w:pPr>
        <w:spacing w:after="260"/>
      </w:pPr>
      <w:r>
        <w:t>578.</w:t>
      </w:r>
      <w:r>
        <w:tab/>
        <w:t>В результате всех описанных усилий уровень рождаемости в стране снизился. В настоящий момент этот п</w:t>
      </w:r>
      <w:r>
        <w:t>о</w:t>
      </w:r>
      <w:r>
        <w:t>казатель находится на уровне 2,4 рождения на одну женщину, тогда как в 1997 году он был равен 2,7. При этом снижение рождаемости происходило неравномерно, изменяясь от региона к региону, от одной социальной и этн</w:t>
      </w:r>
      <w:r>
        <w:t>и</w:t>
      </w:r>
      <w:r>
        <w:t>ческой группы населения к другой. В значительной степени этот процесс стал возможен благодаря постепенному расширению охвата насел</w:t>
      </w:r>
      <w:r>
        <w:t>е</w:t>
      </w:r>
      <w:r>
        <w:t xml:space="preserve">ния программами охраны репродуктивного здоровья и планирования семьи. </w:t>
      </w:r>
    </w:p>
    <w:p w:rsidR="00000000" w:rsidRDefault="00000000">
      <w:pPr>
        <w:spacing w:after="260"/>
      </w:pPr>
      <w:r>
        <w:t>579.</w:t>
      </w:r>
      <w:r>
        <w:tab/>
        <w:t>В связи с этим, признавая необходимость и огромную пользу просветительских кампаний, а также медици</w:t>
      </w:r>
      <w:r>
        <w:t>н</w:t>
      </w:r>
      <w:r>
        <w:t>ских консультаций, имевших целью привить женщинам навыки сознательного применения противозачаточных средств, нельзя не отметить и значение программ и мероприятий социально-психологического характера, позв</w:t>
      </w:r>
      <w:r>
        <w:t>о</w:t>
      </w:r>
      <w:r>
        <w:t>ливших оказать воздействие на поведение женщин с крайне ни</w:t>
      </w:r>
      <w:r>
        <w:t>з</w:t>
      </w:r>
      <w:r>
        <w:t xml:space="preserve">ким уровнем образования. </w:t>
      </w:r>
    </w:p>
    <w:p w:rsidR="00000000" w:rsidRDefault="00000000">
      <w:pPr>
        <w:spacing w:after="260"/>
      </w:pPr>
      <w:r>
        <w:t>580.</w:t>
      </w:r>
      <w:r>
        <w:tab/>
        <w:t>В рамках программы ИМСС – Солидарность был предпринят ряд начинаний, в том числе осуществление пр</w:t>
      </w:r>
      <w:r>
        <w:t>о</w:t>
      </w:r>
      <w:r>
        <w:t>грамм развития творческих возможностей личности и социального развития в сельской местности и в районах с индейским населением. В частности, в 1998 году было проведено обследование 37 250 девушек-подростков инде</w:t>
      </w:r>
      <w:r>
        <w:t>й</w:t>
      </w:r>
      <w:r>
        <w:t>ской народности мистека, проживающих в условиях крайней нищеты в штате Оахака. Цель данного обследования – разработать на его основе программу комплексного распространения гигиенических знаний среди различных во</w:t>
      </w:r>
      <w:r>
        <w:t>з</w:t>
      </w:r>
      <w:r>
        <w:t xml:space="preserve">растных групп индейских женщин. </w:t>
      </w:r>
    </w:p>
    <w:p w:rsidR="00000000" w:rsidRDefault="00000000">
      <w:pPr>
        <w:spacing w:after="260"/>
      </w:pPr>
      <w:r>
        <w:t>581.</w:t>
      </w:r>
      <w:r>
        <w:tab/>
        <w:t>Один из проектов, в настоящее время разрабатываемый во взаимодействии с различными государственными учреждениями и неправительственными организациями, получил название "Прокладывая новые пути. Руководство по охране здоровья женщины". Цель данного проекта – создание сети учебных и консультационных центров, кот</w:t>
      </w:r>
      <w:r>
        <w:t>о</w:t>
      </w:r>
      <w:r>
        <w:t>рые распространяли бы среди сельских женщин знания, навыки, основанные на современных гендерных концепц</w:t>
      </w:r>
      <w:r>
        <w:t>и</w:t>
      </w:r>
      <w:r>
        <w:t>ях, и знакомили с соответствующей системой ценностей, что позволило бы женщинам по-новому подходить к пр</w:t>
      </w:r>
      <w:r>
        <w:t>о</w:t>
      </w:r>
      <w:r>
        <w:t>блемам здоровья, образования, трудовой деятельности и семьи, защищать свои права, взаимодействовать с другими людьми и развивать собственную индивидуальность. Одним из главных направлений этой деятельности была бы охрана здоровья женщин, а средствами достижения этой цели – их просвещение в вопросах сексуального повед</w:t>
      </w:r>
      <w:r>
        <w:t>е</w:t>
      </w:r>
      <w:r>
        <w:t>ния, медицинского обслуживания, деторождения, гигиены и использования противозачаточных средств, в том чи</w:t>
      </w:r>
      <w:r>
        <w:t>с</w:t>
      </w:r>
      <w:r>
        <w:t xml:space="preserve">ле ознакомление с преимуществами и способами применения каждого из них. </w:t>
      </w:r>
    </w:p>
    <w:p w:rsidR="00000000" w:rsidRDefault="00000000">
      <w:pPr>
        <w:spacing w:after="260"/>
      </w:pPr>
      <w:r>
        <w:t>582.</w:t>
      </w:r>
      <w:r>
        <w:tab/>
        <w:t>В течение 1999 года сотрудники ИСССТЭ провели 81 871 консультацию с девушками-подростками по вопросу о способах применения противозачаточных средств; причем 44 868 консультаций были проведены впе</w:t>
      </w:r>
      <w:r>
        <w:t>р</w:t>
      </w:r>
      <w:r>
        <w:t>вые, остальные повторно. В период с января по июнь 2000 года сотрудниками того же учреждения было проведено 40 974 консультации: 19 434 с женщинами и 21 540 с мужчинами. В результате проведения этих консультаций 8854 женщины избрали гормональный метод контроля рождаемости, а 17 278 мужчин приняли решение применять дополнительное средство (презерватив). С 1995 по 2000 год в результате усилий, предпринятых ИСССТЭ, 1 033 738 женщин стали активно использовать методы контрацепции, а 17 406 мужчин прибегли к вазэ</w:t>
      </w:r>
      <w:r>
        <w:t>к</w:t>
      </w:r>
      <w:r>
        <w:t xml:space="preserve">томии. </w:t>
      </w:r>
    </w:p>
    <w:p w:rsidR="00000000" w:rsidRDefault="00000000">
      <w:pPr>
        <w:pStyle w:val="Heading3"/>
        <w:spacing w:before="0"/>
      </w:pPr>
      <w:r>
        <w:br w:type="page"/>
        <w:t xml:space="preserve">Рак шейки матки и грудной железы </w:t>
      </w:r>
    </w:p>
    <w:p w:rsidR="00000000" w:rsidRDefault="00000000">
      <w:r>
        <w:t>583.</w:t>
      </w:r>
      <w:r>
        <w:tab/>
        <w:t>Стремясь улучшить комплексное медицинское обслуживание и охрану здоровья женщины и охрану мат</w:t>
      </w:r>
      <w:r>
        <w:t>е</w:t>
      </w:r>
      <w:r>
        <w:t>ринства, федеральное правительство ввело так называемый "Национальный сертификат здоровья женщины". Этот документ позволяет работникам здравоохранения вести наблюдение за состоянием здоровья и медицинским о</w:t>
      </w:r>
      <w:r>
        <w:t>б</w:t>
      </w:r>
      <w:r>
        <w:t>служиванием каждой женщины фертильного возраста, выявлять группы риска, своевременно ставить диагноз и н</w:t>
      </w:r>
      <w:r>
        <w:t>а</w:t>
      </w:r>
      <w:r>
        <w:t>значать лечение. Женщинам этот документ обеспечивает возможность иметь более широкое представление о с</w:t>
      </w:r>
      <w:r>
        <w:t>о</w:t>
      </w:r>
      <w:r>
        <w:t>стоянии собственного здоровья и возможность избежать таких распространенных болезней, как рак молочной ж</w:t>
      </w:r>
      <w:r>
        <w:t>е</w:t>
      </w:r>
      <w:r>
        <w:t>лезы и рак шейки матки. Основные данные, заносимые в указанный сертификат, характеризуют: состояние здор</w:t>
      </w:r>
      <w:r>
        <w:t>о</w:t>
      </w:r>
      <w:r>
        <w:t>вья женщины в период беременности и родов, применяемые ею методы планирования семьи, методы профилактики и лечение рака молочной железы и рака шейки матки, протекание климакса, перенесенные вакцинации и женские болезни. В результате введения данного документа службы Министерства здравоохранения смогли в 1998 году з</w:t>
      </w:r>
      <w:r>
        <w:t>а</w:t>
      </w:r>
      <w:r>
        <w:t>регистрировать на 30 процентов больше гистологических исследований патологий, чем г</w:t>
      </w:r>
      <w:r>
        <w:t>о</w:t>
      </w:r>
      <w:r>
        <w:t xml:space="preserve">дом раньше. </w:t>
      </w:r>
    </w:p>
    <w:p w:rsidR="00000000" w:rsidRDefault="00000000">
      <w:r>
        <w:t>584.</w:t>
      </w:r>
      <w:r>
        <w:tab/>
        <w:t>До сего момента учреждениям национальной системы здравоохранения было передано 35 млн. экземпляров сертификата для выдачи его женщинам и девушкам старше 13 лет. Расширение сети этих учреждений и рост числа сотрудников, выполняющих данную программу, позволили взять в течение 1999 года 6,3 млн. проб Папаниколау, результаты которых были занесены в сертификаты. За текущий год будет взято около 6,6 млн. проб, то есть в 3 раза больше, чем в 1994 г</w:t>
      </w:r>
      <w:r>
        <w:t>о</w:t>
      </w:r>
      <w:r>
        <w:t xml:space="preserve">ду. </w:t>
      </w:r>
    </w:p>
    <w:p w:rsidR="00000000" w:rsidRDefault="00000000">
      <w:r>
        <w:t>585.</w:t>
      </w:r>
      <w:r>
        <w:tab/>
        <w:t>Ввиду увеличения количества случаев указанных выше заболеваний Министерство здравоохранения разр</w:t>
      </w:r>
      <w:r>
        <w:t>а</w:t>
      </w:r>
      <w:r>
        <w:t>ботало и представило в 1998 году новую программу профилактики и лечения рака шейки матки, в ходе выполнения которой были усилены все направления прежней программы и добавлен ряд новых элементов, таких как беспла</w:t>
      </w:r>
      <w:r>
        <w:t>т</w:t>
      </w:r>
      <w:r>
        <w:t>ный цитологический анализ шейки матки (проба Папаниколау), а также клиническое лечение дисплазий, предрак</w:t>
      </w:r>
      <w:r>
        <w:t>о</w:t>
      </w:r>
      <w:r>
        <w:t>вых состояний и злокачественных образований. В том же 1998 году, опираясь на поддержку ВОЗ/ПАОЗ и ряда др</w:t>
      </w:r>
      <w:r>
        <w:t>у</w:t>
      </w:r>
      <w:r>
        <w:t>гих национальных и международных организаций, Министерство сумело добиться принятия и опубликования п</w:t>
      </w:r>
      <w:r>
        <w:t>о</w:t>
      </w:r>
      <w:r>
        <w:t>становления правительства Мексики о проведении в жизнь новой программы. Также появились новые направления в работе национальной системы эпидемиологического контроля. В том же году был создан Национальный комитет по профилактике и лечению рака шейки матки и рака грудной железы, координирующий деятельность различных ведомств в целях снижения заболеваемости указанными патологиями и смертности от них путем активизации пр</w:t>
      </w:r>
      <w:r>
        <w:t>о</w:t>
      </w:r>
      <w:r>
        <w:t xml:space="preserve">филактических мер и снижения факторов риска. В частности, была поставлена цель проводить цитологический анализ шейки матки (проба Папаниколау) у всех женщин, вступающих в фертильный возраст, с особым вниманием к женщинам возрастной группы </w:t>
      </w:r>
      <w:r>
        <w:br/>
        <w:t xml:space="preserve">25–64 лет. </w:t>
      </w:r>
    </w:p>
    <w:p w:rsidR="00000000" w:rsidRDefault="00000000">
      <w:r>
        <w:t>586.</w:t>
      </w:r>
      <w:r>
        <w:tab/>
        <w:t>В результате принятия указанных мер в 1998 году службами Министерства здравоохранения было выявлено примерно на 30 процентов больше случаев симптомов заболеваний с помощью цитологических анализов, чем за предыдущий год. К концу 1998 года, по нашим оценкам, было проведено 3,2 млн. первых в жизни пациенток цит</w:t>
      </w:r>
      <w:r>
        <w:t>о</w:t>
      </w:r>
      <w:r>
        <w:t xml:space="preserve">логических анализов. Тем самым оказалось возможным начать лечение 185 тыс. случаев предраковых состояний или рака на ранней стадии и таким образом предотвратить около 15 тыс. случаев летального исхода, к которому, по нашим оценкам, могло привести развитие указанных заболеваний. </w:t>
      </w:r>
      <w:r>
        <w:br/>
        <w:t xml:space="preserve">В результате всех предпринятых действий смертность от рака шейки матки понизилась с 22,2 случая на каждые 100 тыс. женщин старше 25 лет в 1998 году до 19,8 случая в 1999 году. </w:t>
      </w:r>
    </w:p>
    <w:p w:rsidR="00000000" w:rsidRDefault="00000000">
      <w:r>
        <w:t>587.</w:t>
      </w:r>
      <w:r>
        <w:tab/>
        <w:t>В настоящее время ИСССТЭ содержит 42 клиники, специализирующиеся на выявлении и лечении диспл</w:t>
      </w:r>
      <w:r>
        <w:t>а</w:t>
      </w:r>
      <w:r>
        <w:t xml:space="preserve">зии, – на 30 клиник больше, чем в 1997 году. Другими словами, рост составил 250 процентов. В период 1995–1999 годов количество цитологических анализов, проводимых службами ИСССТЭ, увеличивалось в среднем за год на 7,8 процента. </w:t>
      </w:r>
    </w:p>
    <w:p w:rsidR="00000000" w:rsidRDefault="00000000">
      <w:r>
        <w:t>588.</w:t>
      </w:r>
      <w:r>
        <w:tab/>
        <w:t>Что же касается рака груди, то здесь показатели смертности держались практически на одном уровне, сост</w:t>
      </w:r>
      <w:r>
        <w:t>а</w:t>
      </w:r>
      <w:r>
        <w:t xml:space="preserve">вив 14,17 случая на 100 тыс. женщин старше 25 лет в 1994 году и 14,93 или несколько больше – </w:t>
      </w:r>
      <w:r>
        <w:br/>
        <w:t>в 1999 году. В настоящее время предпринимаются действия различного характера, направленные на раннее обнаружение этого заболевания, такие как обучение методам самоконтроля, периодический медосмотр и лабораторные исследования (УЗИ, маммография) при подозрении на патологию. В распоряжении Министерства здравоохранения имеется 45 кабинетов, оборудованных приборами маммографии, причем благодаря усилиям Министерства такие кабинеты имеются теперь в каждом субъекте Федерации. Сейчас различными учреждениями системы здравоохранения ра</w:t>
      </w:r>
      <w:r>
        <w:t>з</w:t>
      </w:r>
      <w:r>
        <w:t>рабатывается проект постановления правительства Мексики по вопросам профилактики, диагностирования и леч</w:t>
      </w:r>
      <w:r>
        <w:t>е</w:t>
      </w:r>
      <w:r>
        <w:t xml:space="preserve">ния данного заболевания, а также наблюдения и эпидемиологического контроля – мерам, которые должны служить тем же целям. </w:t>
      </w:r>
    </w:p>
    <w:p w:rsidR="00000000" w:rsidRDefault="00000000">
      <w:pPr>
        <w:pStyle w:val="Heading3"/>
      </w:pPr>
      <w:r>
        <w:t xml:space="preserve">Синдром приобретенного иммунодефицита (СПИД) </w:t>
      </w:r>
    </w:p>
    <w:p w:rsidR="00000000" w:rsidRDefault="00000000">
      <w:r>
        <w:t>589.</w:t>
      </w:r>
      <w:r>
        <w:tab/>
        <w:t xml:space="preserve">Показатель заболеваемости СПИДом в последние пять лет держался на одном уровне: в среднем </w:t>
      </w:r>
      <w:r>
        <w:br/>
        <w:t>4100 заболев</w:t>
      </w:r>
      <w:r>
        <w:t>а</w:t>
      </w:r>
      <w:r>
        <w:t xml:space="preserve">ний в год. Согласно нашей прогностической модели в текущем году должно быть выявлено </w:t>
      </w:r>
      <w:r>
        <w:br/>
        <w:t>4155 новых заболев</w:t>
      </w:r>
      <w:r>
        <w:t>а</w:t>
      </w:r>
      <w:r>
        <w:t xml:space="preserve">ний, то есть заболеваемость (исходя из процентного соотношения: число заболеваний на 100 тыс. жителей) должна быть на 9,2 процента ниже, чем в 1994 году. </w:t>
      </w:r>
    </w:p>
    <w:p w:rsidR="00000000" w:rsidRDefault="00000000">
      <w:r>
        <w:t>590.</w:t>
      </w:r>
      <w:r>
        <w:tab/>
        <w:t xml:space="preserve">Профилактические меры, призванные противодействовать распространению ВИЧ и других переносимых с кровью возбудителей болезней, перечислены в постановлении правительства Мексики </w:t>
      </w:r>
      <w:r>
        <w:rPr>
          <w:lang w:val="en-US"/>
        </w:rPr>
        <w:t>NOM</w:t>
      </w:r>
      <w:r>
        <w:t>-003-</w:t>
      </w:r>
      <w:r>
        <w:rPr>
          <w:lang w:val="en-US"/>
        </w:rPr>
        <w:t>SSA</w:t>
      </w:r>
      <w:r>
        <w:t>-1993 об и</w:t>
      </w:r>
      <w:r>
        <w:t>с</w:t>
      </w:r>
      <w:r>
        <w:t>пользовании человеческой крови и ее компонентов в лечебных целях. В результате применения этого постановл</w:t>
      </w:r>
      <w:r>
        <w:t>е</w:t>
      </w:r>
      <w:r>
        <w:t>ния в текущем году не было зарегистрировано ни одного случая заражения СПИДом при переливании крови. Чт</w:t>
      </w:r>
      <w:r>
        <w:t>о</w:t>
      </w:r>
      <w:r>
        <w:t xml:space="preserve">бы обеспечить безопасность этой процедуры, ведется наблюдение за работой </w:t>
      </w:r>
      <w:r>
        <w:br/>
        <w:t>4056 медицинских учреждений (служб переливания крови, донорских пунктов и банков крови); ежегодно проводится 17 тыс. проверок и консул</w:t>
      </w:r>
      <w:r>
        <w:t>ь</w:t>
      </w:r>
      <w:r>
        <w:t xml:space="preserve">таций, имеющих целью обеспечить выполнение установленных нормативов. </w:t>
      </w:r>
    </w:p>
    <w:p w:rsidR="00000000" w:rsidRDefault="00000000">
      <w:pPr>
        <w:spacing w:before="240"/>
        <w:jc w:val="center"/>
        <w:rPr>
          <w:b/>
        </w:rPr>
      </w:pPr>
      <w:r>
        <w:rPr>
          <w:b/>
        </w:rPr>
        <w:t>Число больных СПИДом по состоянию на 30 июня 2000 года</w:t>
      </w:r>
      <w:r>
        <w:rPr>
          <w:b/>
        </w:rPr>
        <w:br/>
        <w:t>(новые заболевания и совокупное число)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1985"/>
        <w:gridCol w:w="1985"/>
      </w:tblGrid>
      <w:tr w:rsidR="00000000">
        <w:tblPrEx>
          <w:tblCellMar>
            <w:top w:w="0" w:type="dxa"/>
            <w:bottom w:w="0" w:type="dxa"/>
          </w:tblCellMar>
        </w:tblPrEx>
        <w:trPr>
          <w:jc w:val="center"/>
        </w:trPr>
        <w:tc>
          <w:tcPr>
            <w:tcW w:w="3301" w:type="dxa"/>
            <w:vAlign w:val="center"/>
          </w:tcPr>
          <w:p w:rsidR="00000000" w:rsidRDefault="00000000">
            <w:pPr>
              <w:pStyle w:val="a1"/>
              <w:rPr>
                <w:b/>
              </w:rPr>
            </w:pPr>
            <w:r>
              <w:rPr>
                <w:b/>
              </w:rPr>
              <w:t>Категория</w:t>
            </w:r>
          </w:p>
        </w:tc>
        <w:tc>
          <w:tcPr>
            <w:tcW w:w="1985" w:type="dxa"/>
            <w:vAlign w:val="center"/>
          </w:tcPr>
          <w:p w:rsidR="00000000" w:rsidRDefault="00000000">
            <w:pPr>
              <w:pStyle w:val="a1"/>
              <w:jc w:val="center"/>
              <w:rPr>
                <w:b/>
              </w:rPr>
            </w:pPr>
            <w:r>
              <w:rPr>
                <w:b/>
              </w:rPr>
              <w:t>В абсолютных цифрах</w:t>
            </w:r>
          </w:p>
        </w:tc>
        <w:tc>
          <w:tcPr>
            <w:tcW w:w="1985" w:type="dxa"/>
            <w:vAlign w:val="center"/>
          </w:tcPr>
          <w:p w:rsidR="00000000" w:rsidRDefault="00000000">
            <w:pPr>
              <w:pStyle w:val="a1"/>
              <w:jc w:val="center"/>
              <w:rPr>
                <w:b/>
              </w:rPr>
            </w:pPr>
            <w:r>
              <w:rPr>
                <w:b/>
              </w:rPr>
              <w:t>В процентах</w:t>
            </w:r>
          </w:p>
        </w:tc>
      </w:tr>
      <w:tr w:rsidR="00000000">
        <w:tblPrEx>
          <w:tblCellMar>
            <w:top w:w="0" w:type="dxa"/>
            <w:bottom w:w="0" w:type="dxa"/>
          </w:tblCellMar>
        </w:tblPrEx>
        <w:trPr>
          <w:jc w:val="center"/>
        </w:trPr>
        <w:tc>
          <w:tcPr>
            <w:tcW w:w="3301" w:type="dxa"/>
          </w:tcPr>
          <w:p w:rsidR="00000000" w:rsidRDefault="00000000">
            <w:pPr>
              <w:pStyle w:val="a1"/>
              <w:rPr>
                <w:b/>
              </w:rPr>
            </w:pPr>
            <w:r>
              <w:rPr>
                <w:b/>
              </w:rPr>
              <w:t>Новые заболевания</w:t>
            </w:r>
          </w:p>
        </w:tc>
        <w:tc>
          <w:tcPr>
            <w:tcW w:w="1985" w:type="dxa"/>
          </w:tcPr>
          <w:p w:rsidR="00000000" w:rsidRDefault="00000000">
            <w:pPr>
              <w:pStyle w:val="a1"/>
              <w:ind w:right="624"/>
              <w:jc w:val="right"/>
            </w:pPr>
            <w:r>
              <w:t>2 372</w:t>
            </w:r>
          </w:p>
        </w:tc>
        <w:tc>
          <w:tcPr>
            <w:tcW w:w="1985" w:type="dxa"/>
          </w:tcPr>
          <w:p w:rsidR="00000000" w:rsidRDefault="00000000">
            <w:pPr>
              <w:pStyle w:val="a1"/>
              <w:ind w:right="624"/>
              <w:jc w:val="right"/>
            </w:pPr>
            <w:r>
              <w:t>100,0</w:t>
            </w:r>
          </w:p>
        </w:tc>
      </w:tr>
      <w:tr w:rsidR="00000000">
        <w:tblPrEx>
          <w:tblCellMar>
            <w:top w:w="0" w:type="dxa"/>
            <w:bottom w:w="0" w:type="dxa"/>
          </w:tblCellMar>
        </w:tblPrEx>
        <w:trPr>
          <w:jc w:val="center"/>
        </w:trPr>
        <w:tc>
          <w:tcPr>
            <w:tcW w:w="3301" w:type="dxa"/>
          </w:tcPr>
          <w:p w:rsidR="00000000" w:rsidRDefault="00000000">
            <w:pPr>
              <w:pStyle w:val="a1"/>
            </w:pPr>
            <w:r>
              <w:t>Мужчины</w:t>
            </w:r>
          </w:p>
        </w:tc>
        <w:tc>
          <w:tcPr>
            <w:tcW w:w="1985" w:type="dxa"/>
          </w:tcPr>
          <w:p w:rsidR="00000000" w:rsidRDefault="00000000">
            <w:pPr>
              <w:pStyle w:val="a1"/>
              <w:ind w:right="624"/>
              <w:jc w:val="right"/>
            </w:pPr>
            <w:r>
              <w:t>2 011</w:t>
            </w:r>
          </w:p>
        </w:tc>
        <w:tc>
          <w:tcPr>
            <w:tcW w:w="1985" w:type="dxa"/>
          </w:tcPr>
          <w:p w:rsidR="00000000" w:rsidRDefault="00000000">
            <w:pPr>
              <w:pStyle w:val="a1"/>
              <w:ind w:right="624"/>
              <w:jc w:val="right"/>
            </w:pPr>
            <w:r>
              <w:t>84,8</w:t>
            </w:r>
          </w:p>
        </w:tc>
      </w:tr>
      <w:tr w:rsidR="00000000">
        <w:tblPrEx>
          <w:tblCellMar>
            <w:top w:w="0" w:type="dxa"/>
            <w:bottom w:w="0" w:type="dxa"/>
          </w:tblCellMar>
        </w:tblPrEx>
        <w:trPr>
          <w:jc w:val="center"/>
        </w:trPr>
        <w:tc>
          <w:tcPr>
            <w:tcW w:w="3301" w:type="dxa"/>
          </w:tcPr>
          <w:p w:rsidR="00000000" w:rsidRDefault="00000000">
            <w:pPr>
              <w:pStyle w:val="a1"/>
            </w:pPr>
            <w:r>
              <w:t>Женщины</w:t>
            </w:r>
          </w:p>
        </w:tc>
        <w:tc>
          <w:tcPr>
            <w:tcW w:w="1985" w:type="dxa"/>
          </w:tcPr>
          <w:p w:rsidR="00000000" w:rsidRDefault="00000000">
            <w:pPr>
              <w:pStyle w:val="a1"/>
              <w:ind w:right="624"/>
              <w:jc w:val="right"/>
            </w:pPr>
            <w:r>
              <w:t>361</w:t>
            </w:r>
          </w:p>
        </w:tc>
        <w:tc>
          <w:tcPr>
            <w:tcW w:w="1985" w:type="dxa"/>
          </w:tcPr>
          <w:p w:rsidR="00000000" w:rsidRDefault="00000000">
            <w:pPr>
              <w:pStyle w:val="a1"/>
              <w:ind w:right="624"/>
              <w:jc w:val="right"/>
            </w:pPr>
            <w:r>
              <w:t>15,2</w:t>
            </w:r>
          </w:p>
        </w:tc>
      </w:tr>
      <w:tr w:rsidR="00000000">
        <w:tblPrEx>
          <w:tblCellMar>
            <w:top w:w="0" w:type="dxa"/>
            <w:bottom w:w="0" w:type="dxa"/>
          </w:tblCellMar>
        </w:tblPrEx>
        <w:trPr>
          <w:jc w:val="center"/>
        </w:trPr>
        <w:tc>
          <w:tcPr>
            <w:tcW w:w="3301" w:type="dxa"/>
          </w:tcPr>
          <w:p w:rsidR="00000000" w:rsidRDefault="00000000">
            <w:pPr>
              <w:pStyle w:val="a1"/>
              <w:rPr>
                <w:b/>
              </w:rPr>
            </w:pPr>
            <w:r>
              <w:rPr>
                <w:b/>
              </w:rPr>
              <w:t>Совокупное число</w:t>
            </w:r>
          </w:p>
        </w:tc>
        <w:tc>
          <w:tcPr>
            <w:tcW w:w="1985" w:type="dxa"/>
          </w:tcPr>
          <w:p w:rsidR="00000000" w:rsidRDefault="00000000">
            <w:pPr>
              <w:pStyle w:val="a1"/>
              <w:ind w:right="624"/>
              <w:jc w:val="right"/>
            </w:pPr>
            <w:r>
              <w:t>45 134</w:t>
            </w:r>
          </w:p>
        </w:tc>
        <w:tc>
          <w:tcPr>
            <w:tcW w:w="1985" w:type="dxa"/>
          </w:tcPr>
          <w:p w:rsidR="00000000" w:rsidRDefault="00000000">
            <w:pPr>
              <w:pStyle w:val="a1"/>
              <w:ind w:right="624"/>
              <w:jc w:val="right"/>
            </w:pPr>
            <w:r>
              <w:t>100,0</w:t>
            </w:r>
          </w:p>
        </w:tc>
      </w:tr>
      <w:tr w:rsidR="00000000">
        <w:tblPrEx>
          <w:tblCellMar>
            <w:top w:w="0" w:type="dxa"/>
            <w:bottom w:w="0" w:type="dxa"/>
          </w:tblCellMar>
        </w:tblPrEx>
        <w:trPr>
          <w:jc w:val="center"/>
        </w:trPr>
        <w:tc>
          <w:tcPr>
            <w:tcW w:w="3301" w:type="dxa"/>
          </w:tcPr>
          <w:p w:rsidR="00000000" w:rsidRDefault="00000000">
            <w:pPr>
              <w:pStyle w:val="a1"/>
            </w:pPr>
            <w:r>
              <w:t>Мужчины</w:t>
            </w:r>
          </w:p>
        </w:tc>
        <w:tc>
          <w:tcPr>
            <w:tcW w:w="1985" w:type="dxa"/>
          </w:tcPr>
          <w:p w:rsidR="00000000" w:rsidRDefault="00000000">
            <w:pPr>
              <w:pStyle w:val="a1"/>
              <w:ind w:right="624"/>
              <w:jc w:val="right"/>
            </w:pPr>
            <w:r>
              <w:t>38 034</w:t>
            </w:r>
          </w:p>
        </w:tc>
        <w:tc>
          <w:tcPr>
            <w:tcW w:w="1985" w:type="dxa"/>
          </w:tcPr>
          <w:p w:rsidR="00000000" w:rsidRDefault="00000000">
            <w:pPr>
              <w:pStyle w:val="a1"/>
              <w:ind w:right="624"/>
              <w:jc w:val="right"/>
            </w:pPr>
            <w:r>
              <w:t>84,3</w:t>
            </w:r>
          </w:p>
        </w:tc>
      </w:tr>
      <w:tr w:rsidR="00000000">
        <w:tblPrEx>
          <w:tblCellMar>
            <w:top w:w="0" w:type="dxa"/>
            <w:bottom w:w="0" w:type="dxa"/>
          </w:tblCellMar>
        </w:tblPrEx>
        <w:trPr>
          <w:jc w:val="center"/>
        </w:trPr>
        <w:tc>
          <w:tcPr>
            <w:tcW w:w="3301" w:type="dxa"/>
          </w:tcPr>
          <w:p w:rsidR="00000000" w:rsidRDefault="00000000">
            <w:pPr>
              <w:pStyle w:val="a1"/>
            </w:pPr>
            <w:r>
              <w:t>Женщины</w:t>
            </w:r>
          </w:p>
        </w:tc>
        <w:tc>
          <w:tcPr>
            <w:tcW w:w="1985" w:type="dxa"/>
          </w:tcPr>
          <w:p w:rsidR="00000000" w:rsidRDefault="00000000">
            <w:pPr>
              <w:pStyle w:val="a1"/>
              <w:ind w:right="624"/>
              <w:jc w:val="right"/>
            </w:pPr>
            <w:r>
              <w:t>5 972</w:t>
            </w:r>
          </w:p>
        </w:tc>
        <w:tc>
          <w:tcPr>
            <w:tcW w:w="1985" w:type="dxa"/>
          </w:tcPr>
          <w:p w:rsidR="00000000" w:rsidRDefault="00000000">
            <w:pPr>
              <w:pStyle w:val="a1"/>
              <w:ind w:right="624"/>
              <w:jc w:val="right"/>
            </w:pPr>
            <w:r>
              <w:t>13,2</w:t>
            </w:r>
          </w:p>
        </w:tc>
      </w:tr>
      <w:tr w:rsidR="00000000">
        <w:tblPrEx>
          <w:tblCellMar>
            <w:top w:w="0" w:type="dxa"/>
            <w:bottom w:w="0" w:type="dxa"/>
          </w:tblCellMar>
        </w:tblPrEx>
        <w:trPr>
          <w:jc w:val="center"/>
        </w:trPr>
        <w:tc>
          <w:tcPr>
            <w:tcW w:w="3301" w:type="dxa"/>
          </w:tcPr>
          <w:p w:rsidR="00000000" w:rsidRDefault="00000000">
            <w:pPr>
              <w:pStyle w:val="a1"/>
            </w:pPr>
            <w:r>
              <w:t>Дети обоих полов (до 15 лет)</w:t>
            </w:r>
          </w:p>
        </w:tc>
        <w:tc>
          <w:tcPr>
            <w:tcW w:w="1985" w:type="dxa"/>
          </w:tcPr>
          <w:p w:rsidR="00000000" w:rsidRDefault="00000000">
            <w:pPr>
              <w:pStyle w:val="a1"/>
              <w:ind w:right="624"/>
              <w:jc w:val="right"/>
            </w:pPr>
            <w:r>
              <w:t>1 128</w:t>
            </w:r>
          </w:p>
        </w:tc>
        <w:tc>
          <w:tcPr>
            <w:tcW w:w="1985" w:type="dxa"/>
          </w:tcPr>
          <w:p w:rsidR="00000000" w:rsidRDefault="00000000">
            <w:pPr>
              <w:pStyle w:val="a1"/>
              <w:ind w:right="624"/>
              <w:jc w:val="right"/>
            </w:pPr>
            <w:r>
              <w:t>2,5</w:t>
            </w:r>
          </w:p>
        </w:tc>
      </w:tr>
      <w:tr w:rsidR="00000000">
        <w:tblPrEx>
          <w:tblCellMar>
            <w:top w:w="0" w:type="dxa"/>
            <w:bottom w:w="0" w:type="dxa"/>
          </w:tblCellMar>
        </w:tblPrEx>
        <w:trPr>
          <w:jc w:val="center"/>
        </w:trPr>
        <w:tc>
          <w:tcPr>
            <w:tcW w:w="3301" w:type="dxa"/>
          </w:tcPr>
          <w:p w:rsidR="00000000" w:rsidRDefault="00000000">
            <w:pPr>
              <w:pStyle w:val="a1"/>
              <w:rPr>
                <w:b/>
              </w:rPr>
            </w:pPr>
            <w:r>
              <w:rPr>
                <w:b/>
              </w:rPr>
              <w:t>Течение болезни</w:t>
            </w:r>
          </w:p>
        </w:tc>
        <w:tc>
          <w:tcPr>
            <w:tcW w:w="1985" w:type="dxa"/>
          </w:tcPr>
          <w:p w:rsidR="00000000" w:rsidRDefault="00000000">
            <w:pPr>
              <w:pStyle w:val="a1"/>
              <w:ind w:right="624"/>
              <w:jc w:val="right"/>
              <w:rPr>
                <w:b/>
              </w:rPr>
            </w:pPr>
          </w:p>
        </w:tc>
        <w:tc>
          <w:tcPr>
            <w:tcW w:w="1985" w:type="dxa"/>
          </w:tcPr>
          <w:p w:rsidR="00000000" w:rsidRDefault="00000000">
            <w:pPr>
              <w:pStyle w:val="a1"/>
              <w:ind w:right="624"/>
              <w:jc w:val="right"/>
              <w:rPr>
                <w:b/>
              </w:rPr>
            </w:pPr>
          </w:p>
        </w:tc>
      </w:tr>
      <w:tr w:rsidR="00000000">
        <w:tblPrEx>
          <w:tblCellMar>
            <w:top w:w="0" w:type="dxa"/>
            <w:bottom w:w="0" w:type="dxa"/>
          </w:tblCellMar>
        </w:tblPrEx>
        <w:trPr>
          <w:jc w:val="center"/>
        </w:trPr>
        <w:tc>
          <w:tcPr>
            <w:tcW w:w="3301" w:type="dxa"/>
          </w:tcPr>
          <w:p w:rsidR="00000000" w:rsidRDefault="00000000">
            <w:pPr>
              <w:pStyle w:val="a1"/>
            </w:pPr>
            <w:r>
              <w:t>Живые пациенты</w:t>
            </w:r>
          </w:p>
        </w:tc>
        <w:tc>
          <w:tcPr>
            <w:tcW w:w="1985" w:type="dxa"/>
          </w:tcPr>
          <w:p w:rsidR="00000000" w:rsidRDefault="00000000">
            <w:pPr>
              <w:pStyle w:val="a1"/>
              <w:ind w:right="624"/>
              <w:jc w:val="right"/>
            </w:pPr>
            <w:r>
              <w:t>18 002</w:t>
            </w:r>
          </w:p>
        </w:tc>
        <w:tc>
          <w:tcPr>
            <w:tcW w:w="1985" w:type="dxa"/>
          </w:tcPr>
          <w:p w:rsidR="00000000" w:rsidRDefault="00000000">
            <w:pPr>
              <w:pStyle w:val="a1"/>
              <w:ind w:right="624"/>
              <w:jc w:val="right"/>
            </w:pPr>
            <w:r>
              <w:t>39,9</w:t>
            </w:r>
          </w:p>
        </w:tc>
      </w:tr>
      <w:tr w:rsidR="00000000">
        <w:tblPrEx>
          <w:tblCellMar>
            <w:top w:w="0" w:type="dxa"/>
            <w:bottom w:w="0" w:type="dxa"/>
          </w:tblCellMar>
        </w:tblPrEx>
        <w:trPr>
          <w:jc w:val="center"/>
        </w:trPr>
        <w:tc>
          <w:tcPr>
            <w:tcW w:w="3301" w:type="dxa"/>
          </w:tcPr>
          <w:p w:rsidR="00000000" w:rsidRDefault="00000000">
            <w:pPr>
              <w:pStyle w:val="a1"/>
            </w:pPr>
            <w:r>
              <w:t>Случаи с летальным исходом</w:t>
            </w:r>
          </w:p>
        </w:tc>
        <w:tc>
          <w:tcPr>
            <w:tcW w:w="1985" w:type="dxa"/>
          </w:tcPr>
          <w:p w:rsidR="00000000" w:rsidRDefault="00000000">
            <w:pPr>
              <w:pStyle w:val="a1"/>
              <w:ind w:right="624"/>
              <w:jc w:val="right"/>
            </w:pPr>
            <w:r>
              <w:t>24 420</w:t>
            </w:r>
          </w:p>
        </w:tc>
        <w:tc>
          <w:tcPr>
            <w:tcW w:w="1985" w:type="dxa"/>
          </w:tcPr>
          <w:p w:rsidR="00000000" w:rsidRDefault="00000000">
            <w:pPr>
              <w:pStyle w:val="a1"/>
              <w:ind w:right="624"/>
              <w:jc w:val="right"/>
            </w:pPr>
            <w:r>
              <w:t>54,1</w:t>
            </w:r>
          </w:p>
        </w:tc>
      </w:tr>
      <w:tr w:rsidR="00000000">
        <w:tblPrEx>
          <w:tblCellMar>
            <w:top w:w="0" w:type="dxa"/>
            <w:bottom w:w="0" w:type="dxa"/>
          </w:tblCellMar>
        </w:tblPrEx>
        <w:trPr>
          <w:jc w:val="center"/>
        </w:trPr>
        <w:tc>
          <w:tcPr>
            <w:tcW w:w="3301" w:type="dxa"/>
          </w:tcPr>
          <w:p w:rsidR="00000000" w:rsidRDefault="00000000">
            <w:pPr>
              <w:pStyle w:val="a1"/>
            </w:pPr>
            <w:r>
              <w:t>Случаи с неясным исходом</w:t>
            </w:r>
          </w:p>
        </w:tc>
        <w:tc>
          <w:tcPr>
            <w:tcW w:w="1985" w:type="dxa"/>
          </w:tcPr>
          <w:p w:rsidR="00000000" w:rsidRDefault="00000000">
            <w:pPr>
              <w:pStyle w:val="a1"/>
              <w:ind w:right="624"/>
              <w:jc w:val="right"/>
            </w:pPr>
            <w:r>
              <w:t>2 712</w:t>
            </w:r>
          </w:p>
        </w:tc>
        <w:tc>
          <w:tcPr>
            <w:tcW w:w="1985" w:type="dxa"/>
          </w:tcPr>
          <w:p w:rsidR="00000000" w:rsidRDefault="00000000">
            <w:pPr>
              <w:pStyle w:val="a1"/>
              <w:ind w:right="624"/>
              <w:jc w:val="right"/>
            </w:pPr>
            <w:r>
              <w:t>6,0</w:t>
            </w:r>
          </w:p>
        </w:tc>
      </w:tr>
    </w:tbl>
    <w:p w:rsidR="00000000" w:rsidRDefault="00000000">
      <w:pPr>
        <w:pStyle w:val="a2"/>
        <w:spacing w:before="120"/>
        <w:ind w:left="1134"/>
      </w:pPr>
      <w:r>
        <w:t>Источник: КОНАСИДА.</w:t>
      </w:r>
    </w:p>
    <w:p w:rsidR="00000000" w:rsidRDefault="00000000">
      <w:pPr>
        <w:jc w:val="center"/>
        <w:rPr>
          <w:b/>
        </w:rPr>
      </w:pPr>
      <w:r>
        <w:br w:type="page"/>
      </w:r>
      <w:r>
        <w:rPr>
          <w:b/>
        </w:rPr>
        <w:t>Число больных СПИДом, с разбивкой по возрасту и полу</w:t>
      </w:r>
      <w:r>
        <w:rPr>
          <w:b/>
        </w:rPr>
        <w:br/>
        <w:t>(по состоянию на 30 июня 2000 года)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8"/>
        <w:gridCol w:w="1408"/>
        <w:gridCol w:w="1408"/>
        <w:gridCol w:w="1408"/>
        <w:gridCol w:w="1408"/>
        <w:gridCol w:w="1408"/>
        <w:gridCol w:w="1408"/>
      </w:tblGrid>
      <w:tr w:rsidR="00000000">
        <w:tblPrEx>
          <w:tblCellMar>
            <w:top w:w="0" w:type="dxa"/>
            <w:bottom w:w="0" w:type="dxa"/>
          </w:tblCellMar>
        </w:tblPrEx>
        <w:tc>
          <w:tcPr>
            <w:tcW w:w="1408" w:type="dxa"/>
            <w:vAlign w:val="center"/>
          </w:tcPr>
          <w:p w:rsidR="00000000" w:rsidRDefault="00000000">
            <w:pPr>
              <w:pStyle w:val="a1"/>
              <w:rPr>
                <w:b/>
              </w:rPr>
            </w:pPr>
            <w:r>
              <w:rPr>
                <w:b/>
              </w:rPr>
              <w:t>Возрастная группа</w:t>
            </w:r>
          </w:p>
        </w:tc>
        <w:tc>
          <w:tcPr>
            <w:tcW w:w="1408" w:type="dxa"/>
            <w:vAlign w:val="center"/>
          </w:tcPr>
          <w:p w:rsidR="00000000" w:rsidRDefault="00000000">
            <w:pPr>
              <w:pStyle w:val="a1"/>
              <w:jc w:val="center"/>
              <w:rPr>
                <w:b/>
              </w:rPr>
            </w:pPr>
            <w:r>
              <w:rPr>
                <w:b/>
              </w:rPr>
              <w:t>Всего</w:t>
            </w:r>
          </w:p>
        </w:tc>
        <w:tc>
          <w:tcPr>
            <w:tcW w:w="1408" w:type="dxa"/>
            <w:vAlign w:val="center"/>
          </w:tcPr>
          <w:p w:rsidR="00000000" w:rsidRDefault="00000000">
            <w:pPr>
              <w:pStyle w:val="a1"/>
              <w:jc w:val="center"/>
              <w:rPr>
                <w:b/>
              </w:rPr>
            </w:pPr>
            <w:r>
              <w:rPr>
                <w:b/>
              </w:rPr>
              <w:t>Мужчины</w:t>
            </w:r>
          </w:p>
        </w:tc>
        <w:tc>
          <w:tcPr>
            <w:tcW w:w="1408" w:type="dxa"/>
            <w:vAlign w:val="center"/>
          </w:tcPr>
          <w:p w:rsidR="00000000" w:rsidRDefault="00000000">
            <w:pPr>
              <w:pStyle w:val="a1"/>
              <w:jc w:val="center"/>
              <w:rPr>
                <w:b/>
              </w:rPr>
            </w:pPr>
            <w:r>
              <w:rPr>
                <w:b/>
              </w:rPr>
              <w:t>Женщины</w:t>
            </w:r>
          </w:p>
        </w:tc>
        <w:tc>
          <w:tcPr>
            <w:tcW w:w="1408" w:type="dxa"/>
            <w:vAlign w:val="center"/>
          </w:tcPr>
          <w:p w:rsidR="00000000" w:rsidRDefault="00000000">
            <w:pPr>
              <w:pStyle w:val="a1"/>
              <w:jc w:val="center"/>
              <w:rPr>
                <w:b/>
              </w:rPr>
            </w:pPr>
            <w:r>
              <w:rPr>
                <w:b/>
              </w:rPr>
              <w:t>Всего</w:t>
            </w:r>
            <w:r>
              <w:rPr>
                <w:b/>
              </w:rPr>
              <w:br/>
              <w:t>(%)</w:t>
            </w:r>
          </w:p>
        </w:tc>
        <w:tc>
          <w:tcPr>
            <w:tcW w:w="1408" w:type="dxa"/>
            <w:vAlign w:val="center"/>
          </w:tcPr>
          <w:p w:rsidR="00000000" w:rsidRDefault="00000000">
            <w:pPr>
              <w:pStyle w:val="a1"/>
              <w:jc w:val="center"/>
              <w:rPr>
                <w:b/>
              </w:rPr>
            </w:pPr>
            <w:r>
              <w:rPr>
                <w:b/>
              </w:rPr>
              <w:t>Мужчины</w:t>
            </w:r>
            <w:r>
              <w:rPr>
                <w:b/>
              </w:rPr>
              <w:br/>
              <w:t>(%)</w:t>
            </w:r>
          </w:p>
        </w:tc>
        <w:tc>
          <w:tcPr>
            <w:tcW w:w="1408" w:type="dxa"/>
            <w:vAlign w:val="center"/>
          </w:tcPr>
          <w:p w:rsidR="00000000" w:rsidRDefault="00000000">
            <w:pPr>
              <w:pStyle w:val="a1"/>
              <w:jc w:val="center"/>
              <w:rPr>
                <w:b/>
              </w:rPr>
            </w:pPr>
            <w:r>
              <w:rPr>
                <w:b/>
              </w:rPr>
              <w:t>Женщины</w:t>
            </w:r>
            <w:r>
              <w:rPr>
                <w:b/>
              </w:rPr>
              <w:br/>
              <w:t>(%)</w:t>
            </w:r>
          </w:p>
        </w:tc>
      </w:tr>
      <w:tr w:rsidR="00000000">
        <w:tblPrEx>
          <w:tblCellMar>
            <w:top w:w="0" w:type="dxa"/>
            <w:bottom w:w="0" w:type="dxa"/>
          </w:tblCellMar>
        </w:tblPrEx>
        <w:tc>
          <w:tcPr>
            <w:tcW w:w="1408" w:type="dxa"/>
          </w:tcPr>
          <w:p w:rsidR="00000000" w:rsidRDefault="00000000">
            <w:pPr>
              <w:pStyle w:val="a1"/>
            </w:pPr>
            <w:r>
              <w:t>Менее 1 года</w:t>
            </w:r>
          </w:p>
        </w:tc>
        <w:tc>
          <w:tcPr>
            <w:tcW w:w="1408" w:type="dxa"/>
          </w:tcPr>
          <w:p w:rsidR="00000000" w:rsidRDefault="00000000">
            <w:pPr>
              <w:pStyle w:val="a1"/>
              <w:jc w:val="center"/>
            </w:pPr>
            <w:r>
              <w:t>322</w:t>
            </w:r>
          </w:p>
        </w:tc>
        <w:tc>
          <w:tcPr>
            <w:tcW w:w="1408" w:type="dxa"/>
          </w:tcPr>
          <w:p w:rsidR="00000000" w:rsidRDefault="00000000">
            <w:pPr>
              <w:pStyle w:val="a1"/>
              <w:jc w:val="center"/>
            </w:pPr>
            <w:r>
              <w:t>184</w:t>
            </w:r>
          </w:p>
        </w:tc>
        <w:tc>
          <w:tcPr>
            <w:tcW w:w="1408" w:type="dxa"/>
          </w:tcPr>
          <w:p w:rsidR="00000000" w:rsidRDefault="00000000">
            <w:pPr>
              <w:pStyle w:val="a1"/>
              <w:jc w:val="center"/>
            </w:pPr>
            <w:r>
              <w:t>138</w:t>
            </w:r>
          </w:p>
        </w:tc>
        <w:tc>
          <w:tcPr>
            <w:tcW w:w="1408" w:type="dxa"/>
          </w:tcPr>
          <w:p w:rsidR="00000000" w:rsidRDefault="00000000">
            <w:pPr>
              <w:pStyle w:val="a1"/>
              <w:jc w:val="center"/>
            </w:pPr>
            <w:r>
              <w:t>0,7</w:t>
            </w:r>
          </w:p>
        </w:tc>
        <w:tc>
          <w:tcPr>
            <w:tcW w:w="1408" w:type="dxa"/>
          </w:tcPr>
          <w:p w:rsidR="00000000" w:rsidRDefault="00000000">
            <w:pPr>
              <w:pStyle w:val="a1"/>
              <w:jc w:val="center"/>
            </w:pPr>
            <w:r>
              <w:t>0,5</w:t>
            </w:r>
          </w:p>
        </w:tc>
        <w:tc>
          <w:tcPr>
            <w:tcW w:w="1408" w:type="dxa"/>
          </w:tcPr>
          <w:p w:rsidR="00000000" w:rsidRDefault="00000000">
            <w:pPr>
              <w:pStyle w:val="a1"/>
              <w:jc w:val="center"/>
            </w:pPr>
            <w:r>
              <w:t>2,1</w:t>
            </w:r>
          </w:p>
        </w:tc>
      </w:tr>
      <w:tr w:rsidR="00000000">
        <w:tblPrEx>
          <w:tblCellMar>
            <w:top w:w="0" w:type="dxa"/>
            <w:bottom w:w="0" w:type="dxa"/>
          </w:tblCellMar>
        </w:tblPrEx>
        <w:tc>
          <w:tcPr>
            <w:tcW w:w="1408" w:type="dxa"/>
          </w:tcPr>
          <w:p w:rsidR="00000000" w:rsidRDefault="00000000">
            <w:pPr>
              <w:pStyle w:val="a1"/>
            </w:pPr>
            <w:r>
              <w:t>1–4 года</w:t>
            </w:r>
          </w:p>
        </w:tc>
        <w:tc>
          <w:tcPr>
            <w:tcW w:w="1408" w:type="dxa"/>
          </w:tcPr>
          <w:p w:rsidR="00000000" w:rsidRDefault="00000000">
            <w:pPr>
              <w:pStyle w:val="a1"/>
              <w:jc w:val="center"/>
            </w:pPr>
            <w:r>
              <w:t>382</w:t>
            </w:r>
          </w:p>
        </w:tc>
        <w:tc>
          <w:tcPr>
            <w:tcW w:w="1408" w:type="dxa"/>
          </w:tcPr>
          <w:p w:rsidR="00000000" w:rsidRDefault="00000000">
            <w:pPr>
              <w:pStyle w:val="a1"/>
              <w:jc w:val="center"/>
            </w:pPr>
            <w:r>
              <w:t>205</w:t>
            </w:r>
          </w:p>
        </w:tc>
        <w:tc>
          <w:tcPr>
            <w:tcW w:w="1408" w:type="dxa"/>
          </w:tcPr>
          <w:p w:rsidR="00000000" w:rsidRDefault="00000000">
            <w:pPr>
              <w:pStyle w:val="a1"/>
              <w:jc w:val="center"/>
            </w:pPr>
            <w:r>
              <w:t>177</w:t>
            </w:r>
          </w:p>
        </w:tc>
        <w:tc>
          <w:tcPr>
            <w:tcW w:w="1408" w:type="dxa"/>
          </w:tcPr>
          <w:p w:rsidR="00000000" w:rsidRDefault="00000000">
            <w:pPr>
              <w:pStyle w:val="a1"/>
              <w:jc w:val="center"/>
            </w:pPr>
            <w:r>
              <w:t>0,8</w:t>
            </w:r>
          </w:p>
        </w:tc>
        <w:tc>
          <w:tcPr>
            <w:tcW w:w="1408" w:type="dxa"/>
          </w:tcPr>
          <w:p w:rsidR="00000000" w:rsidRDefault="00000000">
            <w:pPr>
              <w:pStyle w:val="a1"/>
              <w:jc w:val="center"/>
            </w:pPr>
            <w:r>
              <w:t>0,5</w:t>
            </w:r>
          </w:p>
        </w:tc>
        <w:tc>
          <w:tcPr>
            <w:tcW w:w="1408" w:type="dxa"/>
          </w:tcPr>
          <w:p w:rsidR="00000000" w:rsidRDefault="00000000">
            <w:pPr>
              <w:pStyle w:val="a1"/>
              <w:jc w:val="center"/>
            </w:pPr>
            <w:r>
              <w:t>2,8</w:t>
            </w:r>
          </w:p>
        </w:tc>
      </w:tr>
      <w:tr w:rsidR="00000000">
        <w:tblPrEx>
          <w:tblCellMar>
            <w:top w:w="0" w:type="dxa"/>
            <w:bottom w:w="0" w:type="dxa"/>
          </w:tblCellMar>
        </w:tblPrEx>
        <w:tc>
          <w:tcPr>
            <w:tcW w:w="1408" w:type="dxa"/>
          </w:tcPr>
          <w:p w:rsidR="00000000" w:rsidRDefault="00000000">
            <w:pPr>
              <w:pStyle w:val="a1"/>
            </w:pPr>
            <w:r>
              <w:t>5–9 лет</w:t>
            </w:r>
          </w:p>
        </w:tc>
        <w:tc>
          <w:tcPr>
            <w:tcW w:w="1408" w:type="dxa"/>
          </w:tcPr>
          <w:p w:rsidR="00000000" w:rsidRDefault="00000000">
            <w:pPr>
              <w:pStyle w:val="a1"/>
              <w:jc w:val="center"/>
            </w:pPr>
            <w:r>
              <w:t>228</w:t>
            </w:r>
          </w:p>
        </w:tc>
        <w:tc>
          <w:tcPr>
            <w:tcW w:w="1408" w:type="dxa"/>
          </w:tcPr>
          <w:p w:rsidR="00000000" w:rsidRDefault="00000000">
            <w:pPr>
              <w:pStyle w:val="a1"/>
              <w:jc w:val="center"/>
            </w:pPr>
            <w:r>
              <w:t>132</w:t>
            </w:r>
          </w:p>
        </w:tc>
        <w:tc>
          <w:tcPr>
            <w:tcW w:w="1408" w:type="dxa"/>
          </w:tcPr>
          <w:p w:rsidR="00000000" w:rsidRDefault="00000000">
            <w:pPr>
              <w:pStyle w:val="a1"/>
              <w:jc w:val="center"/>
            </w:pPr>
            <w:r>
              <w:t>96</w:t>
            </w:r>
          </w:p>
        </w:tc>
        <w:tc>
          <w:tcPr>
            <w:tcW w:w="1408" w:type="dxa"/>
          </w:tcPr>
          <w:p w:rsidR="00000000" w:rsidRDefault="00000000">
            <w:pPr>
              <w:pStyle w:val="a1"/>
              <w:jc w:val="center"/>
            </w:pPr>
            <w:r>
              <w:t>0,5</w:t>
            </w:r>
          </w:p>
        </w:tc>
        <w:tc>
          <w:tcPr>
            <w:tcW w:w="1408" w:type="dxa"/>
          </w:tcPr>
          <w:p w:rsidR="00000000" w:rsidRDefault="00000000">
            <w:pPr>
              <w:pStyle w:val="a1"/>
              <w:jc w:val="center"/>
            </w:pPr>
            <w:r>
              <w:t>0,3</w:t>
            </w:r>
          </w:p>
        </w:tc>
        <w:tc>
          <w:tcPr>
            <w:tcW w:w="1408" w:type="dxa"/>
          </w:tcPr>
          <w:p w:rsidR="00000000" w:rsidRDefault="00000000">
            <w:pPr>
              <w:pStyle w:val="a1"/>
              <w:jc w:val="center"/>
            </w:pPr>
            <w:r>
              <w:t>1,5</w:t>
            </w:r>
          </w:p>
        </w:tc>
      </w:tr>
      <w:tr w:rsidR="00000000">
        <w:tblPrEx>
          <w:tblCellMar>
            <w:top w:w="0" w:type="dxa"/>
            <w:bottom w:w="0" w:type="dxa"/>
          </w:tblCellMar>
        </w:tblPrEx>
        <w:tc>
          <w:tcPr>
            <w:tcW w:w="1408" w:type="dxa"/>
          </w:tcPr>
          <w:p w:rsidR="00000000" w:rsidRDefault="00000000">
            <w:pPr>
              <w:pStyle w:val="a1"/>
            </w:pPr>
            <w:r>
              <w:t>10–14 лет</w:t>
            </w:r>
          </w:p>
        </w:tc>
        <w:tc>
          <w:tcPr>
            <w:tcW w:w="1408" w:type="dxa"/>
          </w:tcPr>
          <w:p w:rsidR="00000000" w:rsidRDefault="00000000">
            <w:pPr>
              <w:pStyle w:val="a1"/>
              <w:jc w:val="center"/>
            </w:pPr>
            <w:r>
              <w:t>196</w:t>
            </w:r>
          </w:p>
        </w:tc>
        <w:tc>
          <w:tcPr>
            <w:tcW w:w="1408" w:type="dxa"/>
          </w:tcPr>
          <w:p w:rsidR="00000000" w:rsidRDefault="00000000">
            <w:pPr>
              <w:pStyle w:val="a1"/>
              <w:jc w:val="center"/>
            </w:pPr>
            <w:r>
              <w:t>145</w:t>
            </w:r>
          </w:p>
        </w:tc>
        <w:tc>
          <w:tcPr>
            <w:tcW w:w="1408" w:type="dxa"/>
          </w:tcPr>
          <w:p w:rsidR="00000000" w:rsidRDefault="00000000">
            <w:pPr>
              <w:pStyle w:val="a1"/>
              <w:jc w:val="center"/>
            </w:pPr>
            <w:r>
              <w:t>51</w:t>
            </w:r>
          </w:p>
        </w:tc>
        <w:tc>
          <w:tcPr>
            <w:tcW w:w="1408" w:type="dxa"/>
          </w:tcPr>
          <w:p w:rsidR="00000000" w:rsidRDefault="00000000">
            <w:pPr>
              <w:pStyle w:val="a1"/>
              <w:jc w:val="center"/>
            </w:pPr>
            <w:r>
              <w:t>0,4</w:t>
            </w:r>
          </w:p>
        </w:tc>
        <w:tc>
          <w:tcPr>
            <w:tcW w:w="1408" w:type="dxa"/>
          </w:tcPr>
          <w:p w:rsidR="00000000" w:rsidRDefault="00000000">
            <w:pPr>
              <w:pStyle w:val="a1"/>
              <w:jc w:val="center"/>
            </w:pPr>
            <w:r>
              <w:t>0,4</w:t>
            </w:r>
          </w:p>
        </w:tc>
        <w:tc>
          <w:tcPr>
            <w:tcW w:w="1408" w:type="dxa"/>
          </w:tcPr>
          <w:p w:rsidR="00000000" w:rsidRDefault="00000000">
            <w:pPr>
              <w:pStyle w:val="a1"/>
              <w:jc w:val="center"/>
            </w:pPr>
            <w:r>
              <w:t>0,8</w:t>
            </w:r>
          </w:p>
        </w:tc>
      </w:tr>
      <w:tr w:rsidR="00000000">
        <w:tblPrEx>
          <w:tblCellMar>
            <w:top w:w="0" w:type="dxa"/>
            <w:bottom w:w="0" w:type="dxa"/>
          </w:tblCellMar>
        </w:tblPrEx>
        <w:tc>
          <w:tcPr>
            <w:tcW w:w="1408" w:type="dxa"/>
          </w:tcPr>
          <w:p w:rsidR="00000000" w:rsidRDefault="00000000">
            <w:pPr>
              <w:pStyle w:val="a1"/>
            </w:pPr>
            <w:r>
              <w:t>15–19 лет</w:t>
            </w:r>
          </w:p>
        </w:tc>
        <w:tc>
          <w:tcPr>
            <w:tcW w:w="1408" w:type="dxa"/>
          </w:tcPr>
          <w:p w:rsidR="00000000" w:rsidRDefault="00000000">
            <w:pPr>
              <w:pStyle w:val="a1"/>
              <w:jc w:val="center"/>
            </w:pPr>
            <w:r>
              <w:t>738</w:t>
            </w:r>
          </w:p>
        </w:tc>
        <w:tc>
          <w:tcPr>
            <w:tcW w:w="1408" w:type="dxa"/>
          </w:tcPr>
          <w:p w:rsidR="00000000" w:rsidRDefault="00000000">
            <w:pPr>
              <w:pStyle w:val="a1"/>
              <w:jc w:val="center"/>
            </w:pPr>
            <w:r>
              <w:t>559</w:t>
            </w:r>
          </w:p>
        </w:tc>
        <w:tc>
          <w:tcPr>
            <w:tcW w:w="1408" w:type="dxa"/>
          </w:tcPr>
          <w:p w:rsidR="00000000" w:rsidRDefault="00000000">
            <w:pPr>
              <w:pStyle w:val="a1"/>
              <w:jc w:val="center"/>
            </w:pPr>
            <w:r>
              <w:t>179</w:t>
            </w:r>
          </w:p>
        </w:tc>
        <w:tc>
          <w:tcPr>
            <w:tcW w:w="1408" w:type="dxa"/>
          </w:tcPr>
          <w:p w:rsidR="00000000" w:rsidRDefault="00000000">
            <w:pPr>
              <w:pStyle w:val="a1"/>
              <w:jc w:val="center"/>
            </w:pPr>
            <w:r>
              <w:t>1,6</w:t>
            </w:r>
          </w:p>
        </w:tc>
        <w:tc>
          <w:tcPr>
            <w:tcW w:w="1408" w:type="dxa"/>
          </w:tcPr>
          <w:p w:rsidR="00000000" w:rsidRDefault="00000000">
            <w:pPr>
              <w:pStyle w:val="a1"/>
              <w:jc w:val="center"/>
            </w:pPr>
            <w:r>
              <w:t>1,4</w:t>
            </w:r>
          </w:p>
        </w:tc>
        <w:tc>
          <w:tcPr>
            <w:tcW w:w="1408" w:type="dxa"/>
          </w:tcPr>
          <w:p w:rsidR="00000000" w:rsidRDefault="00000000">
            <w:pPr>
              <w:pStyle w:val="a1"/>
              <w:jc w:val="center"/>
            </w:pPr>
            <w:r>
              <w:t>2,8</w:t>
            </w:r>
          </w:p>
        </w:tc>
      </w:tr>
      <w:tr w:rsidR="00000000">
        <w:tblPrEx>
          <w:tblCellMar>
            <w:top w:w="0" w:type="dxa"/>
            <w:bottom w:w="0" w:type="dxa"/>
          </w:tblCellMar>
        </w:tblPrEx>
        <w:tc>
          <w:tcPr>
            <w:tcW w:w="1408" w:type="dxa"/>
          </w:tcPr>
          <w:p w:rsidR="00000000" w:rsidRDefault="00000000">
            <w:pPr>
              <w:pStyle w:val="a1"/>
            </w:pPr>
            <w:r>
              <w:t>20–24 года</w:t>
            </w:r>
          </w:p>
        </w:tc>
        <w:tc>
          <w:tcPr>
            <w:tcW w:w="1408" w:type="dxa"/>
          </w:tcPr>
          <w:p w:rsidR="00000000" w:rsidRDefault="00000000">
            <w:pPr>
              <w:pStyle w:val="a1"/>
              <w:jc w:val="center"/>
            </w:pPr>
            <w:r>
              <w:t>4 474</w:t>
            </w:r>
          </w:p>
        </w:tc>
        <w:tc>
          <w:tcPr>
            <w:tcW w:w="1408" w:type="dxa"/>
          </w:tcPr>
          <w:p w:rsidR="00000000" w:rsidRDefault="00000000">
            <w:pPr>
              <w:pStyle w:val="a1"/>
              <w:jc w:val="center"/>
            </w:pPr>
            <w:r>
              <w:t>3 709</w:t>
            </w:r>
          </w:p>
        </w:tc>
        <w:tc>
          <w:tcPr>
            <w:tcW w:w="1408" w:type="dxa"/>
          </w:tcPr>
          <w:p w:rsidR="00000000" w:rsidRDefault="00000000">
            <w:pPr>
              <w:pStyle w:val="a1"/>
              <w:jc w:val="center"/>
            </w:pPr>
            <w:r>
              <w:t>765</w:t>
            </w:r>
          </w:p>
        </w:tc>
        <w:tc>
          <w:tcPr>
            <w:tcW w:w="1408" w:type="dxa"/>
          </w:tcPr>
          <w:p w:rsidR="00000000" w:rsidRDefault="00000000">
            <w:pPr>
              <w:pStyle w:val="a1"/>
              <w:jc w:val="center"/>
            </w:pPr>
            <w:r>
              <w:t>9,9</w:t>
            </w:r>
          </w:p>
        </w:tc>
        <w:tc>
          <w:tcPr>
            <w:tcW w:w="1408" w:type="dxa"/>
          </w:tcPr>
          <w:p w:rsidR="00000000" w:rsidRDefault="00000000">
            <w:pPr>
              <w:pStyle w:val="a1"/>
              <w:jc w:val="center"/>
            </w:pPr>
            <w:r>
              <w:t>9,6</w:t>
            </w:r>
          </w:p>
        </w:tc>
        <w:tc>
          <w:tcPr>
            <w:tcW w:w="1408" w:type="dxa"/>
          </w:tcPr>
          <w:p w:rsidR="00000000" w:rsidRDefault="00000000">
            <w:pPr>
              <w:pStyle w:val="a1"/>
              <w:jc w:val="center"/>
            </w:pPr>
            <w:r>
              <w:t>11,9</w:t>
            </w:r>
          </w:p>
        </w:tc>
      </w:tr>
      <w:tr w:rsidR="00000000">
        <w:tblPrEx>
          <w:tblCellMar>
            <w:top w:w="0" w:type="dxa"/>
            <w:bottom w:w="0" w:type="dxa"/>
          </w:tblCellMar>
        </w:tblPrEx>
        <w:tc>
          <w:tcPr>
            <w:tcW w:w="1408" w:type="dxa"/>
          </w:tcPr>
          <w:p w:rsidR="00000000" w:rsidRDefault="00000000">
            <w:pPr>
              <w:pStyle w:val="a1"/>
            </w:pPr>
            <w:r>
              <w:t>25–29 лет</w:t>
            </w:r>
          </w:p>
        </w:tc>
        <w:tc>
          <w:tcPr>
            <w:tcW w:w="1408" w:type="dxa"/>
          </w:tcPr>
          <w:p w:rsidR="00000000" w:rsidRDefault="00000000">
            <w:pPr>
              <w:pStyle w:val="a1"/>
              <w:jc w:val="center"/>
            </w:pPr>
            <w:r>
              <w:t>8 788</w:t>
            </w:r>
          </w:p>
        </w:tc>
        <w:tc>
          <w:tcPr>
            <w:tcW w:w="1408" w:type="dxa"/>
          </w:tcPr>
          <w:p w:rsidR="00000000" w:rsidRDefault="00000000">
            <w:pPr>
              <w:pStyle w:val="a1"/>
              <w:jc w:val="center"/>
            </w:pPr>
            <w:r>
              <w:t>7 739</w:t>
            </w:r>
          </w:p>
        </w:tc>
        <w:tc>
          <w:tcPr>
            <w:tcW w:w="1408" w:type="dxa"/>
          </w:tcPr>
          <w:p w:rsidR="00000000" w:rsidRDefault="00000000">
            <w:pPr>
              <w:pStyle w:val="a1"/>
              <w:jc w:val="center"/>
            </w:pPr>
            <w:r>
              <w:t>1 049</w:t>
            </w:r>
          </w:p>
        </w:tc>
        <w:tc>
          <w:tcPr>
            <w:tcW w:w="1408" w:type="dxa"/>
          </w:tcPr>
          <w:p w:rsidR="00000000" w:rsidRDefault="00000000">
            <w:pPr>
              <w:pStyle w:val="a1"/>
              <w:jc w:val="center"/>
            </w:pPr>
            <w:r>
              <w:t>19,5</w:t>
            </w:r>
          </w:p>
        </w:tc>
        <w:tc>
          <w:tcPr>
            <w:tcW w:w="1408" w:type="dxa"/>
          </w:tcPr>
          <w:p w:rsidR="00000000" w:rsidRDefault="00000000">
            <w:pPr>
              <w:pStyle w:val="a1"/>
              <w:jc w:val="center"/>
            </w:pPr>
            <w:r>
              <w:t>20,0</w:t>
            </w:r>
          </w:p>
        </w:tc>
        <w:tc>
          <w:tcPr>
            <w:tcW w:w="1408" w:type="dxa"/>
          </w:tcPr>
          <w:p w:rsidR="00000000" w:rsidRDefault="00000000">
            <w:pPr>
              <w:pStyle w:val="a1"/>
              <w:jc w:val="center"/>
            </w:pPr>
            <w:r>
              <w:t>16,3</w:t>
            </w:r>
          </w:p>
        </w:tc>
      </w:tr>
      <w:tr w:rsidR="00000000">
        <w:tblPrEx>
          <w:tblCellMar>
            <w:top w:w="0" w:type="dxa"/>
            <w:bottom w:w="0" w:type="dxa"/>
          </w:tblCellMar>
        </w:tblPrEx>
        <w:tc>
          <w:tcPr>
            <w:tcW w:w="1408" w:type="dxa"/>
          </w:tcPr>
          <w:p w:rsidR="00000000" w:rsidRDefault="00000000">
            <w:pPr>
              <w:pStyle w:val="a1"/>
            </w:pPr>
            <w:r>
              <w:t>30–34 года</w:t>
            </w:r>
          </w:p>
        </w:tc>
        <w:tc>
          <w:tcPr>
            <w:tcW w:w="1408" w:type="dxa"/>
          </w:tcPr>
          <w:p w:rsidR="00000000" w:rsidRDefault="00000000">
            <w:pPr>
              <w:pStyle w:val="a1"/>
              <w:jc w:val="center"/>
            </w:pPr>
            <w:r>
              <w:t>9 267</w:t>
            </w:r>
          </w:p>
        </w:tc>
        <w:tc>
          <w:tcPr>
            <w:tcW w:w="1408" w:type="dxa"/>
          </w:tcPr>
          <w:p w:rsidR="00000000" w:rsidRDefault="00000000">
            <w:pPr>
              <w:pStyle w:val="a1"/>
              <w:jc w:val="center"/>
            </w:pPr>
            <w:r>
              <w:t>8 105</w:t>
            </w:r>
          </w:p>
        </w:tc>
        <w:tc>
          <w:tcPr>
            <w:tcW w:w="1408" w:type="dxa"/>
          </w:tcPr>
          <w:p w:rsidR="00000000" w:rsidRDefault="00000000">
            <w:pPr>
              <w:pStyle w:val="a1"/>
              <w:jc w:val="center"/>
            </w:pPr>
            <w:r>
              <w:t>1 162</w:t>
            </w:r>
          </w:p>
        </w:tc>
        <w:tc>
          <w:tcPr>
            <w:tcW w:w="1408" w:type="dxa"/>
          </w:tcPr>
          <w:p w:rsidR="00000000" w:rsidRDefault="00000000">
            <w:pPr>
              <w:pStyle w:val="a1"/>
              <w:jc w:val="center"/>
            </w:pPr>
            <w:r>
              <w:t>20,5</w:t>
            </w:r>
          </w:p>
        </w:tc>
        <w:tc>
          <w:tcPr>
            <w:tcW w:w="1408" w:type="dxa"/>
          </w:tcPr>
          <w:p w:rsidR="00000000" w:rsidRDefault="00000000">
            <w:pPr>
              <w:pStyle w:val="a1"/>
              <w:jc w:val="center"/>
            </w:pPr>
            <w:r>
              <w:t>20,9</w:t>
            </w:r>
          </w:p>
        </w:tc>
        <w:tc>
          <w:tcPr>
            <w:tcW w:w="1408" w:type="dxa"/>
          </w:tcPr>
          <w:p w:rsidR="00000000" w:rsidRDefault="00000000">
            <w:pPr>
              <w:pStyle w:val="a1"/>
              <w:jc w:val="center"/>
            </w:pPr>
            <w:r>
              <w:t>18,1</w:t>
            </w:r>
          </w:p>
        </w:tc>
      </w:tr>
      <w:tr w:rsidR="00000000">
        <w:tblPrEx>
          <w:tblCellMar>
            <w:top w:w="0" w:type="dxa"/>
            <w:bottom w:w="0" w:type="dxa"/>
          </w:tblCellMar>
        </w:tblPrEx>
        <w:tc>
          <w:tcPr>
            <w:tcW w:w="1408" w:type="dxa"/>
          </w:tcPr>
          <w:p w:rsidR="00000000" w:rsidRDefault="00000000">
            <w:pPr>
              <w:pStyle w:val="a1"/>
            </w:pPr>
            <w:r>
              <w:t>35–39 лет</w:t>
            </w:r>
          </w:p>
        </w:tc>
        <w:tc>
          <w:tcPr>
            <w:tcW w:w="1408" w:type="dxa"/>
          </w:tcPr>
          <w:p w:rsidR="00000000" w:rsidRDefault="00000000">
            <w:pPr>
              <w:pStyle w:val="a1"/>
              <w:jc w:val="center"/>
            </w:pPr>
            <w:r>
              <w:t>7 130</w:t>
            </w:r>
          </w:p>
        </w:tc>
        <w:tc>
          <w:tcPr>
            <w:tcW w:w="1408" w:type="dxa"/>
          </w:tcPr>
          <w:p w:rsidR="00000000" w:rsidRDefault="00000000">
            <w:pPr>
              <w:pStyle w:val="a1"/>
              <w:jc w:val="center"/>
            </w:pPr>
            <w:r>
              <w:t>6 208</w:t>
            </w:r>
          </w:p>
        </w:tc>
        <w:tc>
          <w:tcPr>
            <w:tcW w:w="1408" w:type="dxa"/>
          </w:tcPr>
          <w:p w:rsidR="00000000" w:rsidRDefault="00000000">
            <w:pPr>
              <w:pStyle w:val="a1"/>
              <w:jc w:val="center"/>
            </w:pPr>
            <w:r>
              <w:t>922</w:t>
            </w:r>
          </w:p>
        </w:tc>
        <w:tc>
          <w:tcPr>
            <w:tcW w:w="1408" w:type="dxa"/>
          </w:tcPr>
          <w:p w:rsidR="00000000" w:rsidRDefault="00000000">
            <w:pPr>
              <w:pStyle w:val="a1"/>
              <w:jc w:val="center"/>
            </w:pPr>
            <w:r>
              <w:t>15,8</w:t>
            </w:r>
          </w:p>
        </w:tc>
        <w:tc>
          <w:tcPr>
            <w:tcW w:w="1408" w:type="dxa"/>
          </w:tcPr>
          <w:p w:rsidR="00000000" w:rsidRDefault="00000000">
            <w:pPr>
              <w:pStyle w:val="a1"/>
              <w:jc w:val="center"/>
            </w:pPr>
            <w:r>
              <w:t>16,0</w:t>
            </w:r>
          </w:p>
        </w:tc>
        <w:tc>
          <w:tcPr>
            <w:tcW w:w="1408" w:type="dxa"/>
          </w:tcPr>
          <w:p w:rsidR="00000000" w:rsidRDefault="00000000">
            <w:pPr>
              <w:pStyle w:val="a1"/>
              <w:jc w:val="center"/>
            </w:pPr>
            <w:r>
              <w:t>14,3</w:t>
            </w:r>
          </w:p>
        </w:tc>
      </w:tr>
      <w:tr w:rsidR="00000000">
        <w:tblPrEx>
          <w:tblCellMar>
            <w:top w:w="0" w:type="dxa"/>
            <w:bottom w:w="0" w:type="dxa"/>
          </w:tblCellMar>
        </w:tblPrEx>
        <w:tc>
          <w:tcPr>
            <w:tcW w:w="1408" w:type="dxa"/>
          </w:tcPr>
          <w:p w:rsidR="00000000" w:rsidRDefault="00000000">
            <w:pPr>
              <w:pStyle w:val="a1"/>
            </w:pPr>
            <w:r>
              <w:t>40–44 года</w:t>
            </w:r>
          </w:p>
        </w:tc>
        <w:tc>
          <w:tcPr>
            <w:tcW w:w="1408" w:type="dxa"/>
          </w:tcPr>
          <w:p w:rsidR="00000000" w:rsidRDefault="00000000">
            <w:pPr>
              <w:pStyle w:val="a1"/>
              <w:jc w:val="center"/>
            </w:pPr>
            <w:r>
              <w:t>4 777</w:t>
            </w:r>
          </w:p>
        </w:tc>
        <w:tc>
          <w:tcPr>
            <w:tcW w:w="1408" w:type="dxa"/>
          </w:tcPr>
          <w:p w:rsidR="00000000" w:rsidRDefault="00000000">
            <w:pPr>
              <w:pStyle w:val="a1"/>
              <w:jc w:val="center"/>
            </w:pPr>
            <w:r>
              <w:t>4 132</w:t>
            </w:r>
          </w:p>
        </w:tc>
        <w:tc>
          <w:tcPr>
            <w:tcW w:w="1408" w:type="dxa"/>
          </w:tcPr>
          <w:p w:rsidR="00000000" w:rsidRDefault="00000000">
            <w:pPr>
              <w:pStyle w:val="a1"/>
              <w:jc w:val="center"/>
            </w:pPr>
            <w:r>
              <w:t>645</w:t>
            </w:r>
          </w:p>
        </w:tc>
        <w:tc>
          <w:tcPr>
            <w:tcW w:w="1408" w:type="dxa"/>
          </w:tcPr>
          <w:p w:rsidR="00000000" w:rsidRDefault="00000000">
            <w:pPr>
              <w:pStyle w:val="a1"/>
              <w:jc w:val="center"/>
            </w:pPr>
            <w:r>
              <w:t>10,6</w:t>
            </w:r>
          </w:p>
        </w:tc>
        <w:tc>
          <w:tcPr>
            <w:tcW w:w="1408" w:type="dxa"/>
          </w:tcPr>
          <w:p w:rsidR="00000000" w:rsidRDefault="00000000">
            <w:pPr>
              <w:pStyle w:val="a1"/>
              <w:jc w:val="center"/>
            </w:pPr>
            <w:r>
              <w:t>10,7</w:t>
            </w:r>
          </w:p>
        </w:tc>
        <w:tc>
          <w:tcPr>
            <w:tcW w:w="1408" w:type="dxa"/>
          </w:tcPr>
          <w:p w:rsidR="00000000" w:rsidRDefault="00000000">
            <w:pPr>
              <w:pStyle w:val="a1"/>
              <w:jc w:val="center"/>
            </w:pPr>
            <w:r>
              <w:t>10,0</w:t>
            </w:r>
          </w:p>
        </w:tc>
      </w:tr>
      <w:tr w:rsidR="00000000">
        <w:tblPrEx>
          <w:tblCellMar>
            <w:top w:w="0" w:type="dxa"/>
            <w:bottom w:w="0" w:type="dxa"/>
          </w:tblCellMar>
        </w:tblPrEx>
        <w:tc>
          <w:tcPr>
            <w:tcW w:w="1408" w:type="dxa"/>
          </w:tcPr>
          <w:p w:rsidR="00000000" w:rsidRDefault="00000000">
            <w:pPr>
              <w:pStyle w:val="a1"/>
            </w:pPr>
            <w:r>
              <w:t>45–49 лет</w:t>
            </w:r>
          </w:p>
        </w:tc>
        <w:tc>
          <w:tcPr>
            <w:tcW w:w="1408" w:type="dxa"/>
          </w:tcPr>
          <w:p w:rsidR="00000000" w:rsidRDefault="00000000">
            <w:pPr>
              <w:pStyle w:val="a1"/>
              <w:jc w:val="center"/>
            </w:pPr>
            <w:r>
              <w:t>3 219</w:t>
            </w:r>
          </w:p>
        </w:tc>
        <w:tc>
          <w:tcPr>
            <w:tcW w:w="1408" w:type="dxa"/>
          </w:tcPr>
          <w:p w:rsidR="00000000" w:rsidRDefault="00000000">
            <w:pPr>
              <w:pStyle w:val="a1"/>
              <w:jc w:val="center"/>
            </w:pPr>
            <w:r>
              <w:t>2 774</w:t>
            </w:r>
          </w:p>
        </w:tc>
        <w:tc>
          <w:tcPr>
            <w:tcW w:w="1408" w:type="dxa"/>
          </w:tcPr>
          <w:p w:rsidR="00000000" w:rsidRDefault="00000000">
            <w:pPr>
              <w:pStyle w:val="a1"/>
              <w:jc w:val="center"/>
            </w:pPr>
            <w:r>
              <w:t>445</w:t>
            </w:r>
          </w:p>
        </w:tc>
        <w:tc>
          <w:tcPr>
            <w:tcW w:w="1408" w:type="dxa"/>
          </w:tcPr>
          <w:p w:rsidR="00000000" w:rsidRDefault="00000000">
            <w:pPr>
              <w:pStyle w:val="a1"/>
              <w:jc w:val="center"/>
            </w:pPr>
            <w:r>
              <w:t>7,1</w:t>
            </w:r>
          </w:p>
        </w:tc>
        <w:tc>
          <w:tcPr>
            <w:tcW w:w="1408" w:type="dxa"/>
          </w:tcPr>
          <w:p w:rsidR="00000000" w:rsidRDefault="00000000">
            <w:pPr>
              <w:pStyle w:val="a1"/>
              <w:jc w:val="center"/>
            </w:pPr>
            <w:r>
              <w:t>7,2</w:t>
            </w:r>
          </w:p>
        </w:tc>
        <w:tc>
          <w:tcPr>
            <w:tcW w:w="1408" w:type="dxa"/>
          </w:tcPr>
          <w:p w:rsidR="00000000" w:rsidRDefault="00000000">
            <w:pPr>
              <w:pStyle w:val="a1"/>
              <w:jc w:val="center"/>
            </w:pPr>
            <w:r>
              <w:t>6,9</w:t>
            </w:r>
          </w:p>
        </w:tc>
      </w:tr>
      <w:tr w:rsidR="00000000">
        <w:tblPrEx>
          <w:tblCellMar>
            <w:top w:w="0" w:type="dxa"/>
            <w:bottom w:w="0" w:type="dxa"/>
          </w:tblCellMar>
        </w:tblPrEx>
        <w:tc>
          <w:tcPr>
            <w:tcW w:w="1408" w:type="dxa"/>
          </w:tcPr>
          <w:p w:rsidR="00000000" w:rsidRDefault="00000000">
            <w:pPr>
              <w:pStyle w:val="a1"/>
            </w:pPr>
            <w:r>
              <w:t>50–54 года</w:t>
            </w:r>
          </w:p>
        </w:tc>
        <w:tc>
          <w:tcPr>
            <w:tcW w:w="1408" w:type="dxa"/>
          </w:tcPr>
          <w:p w:rsidR="00000000" w:rsidRDefault="00000000">
            <w:pPr>
              <w:pStyle w:val="a1"/>
              <w:jc w:val="center"/>
            </w:pPr>
            <w:r>
              <w:t>2 079</w:t>
            </w:r>
          </w:p>
        </w:tc>
        <w:tc>
          <w:tcPr>
            <w:tcW w:w="1408" w:type="dxa"/>
          </w:tcPr>
          <w:p w:rsidR="00000000" w:rsidRDefault="00000000">
            <w:pPr>
              <w:pStyle w:val="a1"/>
              <w:jc w:val="center"/>
            </w:pPr>
            <w:r>
              <w:t>1 777</w:t>
            </w:r>
          </w:p>
        </w:tc>
        <w:tc>
          <w:tcPr>
            <w:tcW w:w="1408" w:type="dxa"/>
          </w:tcPr>
          <w:p w:rsidR="00000000" w:rsidRDefault="00000000">
            <w:pPr>
              <w:pStyle w:val="a1"/>
              <w:jc w:val="center"/>
            </w:pPr>
            <w:r>
              <w:t>302</w:t>
            </w:r>
          </w:p>
        </w:tc>
        <w:tc>
          <w:tcPr>
            <w:tcW w:w="1408" w:type="dxa"/>
          </w:tcPr>
          <w:p w:rsidR="00000000" w:rsidRDefault="00000000">
            <w:pPr>
              <w:pStyle w:val="a1"/>
              <w:jc w:val="center"/>
            </w:pPr>
            <w:r>
              <w:t>4,6</w:t>
            </w:r>
          </w:p>
        </w:tc>
        <w:tc>
          <w:tcPr>
            <w:tcW w:w="1408" w:type="dxa"/>
          </w:tcPr>
          <w:p w:rsidR="00000000" w:rsidRDefault="00000000">
            <w:pPr>
              <w:pStyle w:val="a1"/>
              <w:jc w:val="center"/>
            </w:pPr>
            <w:r>
              <w:t>4,6</w:t>
            </w:r>
          </w:p>
        </w:tc>
        <w:tc>
          <w:tcPr>
            <w:tcW w:w="1408" w:type="dxa"/>
          </w:tcPr>
          <w:p w:rsidR="00000000" w:rsidRDefault="00000000">
            <w:pPr>
              <w:pStyle w:val="a1"/>
              <w:jc w:val="center"/>
            </w:pPr>
            <w:r>
              <w:t>4,7</w:t>
            </w:r>
          </w:p>
        </w:tc>
      </w:tr>
      <w:tr w:rsidR="00000000">
        <w:tblPrEx>
          <w:tblCellMar>
            <w:top w:w="0" w:type="dxa"/>
            <w:bottom w:w="0" w:type="dxa"/>
          </w:tblCellMar>
        </w:tblPrEx>
        <w:tc>
          <w:tcPr>
            <w:tcW w:w="1408" w:type="dxa"/>
          </w:tcPr>
          <w:p w:rsidR="00000000" w:rsidRDefault="00000000">
            <w:pPr>
              <w:pStyle w:val="a1"/>
            </w:pPr>
            <w:r>
              <w:t>55–59 лет</w:t>
            </w:r>
          </w:p>
        </w:tc>
        <w:tc>
          <w:tcPr>
            <w:tcW w:w="1408" w:type="dxa"/>
          </w:tcPr>
          <w:p w:rsidR="00000000" w:rsidRDefault="00000000">
            <w:pPr>
              <w:pStyle w:val="a1"/>
              <w:jc w:val="center"/>
            </w:pPr>
            <w:r>
              <w:t>1 362</w:t>
            </w:r>
          </w:p>
        </w:tc>
        <w:tc>
          <w:tcPr>
            <w:tcW w:w="1408" w:type="dxa"/>
          </w:tcPr>
          <w:p w:rsidR="00000000" w:rsidRDefault="00000000">
            <w:pPr>
              <w:pStyle w:val="a1"/>
              <w:jc w:val="center"/>
            </w:pPr>
            <w:r>
              <w:t>1 172</w:t>
            </w:r>
          </w:p>
        </w:tc>
        <w:tc>
          <w:tcPr>
            <w:tcW w:w="1408" w:type="dxa"/>
          </w:tcPr>
          <w:p w:rsidR="00000000" w:rsidRDefault="00000000">
            <w:pPr>
              <w:pStyle w:val="a1"/>
              <w:jc w:val="center"/>
            </w:pPr>
            <w:r>
              <w:t>190</w:t>
            </w:r>
          </w:p>
        </w:tc>
        <w:tc>
          <w:tcPr>
            <w:tcW w:w="1408" w:type="dxa"/>
          </w:tcPr>
          <w:p w:rsidR="00000000" w:rsidRDefault="00000000">
            <w:pPr>
              <w:pStyle w:val="a1"/>
              <w:jc w:val="center"/>
            </w:pPr>
            <w:r>
              <w:t>3,0</w:t>
            </w:r>
          </w:p>
        </w:tc>
        <w:tc>
          <w:tcPr>
            <w:tcW w:w="1408" w:type="dxa"/>
          </w:tcPr>
          <w:p w:rsidR="00000000" w:rsidRDefault="00000000">
            <w:pPr>
              <w:pStyle w:val="a1"/>
              <w:jc w:val="center"/>
            </w:pPr>
            <w:r>
              <w:t>3,0</w:t>
            </w:r>
          </w:p>
        </w:tc>
        <w:tc>
          <w:tcPr>
            <w:tcW w:w="1408" w:type="dxa"/>
          </w:tcPr>
          <w:p w:rsidR="00000000" w:rsidRDefault="00000000">
            <w:pPr>
              <w:pStyle w:val="a1"/>
              <w:jc w:val="center"/>
            </w:pPr>
            <w:r>
              <w:t>3,0</w:t>
            </w:r>
          </w:p>
        </w:tc>
      </w:tr>
      <w:tr w:rsidR="00000000">
        <w:tblPrEx>
          <w:tblCellMar>
            <w:top w:w="0" w:type="dxa"/>
            <w:bottom w:w="0" w:type="dxa"/>
          </w:tblCellMar>
        </w:tblPrEx>
        <w:tc>
          <w:tcPr>
            <w:tcW w:w="1408" w:type="dxa"/>
          </w:tcPr>
          <w:p w:rsidR="00000000" w:rsidRDefault="00000000">
            <w:pPr>
              <w:pStyle w:val="a1"/>
            </w:pPr>
            <w:r>
              <w:t>60–64 года</w:t>
            </w:r>
          </w:p>
        </w:tc>
        <w:tc>
          <w:tcPr>
            <w:tcW w:w="1408" w:type="dxa"/>
          </w:tcPr>
          <w:p w:rsidR="00000000" w:rsidRDefault="00000000">
            <w:pPr>
              <w:pStyle w:val="a1"/>
              <w:jc w:val="center"/>
            </w:pPr>
            <w:r>
              <w:t>778</w:t>
            </w:r>
          </w:p>
        </w:tc>
        <w:tc>
          <w:tcPr>
            <w:tcW w:w="1408" w:type="dxa"/>
          </w:tcPr>
          <w:p w:rsidR="00000000" w:rsidRDefault="00000000">
            <w:pPr>
              <w:pStyle w:val="a1"/>
              <w:jc w:val="center"/>
            </w:pPr>
            <w:r>
              <w:t>666</w:t>
            </w:r>
          </w:p>
        </w:tc>
        <w:tc>
          <w:tcPr>
            <w:tcW w:w="1408" w:type="dxa"/>
          </w:tcPr>
          <w:p w:rsidR="00000000" w:rsidRDefault="00000000">
            <w:pPr>
              <w:pStyle w:val="a1"/>
              <w:jc w:val="center"/>
            </w:pPr>
            <w:r>
              <w:t>112</w:t>
            </w:r>
          </w:p>
        </w:tc>
        <w:tc>
          <w:tcPr>
            <w:tcW w:w="1408" w:type="dxa"/>
          </w:tcPr>
          <w:p w:rsidR="00000000" w:rsidRDefault="00000000">
            <w:pPr>
              <w:pStyle w:val="a1"/>
              <w:jc w:val="center"/>
            </w:pPr>
            <w:r>
              <w:t>1,7</w:t>
            </w:r>
          </w:p>
        </w:tc>
        <w:tc>
          <w:tcPr>
            <w:tcW w:w="1408" w:type="dxa"/>
          </w:tcPr>
          <w:p w:rsidR="00000000" w:rsidRDefault="00000000">
            <w:pPr>
              <w:pStyle w:val="a1"/>
              <w:jc w:val="center"/>
            </w:pPr>
            <w:r>
              <w:t>1,7</w:t>
            </w:r>
          </w:p>
        </w:tc>
        <w:tc>
          <w:tcPr>
            <w:tcW w:w="1408" w:type="dxa"/>
          </w:tcPr>
          <w:p w:rsidR="00000000" w:rsidRDefault="00000000">
            <w:pPr>
              <w:pStyle w:val="a1"/>
              <w:jc w:val="center"/>
            </w:pPr>
            <w:r>
              <w:t>1,7</w:t>
            </w:r>
          </w:p>
        </w:tc>
      </w:tr>
      <w:tr w:rsidR="00000000">
        <w:tblPrEx>
          <w:tblCellMar>
            <w:top w:w="0" w:type="dxa"/>
            <w:bottom w:w="0" w:type="dxa"/>
          </w:tblCellMar>
        </w:tblPrEx>
        <w:tc>
          <w:tcPr>
            <w:tcW w:w="1408" w:type="dxa"/>
          </w:tcPr>
          <w:p w:rsidR="00000000" w:rsidRDefault="00000000">
            <w:pPr>
              <w:pStyle w:val="a1"/>
            </w:pPr>
            <w:r>
              <w:t>65 лет и старше</w:t>
            </w:r>
          </w:p>
        </w:tc>
        <w:tc>
          <w:tcPr>
            <w:tcW w:w="1408" w:type="dxa"/>
          </w:tcPr>
          <w:p w:rsidR="00000000" w:rsidRDefault="00000000">
            <w:pPr>
              <w:pStyle w:val="a1"/>
              <w:jc w:val="center"/>
            </w:pPr>
            <w:r>
              <w:t>712</w:t>
            </w:r>
          </w:p>
        </w:tc>
        <w:tc>
          <w:tcPr>
            <w:tcW w:w="1408" w:type="dxa"/>
          </w:tcPr>
          <w:p w:rsidR="00000000" w:rsidRDefault="00000000">
            <w:pPr>
              <w:pStyle w:val="a1"/>
              <w:jc w:val="center"/>
            </w:pPr>
            <w:r>
              <w:t>607</w:t>
            </w:r>
          </w:p>
        </w:tc>
        <w:tc>
          <w:tcPr>
            <w:tcW w:w="1408" w:type="dxa"/>
          </w:tcPr>
          <w:p w:rsidR="00000000" w:rsidRDefault="00000000">
            <w:pPr>
              <w:pStyle w:val="a1"/>
              <w:jc w:val="center"/>
            </w:pPr>
            <w:r>
              <w:t>105</w:t>
            </w:r>
          </w:p>
        </w:tc>
        <w:tc>
          <w:tcPr>
            <w:tcW w:w="1408" w:type="dxa"/>
          </w:tcPr>
          <w:p w:rsidR="00000000" w:rsidRDefault="00000000">
            <w:pPr>
              <w:pStyle w:val="a1"/>
              <w:jc w:val="center"/>
            </w:pPr>
            <w:r>
              <w:t>1,6</w:t>
            </w:r>
          </w:p>
        </w:tc>
        <w:tc>
          <w:tcPr>
            <w:tcW w:w="1408" w:type="dxa"/>
          </w:tcPr>
          <w:p w:rsidR="00000000" w:rsidRDefault="00000000">
            <w:pPr>
              <w:pStyle w:val="a1"/>
              <w:jc w:val="center"/>
            </w:pPr>
            <w:r>
              <w:t>1,6</w:t>
            </w:r>
          </w:p>
        </w:tc>
        <w:tc>
          <w:tcPr>
            <w:tcW w:w="1408" w:type="dxa"/>
          </w:tcPr>
          <w:p w:rsidR="00000000" w:rsidRDefault="00000000">
            <w:pPr>
              <w:pStyle w:val="a1"/>
              <w:jc w:val="center"/>
            </w:pPr>
            <w:r>
              <w:t>1,6</w:t>
            </w:r>
          </w:p>
        </w:tc>
      </w:tr>
      <w:tr w:rsidR="00000000">
        <w:tblPrEx>
          <w:tblCellMar>
            <w:top w:w="0" w:type="dxa"/>
            <w:bottom w:w="0" w:type="dxa"/>
          </w:tblCellMar>
        </w:tblPrEx>
        <w:tc>
          <w:tcPr>
            <w:tcW w:w="1408" w:type="dxa"/>
          </w:tcPr>
          <w:p w:rsidR="00000000" w:rsidRDefault="00000000">
            <w:pPr>
              <w:pStyle w:val="a1"/>
            </w:pPr>
            <w:r>
              <w:t>Неизвестно</w:t>
            </w:r>
          </w:p>
        </w:tc>
        <w:tc>
          <w:tcPr>
            <w:tcW w:w="1408" w:type="dxa"/>
          </w:tcPr>
          <w:p w:rsidR="00000000" w:rsidRDefault="00000000">
            <w:pPr>
              <w:pStyle w:val="a1"/>
              <w:jc w:val="center"/>
            </w:pPr>
            <w:r>
              <w:t>682</w:t>
            </w:r>
          </w:p>
        </w:tc>
        <w:tc>
          <w:tcPr>
            <w:tcW w:w="1408" w:type="dxa"/>
          </w:tcPr>
          <w:p w:rsidR="00000000" w:rsidRDefault="00000000">
            <w:pPr>
              <w:pStyle w:val="a1"/>
              <w:jc w:val="center"/>
            </w:pPr>
            <w:r>
              <w:t>586</w:t>
            </w:r>
          </w:p>
        </w:tc>
        <w:tc>
          <w:tcPr>
            <w:tcW w:w="1408" w:type="dxa"/>
          </w:tcPr>
          <w:p w:rsidR="00000000" w:rsidRDefault="00000000">
            <w:pPr>
              <w:pStyle w:val="a1"/>
              <w:jc w:val="center"/>
            </w:pPr>
            <w:r>
              <w:t>96</w:t>
            </w:r>
          </w:p>
        </w:tc>
        <w:tc>
          <w:tcPr>
            <w:tcW w:w="1408" w:type="dxa"/>
          </w:tcPr>
          <w:p w:rsidR="00000000" w:rsidRDefault="00000000">
            <w:pPr>
              <w:pStyle w:val="a1"/>
              <w:jc w:val="center"/>
            </w:pPr>
            <w:r>
              <w:t>1,5</w:t>
            </w:r>
          </w:p>
        </w:tc>
        <w:tc>
          <w:tcPr>
            <w:tcW w:w="1408" w:type="dxa"/>
          </w:tcPr>
          <w:p w:rsidR="00000000" w:rsidRDefault="00000000">
            <w:pPr>
              <w:pStyle w:val="a1"/>
              <w:jc w:val="center"/>
            </w:pPr>
            <w:r>
              <w:t>1,5</w:t>
            </w:r>
          </w:p>
        </w:tc>
        <w:tc>
          <w:tcPr>
            <w:tcW w:w="1408" w:type="dxa"/>
          </w:tcPr>
          <w:p w:rsidR="00000000" w:rsidRDefault="00000000">
            <w:pPr>
              <w:pStyle w:val="a1"/>
              <w:jc w:val="center"/>
            </w:pPr>
            <w:r>
              <w:t>1,5</w:t>
            </w:r>
          </w:p>
        </w:tc>
      </w:tr>
      <w:tr w:rsidR="00000000">
        <w:tblPrEx>
          <w:tblCellMar>
            <w:top w:w="0" w:type="dxa"/>
            <w:bottom w:w="0" w:type="dxa"/>
          </w:tblCellMar>
        </w:tblPrEx>
        <w:tc>
          <w:tcPr>
            <w:tcW w:w="1408" w:type="dxa"/>
          </w:tcPr>
          <w:p w:rsidR="00000000" w:rsidRDefault="00000000">
            <w:pPr>
              <w:pStyle w:val="a1"/>
            </w:pPr>
            <w:r>
              <w:rPr>
                <w:b/>
              </w:rPr>
              <w:t>Итого</w:t>
            </w:r>
          </w:p>
        </w:tc>
        <w:tc>
          <w:tcPr>
            <w:tcW w:w="1408" w:type="dxa"/>
          </w:tcPr>
          <w:p w:rsidR="00000000" w:rsidRDefault="00000000">
            <w:pPr>
              <w:pStyle w:val="a1"/>
              <w:jc w:val="center"/>
            </w:pPr>
            <w:r>
              <w:t>45 134</w:t>
            </w:r>
          </w:p>
        </w:tc>
        <w:tc>
          <w:tcPr>
            <w:tcW w:w="1408" w:type="dxa"/>
          </w:tcPr>
          <w:p w:rsidR="00000000" w:rsidRDefault="00000000">
            <w:pPr>
              <w:pStyle w:val="a1"/>
              <w:jc w:val="center"/>
            </w:pPr>
            <w:r>
              <w:t>38 700</w:t>
            </w:r>
          </w:p>
        </w:tc>
        <w:tc>
          <w:tcPr>
            <w:tcW w:w="1408" w:type="dxa"/>
          </w:tcPr>
          <w:p w:rsidR="00000000" w:rsidRDefault="00000000">
            <w:pPr>
              <w:pStyle w:val="a1"/>
              <w:jc w:val="center"/>
            </w:pPr>
            <w:r>
              <w:t>6 434</w:t>
            </w:r>
          </w:p>
        </w:tc>
        <w:tc>
          <w:tcPr>
            <w:tcW w:w="1408" w:type="dxa"/>
          </w:tcPr>
          <w:p w:rsidR="00000000" w:rsidRDefault="00000000">
            <w:pPr>
              <w:pStyle w:val="a1"/>
              <w:jc w:val="center"/>
            </w:pPr>
            <w:r>
              <w:t>100,0</w:t>
            </w:r>
          </w:p>
        </w:tc>
        <w:tc>
          <w:tcPr>
            <w:tcW w:w="1408" w:type="dxa"/>
          </w:tcPr>
          <w:p w:rsidR="00000000" w:rsidRDefault="00000000">
            <w:pPr>
              <w:pStyle w:val="a1"/>
              <w:jc w:val="center"/>
            </w:pPr>
            <w:r>
              <w:t>100,0</w:t>
            </w:r>
          </w:p>
        </w:tc>
        <w:tc>
          <w:tcPr>
            <w:tcW w:w="1408" w:type="dxa"/>
          </w:tcPr>
          <w:p w:rsidR="00000000" w:rsidRDefault="00000000">
            <w:pPr>
              <w:pStyle w:val="a1"/>
              <w:jc w:val="center"/>
            </w:pPr>
            <w:r>
              <w:t>100,0</w:t>
            </w:r>
          </w:p>
        </w:tc>
      </w:tr>
    </w:tbl>
    <w:p w:rsidR="00000000" w:rsidRDefault="00000000">
      <w:pPr>
        <w:pStyle w:val="Header"/>
        <w:tabs>
          <w:tab w:val="clear" w:pos="4677"/>
          <w:tab w:val="clear" w:pos="9355"/>
        </w:tabs>
        <w:spacing w:after="0"/>
      </w:pPr>
    </w:p>
    <w:p w:rsidR="00000000" w:rsidRDefault="00000000">
      <w:pPr>
        <w:pStyle w:val="a2"/>
      </w:pPr>
      <w:r>
        <w:t xml:space="preserve">Источник: КОНАСИДА. </w:t>
      </w:r>
    </w:p>
    <w:p w:rsidR="00000000" w:rsidRDefault="00000000"/>
    <w:p w:rsidR="00000000" w:rsidRDefault="00000000">
      <w:r>
        <w:t>591.</w:t>
      </w:r>
      <w:r>
        <w:tab/>
        <w:t>В целях расширения сети медицинских служб и повышения качества медицинского обслуживания, равно как и продления жизни больных СПИДом, с 1997 года началось создание СЕА – специальных служб комплексного ух</w:t>
      </w:r>
      <w:r>
        <w:t>о</w:t>
      </w:r>
      <w:r>
        <w:t>да за носителями ВИЧ/СПИДа – при больницах во всех штатах страны. Деятельность этих служб должна быть ра</w:t>
      </w:r>
      <w:r>
        <w:t>з</w:t>
      </w:r>
      <w:r>
        <w:t xml:space="preserve">носторонней, но основной упор должен быть сделан на амбулаторном лечении, своевременном диагностировании и профилактике данного вида инфекций, с тем чтобы уменьшить число больных, нуждающихся в госпитализации или в услугах скорой помощи. В истекшем году было организовано 42 пункта подобных специализированных служб; всего в стране в настоящее время действует 61 такой пункт. За этот период было взято 1,3 млн. проб на ВИЧ/СПИД и другие заболевания, передаваемые половым путем (ЗППП), то есть каждый день бралось в среднем по 6 тыс. таких проб. </w:t>
      </w:r>
    </w:p>
    <w:p w:rsidR="00000000" w:rsidRDefault="00000000">
      <w:r>
        <w:t>592.</w:t>
      </w:r>
      <w:r>
        <w:tab/>
        <w:t>Больные СПИДом имеют сегодня доступ к более широкому набору антивирусных препаратов: недавно в Каталог лекарств национальной службы здравоохранения было включено пять новых медикаментов подобного р</w:t>
      </w:r>
      <w:r>
        <w:t>о</w:t>
      </w:r>
      <w:r>
        <w:t xml:space="preserve">да; таким образом, их общее количество составляет теперь 14. </w:t>
      </w:r>
    </w:p>
    <w:p w:rsidR="00000000" w:rsidRDefault="00000000">
      <w:r>
        <w:t>593.</w:t>
      </w:r>
      <w:r>
        <w:tab/>
        <w:t xml:space="preserve">В 1998 году был создан Национальный фонд помощи больным СПИДом (ФОНСИДА), имеющий целью сбор средств и закупку соответствующих медикаментов и распределение их среди малообеспеченных больных, не имеющих доступа к фондам социального обеспечения. По каналам указанных двух организаций – СЕА и ФОНСИДА – в настоящее время получают помощь 295 детей и подростков в возрасте до 18 лет, </w:t>
      </w:r>
      <w:r>
        <w:br/>
        <w:t>164 беременные женщины и 1051 взрослый житель страны, что в совокупности составляет 85 процентов носителей СПИДа, зарег</w:t>
      </w:r>
      <w:r>
        <w:t>и</w:t>
      </w:r>
      <w:r>
        <w:t>стрированных национальной системой здравоохранения. Те  же организации обеспечивают молочный рацион для детей женщин – носительниц ВИЧ/СПИДа; этим женщинам также гарантировано постоянное обслуж</w:t>
      </w:r>
      <w:r>
        <w:t>и</w:t>
      </w:r>
      <w:r>
        <w:t xml:space="preserve">вание. </w:t>
      </w:r>
    </w:p>
    <w:p w:rsidR="00000000" w:rsidRDefault="00000000">
      <w:r>
        <w:t>594.</w:t>
      </w:r>
      <w:r>
        <w:tab/>
        <w:t>Программой усиления мер по профилактике и лечению ВИЧ/СПИДа и других заболеваний, передаваемых пол</w:t>
      </w:r>
      <w:r>
        <w:t>о</w:t>
      </w:r>
      <w:r>
        <w:t xml:space="preserve">вым путем, на 1997–2000 годы предусмотрен ряд мер по профилактике передачи указанных болезней от матери к ребенку; с этой целью ВИЧ-инфицированным женщинам бесплатно выдается препарат АЗТ во время беременности и в послеродовой период. </w:t>
      </w:r>
    </w:p>
    <w:p w:rsidR="00000000" w:rsidRDefault="00000000">
      <w:r>
        <w:t>595.</w:t>
      </w:r>
      <w:r>
        <w:tab/>
        <w:t xml:space="preserve">С помощью службы информации и консультаций по телефону, а также </w:t>
      </w:r>
      <w:r>
        <w:rPr>
          <w:lang w:val="en-US"/>
        </w:rPr>
        <w:t>Web</w:t>
      </w:r>
      <w:r>
        <w:t>-сайта Национального совета по профилактике СПИДа и борьбе с ним (КОНАСИДА) в Интернете удалось в предварительном порядке установить, что за весь 2000 год общее число консультаций по этим каналам составит приблизительно 60 тыс. – на 17 проце</w:t>
      </w:r>
      <w:r>
        <w:t>н</w:t>
      </w:r>
      <w:r>
        <w:t xml:space="preserve">тов больше, чем в 1999 году. </w:t>
      </w:r>
    </w:p>
    <w:p w:rsidR="00000000" w:rsidRDefault="00000000">
      <w:r>
        <w:t>596.</w:t>
      </w:r>
      <w:r>
        <w:tab/>
        <w:t>С 12 октября 1998 года начато осуществление программы "Красный бант", разработанной Министерством здравоохранения Мексики совместно с КОНАСИДА, Всемирной программой Организации Объединенных Наций по борьбе со СПИДом (ЮНЭЙДС) и ЮНИСЕФ, а также при участии Национальной палаты парфюмерно-косметической промышленности (КАМЕБ) и Национальной фармацевтической ассоциации Мексики (АНАФАРМЕКС). Эта программа адресована всему населению страны и имеет целью обеспечение солидарности и сотрудничества в борьбе с упомянутыми болезнями самых различных предприятий, но прежде всего фармацевт</w:t>
      </w:r>
      <w:r>
        <w:t>и</w:t>
      </w:r>
      <w:r>
        <w:t xml:space="preserve">ческих учреждений и салонов красоты. </w:t>
      </w:r>
    </w:p>
    <w:p w:rsidR="00000000" w:rsidRDefault="00000000">
      <w:r>
        <w:t>597.</w:t>
      </w:r>
      <w:r>
        <w:tab/>
        <w:t>Цель программы "Красный бант" – обеспечить широкое участие различных общественных организаций в борьбе со СПИДом; соответственно, ставится задача превратить салоны красоты, парикмахерские и аптеки в центры информации о каналах распространения ВИЧ-инфекции и методах ее проф</w:t>
      </w:r>
      <w:r>
        <w:t>и</w:t>
      </w:r>
      <w:r>
        <w:t xml:space="preserve">лактики. </w:t>
      </w:r>
    </w:p>
    <w:p w:rsidR="00000000" w:rsidRDefault="00000000">
      <w:r>
        <w:t>598.</w:t>
      </w:r>
      <w:r>
        <w:tab/>
        <w:t>Программа заключается в том, чтобы каждый косметический салон и салон красоты, каждая парикмахерская и аптека были обеспечены качественными наглядными пособиями, содержащими необходимые общие сведения о данном типе заболеваний. Сотрудникам этих учреждений – стилистам-визажистам, парикмахерам, фармацевтам и обслуживающему персоналу – будут разосланы учебные материалы, в которых содержатся рекомендации о том, как в вежливой и ненавязчивой манере дать необходимый минимум информации и советы клиентам, особенно м</w:t>
      </w:r>
      <w:r>
        <w:t>о</w:t>
      </w:r>
      <w:r>
        <w:t>лодежи обоих полов, относительно ситуаций риска и методов профилактики заболеваний, а также о центрах и</w:t>
      </w:r>
      <w:r>
        <w:t>н</w:t>
      </w:r>
      <w:r>
        <w:t>формации, диагн</w:t>
      </w:r>
      <w:r>
        <w:t>о</w:t>
      </w:r>
      <w:r>
        <w:t xml:space="preserve">стики и лечения. </w:t>
      </w:r>
    </w:p>
    <w:p w:rsidR="00000000" w:rsidRDefault="00000000">
      <w:r>
        <w:t>599.</w:t>
      </w:r>
      <w:r>
        <w:tab/>
        <w:t>Осуществление программы "Красный бант" началось с федерального округа, а в настоящее время программа реализуется во всех 32 субъектах Федерации. Участники программы стремятся воздействовать на общественное мнение и обеспечить участие в борьбе со СПИДом различных групп населения. Этой цели служат, в частности, кампании, проводимые в средствах массовой информации, например организованная КОНАСИДА кампания "Б</w:t>
      </w:r>
      <w:r>
        <w:t>о</w:t>
      </w:r>
      <w:r>
        <w:t>рись за жизнь". Первый этап этой кампании имел форму демонстрируемого по телевидению клипа, а также публ</w:t>
      </w:r>
      <w:r>
        <w:t>и</w:t>
      </w:r>
      <w:r>
        <w:t xml:space="preserve">куемых в газетах и журналах пяти плакатов и небольших по объему пропагандистских материалов. </w:t>
      </w:r>
    </w:p>
    <w:p w:rsidR="00000000" w:rsidRDefault="00000000">
      <w:r>
        <w:t>600.</w:t>
      </w:r>
      <w:r>
        <w:tab/>
        <w:t xml:space="preserve">С 25 по 29 октября 1999 года в городе Мехико проходил национальный семинар повышения квалификации для 32 руководителей программ борьбы с ВИЧ/СПИДом/ЗППП в субъектах Федерации. Цель семинара – положить начало развертыванию программы "Красный бант" во всех регионах. </w:t>
      </w:r>
    </w:p>
    <w:p w:rsidR="00000000" w:rsidRDefault="00000000">
      <w:r>
        <w:t>601.</w:t>
      </w:r>
      <w:r>
        <w:tab/>
        <w:t>Параллельно велась разъяснительная работа – также по программе "Красный бант" – с сотрудниками Мин</w:t>
      </w:r>
      <w:r>
        <w:t>и</w:t>
      </w:r>
      <w:r>
        <w:t>стерства здравоохранения. В качестве средства морального поощрения 31 декабря активистам программы было вручено 14 тыс. значков "Красный бант". Сейчас в различных штатах проводятся курсы повышения квалификации для сотрудников Министерства, с тем чтобы а</w:t>
      </w:r>
      <w:r>
        <w:t>к</w:t>
      </w:r>
      <w:r>
        <w:t xml:space="preserve">тивизировать их агитационную работу в салонах красоты и аптеках. </w:t>
      </w:r>
    </w:p>
    <w:p w:rsidR="00000000" w:rsidRDefault="00000000">
      <w:r>
        <w:t>602.</w:t>
      </w:r>
      <w:r>
        <w:tab/>
        <w:t>В 1998 году представитель Мексики занимал пост заместителя Председателя, а в 1999 году – Председателя руководящего совета ЮНЭЙДС. Кроме того, представитель Мексики входит в состав президиума Группы технич</w:t>
      </w:r>
      <w:r>
        <w:t>е</w:t>
      </w:r>
      <w:r>
        <w:t>ского сотруднич</w:t>
      </w:r>
      <w:r>
        <w:t>е</w:t>
      </w:r>
      <w:r>
        <w:t xml:space="preserve">ства латиноамериканских стран. </w:t>
      </w:r>
    </w:p>
    <w:p w:rsidR="00000000" w:rsidRDefault="00000000">
      <w:pPr>
        <w:pStyle w:val="Heading3"/>
      </w:pPr>
      <w:r>
        <w:t xml:space="preserve">Охрана здоровья взрослого населения и лиц пожилого возраста </w:t>
      </w:r>
    </w:p>
    <w:p w:rsidR="00000000" w:rsidRDefault="00000000">
      <w:r>
        <w:t>603.</w:t>
      </w:r>
      <w:r>
        <w:tab/>
        <w:t>Повышение уровня средней продолжительности жизни в Мексике и связанное с этим старение населения, как и повышение вероятности хронических заболеваний, – факторы, диктующие необходимость активизации мер по охране здоровья взрослого населения. Болезни сердца и сосудов головного мозга, а также сахарный диабет входят в число шести наиболее распространенных причин смертности населения страны, что совпадает с тенденциями, о</w:t>
      </w:r>
      <w:r>
        <w:t>т</w:t>
      </w:r>
      <w:r>
        <w:t>мечаем</w:t>
      </w:r>
      <w:r>
        <w:t>ы</w:t>
      </w:r>
      <w:r>
        <w:t xml:space="preserve">ми во всем мире. </w:t>
      </w:r>
    </w:p>
    <w:p w:rsidR="00000000" w:rsidRDefault="00000000">
      <w:r>
        <w:t>604.</w:t>
      </w:r>
      <w:r>
        <w:tab/>
        <w:t>Как часть мероприятий Международного года пожилых людей в Мексике был создан Национальный ком</w:t>
      </w:r>
      <w:r>
        <w:t>и</w:t>
      </w:r>
      <w:r>
        <w:t>тет по проблемам старения, который, координируя свои усилия с органами здравоохранения федерального прав</w:t>
      </w:r>
      <w:r>
        <w:t>и</w:t>
      </w:r>
      <w:r>
        <w:t>тельства и штатов, разрабатывает первоочередные задачи в области охраны здоровья п</w:t>
      </w:r>
      <w:r>
        <w:t>о</w:t>
      </w:r>
      <w:r>
        <w:t xml:space="preserve">жилых людей. </w:t>
      </w:r>
    </w:p>
    <w:p w:rsidR="00000000" w:rsidRDefault="00000000">
      <w:r>
        <w:t>605.</w:t>
      </w:r>
      <w:r>
        <w:tab/>
        <w:t>В Мексике действует система государственных нормативов профилактики и лечения сахарного диабета и гипертонии; в ближайшее время будут опубликованы также нормативы по вакцинации взрослого населения и борьбе с нарушениями обмена веществ. Принятие этих нормативов является частью активизации усилий по профилактике, диагностике и лечению тех болезней, которые в на</w:t>
      </w:r>
      <w:r>
        <w:t>и</w:t>
      </w:r>
      <w:r>
        <w:t>большей степени угрожают данной группе населения.</w:t>
      </w:r>
    </w:p>
    <w:p w:rsidR="00000000" w:rsidRDefault="00000000">
      <w:pPr>
        <w:jc w:val="center"/>
        <w:rPr>
          <w:b/>
        </w:rPr>
      </w:pPr>
      <w:r>
        <w:rPr>
          <w:b/>
        </w:rPr>
        <w:t>Причины смертности лиц пострепродуктивного возраста</w:t>
      </w:r>
      <w:r>
        <w:rPr>
          <w:b/>
          <w:vertAlign w:val="superscript"/>
        </w:rPr>
        <w:t>1</w:t>
      </w:r>
      <w:r>
        <w:rPr>
          <w:b/>
          <w:vertAlign w:val="superscript"/>
        </w:rPr>
        <w:br/>
      </w:r>
      <w:r>
        <w:rPr>
          <w:b/>
        </w:rPr>
        <w:t>(65 лет и старше), с разбивкой по п</w:t>
      </w:r>
      <w:r>
        <w:rPr>
          <w:b/>
        </w:rPr>
        <w:t>о</w:t>
      </w:r>
      <w:r>
        <w:rPr>
          <w:b/>
        </w:rPr>
        <w:t>лу (выборочно),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990"/>
        <w:gridCol w:w="1588"/>
        <w:gridCol w:w="1928"/>
      </w:tblGrid>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Причина</w:t>
            </w:r>
          </w:p>
        </w:tc>
        <w:tc>
          <w:tcPr>
            <w:tcW w:w="1588" w:type="dxa"/>
          </w:tcPr>
          <w:p w:rsidR="00000000" w:rsidRDefault="00000000">
            <w:pPr>
              <w:pStyle w:val="a1"/>
              <w:spacing w:before="20" w:after="20"/>
              <w:jc w:val="center"/>
              <w:rPr>
                <w:b/>
              </w:rPr>
            </w:pPr>
            <w:r>
              <w:rPr>
                <w:b/>
              </w:rPr>
              <w:t>Всего</w:t>
            </w:r>
          </w:p>
        </w:tc>
        <w:tc>
          <w:tcPr>
            <w:tcW w:w="1928" w:type="dxa"/>
          </w:tcPr>
          <w:p w:rsidR="00000000" w:rsidRDefault="00000000">
            <w:pPr>
              <w:pStyle w:val="a1"/>
              <w:spacing w:before="20" w:after="20"/>
              <w:jc w:val="center"/>
              <w:rPr>
                <w:b/>
              </w:rPr>
            </w:pPr>
            <w:r>
              <w:rPr>
                <w:b/>
              </w:rPr>
              <w:t>Процентна доля</w:t>
            </w:r>
          </w:p>
        </w:tc>
      </w:tr>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Мужчины</w:t>
            </w:r>
          </w:p>
        </w:tc>
        <w:tc>
          <w:tcPr>
            <w:tcW w:w="1588" w:type="dxa"/>
          </w:tcPr>
          <w:p w:rsidR="00000000" w:rsidRDefault="00000000">
            <w:pPr>
              <w:pStyle w:val="a1"/>
              <w:spacing w:before="20" w:after="20"/>
              <w:ind w:right="340"/>
              <w:jc w:val="right"/>
            </w:pPr>
            <w:r>
              <w:t>105 887</w:t>
            </w:r>
          </w:p>
        </w:tc>
        <w:tc>
          <w:tcPr>
            <w:tcW w:w="1928" w:type="dxa"/>
          </w:tcPr>
          <w:p w:rsidR="00000000" w:rsidRDefault="00000000">
            <w:pPr>
              <w:pStyle w:val="a1"/>
              <w:spacing w:before="20" w:after="20"/>
              <w:ind w:right="567"/>
              <w:jc w:val="right"/>
            </w:pPr>
            <w:r>
              <w:t>100,0</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Болезни сердца</w:t>
            </w:r>
          </w:p>
        </w:tc>
        <w:tc>
          <w:tcPr>
            <w:tcW w:w="1588" w:type="dxa"/>
          </w:tcPr>
          <w:p w:rsidR="00000000" w:rsidRDefault="00000000">
            <w:pPr>
              <w:pStyle w:val="a1"/>
              <w:spacing w:before="20" w:after="20"/>
              <w:ind w:right="340"/>
              <w:jc w:val="right"/>
            </w:pPr>
            <w:r>
              <w:t>21 780</w:t>
            </w:r>
          </w:p>
        </w:tc>
        <w:tc>
          <w:tcPr>
            <w:tcW w:w="1928" w:type="dxa"/>
          </w:tcPr>
          <w:p w:rsidR="00000000" w:rsidRDefault="00000000">
            <w:pPr>
              <w:pStyle w:val="a1"/>
              <w:spacing w:before="20" w:after="20"/>
              <w:ind w:right="567"/>
              <w:jc w:val="right"/>
            </w:pPr>
            <w:r>
              <w:t>20,6</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Злокачественные опух</w:t>
            </w:r>
            <w:r>
              <w:t>о</w:t>
            </w:r>
            <w:r>
              <w:t>ли</w:t>
            </w:r>
          </w:p>
        </w:tc>
        <w:tc>
          <w:tcPr>
            <w:tcW w:w="1588" w:type="dxa"/>
          </w:tcPr>
          <w:p w:rsidR="00000000" w:rsidRDefault="00000000">
            <w:pPr>
              <w:pStyle w:val="a1"/>
              <w:spacing w:before="20" w:after="20"/>
              <w:ind w:right="340"/>
              <w:jc w:val="right"/>
            </w:pPr>
            <w:r>
              <w:t>14 434</w:t>
            </w:r>
          </w:p>
        </w:tc>
        <w:tc>
          <w:tcPr>
            <w:tcW w:w="1928" w:type="dxa"/>
          </w:tcPr>
          <w:p w:rsidR="00000000" w:rsidRDefault="00000000">
            <w:pPr>
              <w:pStyle w:val="a1"/>
              <w:spacing w:before="20" w:after="20"/>
              <w:ind w:right="567"/>
              <w:jc w:val="right"/>
            </w:pPr>
            <w:r>
              <w:t>13,6</w:t>
            </w:r>
          </w:p>
        </w:tc>
      </w:tr>
      <w:tr w:rsidR="00000000">
        <w:tblPrEx>
          <w:tblCellMar>
            <w:top w:w="0" w:type="dxa"/>
            <w:bottom w:w="0" w:type="dxa"/>
          </w:tblCellMar>
        </w:tblPrEx>
        <w:trPr>
          <w:jc w:val="center"/>
        </w:trPr>
        <w:tc>
          <w:tcPr>
            <w:tcW w:w="4990" w:type="dxa"/>
          </w:tcPr>
          <w:p w:rsidR="00000000" w:rsidRDefault="00000000">
            <w:pPr>
              <w:pStyle w:val="a1"/>
              <w:spacing w:before="20" w:after="20"/>
            </w:pPr>
            <w:r>
              <w:t>Сахарный диабет</w:t>
            </w:r>
          </w:p>
        </w:tc>
        <w:tc>
          <w:tcPr>
            <w:tcW w:w="1588" w:type="dxa"/>
          </w:tcPr>
          <w:p w:rsidR="00000000" w:rsidRDefault="00000000">
            <w:pPr>
              <w:pStyle w:val="a1"/>
              <w:spacing w:before="20" w:after="20"/>
              <w:ind w:right="340"/>
              <w:jc w:val="right"/>
            </w:pPr>
            <w:r>
              <w:t>9 694</w:t>
            </w:r>
          </w:p>
        </w:tc>
        <w:tc>
          <w:tcPr>
            <w:tcW w:w="1928" w:type="dxa"/>
          </w:tcPr>
          <w:p w:rsidR="00000000" w:rsidRDefault="00000000">
            <w:pPr>
              <w:pStyle w:val="a1"/>
              <w:spacing w:before="20" w:after="20"/>
              <w:ind w:right="567"/>
              <w:jc w:val="right"/>
            </w:pPr>
            <w:r>
              <w:t>9,2</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Заболевания сосудов головного мозга</w:t>
            </w:r>
          </w:p>
        </w:tc>
        <w:tc>
          <w:tcPr>
            <w:tcW w:w="1588" w:type="dxa"/>
          </w:tcPr>
          <w:p w:rsidR="00000000" w:rsidRDefault="00000000">
            <w:pPr>
              <w:pStyle w:val="a1"/>
              <w:spacing w:before="20" w:after="20"/>
              <w:ind w:right="340"/>
              <w:jc w:val="right"/>
            </w:pPr>
            <w:r>
              <w:t>6 552</w:t>
            </w:r>
          </w:p>
        </w:tc>
        <w:tc>
          <w:tcPr>
            <w:tcW w:w="1928" w:type="dxa"/>
          </w:tcPr>
          <w:p w:rsidR="00000000" w:rsidRDefault="00000000">
            <w:pPr>
              <w:pStyle w:val="a1"/>
              <w:spacing w:before="20" w:after="20"/>
              <w:ind w:right="567"/>
              <w:jc w:val="right"/>
            </w:pPr>
            <w:r>
              <w:t>6,2</w:t>
            </w:r>
          </w:p>
        </w:tc>
      </w:tr>
      <w:tr w:rsidR="00000000">
        <w:tblPrEx>
          <w:tblCellMar>
            <w:top w:w="0" w:type="dxa"/>
            <w:bottom w:w="0" w:type="dxa"/>
          </w:tblCellMar>
        </w:tblPrEx>
        <w:trPr>
          <w:jc w:val="center"/>
        </w:trPr>
        <w:tc>
          <w:tcPr>
            <w:tcW w:w="4990" w:type="dxa"/>
          </w:tcPr>
          <w:p w:rsidR="00000000" w:rsidRDefault="00000000">
            <w:pPr>
              <w:pStyle w:val="a1"/>
              <w:spacing w:before="20" w:after="20"/>
            </w:pPr>
            <w:r>
              <w:t>Цирроз и другие хронические заболевания п</w:t>
            </w:r>
            <w:r>
              <w:t>е</w:t>
            </w:r>
            <w:r>
              <w:t>чени</w:t>
            </w:r>
          </w:p>
        </w:tc>
        <w:tc>
          <w:tcPr>
            <w:tcW w:w="1588" w:type="dxa"/>
          </w:tcPr>
          <w:p w:rsidR="00000000" w:rsidRDefault="00000000">
            <w:pPr>
              <w:pStyle w:val="a1"/>
              <w:spacing w:before="20" w:after="20"/>
              <w:ind w:right="340"/>
              <w:jc w:val="right"/>
            </w:pPr>
            <w:r>
              <w:t>5 154</w:t>
            </w:r>
          </w:p>
        </w:tc>
        <w:tc>
          <w:tcPr>
            <w:tcW w:w="1928" w:type="dxa"/>
          </w:tcPr>
          <w:p w:rsidR="00000000" w:rsidRDefault="00000000">
            <w:pPr>
              <w:pStyle w:val="a1"/>
              <w:spacing w:before="20" w:after="20"/>
              <w:ind w:right="567"/>
              <w:jc w:val="right"/>
            </w:pPr>
            <w:r>
              <w:t>4,9</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Несчастные случаи</w:t>
            </w:r>
          </w:p>
        </w:tc>
        <w:tc>
          <w:tcPr>
            <w:tcW w:w="1588" w:type="dxa"/>
          </w:tcPr>
          <w:p w:rsidR="00000000" w:rsidRDefault="00000000">
            <w:pPr>
              <w:pStyle w:val="a1"/>
              <w:spacing w:before="20" w:after="20"/>
              <w:ind w:right="340"/>
              <w:jc w:val="right"/>
            </w:pPr>
            <w:r>
              <w:t>4 237</w:t>
            </w:r>
          </w:p>
        </w:tc>
        <w:tc>
          <w:tcPr>
            <w:tcW w:w="1928" w:type="dxa"/>
          </w:tcPr>
          <w:p w:rsidR="00000000" w:rsidRDefault="00000000">
            <w:pPr>
              <w:pStyle w:val="a1"/>
              <w:spacing w:before="20" w:after="20"/>
              <w:ind w:right="567"/>
              <w:jc w:val="right"/>
            </w:pPr>
            <w:r>
              <w:t>4,0</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Прочие</w:t>
            </w:r>
          </w:p>
        </w:tc>
        <w:tc>
          <w:tcPr>
            <w:tcW w:w="1588" w:type="dxa"/>
          </w:tcPr>
          <w:p w:rsidR="00000000" w:rsidRDefault="00000000">
            <w:pPr>
              <w:pStyle w:val="a1"/>
              <w:spacing w:before="20" w:after="20"/>
              <w:ind w:right="340"/>
              <w:jc w:val="right"/>
            </w:pPr>
            <w:r>
              <w:t>44 036</w:t>
            </w:r>
          </w:p>
        </w:tc>
        <w:tc>
          <w:tcPr>
            <w:tcW w:w="1928" w:type="dxa"/>
          </w:tcPr>
          <w:p w:rsidR="00000000" w:rsidRDefault="00000000">
            <w:pPr>
              <w:pStyle w:val="a1"/>
              <w:spacing w:before="20" w:after="20"/>
              <w:ind w:right="567"/>
              <w:jc w:val="right"/>
            </w:pPr>
            <w:r>
              <w:t>41,6</w:t>
            </w:r>
          </w:p>
        </w:tc>
      </w:tr>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Женщины</w:t>
            </w:r>
          </w:p>
        </w:tc>
        <w:tc>
          <w:tcPr>
            <w:tcW w:w="1588" w:type="dxa"/>
          </w:tcPr>
          <w:p w:rsidR="00000000" w:rsidRDefault="00000000">
            <w:pPr>
              <w:pStyle w:val="a1"/>
              <w:spacing w:before="20" w:after="20"/>
              <w:ind w:right="340"/>
              <w:jc w:val="right"/>
            </w:pPr>
            <w:r>
              <w:t>109 110</w:t>
            </w:r>
          </w:p>
        </w:tc>
        <w:tc>
          <w:tcPr>
            <w:tcW w:w="1928" w:type="dxa"/>
          </w:tcPr>
          <w:p w:rsidR="00000000" w:rsidRDefault="00000000">
            <w:pPr>
              <w:pStyle w:val="a1"/>
              <w:spacing w:before="20" w:after="20"/>
              <w:ind w:right="567"/>
              <w:jc w:val="right"/>
            </w:pPr>
            <w:r>
              <w:t>100,0</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Болезни сердца</w:t>
            </w:r>
          </w:p>
        </w:tc>
        <w:tc>
          <w:tcPr>
            <w:tcW w:w="1588" w:type="dxa"/>
          </w:tcPr>
          <w:p w:rsidR="00000000" w:rsidRDefault="00000000">
            <w:pPr>
              <w:pStyle w:val="a1"/>
              <w:spacing w:before="20" w:after="20"/>
              <w:ind w:right="340"/>
              <w:jc w:val="right"/>
            </w:pPr>
            <w:r>
              <w:t>24 945</w:t>
            </w:r>
          </w:p>
        </w:tc>
        <w:tc>
          <w:tcPr>
            <w:tcW w:w="1928" w:type="dxa"/>
          </w:tcPr>
          <w:p w:rsidR="00000000" w:rsidRDefault="00000000">
            <w:pPr>
              <w:pStyle w:val="a1"/>
              <w:spacing w:before="20" w:after="20"/>
              <w:ind w:right="567"/>
              <w:jc w:val="right"/>
            </w:pPr>
            <w:r>
              <w:t>22,9</w:t>
            </w:r>
          </w:p>
        </w:tc>
      </w:tr>
      <w:tr w:rsidR="00000000">
        <w:tblPrEx>
          <w:tblCellMar>
            <w:top w:w="0" w:type="dxa"/>
            <w:bottom w:w="0" w:type="dxa"/>
          </w:tblCellMar>
        </w:tblPrEx>
        <w:trPr>
          <w:jc w:val="center"/>
        </w:trPr>
        <w:tc>
          <w:tcPr>
            <w:tcW w:w="4990" w:type="dxa"/>
          </w:tcPr>
          <w:p w:rsidR="00000000" w:rsidRDefault="00000000">
            <w:pPr>
              <w:pStyle w:val="a1"/>
              <w:spacing w:before="20" w:after="20"/>
            </w:pPr>
            <w:r>
              <w:t>Сахарный диабет</w:t>
            </w:r>
          </w:p>
        </w:tc>
        <w:tc>
          <w:tcPr>
            <w:tcW w:w="1588" w:type="dxa"/>
          </w:tcPr>
          <w:p w:rsidR="00000000" w:rsidRDefault="00000000">
            <w:pPr>
              <w:pStyle w:val="a1"/>
              <w:spacing w:before="20" w:after="20"/>
              <w:ind w:right="340"/>
              <w:jc w:val="right"/>
            </w:pPr>
            <w:r>
              <w:t>13 617</w:t>
            </w:r>
          </w:p>
        </w:tc>
        <w:tc>
          <w:tcPr>
            <w:tcW w:w="1928" w:type="dxa"/>
          </w:tcPr>
          <w:p w:rsidR="00000000" w:rsidRDefault="00000000">
            <w:pPr>
              <w:pStyle w:val="a1"/>
              <w:spacing w:before="20" w:after="20"/>
              <w:ind w:right="567"/>
              <w:jc w:val="right"/>
            </w:pPr>
            <w:r>
              <w:t>12,5</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Злокачественные опух</w:t>
            </w:r>
            <w:r>
              <w:t>о</w:t>
            </w:r>
            <w:r>
              <w:t>ли</w:t>
            </w:r>
          </w:p>
        </w:tc>
        <w:tc>
          <w:tcPr>
            <w:tcW w:w="1588" w:type="dxa"/>
          </w:tcPr>
          <w:p w:rsidR="00000000" w:rsidRDefault="00000000">
            <w:pPr>
              <w:pStyle w:val="a1"/>
              <w:spacing w:before="20" w:after="20"/>
              <w:ind w:right="340"/>
              <w:jc w:val="right"/>
            </w:pPr>
            <w:r>
              <w:t>12 925</w:t>
            </w:r>
          </w:p>
        </w:tc>
        <w:tc>
          <w:tcPr>
            <w:tcW w:w="1928" w:type="dxa"/>
          </w:tcPr>
          <w:p w:rsidR="00000000" w:rsidRDefault="00000000">
            <w:pPr>
              <w:pStyle w:val="a1"/>
              <w:spacing w:before="20" w:after="20"/>
              <w:ind w:right="567"/>
              <w:jc w:val="right"/>
            </w:pPr>
            <w:r>
              <w:t>11,8</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Острые респираторные заболевания</w:t>
            </w:r>
          </w:p>
        </w:tc>
        <w:tc>
          <w:tcPr>
            <w:tcW w:w="1588" w:type="dxa"/>
          </w:tcPr>
          <w:p w:rsidR="00000000" w:rsidRDefault="00000000">
            <w:pPr>
              <w:pStyle w:val="a1"/>
              <w:spacing w:before="20" w:after="20"/>
              <w:ind w:right="340"/>
              <w:jc w:val="right"/>
            </w:pPr>
            <w:r>
              <w:t>12 884</w:t>
            </w:r>
          </w:p>
        </w:tc>
        <w:tc>
          <w:tcPr>
            <w:tcW w:w="1928" w:type="dxa"/>
          </w:tcPr>
          <w:p w:rsidR="00000000" w:rsidRDefault="00000000">
            <w:pPr>
              <w:pStyle w:val="a1"/>
              <w:spacing w:before="20" w:after="20"/>
              <w:ind w:right="567"/>
              <w:jc w:val="right"/>
            </w:pPr>
            <w:r>
              <w:t>11,8</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Пневмония и вирусный грипп</w:t>
            </w:r>
            <w:r>
              <w:rPr>
                <w:vertAlign w:val="superscript"/>
              </w:rPr>
              <w:t>2</w:t>
            </w:r>
          </w:p>
        </w:tc>
        <w:tc>
          <w:tcPr>
            <w:tcW w:w="1588" w:type="dxa"/>
          </w:tcPr>
          <w:p w:rsidR="00000000" w:rsidRDefault="00000000">
            <w:pPr>
              <w:pStyle w:val="a1"/>
              <w:spacing w:before="20" w:after="20"/>
              <w:ind w:right="340"/>
              <w:jc w:val="right"/>
            </w:pPr>
            <w:r>
              <w:t>3 924</w:t>
            </w:r>
          </w:p>
        </w:tc>
        <w:tc>
          <w:tcPr>
            <w:tcW w:w="1928" w:type="dxa"/>
          </w:tcPr>
          <w:p w:rsidR="00000000" w:rsidRDefault="00000000">
            <w:pPr>
              <w:pStyle w:val="a1"/>
              <w:spacing w:before="20" w:after="20"/>
              <w:ind w:right="567"/>
              <w:jc w:val="right"/>
            </w:pPr>
            <w:r>
              <w:t>3,6</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Заболевания сосудов головного мозга</w:t>
            </w:r>
          </w:p>
        </w:tc>
        <w:tc>
          <w:tcPr>
            <w:tcW w:w="1588" w:type="dxa"/>
          </w:tcPr>
          <w:p w:rsidR="00000000" w:rsidRDefault="00000000">
            <w:pPr>
              <w:pStyle w:val="a1"/>
              <w:spacing w:before="20" w:after="20"/>
              <w:ind w:right="340"/>
              <w:jc w:val="right"/>
            </w:pPr>
            <w:r>
              <w:t>8 853</w:t>
            </w:r>
          </w:p>
        </w:tc>
        <w:tc>
          <w:tcPr>
            <w:tcW w:w="1928" w:type="dxa"/>
          </w:tcPr>
          <w:p w:rsidR="00000000" w:rsidRDefault="00000000">
            <w:pPr>
              <w:pStyle w:val="a1"/>
              <w:spacing w:before="20" w:after="20"/>
              <w:ind w:right="567"/>
              <w:jc w:val="right"/>
              <w:rPr>
                <w:lang w:val="en-US"/>
              </w:rPr>
            </w:pPr>
            <w:r>
              <w:rPr>
                <w:lang w:val="en-US"/>
              </w:rPr>
              <w:t>8,1</w:t>
            </w:r>
          </w:p>
        </w:tc>
      </w:tr>
      <w:tr w:rsidR="00000000">
        <w:tblPrEx>
          <w:tblCellMar>
            <w:top w:w="0" w:type="dxa"/>
            <w:bottom w:w="0" w:type="dxa"/>
          </w:tblCellMar>
        </w:tblPrEx>
        <w:trPr>
          <w:jc w:val="center"/>
        </w:trPr>
        <w:tc>
          <w:tcPr>
            <w:tcW w:w="4990" w:type="dxa"/>
          </w:tcPr>
          <w:p w:rsidR="00000000" w:rsidRDefault="00000000">
            <w:pPr>
              <w:pStyle w:val="a1"/>
              <w:spacing w:before="20" w:after="20"/>
              <w:rPr>
                <w:lang w:val="en-US"/>
              </w:rPr>
            </w:pPr>
            <w:r>
              <w:t>Прочие</w:t>
            </w:r>
            <w:r>
              <w:rPr>
                <w:lang w:val="en-US"/>
              </w:rPr>
              <w:t xml:space="preserve"> </w:t>
            </w:r>
          </w:p>
        </w:tc>
        <w:tc>
          <w:tcPr>
            <w:tcW w:w="1588" w:type="dxa"/>
          </w:tcPr>
          <w:p w:rsidR="00000000" w:rsidRDefault="00000000">
            <w:pPr>
              <w:pStyle w:val="a1"/>
              <w:spacing w:before="20" w:after="20"/>
              <w:ind w:right="340"/>
              <w:jc w:val="right"/>
              <w:rPr>
                <w:lang w:val="en-US"/>
              </w:rPr>
            </w:pPr>
            <w:r>
              <w:rPr>
                <w:lang w:val="en-US"/>
              </w:rPr>
              <w:t>35</w:t>
            </w:r>
            <w:r>
              <w:t xml:space="preserve"> </w:t>
            </w:r>
            <w:r>
              <w:rPr>
                <w:lang w:val="en-US"/>
              </w:rPr>
              <w:t>886</w:t>
            </w:r>
          </w:p>
        </w:tc>
        <w:tc>
          <w:tcPr>
            <w:tcW w:w="1928" w:type="dxa"/>
          </w:tcPr>
          <w:p w:rsidR="00000000" w:rsidRDefault="00000000">
            <w:pPr>
              <w:pStyle w:val="a1"/>
              <w:spacing w:before="20" w:after="20"/>
              <w:ind w:right="567"/>
              <w:jc w:val="right"/>
              <w:rPr>
                <w:lang w:val="en-US"/>
              </w:rPr>
            </w:pPr>
            <w:r>
              <w:rPr>
                <w:lang w:val="en-US"/>
              </w:rPr>
              <w:t>32,9</w:t>
            </w:r>
          </w:p>
        </w:tc>
      </w:tr>
    </w:tbl>
    <w:p w:rsidR="00000000" w:rsidRDefault="00000000">
      <w:pPr>
        <w:pStyle w:val="a2"/>
        <w:spacing w:before="120"/>
        <w:ind w:left="567" w:right="574"/>
        <w:rPr>
          <w:lang w:val="en-US"/>
        </w:rPr>
      </w:pPr>
      <w:r>
        <w:t>Источник</w:t>
      </w:r>
      <w:r>
        <w:rPr>
          <w:lang w:val="en-US"/>
        </w:rPr>
        <w:t>: INEGI-SSA, Estadísticas vitales, 1997-1998.</w:t>
      </w:r>
    </w:p>
    <w:p w:rsidR="00000000" w:rsidRDefault="00000000">
      <w:pPr>
        <w:pStyle w:val="a2"/>
        <w:ind w:left="567" w:right="574"/>
      </w:pPr>
      <w:r>
        <w:rPr>
          <w:vertAlign w:val="superscript"/>
        </w:rPr>
        <w:t xml:space="preserve">1 </w:t>
      </w:r>
      <w:r>
        <w:t>В основу положена классификация, приведенная в десятом пересмотренном издании "Международной классиф</w:t>
      </w:r>
      <w:r>
        <w:t>и</w:t>
      </w:r>
      <w:r>
        <w:t>кации болезней". Источник содержит статистические данные по 20 важнейшим причинам смертности по каждому из разделов классификации для лиц в возрасте 65 лет и старше.</w:t>
      </w:r>
    </w:p>
    <w:p w:rsidR="00000000" w:rsidRDefault="00000000">
      <w:pPr>
        <w:pStyle w:val="a2"/>
        <w:ind w:left="567" w:right="574"/>
      </w:pPr>
      <w:r>
        <w:rPr>
          <w:vertAlign w:val="superscript"/>
        </w:rPr>
        <w:t xml:space="preserve">2 </w:t>
      </w:r>
      <w:r>
        <w:t>Данная категория заболеваний и, соответственно, ее процентное выражение являются частью предыдущей кат</w:t>
      </w:r>
      <w:r>
        <w:t>е</w:t>
      </w:r>
      <w:r>
        <w:t xml:space="preserve">гории, поэтому сумма процентных долей превышает 100 процентов. </w:t>
      </w:r>
    </w:p>
    <w:p w:rsidR="00000000" w:rsidRDefault="00000000"/>
    <w:p w:rsidR="00000000" w:rsidRDefault="00000000">
      <w:r>
        <w:t>606.</w:t>
      </w:r>
      <w:r>
        <w:tab/>
        <w:t xml:space="preserve">По нашим оценкам, всего в этом году будет сделано 11,5 млн. анализов на выявление сахарного </w:t>
      </w:r>
      <w:r>
        <w:br/>
        <w:t xml:space="preserve">диабета – на 95 процентов больше, чем в 1994 году. Также было произведено 2 млн. измерений артериального давления у более чем 100 тыс. человек в возрасте 60 лет и старше в порядке профилактики заболеваний сосудов головного мозга. Следует отметить, что к концу 2000 года в стране будут действовать более 5200 групп взаимопомощи, которые объединят в своих рядах 110 тыс. человек. </w:t>
      </w:r>
    </w:p>
    <w:p w:rsidR="00000000" w:rsidRDefault="00000000">
      <w:r>
        <w:t>607.</w:t>
      </w:r>
      <w:r>
        <w:tab/>
        <w:t>В 1998 и 1999 годах ИМСС опубликовал и начал внедрение государственных нормативов медицинского обслуживания женщин в период климакса и нормативов профилактики осложнений последнего. Были организов</w:t>
      </w:r>
      <w:r>
        <w:t>а</w:t>
      </w:r>
      <w:r>
        <w:t>ны курсы повышения квалификации для руководителей 1425 медицинских учреждений всех трех уровней, из кот</w:t>
      </w:r>
      <w:r>
        <w:t>о</w:t>
      </w:r>
      <w:r>
        <w:t>рых 928 относятся к первому уровню (амб</w:t>
      </w:r>
      <w:r>
        <w:t>у</w:t>
      </w:r>
      <w:r>
        <w:t xml:space="preserve">латории) и 497 – ко второму и третьему (больницы). </w:t>
      </w:r>
    </w:p>
    <w:p w:rsidR="00000000" w:rsidRDefault="00000000">
      <w:r>
        <w:t>608.</w:t>
      </w:r>
      <w:r>
        <w:tab/>
        <w:t>Увеличение числа пожилых людей, имеющих медицинскую страховку, также ставит перед ИМСС достато</w:t>
      </w:r>
      <w:r>
        <w:t>ч</w:t>
      </w:r>
      <w:r>
        <w:t xml:space="preserve">но серьезную проблему. Согласно демографическим прогнозам число пенсионеров в Мексике только за этот год вырастет более чем на 1,8 млн. </w:t>
      </w:r>
    </w:p>
    <w:p w:rsidR="00000000" w:rsidRDefault="00000000">
      <w:r>
        <w:t>609.</w:t>
      </w:r>
      <w:r>
        <w:tab/>
        <w:t>Решить социально-экономические и культурные проблемы, которые сопряжены с задачей охраны здоровья этих людей, непросто. Осознавая это, ИМСС принял ряд мер, таких, в частности, как создание центров ежедневной помощи пенсионерам, задача которых – научить их следить за собственным здоровьем, стимулировать общение друг с другом и активный досуг, помочь им достойно занять освободившееся от работы время, предлагая конкре</w:t>
      </w:r>
      <w:r>
        <w:t>т</w:t>
      </w:r>
      <w:r>
        <w:t>ные и бесплатные программы по интересам, которые способствовали бы дальнейшему развитию пожилых людей в познавательном, психологически-эмоциональном и социально-культурном отношении, а также активному в физ</w:t>
      </w:r>
      <w:r>
        <w:t>и</w:t>
      </w:r>
      <w:r>
        <w:t xml:space="preserve">ческом плане образу жизни. </w:t>
      </w:r>
    </w:p>
    <w:p w:rsidR="00000000" w:rsidRDefault="00000000">
      <w:pPr>
        <w:pStyle w:val="Heading3"/>
      </w:pPr>
      <w:r>
        <w:t xml:space="preserve">Профилактика наркомании </w:t>
      </w:r>
    </w:p>
    <w:p w:rsidR="00000000" w:rsidRDefault="00000000">
      <w:r>
        <w:t>610.</w:t>
      </w:r>
      <w:r>
        <w:tab/>
        <w:t>В порядке профилактики распространения наркотиков и злоупотребления ими, а также решения проблем здравоохранения, связанных с употреблением наркотиков, сотрудники Национального совета по наркомании (КОНАДИС) провели только за один истекший год около полумиллиона популярных лекций и бесед и организов</w:t>
      </w:r>
      <w:r>
        <w:t>а</w:t>
      </w:r>
      <w:r>
        <w:t xml:space="preserve">ли примерно 2 тыс. совещаний и семинаров. Кроме того, более 4 тыс. наркоманов и членов их семей прошли курс стационарного лечения и примерно 7 тыс. человек прошли амбулаторный курс дезинтоксикации; было проведено почти 350 тыс. консультаций, имевших медико-воспитательный характер. </w:t>
      </w:r>
    </w:p>
    <w:p w:rsidR="00000000" w:rsidRDefault="00000000">
      <w:r>
        <w:t>611.</w:t>
      </w:r>
      <w:r>
        <w:tab/>
        <w:t>За то же время, в порядке первичной профилактики наркозависимости, центрами социальной адаптации м</w:t>
      </w:r>
      <w:r>
        <w:t>о</w:t>
      </w:r>
      <w:r>
        <w:t>лодежи с участием добровольцев было проведено 140 512 консультаций в целях распространения необходимых знаний и навыков среди подростков и членов их семей; этими консультациями было охвачено почти 1,5 млн. по</w:t>
      </w:r>
      <w:r>
        <w:t>д</w:t>
      </w:r>
      <w:r>
        <w:t xml:space="preserve">ростков. К сказанному следует добавить данные о работе телефонной службы по проблемам наркозависимости (ТЕЛЬСИХИ): за это время указанная служба ответила на 29 тыс. звонков; приведенная цифра превышает на 25 процентов аналогичный показатель предыдущего года. </w:t>
      </w:r>
    </w:p>
    <w:p w:rsidR="00000000" w:rsidRDefault="00000000">
      <w:pPr>
        <w:pStyle w:val="Heading3"/>
      </w:pPr>
      <w:r>
        <w:t xml:space="preserve">Здоровье детей и школьников </w:t>
      </w:r>
    </w:p>
    <w:p w:rsidR="00000000" w:rsidRDefault="00000000">
      <w:r>
        <w:t>612.</w:t>
      </w:r>
      <w:r>
        <w:tab/>
        <w:t>В области охраны здоровья детей федеральное правительство осуществляет комплексный подход: програ</w:t>
      </w:r>
      <w:r>
        <w:t>м</w:t>
      </w:r>
      <w:r>
        <w:t>мы вакцинации сочетаются с профилактикой и лечением прежде всего таких болезней, как дизентерия, инфекцио</w:t>
      </w:r>
      <w:r>
        <w:t>н</w:t>
      </w:r>
      <w:r>
        <w:t xml:space="preserve">ные острые респираторные заболевания и дистрофия. </w:t>
      </w:r>
    </w:p>
    <w:p w:rsidR="00000000" w:rsidRDefault="00000000">
      <w:r>
        <w:t>613.</w:t>
      </w:r>
      <w:r>
        <w:tab/>
        <w:t xml:space="preserve">Постоянными и интенсивными кампаниями вакцинации от основных детских болезней охвачено </w:t>
      </w:r>
      <w:r>
        <w:br/>
        <w:t>95,5 пр</w:t>
      </w:r>
      <w:r>
        <w:t>о</w:t>
      </w:r>
      <w:r>
        <w:t xml:space="preserve">цента детей в возрасте до одного года и 98,3 процента детей в возрасте от года до четырех лет. </w:t>
      </w:r>
      <w:r>
        <w:br/>
        <w:t>С 1994 по 2000 год смертность среди детей в возрасте до пяти лет от дизентерии и ОРЗ уменьшилась на 46,9 и 42,6 процента, соотве</w:t>
      </w:r>
      <w:r>
        <w:t>т</w:t>
      </w:r>
      <w:r>
        <w:t>ственно. Следует отметить, что уже десять лет назад были полностью побеждены полиомиелит и дифтерия, корь уже не приводит к летальному исходу, и резко снизилась заболеваемость новорожденных столбняком, краснухой, свинкой, коклюшем, туберкулезом мозговых оболочек и вирусным гриппом типа В. В результате средняя прогн</w:t>
      </w:r>
      <w:r>
        <w:t>о</w:t>
      </w:r>
      <w:r>
        <w:t xml:space="preserve">зируемая продолжительность жизни новорожденных выросла за период с 1994 года на 2,7 года. </w:t>
      </w:r>
    </w:p>
    <w:p w:rsidR="00000000" w:rsidRDefault="00000000">
      <w:r>
        <w:t>614.</w:t>
      </w:r>
      <w:r>
        <w:tab/>
        <w:t>На конец 2000 года, по нашим оценкам, охват детей в возрасте до года основными видами вакцинации сост</w:t>
      </w:r>
      <w:r>
        <w:t>а</w:t>
      </w:r>
      <w:r>
        <w:t>вит 95,5, прививками вакцины Сабина – 96,5, пятивалентной вакциной – 96,4, вакциной БЦЖ – 99,6, трехвирусной вакциной – 95,5 процента. Охват детей дошкольного возраста основными видами вакцинации составит 98,3, вакц</w:t>
      </w:r>
      <w:r>
        <w:t>и</w:t>
      </w:r>
      <w:r>
        <w:t>ной Сабина – 99, пятивалентной вакциной – 99, вакциной БЦЖ – 99,7 и трехвиру</w:t>
      </w:r>
      <w:r>
        <w:t>с</w:t>
      </w:r>
      <w:r>
        <w:t xml:space="preserve">ной вакциной – 98,3 процента. </w:t>
      </w:r>
    </w:p>
    <w:p w:rsidR="00000000" w:rsidRDefault="00000000">
      <w:r>
        <w:t>615.</w:t>
      </w:r>
      <w:r>
        <w:tab/>
        <w:t>С 1994 года число иммунизирующих препаратов, используемых в программе вакцинации, увеличилось с 6 до 12. В результате стало возможным при меньшем числе прививок обеспечивать защиту от большего числа инфе</w:t>
      </w:r>
      <w:r>
        <w:t>к</w:t>
      </w:r>
      <w:r>
        <w:t>ций. В последние два года в список были включены три новые вакцины: дифтерийный анатоксин (T</w:t>
      </w:r>
      <w:r>
        <w:rPr>
          <w:lang w:val="en-US"/>
        </w:rPr>
        <w:t>d</w:t>
      </w:r>
      <w:r>
        <w:t>), пятивален</w:t>
      </w:r>
      <w:r>
        <w:t>т</w:t>
      </w:r>
      <w:r>
        <w:t>ная вакцина (DPT-HB-HIB) и трехвирусная вакцина (корь, краснуха, свинка). Ожидается, что проведение в жизнь принятой программы вакцинации позволит сберечь жизнь более чем 1000 детей, ранее ежегодно умиравших от пневмонии и бактериального менингита, и еще у 1000 детей предотвратить ранее бывшие неизбежными необр</w:t>
      </w:r>
      <w:r>
        <w:t>а</w:t>
      </w:r>
      <w:r>
        <w:t xml:space="preserve">тимые неврологические последствия. </w:t>
      </w:r>
    </w:p>
    <w:p w:rsidR="00000000" w:rsidRDefault="00000000">
      <w:r>
        <w:t>616.</w:t>
      </w:r>
      <w:r>
        <w:tab/>
        <w:t>В целях улучшения профилактики и лечения заболеваний, сопровождающихся поносом, а также острых ре</w:t>
      </w:r>
      <w:r>
        <w:t>с</w:t>
      </w:r>
      <w:r>
        <w:t>пираторных заболеваний программой "Здоровье ребенка" предусмотрены рассылка населению проспектов под н</w:t>
      </w:r>
      <w:r>
        <w:t>а</w:t>
      </w:r>
      <w:r>
        <w:t>званием "Таблетки, спасающие жизнь" и организация для женщин, имеющих детей до пяти лет, курсов по обуч</w:t>
      </w:r>
      <w:r>
        <w:t>е</w:t>
      </w:r>
      <w:r>
        <w:t>нию методам профилактики и лечения указанных болезней. В ходе "национальных недель здоровья", проводи</w:t>
      </w:r>
      <w:r>
        <w:t>в</w:t>
      </w:r>
      <w:r>
        <w:t xml:space="preserve">шихся в 2000 году, было распределено более 29,1 млн. доз антипаразитарных препаратов среди детей до 14 лет и около 10,8 млн. мегадоз витамина А – среди детей от шести месяцев до четырех лет. </w:t>
      </w:r>
    </w:p>
    <w:p w:rsidR="00000000" w:rsidRDefault="00000000">
      <w:r>
        <w:t>617.</w:t>
      </w:r>
      <w:r>
        <w:tab/>
        <w:t>По нашим оценкам, благодаря предпринятым действиям смертность от заболеваний, сопровождающихся поносом, и острых респираторных заболеваний составит на конец этого года 22,11 и 44,75 случая на 100 тыс. д</w:t>
      </w:r>
      <w:r>
        <w:t>е</w:t>
      </w:r>
      <w:r>
        <w:t>тей в возрасте до пяти лет, соответственно, а это означает ее снижение вдвое по сравн</w:t>
      </w:r>
      <w:r>
        <w:t>е</w:t>
      </w:r>
      <w:r>
        <w:t xml:space="preserve">нию с 1994 годом. </w:t>
      </w:r>
    </w:p>
    <w:p w:rsidR="00000000" w:rsidRDefault="00000000">
      <w:pPr>
        <w:spacing w:before="240"/>
        <w:jc w:val="center"/>
        <w:rPr>
          <w:b/>
        </w:rPr>
      </w:pPr>
      <w:r>
        <w:rPr>
          <w:b/>
        </w:rPr>
        <w:t>Причины детской смертности</w:t>
      </w:r>
      <w:r>
        <w:rPr>
          <w:b/>
          <w:vertAlign w:val="superscript"/>
        </w:rPr>
        <w:t>1</w:t>
      </w:r>
      <w:r>
        <w:rPr>
          <w:b/>
        </w:rPr>
        <w:t>, с разбивкой по полу (выборочно),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990"/>
        <w:gridCol w:w="1588"/>
        <w:gridCol w:w="1985"/>
      </w:tblGrid>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Причина</w:t>
            </w:r>
          </w:p>
        </w:tc>
        <w:tc>
          <w:tcPr>
            <w:tcW w:w="1588" w:type="dxa"/>
          </w:tcPr>
          <w:p w:rsidR="00000000" w:rsidRDefault="00000000">
            <w:pPr>
              <w:pStyle w:val="a1"/>
              <w:spacing w:before="20" w:after="20"/>
              <w:jc w:val="center"/>
              <w:rPr>
                <w:b/>
              </w:rPr>
            </w:pPr>
            <w:r>
              <w:rPr>
                <w:b/>
              </w:rPr>
              <w:t>Всего</w:t>
            </w:r>
          </w:p>
        </w:tc>
        <w:tc>
          <w:tcPr>
            <w:tcW w:w="1985" w:type="dxa"/>
          </w:tcPr>
          <w:p w:rsidR="00000000" w:rsidRDefault="00000000">
            <w:pPr>
              <w:pStyle w:val="a1"/>
              <w:spacing w:before="20" w:after="20"/>
              <w:jc w:val="center"/>
              <w:rPr>
                <w:b/>
              </w:rPr>
            </w:pPr>
            <w:r>
              <w:rPr>
                <w:b/>
              </w:rPr>
              <w:t>Процентная доля</w:t>
            </w:r>
          </w:p>
        </w:tc>
      </w:tr>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Мальчики</w:t>
            </w:r>
          </w:p>
        </w:tc>
        <w:tc>
          <w:tcPr>
            <w:tcW w:w="1588" w:type="dxa"/>
            <w:vAlign w:val="bottom"/>
          </w:tcPr>
          <w:p w:rsidR="00000000" w:rsidRDefault="00000000">
            <w:pPr>
              <w:pStyle w:val="a1"/>
              <w:spacing w:before="20" w:after="20"/>
              <w:ind w:right="340"/>
              <w:jc w:val="right"/>
              <w:rPr>
                <w:b/>
              </w:rPr>
            </w:pPr>
            <w:r>
              <w:rPr>
                <w:b/>
              </w:rPr>
              <w:t>23 307</w:t>
            </w:r>
          </w:p>
        </w:tc>
        <w:tc>
          <w:tcPr>
            <w:tcW w:w="1985" w:type="dxa"/>
            <w:vAlign w:val="bottom"/>
          </w:tcPr>
          <w:p w:rsidR="00000000" w:rsidRDefault="00000000">
            <w:pPr>
              <w:pStyle w:val="a1"/>
              <w:spacing w:before="20" w:after="20"/>
              <w:ind w:right="567"/>
              <w:jc w:val="right"/>
              <w:rPr>
                <w:b/>
              </w:rPr>
            </w:pPr>
            <w:r>
              <w:rPr>
                <w:b/>
              </w:rPr>
              <w:t>100,0</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Некоторые случаи патологии внутриутробного развития плода</w:t>
            </w:r>
          </w:p>
        </w:tc>
        <w:tc>
          <w:tcPr>
            <w:tcW w:w="1588" w:type="dxa"/>
            <w:vAlign w:val="bottom"/>
          </w:tcPr>
          <w:p w:rsidR="00000000" w:rsidRDefault="00000000">
            <w:pPr>
              <w:pStyle w:val="a1"/>
              <w:spacing w:before="20" w:after="20"/>
              <w:ind w:right="340"/>
              <w:jc w:val="right"/>
            </w:pPr>
            <w:r>
              <w:t>11 201</w:t>
            </w:r>
          </w:p>
        </w:tc>
        <w:tc>
          <w:tcPr>
            <w:tcW w:w="1985" w:type="dxa"/>
            <w:vAlign w:val="bottom"/>
          </w:tcPr>
          <w:p w:rsidR="00000000" w:rsidRDefault="00000000">
            <w:pPr>
              <w:pStyle w:val="a1"/>
              <w:spacing w:before="20" w:after="20"/>
              <w:ind w:right="567"/>
              <w:jc w:val="right"/>
            </w:pPr>
            <w:r>
              <w:t>48,1</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Врожденная патология</w:t>
            </w:r>
          </w:p>
        </w:tc>
        <w:tc>
          <w:tcPr>
            <w:tcW w:w="1588" w:type="dxa"/>
            <w:vAlign w:val="bottom"/>
          </w:tcPr>
          <w:p w:rsidR="00000000" w:rsidRDefault="00000000">
            <w:pPr>
              <w:pStyle w:val="a1"/>
              <w:spacing w:before="20" w:after="20"/>
              <w:ind w:right="340"/>
              <w:jc w:val="right"/>
            </w:pPr>
            <w:r>
              <w:t>3 987</w:t>
            </w:r>
          </w:p>
        </w:tc>
        <w:tc>
          <w:tcPr>
            <w:tcW w:w="1985" w:type="dxa"/>
            <w:vAlign w:val="bottom"/>
          </w:tcPr>
          <w:p w:rsidR="00000000" w:rsidRDefault="00000000">
            <w:pPr>
              <w:pStyle w:val="a1"/>
              <w:spacing w:before="20" w:after="20"/>
              <w:ind w:right="567"/>
              <w:jc w:val="right"/>
            </w:pPr>
            <w:r>
              <w:t>17,1</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Острые респираторные заболевания</w:t>
            </w:r>
          </w:p>
        </w:tc>
        <w:tc>
          <w:tcPr>
            <w:tcW w:w="1588" w:type="dxa"/>
            <w:vAlign w:val="bottom"/>
          </w:tcPr>
          <w:p w:rsidR="00000000" w:rsidRDefault="00000000">
            <w:pPr>
              <w:pStyle w:val="a1"/>
              <w:spacing w:before="20" w:after="20"/>
              <w:ind w:right="340"/>
              <w:jc w:val="right"/>
            </w:pPr>
            <w:r>
              <w:t>3 120</w:t>
            </w:r>
          </w:p>
        </w:tc>
        <w:tc>
          <w:tcPr>
            <w:tcW w:w="1985" w:type="dxa"/>
            <w:vAlign w:val="bottom"/>
          </w:tcPr>
          <w:p w:rsidR="00000000" w:rsidRDefault="00000000">
            <w:pPr>
              <w:pStyle w:val="a1"/>
              <w:spacing w:before="20" w:after="20"/>
              <w:ind w:right="567"/>
              <w:jc w:val="right"/>
            </w:pPr>
            <w:r>
              <w:t>13,4</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Пневмония и вирусный грипп</w:t>
            </w:r>
            <w:r>
              <w:rPr>
                <w:vertAlign w:val="superscript"/>
              </w:rPr>
              <w:t>2</w:t>
            </w:r>
          </w:p>
        </w:tc>
        <w:tc>
          <w:tcPr>
            <w:tcW w:w="1588" w:type="dxa"/>
            <w:vAlign w:val="bottom"/>
          </w:tcPr>
          <w:p w:rsidR="00000000" w:rsidRDefault="00000000">
            <w:pPr>
              <w:pStyle w:val="a1"/>
              <w:spacing w:before="20" w:after="20"/>
              <w:ind w:right="340"/>
              <w:jc w:val="right"/>
            </w:pPr>
            <w:r>
              <w:t>1 979</w:t>
            </w:r>
          </w:p>
        </w:tc>
        <w:tc>
          <w:tcPr>
            <w:tcW w:w="1985" w:type="dxa"/>
            <w:vAlign w:val="bottom"/>
          </w:tcPr>
          <w:p w:rsidR="00000000" w:rsidRDefault="00000000">
            <w:pPr>
              <w:pStyle w:val="a1"/>
              <w:spacing w:before="20" w:after="20"/>
              <w:ind w:right="567"/>
              <w:jc w:val="right"/>
            </w:pPr>
            <w:r>
              <w:t>8,5</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Инфекционные кишечные заболевания</w:t>
            </w:r>
          </w:p>
        </w:tc>
        <w:tc>
          <w:tcPr>
            <w:tcW w:w="1588" w:type="dxa"/>
            <w:vAlign w:val="bottom"/>
          </w:tcPr>
          <w:p w:rsidR="00000000" w:rsidRDefault="00000000">
            <w:pPr>
              <w:pStyle w:val="a1"/>
              <w:spacing w:before="20" w:after="20"/>
              <w:ind w:right="340"/>
              <w:jc w:val="right"/>
            </w:pPr>
            <w:r>
              <w:t>1 221</w:t>
            </w:r>
          </w:p>
        </w:tc>
        <w:tc>
          <w:tcPr>
            <w:tcW w:w="1985" w:type="dxa"/>
            <w:vAlign w:val="bottom"/>
          </w:tcPr>
          <w:p w:rsidR="00000000" w:rsidRDefault="00000000">
            <w:pPr>
              <w:pStyle w:val="a1"/>
              <w:spacing w:before="20" w:after="20"/>
              <w:ind w:right="567"/>
              <w:jc w:val="right"/>
            </w:pPr>
            <w:r>
              <w:t>5,2</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Недостаточное питание</w:t>
            </w:r>
          </w:p>
        </w:tc>
        <w:tc>
          <w:tcPr>
            <w:tcW w:w="1588" w:type="dxa"/>
            <w:vAlign w:val="bottom"/>
          </w:tcPr>
          <w:p w:rsidR="00000000" w:rsidRDefault="00000000">
            <w:pPr>
              <w:pStyle w:val="a1"/>
              <w:spacing w:before="20" w:after="20"/>
              <w:ind w:right="340"/>
              <w:jc w:val="right"/>
            </w:pPr>
            <w:r>
              <w:t>903</w:t>
            </w:r>
          </w:p>
        </w:tc>
        <w:tc>
          <w:tcPr>
            <w:tcW w:w="1985" w:type="dxa"/>
            <w:vAlign w:val="bottom"/>
          </w:tcPr>
          <w:p w:rsidR="00000000" w:rsidRDefault="00000000">
            <w:pPr>
              <w:pStyle w:val="a1"/>
              <w:spacing w:before="20" w:after="20"/>
              <w:ind w:right="567"/>
              <w:jc w:val="right"/>
            </w:pPr>
            <w:r>
              <w:t>3,9</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Несчастные случаи</w:t>
            </w:r>
          </w:p>
        </w:tc>
        <w:tc>
          <w:tcPr>
            <w:tcW w:w="1588" w:type="dxa"/>
            <w:vAlign w:val="bottom"/>
          </w:tcPr>
          <w:p w:rsidR="00000000" w:rsidRDefault="00000000">
            <w:pPr>
              <w:pStyle w:val="a1"/>
              <w:spacing w:before="20" w:after="20"/>
              <w:ind w:right="340"/>
              <w:jc w:val="right"/>
            </w:pPr>
            <w:r>
              <w:t>648</w:t>
            </w:r>
          </w:p>
        </w:tc>
        <w:tc>
          <w:tcPr>
            <w:tcW w:w="1985" w:type="dxa"/>
            <w:vAlign w:val="bottom"/>
          </w:tcPr>
          <w:p w:rsidR="00000000" w:rsidRDefault="00000000">
            <w:pPr>
              <w:pStyle w:val="a1"/>
              <w:spacing w:before="20" w:after="20"/>
              <w:ind w:right="567"/>
              <w:jc w:val="right"/>
            </w:pPr>
            <w:r>
              <w:t>2,8</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Прочие</w:t>
            </w:r>
          </w:p>
        </w:tc>
        <w:tc>
          <w:tcPr>
            <w:tcW w:w="1588" w:type="dxa"/>
            <w:vAlign w:val="bottom"/>
          </w:tcPr>
          <w:p w:rsidR="00000000" w:rsidRDefault="00000000">
            <w:pPr>
              <w:pStyle w:val="a1"/>
              <w:spacing w:before="20" w:after="20"/>
              <w:ind w:right="340"/>
              <w:jc w:val="right"/>
            </w:pPr>
            <w:r>
              <w:t>2 227</w:t>
            </w:r>
          </w:p>
        </w:tc>
        <w:tc>
          <w:tcPr>
            <w:tcW w:w="1985" w:type="dxa"/>
            <w:vAlign w:val="bottom"/>
          </w:tcPr>
          <w:p w:rsidR="00000000" w:rsidRDefault="00000000">
            <w:pPr>
              <w:pStyle w:val="a1"/>
              <w:spacing w:before="20" w:after="20"/>
              <w:ind w:right="567"/>
              <w:jc w:val="right"/>
            </w:pPr>
            <w:r>
              <w:t>9,6</w:t>
            </w:r>
          </w:p>
        </w:tc>
      </w:tr>
      <w:tr w:rsidR="00000000">
        <w:tblPrEx>
          <w:tblCellMar>
            <w:top w:w="0" w:type="dxa"/>
            <w:bottom w:w="0" w:type="dxa"/>
          </w:tblCellMar>
        </w:tblPrEx>
        <w:trPr>
          <w:jc w:val="center"/>
        </w:trPr>
        <w:tc>
          <w:tcPr>
            <w:tcW w:w="4990" w:type="dxa"/>
          </w:tcPr>
          <w:p w:rsidR="00000000" w:rsidRDefault="00000000">
            <w:pPr>
              <w:pStyle w:val="a1"/>
              <w:spacing w:before="20" w:after="20"/>
              <w:rPr>
                <w:b/>
              </w:rPr>
            </w:pPr>
            <w:r>
              <w:rPr>
                <w:b/>
              </w:rPr>
              <w:t>Девочки</w:t>
            </w:r>
          </w:p>
        </w:tc>
        <w:tc>
          <w:tcPr>
            <w:tcW w:w="1588" w:type="dxa"/>
            <w:vAlign w:val="bottom"/>
          </w:tcPr>
          <w:p w:rsidR="00000000" w:rsidRDefault="00000000">
            <w:pPr>
              <w:pStyle w:val="a1"/>
              <w:spacing w:before="20" w:after="20"/>
              <w:ind w:right="340"/>
              <w:jc w:val="right"/>
              <w:rPr>
                <w:b/>
              </w:rPr>
            </w:pPr>
            <w:r>
              <w:rPr>
                <w:b/>
              </w:rPr>
              <w:t>18 242</w:t>
            </w:r>
          </w:p>
        </w:tc>
        <w:tc>
          <w:tcPr>
            <w:tcW w:w="1985" w:type="dxa"/>
            <w:vAlign w:val="bottom"/>
          </w:tcPr>
          <w:p w:rsidR="00000000" w:rsidRDefault="00000000">
            <w:pPr>
              <w:pStyle w:val="a1"/>
              <w:spacing w:before="20" w:after="20"/>
              <w:ind w:right="567"/>
              <w:jc w:val="right"/>
              <w:rPr>
                <w:b/>
              </w:rPr>
            </w:pPr>
            <w:r>
              <w:rPr>
                <w:b/>
              </w:rPr>
              <w:t>100,0</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Некоторые случаи патологии внутриутробного развития плода</w:t>
            </w:r>
          </w:p>
        </w:tc>
        <w:tc>
          <w:tcPr>
            <w:tcW w:w="1588" w:type="dxa"/>
            <w:vAlign w:val="bottom"/>
          </w:tcPr>
          <w:p w:rsidR="00000000" w:rsidRDefault="00000000">
            <w:pPr>
              <w:pStyle w:val="a1"/>
              <w:spacing w:before="20" w:after="20"/>
              <w:ind w:right="340"/>
              <w:jc w:val="right"/>
            </w:pPr>
            <w:r>
              <w:t>8 284</w:t>
            </w:r>
          </w:p>
        </w:tc>
        <w:tc>
          <w:tcPr>
            <w:tcW w:w="1985" w:type="dxa"/>
            <w:vAlign w:val="bottom"/>
          </w:tcPr>
          <w:p w:rsidR="00000000" w:rsidRDefault="00000000">
            <w:pPr>
              <w:pStyle w:val="a1"/>
              <w:spacing w:before="20" w:after="20"/>
              <w:ind w:right="567"/>
              <w:jc w:val="right"/>
            </w:pPr>
            <w:r>
              <w:t>45,4</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Врожденная патология</w:t>
            </w:r>
          </w:p>
        </w:tc>
        <w:tc>
          <w:tcPr>
            <w:tcW w:w="1588" w:type="dxa"/>
            <w:vAlign w:val="bottom"/>
          </w:tcPr>
          <w:p w:rsidR="00000000" w:rsidRDefault="00000000">
            <w:pPr>
              <w:pStyle w:val="a1"/>
              <w:spacing w:before="20" w:after="20"/>
              <w:ind w:right="340"/>
              <w:jc w:val="right"/>
            </w:pPr>
            <w:r>
              <w:t>3 521</w:t>
            </w:r>
          </w:p>
        </w:tc>
        <w:tc>
          <w:tcPr>
            <w:tcW w:w="1985" w:type="dxa"/>
            <w:vAlign w:val="bottom"/>
          </w:tcPr>
          <w:p w:rsidR="00000000" w:rsidRDefault="00000000">
            <w:pPr>
              <w:pStyle w:val="a1"/>
              <w:spacing w:before="20" w:after="20"/>
              <w:ind w:right="567"/>
              <w:jc w:val="right"/>
            </w:pPr>
            <w:r>
              <w:t>19,3</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Острые респираторные заболевания</w:t>
            </w:r>
          </w:p>
        </w:tc>
        <w:tc>
          <w:tcPr>
            <w:tcW w:w="1588" w:type="dxa"/>
            <w:vAlign w:val="bottom"/>
          </w:tcPr>
          <w:p w:rsidR="00000000" w:rsidRDefault="00000000">
            <w:pPr>
              <w:pStyle w:val="a1"/>
              <w:spacing w:before="20" w:after="20"/>
              <w:ind w:right="340"/>
              <w:jc w:val="right"/>
            </w:pPr>
            <w:r>
              <w:t>2 507</w:t>
            </w:r>
          </w:p>
        </w:tc>
        <w:tc>
          <w:tcPr>
            <w:tcW w:w="1985" w:type="dxa"/>
            <w:vAlign w:val="bottom"/>
          </w:tcPr>
          <w:p w:rsidR="00000000" w:rsidRDefault="00000000">
            <w:pPr>
              <w:pStyle w:val="a1"/>
              <w:spacing w:before="20" w:after="20"/>
              <w:ind w:right="567"/>
              <w:jc w:val="right"/>
            </w:pPr>
            <w:r>
              <w:t>13,7</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Пневмония и вирусный грипп</w:t>
            </w:r>
            <w:r>
              <w:rPr>
                <w:vertAlign w:val="superscript"/>
              </w:rPr>
              <w:t>2</w:t>
            </w:r>
          </w:p>
        </w:tc>
        <w:tc>
          <w:tcPr>
            <w:tcW w:w="1588" w:type="dxa"/>
            <w:vAlign w:val="bottom"/>
          </w:tcPr>
          <w:p w:rsidR="00000000" w:rsidRDefault="00000000">
            <w:pPr>
              <w:pStyle w:val="a1"/>
              <w:spacing w:before="20" w:after="20"/>
              <w:ind w:right="340"/>
              <w:jc w:val="right"/>
            </w:pPr>
            <w:r>
              <w:t>1 541</w:t>
            </w:r>
          </w:p>
        </w:tc>
        <w:tc>
          <w:tcPr>
            <w:tcW w:w="1985" w:type="dxa"/>
            <w:vAlign w:val="bottom"/>
          </w:tcPr>
          <w:p w:rsidR="00000000" w:rsidRDefault="00000000">
            <w:pPr>
              <w:pStyle w:val="a1"/>
              <w:spacing w:before="20" w:after="20"/>
              <w:ind w:right="567"/>
              <w:jc w:val="right"/>
            </w:pPr>
            <w:r>
              <w:t>8,4</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Инфекционные кишечные заболевания</w:t>
            </w:r>
          </w:p>
        </w:tc>
        <w:tc>
          <w:tcPr>
            <w:tcW w:w="1588" w:type="dxa"/>
            <w:vAlign w:val="bottom"/>
          </w:tcPr>
          <w:p w:rsidR="00000000" w:rsidRDefault="00000000">
            <w:pPr>
              <w:pStyle w:val="a1"/>
              <w:spacing w:before="20" w:after="20"/>
              <w:ind w:right="340"/>
              <w:jc w:val="right"/>
            </w:pPr>
            <w:r>
              <w:t>998</w:t>
            </w:r>
          </w:p>
        </w:tc>
        <w:tc>
          <w:tcPr>
            <w:tcW w:w="1985" w:type="dxa"/>
            <w:vAlign w:val="bottom"/>
          </w:tcPr>
          <w:p w:rsidR="00000000" w:rsidRDefault="00000000">
            <w:pPr>
              <w:pStyle w:val="a1"/>
              <w:spacing w:before="20" w:after="20"/>
              <w:ind w:right="567"/>
              <w:jc w:val="right"/>
            </w:pPr>
            <w:r>
              <w:t>5,5</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Недостаточное питание</w:t>
            </w:r>
          </w:p>
        </w:tc>
        <w:tc>
          <w:tcPr>
            <w:tcW w:w="1588" w:type="dxa"/>
            <w:vAlign w:val="bottom"/>
          </w:tcPr>
          <w:p w:rsidR="00000000" w:rsidRDefault="00000000">
            <w:pPr>
              <w:pStyle w:val="a1"/>
              <w:spacing w:before="20" w:after="20"/>
              <w:ind w:right="340"/>
              <w:jc w:val="right"/>
            </w:pPr>
            <w:r>
              <w:t>751</w:t>
            </w:r>
          </w:p>
        </w:tc>
        <w:tc>
          <w:tcPr>
            <w:tcW w:w="1985" w:type="dxa"/>
            <w:vAlign w:val="bottom"/>
          </w:tcPr>
          <w:p w:rsidR="00000000" w:rsidRDefault="00000000">
            <w:pPr>
              <w:pStyle w:val="a1"/>
              <w:spacing w:before="20" w:after="20"/>
              <w:ind w:right="567"/>
              <w:jc w:val="right"/>
            </w:pPr>
            <w:r>
              <w:t>4,1</w:t>
            </w:r>
          </w:p>
        </w:tc>
      </w:tr>
      <w:tr w:rsidR="00000000">
        <w:tblPrEx>
          <w:tblCellMar>
            <w:top w:w="0" w:type="dxa"/>
            <w:bottom w:w="0" w:type="dxa"/>
          </w:tblCellMar>
        </w:tblPrEx>
        <w:trPr>
          <w:jc w:val="center"/>
        </w:trPr>
        <w:tc>
          <w:tcPr>
            <w:tcW w:w="4990" w:type="dxa"/>
          </w:tcPr>
          <w:p w:rsidR="00000000" w:rsidRDefault="00000000">
            <w:pPr>
              <w:pStyle w:val="a1"/>
              <w:spacing w:before="20" w:after="20"/>
            </w:pPr>
            <w:r>
              <w:t>Несчастные случаи</w:t>
            </w:r>
          </w:p>
        </w:tc>
        <w:tc>
          <w:tcPr>
            <w:tcW w:w="1588" w:type="dxa"/>
            <w:vAlign w:val="bottom"/>
          </w:tcPr>
          <w:p w:rsidR="00000000" w:rsidRDefault="00000000">
            <w:pPr>
              <w:pStyle w:val="a1"/>
              <w:spacing w:before="20" w:after="20"/>
              <w:ind w:right="340"/>
              <w:jc w:val="right"/>
            </w:pPr>
            <w:r>
              <w:t>554</w:t>
            </w:r>
          </w:p>
        </w:tc>
        <w:tc>
          <w:tcPr>
            <w:tcW w:w="1985" w:type="dxa"/>
            <w:vAlign w:val="bottom"/>
          </w:tcPr>
          <w:p w:rsidR="00000000" w:rsidRDefault="00000000">
            <w:pPr>
              <w:pStyle w:val="a1"/>
              <w:spacing w:before="20" w:after="20"/>
              <w:ind w:right="567"/>
              <w:jc w:val="right"/>
            </w:pPr>
            <w:r>
              <w:t>3,0</w:t>
            </w:r>
          </w:p>
        </w:tc>
      </w:tr>
      <w:tr w:rsidR="00000000">
        <w:tblPrEx>
          <w:tblCellMar>
            <w:top w:w="0" w:type="dxa"/>
            <w:bottom w:w="0" w:type="dxa"/>
          </w:tblCellMar>
        </w:tblPrEx>
        <w:trPr>
          <w:jc w:val="center"/>
        </w:trPr>
        <w:tc>
          <w:tcPr>
            <w:tcW w:w="4990" w:type="dxa"/>
          </w:tcPr>
          <w:p w:rsidR="00000000" w:rsidRDefault="00000000">
            <w:pPr>
              <w:pStyle w:val="a1"/>
              <w:spacing w:before="20" w:after="20"/>
              <w:rPr>
                <w:lang w:val="en-US"/>
              </w:rPr>
            </w:pPr>
            <w:r>
              <w:t>Прочие</w:t>
            </w:r>
            <w:r>
              <w:rPr>
                <w:lang w:val="en-US"/>
              </w:rPr>
              <w:t xml:space="preserve"> </w:t>
            </w:r>
          </w:p>
        </w:tc>
        <w:tc>
          <w:tcPr>
            <w:tcW w:w="1588" w:type="dxa"/>
            <w:vAlign w:val="bottom"/>
          </w:tcPr>
          <w:p w:rsidR="00000000" w:rsidRDefault="00000000">
            <w:pPr>
              <w:pStyle w:val="a1"/>
              <w:spacing w:before="20" w:after="20"/>
              <w:ind w:right="340"/>
              <w:jc w:val="right"/>
            </w:pPr>
            <w:r>
              <w:t>1 627</w:t>
            </w:r>
          </w:p>
        </w:tc>
        <w:tc>
          <w:tcPr>
            <w:tcW w:w="1985" w:type="dxa"/>
            <w:vAlign w:val="bottom"/>
          </w:tcPr>
          <w:p w:rsidR="00000000" w:rsidRDefault="00000000">
            <w:pPr>
              <w:pStyle w:val="a1"/>
              <w:spacing w:before="20" w:after="20"/>
              <w:ind w:right="567"/>
              <w:jc w:val="right"/>
            </w:pPr>
            <w:r>
              <w:t>8,9</w:t>
            </w:r>
          </w:p>
        </w:tc>
      </w:tr>
    </w:tbl>
    <w:p w:rsidR="00000000" w:rsidRDefault="00000000">
      <w:pPr>
        <w:pStyle w:val="a2"/>
        <w:spacing w:before="120"/>
        <w:ind w:left="567" w:right="574"/>
        <w:rPr>
          <w:lang w:val="en-US"/>
        </w:rPr>
      </w:pPr>
      <w:r>
        <w:t>Источник</w:t>
      </w:r>
      <w:r>
        <w:rPr>
          <w:lang w:val="en-US"/>
        </w:rPr>
        <w:t>: INEGI-SSA, Estadísticas vitales, 1997-1998.</w:t>
      </w:r>
    </w:p>
    <w:p w:rsidR="00000000" w:rsidRDefault="00000000">
      <w:pPr>
        <w:pStyle w:val="a2"/>
        <w:ind w:left="567" w:right="574"/>
      </w:pPr>
      <w:r>
        <w:rPr>
          <w:vertAlign w:val="superscript"/>
        </w:rPr>
        <w:t>1</w:t>
      </w:r>
      <w:r>
        <w:t xml:space="preserve"> В основу положена классификация, приведенная в десятом пересмотренном издании "Международной классиф</w:t>
      </w:r>
      <w:r>
        <w:t>и</w:t>
      </w:r>
      <w:r>
        <w:t>кации болезней". Источник содержит статистические данные по 20 важнейшим причинам смертности, по каждому из разделов классификации для детей в возрасте до года.</w:t>
      </w:r>
    </w:p>
    <w:p w:rsidR="00000000" w:rsidRDefault="00000000">
      <w:pPr>
        <w:pStyle w:val="a2"/>
        <w:ind w:left="567" w:right="574"/>
      </w:pPr>
      <w:r>
        <w:rPr>
          <w:vertAlign w:val="superscript"/>
        </w:rPr>
        <w:t xml:space="preserve">2 </w:t>
      </w:r>
      <w:r>
        <w:t xml:space="preserve">Данная категория болезней и, соответственно, ее процентное выражение являются частью предыдущей категории, поэтому сумма процентных долей превышает 100 процентов. </w:t>
      </w:r>
    </w:p>
    <w:p w:rsidR="00000000" w:rsidRDefault="00000000">
      <w:pPr>
        <w:jc w:val="center"/>
        <w:rPr>
          <w:b/>
        </w:rPr>
      </w:pPr>
      <w:r>
        <w:br w:type="page"/>
      </w:r>
      <w:r>
        <w:rPr>
          <w:b/>
        </w:rPr>
        <w:t>Основные показатели  детского здоровья, 1994–2000 годы</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062"/>
        <w:gridCol w:w="907"/>
        <w:gridCol w:w="907"/>
        <w:gridCol w:w="907"/>
        <w:gridCol w:w="907"/>
        <w:gridCol w:w="907"/>
        <w:gridCol w:w="1021"/>
        <w:gridCol w:w="1021"/>
      </w:tblGrid>
      <w:tr w:rsidR="00000000">
        <w:tblPrEx>
          <w:tblCellMar>
            <w:top w:w="0" w:type="dxa"/>
            <w:bottom w:w="0" w:type="dxa"/>
          </w:tblCellMar>
        </w:tblPrEx>
        <w:tc>
          <w:tcPr>
            <w:tcW w:w="3062" w:type="dxa"/>
          </w:tcPr>
          <w:p w:rsidR="00000000" w:rsidRDefault="00000000">
            <w:pPr>
              <w:pStyle w:val="a1"/>
              <w:rPr>
                <w:b/>
              </w:rPr>
            </w:pPr>
            <w:r>
              <w:rPr>
                <w:b/>
              </w:rPr>
              <w:t>Катег</w:t>
            </w:r>
            <w:r>
              <w:rPr>
                <w:b/>
              </w:rPr>
              <w:t>о</w:t>
            </w:r>
            <w:r>
              <w:rPr>
                <w:b/>
              </w:rPr>
              <w:t>рия</w:t>
            </w:r>
          </w:p>
        </w:tc>
        <w:tc>
          <w:tcPr>
            <w:tcW w:w="907" w:type="dxa"/>
          </w:tcPr>
          <w:p w:rsidR="00000000" w:rsidRDefault="00000000">
            <w:pPr>
              <w:pStyle w:val="a1"/>
              <w:jc w:val="center"/>
              <w:rPr>
                <w:b/>
              </w:rPr>
            </w:pPr>
            <w:r>
              <w:rPr>
                <w:b/>
              </w:rPr>
              <w:t>1994 год</w:t>
            </w:r>
          </w:p>
        </w:tc>
        <w:tc>
          <w:tcPr>
            <w:tcW w:w="907" w:type="dxa"/>
          </w:tcPr>
          <w:p w:rsidR="00000000" w:rsidRDefault="00000000">
            <w:pPr>
              <w:pStyle w:val="a1"/>
              <w:jc w:val="center"/>
              <w:rPr>
                <w:b/>
              </w:rPr>
            </w:pPr>
            <w:r>
              <w:rPr>
                <w:b/>
              </w:rPr>
              <w:t>1995 год</w:t>
            </w:r>
          </w:p>
        </w:tc>
        <w:tc>
          <w:tcPr>
            <w:tcW w:w="907" w:type="dxa"/>
          </w:tcPr>
          <w:p w:rsidR="00000000" w:rsidRDefault="00000000">
            <w:pPr>
              <w:pStyle w:val="a1"/>
              <w:jc w:val="center"/>
              <w:rPr>
                <w:b/>
              </w:rPr>
            </w:pPr>
            <w:r>
              <w:rPr>
                <w:b/>
              </w:rPr>
              <w:t>1996 год</w:t>
            </w:r>
          </w:p>
        </w:tc>
        <w:tc>
          <w:tcPr>
            <w:tcW w:w="907" w:type="dxa"/>
          </w:tcPr>
          <w:p w:rsidR="00000000" w:rsidRDefault="00000000">
            <w:pPr>
              <w:pStyle w:val="a1"/>
              <w:jc w:val="center"/>
              <w:rPr>
                <w:b/>
              </w:rPr>
            </w:pPr>
            <w:r>
              <w:rPr>
                <w:b/>
              </w:rPr>
              <w:t>1997 год</w:t>
            </w:r>
          </w:p>
        </w:tc>
        <w:tc>
          <w:tcPr>
            <w:tcW w:w="907" w:type="dxa"/>
          </w:tcPr>
          <w:p w:rsidR="00000000" w:rsidRDefault="00000000">
            <w:pPr>
              <w:pStyle w:val="a1"/>
              <w:jc w:val="center"/>
              <w:rPr>
                <w:b/>
              </w:rPr>
            </w:pPr>
            <w:r>
              <w:rPr>
                <w:b/>
              </w:rPr>
              <w:t>1998 год</w:t>
            </w:r>
          </w:p>
        </w:tc>
        <w:tc>
          <w:tcPr>
            <w:tcW w:w="1021" w:type="dxa"/>
          </w:tcPr>
          <w:p w:rsidR="00000000" w:rsidRDefault="00000000">
            <w:pPr>
              <w:pStyle w:val="a1"/>
              <w:jc w:val="center"/>
              <w:rPr>
                <w:b/>
              </w:rPr>
            </w:pPr>
            <w:r>
              <w:rPr>
                <w:b/>
              </w:rPr>
              <w:t>1999</w:t>
            </w:r>
            <w:r>
              <w:rPr>
                <w:b/>
                <w:vertAlign w:val="superscript"/>
                <w:lang w:val="en-US"/>
              </w:rPr>
              <w:t>p</w:t>
            </w:r>
            <w:r>
              <w:rPr>
                <w:b/>
              </w:rPr>
              <w:t xml:space="preserve"> год</w:t>
            </w:r>
          </w:p>
        </w:tc>
        <w:tc>
          <w:tcPr>
            <w:tcW w:w="1021" w:type="dxa"/>
          </w:tcPr>
          <w:p w:rsidR="00000000" w:rsidRDefault="00000000">
            <w:pPr>
              <w:pStyle w:val="a1"/>
              <w:jc w:val="center"/>
              <w:rPr>
                <w:b/>
              </w:rPr>
            </w:pPr>
            <w:r>
              <w:rPr>
                <w:b/>
              </w:rPr>
              <w:t>2000</w:t>
            </w:r>
            <w:r>
              <w:rPr>
                <w:b/>
                <w:vertAlign w:val="superscript"/>
                <w:lang w:val="en-US"/>
              </w:rPr>
              <w:t>e</w:t>
            </w:r>
            <w:r>
              <w:rPr>
                <w:b/>
              </w:rPr>
              <w:t xml:space="preserve"> год</w:t>
            </w:r>
          </w:p>
        </w:tc>
      </w:tr>
      <w:tr w:rsidR="00000000">
        <w:tblPrEx>
          <w:tblCellMar>
            <w:top w:w="0" w:type="dxa"/>
            <w:bottom w:w="0" w:type="dxa"/>
          </w:tblCellMar>
        </w:tblPrEx>
        <w:trPr>
          <w:cantSplit/>
        </w:trPr>
        <w:tc>
          <w:tcPr>
            <w:tcW w:w="9639" w:type="dxa"/>
            <w:gridSpan w:val="8"/>
          </w:tcPr>
          <w:p w:rsidR="00000000" w:rsidRDefault="00000000">
            <w:pPr>
              <w:pStyle w:val="a1"/>
              <w:rPr>
                <w:b/>
              </w:rPr>
            </w:pPr>
            <w:r>
              <w:rPr>
                <w:b/>
              </w:rPr>
              <w:t>Смертность от заболеваний, сопрово</w:t>
            </w:r>
            <w:r>
              <w:rPr>
                <w:b/>
              </w:rPr>
              <w:t>ж</w:t>
            </w:r>
            <w:r>
              <w:rPr>
                <w:b/>
              </w:rPr>
              <w:t>дающихся диареей, среди детей в возра</w:t>
            </w:r>
            <w:r>
              <w:rPr>
                <w:b/>
              </w:rPr>
              <w:t>с</w:t>
            </w:r>
            <w:r>
              <w:rPr>
                <w:b/>
              </w:rPr>
              <w:t>те до пяти лет</w:t>
            </w:r>
            <w:r>
              <w:rPr>
                <w:b/>
                <w:vertAlign w:val="superscript"/>
              </w:rPr>
              <w:t>1</w:t>
            </w:r>
          </w:p>
        </w:tc>
      </w:tr>
      <w:tr w:rsidR="00000000">
        <w:tblPrEx>
          <w:tblCellMar>
            <w:top w:w="0" w:type="dxa"/>
            <w:bottom w:w="0" w:type="dxa"/>
          </w:tblCellMar>
        </w:tblPrEx>
        <w:tc>
          <w:tcPr>
            <w:tcW w:w="3062" w:type="dxa"/>
          </w:tcPr>
          <w:p w:rsidR="00000000" w:rsidRDefault="00000000">
            <w:pPr>
              <w:pStyle w:val="a1"/>
            </w:pPr>
            <w:r>
              <w:t>Всего</w:t>
            </w:r>
          </w:p>
        </w:tc>
        <w:tc>
          <w:tcPr>
            <w:tcW w:w="907" w:type="dxa"/>
          </w:tcPr>
          <w:p w:rsidR="00000000" w:rsidRDefault="00000000">
            <w:pPr>
              <w:pStyle w:val="a1"/>
              <w:ind w:right="170"/>
              <w:jc w:val="right"/>
            </w:pPr>
            <w:r>
              <w:t>47,68</w:t>
            </w:r>
          </w:p>
        </w:tc>
        <w:tc>
          <w:tcPr>
            <w:tcW w:w="907" w:type="dxa"/>
          </w:tcPr>
          <w:p w:rsidR="00000000" w:rsidRDefault="00000000">
            <w:pPr>
              <w:pStyle w:val="a1"/>
              <w:ind w:right="170"/>
              <w:jc w:val="right"/>
            </w:pPr>
            <w:r>
              <w:t>42,94</w:t>
            </w:r>
          </w:p>
        </w:tc>
        <w:tc>
          <w:tcPr>
            <w:tcW w:w="907" w:type="dxa"/>
          </w:tcPr>
          <w:p w:rsidR="00000000" w:rsidRDefault="00000000">
            <w:pPr>
              <w:pStyle w:val="a1"/>
              <w:ind w:right="170"/>
              <w:jc w:val="right"/>
            </w:pPr>
            <w:r>
              <w:t>37,79</w:t>
            </w:r>
          </w:p>
        </w:tc>
        <w:tc>
          <w:tcPr>
            <w:tcW w:w="907" w:type="dxa"/>
          </w:tcPr>
          <w:p w:rsidR="00000000" w:rsidRDefault="00000000">
            <w:pPr>
              <w:pStyle w:val="a1"/>
              <w:ind w:right="170"/>
              <w:jc w:val="right"/>
            </w:pPr>
            <w:r>
              <w:t>32,97</w:t>
            </w:r>
          </w:p>
        </w:tc>
        <w:tc>
          <w:tcPr>
            <w:tcW w:w="907" w:type="dxa"/>
          </w:tcPr>
          <w:p w:rsidR="00000000" w:rsidRDefault="00000000">
            <w:pPr>
              <w:pStyle w:val="a1"/>
              <w:ind w:right="170"/>
              <w:jc w:val="right"/>
            </w:pPr>
            <w:r>
              <w:t>28,97</w:t>
            </w:r>
          </w:p>
        </w:tc>
        <w:tc>
          <w:tcPr>
            <w:tcW w:w="1021" w:type="dxa"/>
          </w:tcPr>
          <w:p w:rsidR="00000000" w:rsidRDefault="00000000">
            <w:pPr>
              <w:pStyle w:val="a1"/>
              <w:ind w:right="227"/>
              <w:jc w:val="right"/>
            </w:pPr>
            <w:r>
              <w:t>25,34</w:t>
            </w:r>
          </w:p>
        </w:tc>
        <w:tc>
          <w:tcPr>
            <w:tcW w:w="1021" w:type="dxa"/>
          </w:tcPr>
          <w:p w:rsidR="00000000" w:rsidRDefault="00000000">
            <w:pPr>
              <w:pStyle w:val="a1"/>
              <w:ind w:right="227"/>
              <w:jc w:val="right"/>
            </w:pPr>
            <w:r>
              <w:t>20,21</w:t>
            </w:r>
          </w:p>
        </w:tc>
      </w:tr>
      <w:tr w:rsidR="00000000">
        <w:tblPrEx>
          <w:tblCellMar>
            <w:top w:w="0" w:type="dxa"/>
            <w:bottom w:w="0" w:type="dxa"/>
          </w:tblCellMar>
        </w:tblPrEx>
        <w:tc>
          <w:tcPr>
            <w:tcW w:w="3062" w:type="dxa"/>
          </w:tcPr>
          <w:p w:rsidR="00000000" w:rsidRDefault="00000000">
            <w:pPr>
              <w:pStyle w:val="a1"/>
            </w:pPr>
            <w:r>
              <w:t>Мальчики</w:t>
            </w:r>
          </w:p>
        </w:tc>
        <w:tc>
          <w:tcPr>
            <w:tcW w:w="907" w:type="dxa"/>
          </w:tcPr>
          <w:p w:rsidR="00000000" w:rsidRDefault="00000000">
            <w:pPr>
              <w:pStyle w:val="a1"/>
              <w:ind w:right="170"/>
              <w:jc w:val="right"/>
            </w:pPr>
            <w:r>
              <w:t>52,06</w:t>
            </w:r>
          </w:p>
        </w:tc>
        <w:tc>
          <w:tcPr>
            <w:tcW w:w="907" w:type="dxa"/>
          </w:tcPr>
          <w:p w:rsidR="00000000" w:rsidRDefault="00000000">
            <w:pPr>
              <w:pStyle w:val="a1"/>
              <w:ind w:right="170"/>
              <w:jc w:val="right"/>
            </w:pPr>
            <w:r>
              <w:t>45,90</w:t>
            </w:r>
          </w:p>
        </w:tc>
        <w:tc>
          <w:tcPr>
            <w:tcW w:w="907" w:type="dxa"/>
          </w:tcPr>
          <w:p w:rsidR="00000000" w:rsidRDefault="00000000">
            <w:pPr>
              <w:pStyle w:val="a1"/>
              <w:ind w:right="170"/>
              <w:jc w:val="right"/>
            </w:pPr>
            <w:r>
              <w:t>40,73</w:t>
            </w:r>
          </w:p>
        </w:tc>
        <w:tc>
          <w:tcPr>
            <w:tcW w:w="907" w:type="dxa"/>
          </w:tcPr>
          <w:p w:rsidR="00000000" w:rsidRDefault="00000000">
            <w:pPr>
              <w:pStyle w:val="a1"/>
              <w:ind w:right="170"/>
              <w:jc w:val="right"/>
            </w:pPr>
            <w:r>
              <w:t>35,48</w:t>
            </w:r>
          </w:p>
        </w:tc>
        <w:tc>
          <w:tcPr>
            <w:tcW w:w="907" w:type="dxa"/>
          </w:tcPr>
          <w:p w:rsidR="00000000" w:rsidRDefault="00000000">
            <w:pPr>
              <w:pStyle w:val="a1"/>
              <w:ind w:right="170"/>
              <w:jc w:val="right"/>
            </w:pPr>
            <w:r>
              <w:t>31,62</w:t>
            </w:r>
          </w:p>
        </w:tc>
        <w:tc>
          <w:tcPr>
            <w:tcW w:w="1021" w:type="dxa"/>
          </w:tcPr>
          <w:p w:rsidR="00000000" w:rsidRDefault="00000000">
            <w:pPr>
              <w:pStyle w:val="a1"/>
              <w:ind w:right="227"/>
              <w:jc w:val="right"/>
            </w:pPr>
            <w:r>
              <w:t>25,77</w:t>
            </w:r>
          </w:p>
        </w:tc>
        <w:tc>
          <w:tcPr>
            <w:tcW w:w="1021" w:type="dxa"/>
          </w:tcPr>
          <w:p w:rsidR="00000000" w:rsidRDefault="00000000">
            <w:pPr>
              <w:pStyle w:val="a1"/>
              <w:ind w:right="227"/>
              <w:jc w:val="right"/>
            </w:pPr>
            <w:r>
              <w:t>20,64</w:t>
            </w:r>
          </w:p>
        </w:tc>
      </w:tr>
      <w:tr w:rsidR="00000000">
        <w:tblPrEx>
          <w:tblCellMar>
            <w:top w:w="0" w:type="dxa"/>
            <w:bottom w:w="0" w:type="dxa"/>
          </w:tblCellMar>
        </w:tblPrEx>
        <w:tc>
          <w:tcPr>
            <w:tcW w:w="3062" w:type="dxa"/>
          </w:tcPr>
          <w:p w:rsidR="00000000" w:rsidRDefault="00000000">
            <w:pPr>
              <w:pStyle w:val="a1"/>
            </w:pPr>
            <w:r>
              <w:t>Девочки</w:t>
            </w:r>
          </w:p>
        </w:tc>
        <w:tc>
          <w:tcPr>
            <w:tcW w:w="907" w:type="dxa"/>
          </w:tcPr>
          <w:p w:rsidR="00000000" w:rsidRDefault="00000000">
            <w:pPr>
              <w:pStyle w:val="a1"/>
              <w:ind w:right="170"/>
              <w:jc w:val="right"/>
            </w:pPr>
            <w:r>
              <w:t>43,13</w:t>
            </w:r>
          </w:p>
        </w:tc>
        <w:tc>
          <w:tcPr>
            <w:tcW w:w="907" w:type="dxa"/>
          </w:tcPr>
          <w:p w:rsidR="00000000" w:rsidRDefault="00000000">
            <w:pPr>
              <w:pStyle w:val="a1"/>
              <w:ind w:right="170"/>
              <w:jc w:val="right"/>
            </w:pPr>
            <w:r>
              <w:t>39,88</w:t>
            </w:r>
          </w:p>
        </w:tc>
        <w:tc>
          <w:tcPr>
            <w:tcW w:w="907" w:type="dxa"/>
          </w:tcPr>
          <w:p w:rsidR="00000000" w:rsidRDefault="00000000">
            <w:pPr>
              <w:pStyle w:val="a1"/>
              <w:ind w:right="170"/>
              <w:jc w:val="right"/>
            </w:pPr>
            <w:r>
              <w:t>34,75</w:t>
            </w:r>
          </w:p>
        </w:tc>
        <w:tc>
          <w:tcPr>
            <w:tcW w:w="907" w:type="dxa"/>
          </w:tcPr>
          <w:p w:rsidR="00000000" w:rsidRDefault="00000000">
            <w:pPr>
              <w:pStyle w:val="a1"/>
              <w:ind w:right="170"/>
              <w:jc w:val="right"/>
            </w:pPr>
            <w:r>
              <w:t>30,37</w:t>
            </w:r>
          </w:p>
        </w:tc>
        <w:tc>
          <w:tcPr>
            <w:tcW w:w="907" w:type="dxa"/>
          </w:tcPr>
          <w:p w:rsidR="00000000" w:rsidRDefault="00000000">
            <w:pPr>
              <w:pStyle w:val="a1"/>
              <w:ind w:right="170"/>
              <w:jc w:val="right"/>
            </w:pPr>
            <w:r>
              <w:t>26,19</w:t>
            </w:r>
          </w:p>
        </w:tc>
        <w:tc>
          <w:tcPr>
            <w:tcW w:w="1021" w:type="dxa"/>
          </w:tcPr>
          <w:p w:rsidR="00000000" w:rsidRDefault="00000000">
            <w:pPr>
              <w:pStyle w:val="a1"/>
              <w:ind w:right="227"/>
              <w:jc w:val="right"/>
            </w:pPr>
            <w:r>
              <w:t>23,23</w:t>
            </w:r>
          </w:p>
        </w:tc>
        <w:tc>
          <w:tcPr>
            <w:tcW w:w="1021" w:type="dxa"/>
          </w:tcPr>
          <w:p w:rsidR="00000000" w:rsidRDefault="00000000">
            <w:pPr>
              <w:pStyle w:val="a1"/>
              <w:ind w:right="227"/>
              <w:jc w:val="right"/>
            </w:pPr>
            <w:r>
              <w:t>18,54</w:t>
            </w:r>
          </w:p>
        </w:tc>
      </w:tr>
      <w:tr w:rsidR="00000000">
        <w:tblPrEx>
          <w:tblCellMar>
            <w:top w:w="0" w:type="dxa"/>
            <w:bottom w:w="0" w:type="dxa"/>
          </w:tblCellMar>
        </w:tblPrEx>
        <w:trPr>
          <w:cantSplit/>
        </w:trPr>
        <w:tc>
          <w:tcPr>
            <w:tcW w:w="9639" w:type="dxa"/>
            <w:gridSpan w:val="8"/>
          </w:tcPr>
          <w:p w:rsidR="00000000" w:rsidRDefault="00000000">
            <w:pPr>
              <w:pStyle w:val="a1"/>
              <w:ind w:right="227"/>
              <w:rPr>
                <w:b/>
              </w:rPr>
            </w:pPr>
            <w:r>
              <w:rPr>
                <w:b/>
              </w:rPr>
              <w:t>Смертность от острых респ</w:t>
            </w:r>
            <w:r>
              <w:rPr>
                <w:b/>
              </w:rPr>
              <w:t>и</w:t>
            </w:r>
            <w:r>
              <w:rPr>
                <w:b/>
              </w:rPr>
              <w:t>раторных з</w:t>
            </w:r>
            <w:r>
              <w:rPr>
                <w:b/>
              </w:rPr>
              <w:t>а</w:t>
            </w:r>
            <w:r>
              <w:rPr>
                <w:b/>
              </w:rPr>
              <w:t>болеваний среди детей в возрасте до пяти лет</w:t>
            </w:r>
            <w:r>
              <w:rPr>
                <w:b/>
                <w:vertAlign w:val="superscript"/>
              </w:rPr>
              <w:t>1</w:t>
            </w:r>
          </w:p>
        </w:tc>
      </w:tr>
      <w:tr w:rsidR="00000000">
        <w:tblPrEx>
          <w:tblCellMar>
            <w:top w:w="0" w:type="dxa"/>
            <w:bottom w:w="0" w:type="dxa"/>
          </w:tblCellMar>
        </w:tblPrEx>
        <w:tc>
          <w:tcPr>
            <w:tcW w:w="3062" w:type="dxa"/>
          </w:tcPr>
          <w:p w:rsidR="00000000" w:rsidRDefault="00000000">
            <w:pPr>
              <w:pStyle w:val="a1"/>
            </w:pPr>
            <w:r>
              <w:t>Всего</w:t>
            </w:r>
          </w:p>
        </w:tc>
        <w:tc>
          <w:tcPr>
            <w:tcW w:w="907" w:type="dxa"/>
          </w:tcPr>
          <w:p w:rsidR="00000000" w:rsidRDefault="00000000">
            <w:pPr>
              <w:pStyle w:val="a1"/>
              <w:ind w:right="170"/>
              <w:jc w:val="right"/>
            </w:pPr>
            <w:r>
              <w:t>82,33</w:t>
            </w:r>
          </w:p>
        </w:tc>
        <w:tc>
          <w:tcPr>
            <w:tcW w:w="907" w:type="dxa"/>
          </w:tcPr>
          <w:p w:rsidR="00000000" w:rsidRDefault="00000000">
            <w:pPr>
              <w:pStyle w:val="a1"/>
              <w:ind w:right="170"/>
              <w:jc w:val="right"/>
            </w:pPr>
            <w:r>
              <w:t>76,36</w:t>
            </w:r>
          </w:p>
        </w:tc>
        <w:tc>
          <w:tcPr>
            <w:tcW w:w="907" w:type="dxa"/>
          </w:tcPr>
          <w:p w:rsidR="00000000" w:rsidRDefault="00000000">
            <w:pPr>
              <w:pStyle w:val="a1"/>
              <w:ind w:right="170"/>
              <w:jc w:val="right"/>
            </w:pPr>
            <w:r>
              <w:t>72,35</w:t>
            </w:r>
          </w:p>
        </w:tc>
        <w:tc>
          <w:tcPr>
            <w:tcW w:w="907" w:type="dxa"/>
          </w:tcPr>
          <w:p w:rsidR="00000000" w:rsidRDefault="00000000">
            <w:pPr>
              <w:pStyle w:val="a1"/>
              <w:ind w:right="170"/>
              <w:jc w:val="right"/>
            </w:pPr>
            <w:r>
              <w:t>66,99</w:t>
            </w:r>
          </w:p>
        </w:tc>
        <w:tc>
          <w:tcPr>
            <w:tcW w:w="907" w:type="dxa"/>
          </w:tcPr>
          <w:p w:rsidR="00000000" w:rsidRDefault="00000000">
            <w:pPr>
              <w:pStyle w:val="a1"/>
              <w:ind w:right="170"/>
              <w:jc w:val="right"/>
            </w:pPr>
            <w:r>
              <w:t>51,68</w:t>
            </w:r>
          </w:p>
        </w:tc>
        <w:tc>
          <w:tcPr>
            <w:tcW w:w="1021" w:type="dxa"/>
          </w:tcPr>
          <w:p w:rsidR="00000000" w:rsidRDefault="00000000">
            <w:pPr>
              <w:pStyle w:val="a1"/>
              <w:ind w:right="227"/>
              <w:jc w:val="right"/>
            </w:pPr>
            <w:r>
              <w:t>47,29</w:t>
            </w:r>
          </w:p>
        </w:tc>
        <w:tc>
          <w:tcPr>
            <w:tcW w:w="1021" w:type="dxa"/>
          </w:tcPr>
          <w:p w:rsidR="00000000" w:rsidRDefault="00000000">
            <w:pPr>
              <w:pStyle w:val="a1"/>
              <w:ind w:right="227"/>
              <w:jc w:val="right"/>
            </w:pPr>
            <w:r>
              <w:t>38,99</w:t>
            </w:r>
          </w:p>
        </w:tc>
      </w:tr>
      <w:tr w:rsidR="00000000">
        <w:tblPrEx>
          <w:tblCellMar>
            <w:top w:w="0" w:type="dxa"/>
            <w:bottom w:w="0" w:type="dxa"/>
          </w:tblCellMar>
        </w:tblPrEx>
        <w:tc>
          <w:tcPr>
            <w:tcW w:w="3062" w:type="dxa"/>
          </w:tcPr>
          <w:p w:rsidR="00000000" w:rsidRDefault="00000000">
            <w:pPr>
              <w:pStyle w:val="a1"/>
            </w:pPr>
            <w:r>
              <w:t>Мальчики</w:t>
            </w:r>
          </w:p>
        </w:tc>
        <w:tc>
          <w:tcPr>
            <w:tcW w:w="907" w:type="dxa"/>
          </w:tcPr>
          <w:p w:rsidR="00000000" w:rsidRDefault="00000000">
            <w:pPr>
              <w:pStyle w:val="a1"/>
              <w:ind w:right="170"/>
              <w:jc w:val="right"/>
            </w:pPr>
            <w:r>
              <w:t>89,06</w:t>
            </w:r>
          </w:p>
        </w:tc>
        <w:tc>
          <w:tcPr>
            <w:tcW w:w="907" w:type="dxa"/>
          </w:tcPr>
          <w:p w:rsidR="00000000" w:rsidRDefault="00000000">
            <w:pPr>
              <w:pStyle w:val="a1"/>
              <w:ind w:right="170"/>
              <w:jc w:val="right"/>
            </w:pPr>
            <w:r>
              <w:t>83,56</w:t>
            </w:r>
          </w:p>
        </w:tc>
        <w:tc>
          <w:tcPr>
            <w:tcW w:w="907" w:type="dxa"/>
          </w:tcPr>
          <w:p w:rsidR="00000000" w:rsidRDefault="00000000">
            <w:pPr>
              <w:pStyle w:val="a1"/>
              <w:ind w:right="170"/>
              <w:jc w:val="right"/>
            </w:pPr>
            <w:r>
              <w:t>78,50</w:t>
            </w:r>
          </w:p>
        </w:tc>
        <w:tc>
          <w:tcPr>
            <w:tcW w:w="907" w:type="dxa"/>
          </w:tcPr>
          <w:p w:rsidR="00000000" w:rsidRDefault="00000000">
            <w:pPr>
              <w:pStyle w:val="a1"/>
              <w:ind w:right="170"/>
              <w:jc w:val="right"/>
            </w:pPr>
            <w:r>
              <w:t>73,95</w:t>
            </w:r>
          </w:p>
        </w:tc>
        <w:tc>
          <w:tcPr>
            <w:tcW w:w="907" w:type="dxa"/>
          </w:tcPr>
          <w:p w:rsidR="00000000" w:rsidRDefault="00000000">
            <w:pPr>
              <w:pStyle w:val="a1"/>
              <w:ind w:right="170"/>
              <w:jc w:val="right"/>
            </w:pPr>
            <w:r>
              <w:t>56,02</w:t>
            </w:r>
          </w:p>
        </w:tc>
        <w:tc>
          <w:tcPr>
            <w:tcW w:w="1021" w:type="dxa"/>
          </w:tcPr>
          <w:p w:rsidR="00000000" w:rsidRDefault="00000000">
            <w:pPr>
              <w:pStyle w:val="a1"/>
              <w:ind w:right="227"/>
              <w:jc w:val="right"/>
            </w:pPr>
            <w:r>
              <w:t>53,51</w:t>
            </w:r>
          </w:p>
        </w:tc>
        <w:tc>
          <w:tcPr>
            <w:tcW w:w="1021" w:type="dxa"/>
          </w:tcPr>
          <w:p w:rsidR="00000000" w:rsidRDefault="00000000">
            <w:pPr>
              <w:pStyle w:val="a1"/>
              <w:ind w:right="227"/>
              <w:jc w:val="right"/>
            </w:pPr>
            <w:r>
              <w:t>45,94</w:t>
            </w:r>
          </w:p>
        </w:tc>
      </w:tr>
      <w:tr w:rsidR="00000000">
        <w:tblPrEx>
          <w:tblCellMar>
            <w:top w:w="0" w:type="dxa"/>
            <w:bottom w:w="0" w:type="dxa"/>
          </w:tblCellMar>
        </w:tblPrEx>
        <w:tc>
          <w:tcPr>
            <w:tcW w:w="3062" w:type="dxa"/>
          </w:tcPr>
          <w:p w:rsidR="00000000" w:rsidRDefault="00000000">
            <w:pPr>
              <w:pStyle w:val="a1"/>
            </w:pPr>
            <w:r>
              <w:t>Девочки</w:t>
            </w:r>
          </w:p>
        </w:tc>
        <w:tc>
          <w:tcPr>
            <w:tcW w:w="907" w:type="dxa"/>
          </w:tcPr>
          <w:p w:rsidR="00000000" w:rsidRDefault="00000000">
            <w:pPr>
              <w:pStyle w:val="a1"/>
              <w:ind w:right="170"/>
              <w:jc w:val="right"/>
            </w:pPr>
            <w:r>
              <w:t>75,33</w:t>
            </w:r>
          </w:p>
        </w:tc>
        <w:tc>
          <w:tcPr>
            <w:tcW w:w="907" w:type="dxa"/>
          </w:tcPr>
          <w:p w:rsidR="00000000" w:rsidRDefault="00000000">
            <w:pPr>
              <w:pStyle w:val="a1"/>
              <w:ind w:right="170"/>
              <w:jc w:val="right"/>
            </w:pPr>
            <w:r>
              <w:t>68,93</w:t>
            </w:r>
          </w:p>
        </w:tc>
        <w:tc>
          <w:tcPr>
            <w:tcW w:w="907" w:type="dxa"/>
          </w:tcPr>
          <w:p w:rsidR="00000000" w:rsidRDefault="00000000">
            <w:pPr>
              <w:pStyle w:val="a1"/>
              <w:ind w:right="170"/>
              <w:jc w:val="right"/>
            </w:pPr>
            <w:r>
              <w:t>65,98</w:t>
            </w:r>
          </w:p>
        </w:tc>
        <w:tc>
          <w:tcPr>
            <w:tcW w:w="907" w:type="dxa"/>
          </w:tcPr>
          <w:p w:rsidR="00000000" w:rsidRDefault="00000000">
            <w:pPr>
              <w:pStyle w:val="a1"/>
              <w:ind w:right="170"/>
              <w:jc w:val="right"/>
            </w:pPr>
            <w:r>
              <w:t>59,80</w:t>
            </w:r>
          </w:p>
        </w:tc>
        <w:tc>
          <w:tcPr>
            <w:tcW w:w="907" w:type="dxa"/>
          </w:tcPr>
          <w:p w:rsidR="00000000" w:rsidRDefault="00000000">
            <w:pPr>
              <w:pStyle w:val="a1"/>
              <w:ind w:right="170"/>
              <w:jc w:val="right"/>
            </w:pPr>
            <w:r>
              <w:t>47,19</w:t>
            </w:r>
          </w:p>
        </w:tc>
        <w:tc>
          <w:tcPr>
            <w:tcW w:w="1021" w:type="dxa"/>
          </w:tcPr>
          <w:p w:rsidR="00000000" w:rsidRDefault="00000000">
            <w:pPr>
              <w:pStyle w:val="a1"/>
              <w:ind w:right="227"/>
              <w:jc w:val="right"/>
            </w:pPr>
            <w:r>
              <w:t>42,74</w:t>
            </w:r>
          </w:p>
        </w:tc>
        <w:tc>
          <w:tcPr>
            <w:tcW w:w="1021" w:type="dxa"/>
          </w:tcPr>
          <w:p w:rsidR="00000000" w:rsidRDefault="00000000">
            <w:pPr>
              <w:pStyle w:val="a1"/>
              <w:ind w:right="227"/>
              <w:jc w:val="right"/>
            </w:pPr>
            <w:r>
              <w:t>35,16</w:t>
            </w:r>
          </w:p>
        </w:tc>
      </w:tr>
      <w:tr w:rsidR="00000000">
        <w:tblPrEx>
          <w:tblCellMar>
            <w:top w:w="0" w:type="dxa"/>
            <w:bottom w:w="0" w:type="dxa"/>
          </w:tblCellMar>
        </w:tblPrEx>
        <w:trPr>
          <w:cantSplit/>
        </w:trPr>
        <w:tc>
          <w:tcPr>
            <w:tcW w:w="9639" w:type="dxa"/>
            <w:gridSpan w:val="8"/>
            <w:tcBorders>
              <w:bottom w:val="nil"/>
            </w:tcBorders>
          </w:tcPr>
          <w:p w:rsidR="00000000" w:rsidRDefault="00000000">
            <w:pPr>
              <w:pStyle w:val="a1"/>
              <w:ind w:right="227"/>
              <w:rPr>
                <w:b/>
              </w:rPr>
            </w:pPr>
            <w:r>
              <w:rPr>
                <w:b/>
              </w:rPr>
              <w:t>Охват детей программами вакцинации (в процентах)</w:t>
            </w:r>
            <w:r>
              <w:rPr>
                <w:b/>
                <w:vertAlign w:val="superscript"/>
              </w:rPr>
              <w:t>2</w:t>
            </w:r>
          </w:p>
        </w:tc>
      </w:tr>
      <w:tr w:rsidR="00000000">
        <w:tblPrEx>
          <w:tblCellMar>
            <w:top w:w="0" w:type="dxa"/>
            <w:bottom w:w="0" w:type="dxa"/>
          </w:tblCellMar>
        </w:tblPrEx>
        <w:tc>
          <w:tcPr>
            <w:tcW w:w="3062" w:type="dxa"/>
            <w:tcBorders>
              <w:right w:val="nil"/>
            </w:tcBorders>
          </w:tcPr>
          <w:p w:rsidR="00000000" w:rsidRDefault="00000000">
            <w:pPr>
              <w:pStyle w:val="a1"/>
              <w:rPr>
                <w:i/>
              </w:rPr>
            </w:pPr>
            <w:r>
              <w:rPr>
                <w:i/>
              </w:rPr>
              <w:t>Основная пр</w:t>
            </w:r>
            <w:r>
              <w:rPr>
                <w:i/>
              </w:rPr>
              <w:t>о</w:t>
            </w:r>
            <w:r>
              <w:rPr>
                <w:i/>
              </w:rPr>
              <w:t>грамма</w:t>
            </w:r>
          </w:p>
        </w:tc>
        <w:tc>
          <w:tcPr>
            <w:tcW w:w="907" w:type="dxa"/>
            <w:tcBorders>
              <w:left w:val="nil"/>
              <w:right w:val="nil"/>
            </w:tcBorders>
          </w:tcPr>
          <w:p w:rsidR="00000000" w:rsidRDefault="00000000">
            <w:pPr>
              <w:pStyle w:val="a1"/>
              <w:ind w:right="170"/>
              <w:jc w:val="right"/>
              <w:rPr>
                <w:i/>
              </w:rPr>
            </w:pPr>
          </w:p>
        </w:tc>
        <w:tc>
          <w:tcPr>
            <w:tcW w:w="907" w:type="dxa"/>
            <w:tcBorders>
              <w:left w:val="nil"/>
              <w:right w:val="nil"/>
            </w:tcBorders>
          </w:tcPr>
          <w:p w:rsidR="00000000" w:rsidRDefault="00000000">
            <w:pPr>
              <w:pStyle w:val="a1"/>
              <w:ind w:right="170"/>
              <w:jc w:val="right"/>
              <w:rPr>
                <w:i/>
              </w:rPr>
            </w:pPr>
          </w:p>
        </w:tc>
        <w:tc>
          <w:tcPr>
            <w:tcW w:w="907" w:type="dxa"/>
            <w:tcBorders>
              <w:left w:val="nil"/>
              <w:right w:val="nil"/>
            </w:tcBorders>
          </w:tcPr>
          <w:p w:rsidR="00000000" w:rsidRDefault="00000000">
            <w:pPr>
              <w:pStyle w:val="a1"/>
              <w:ind w:right="170"/>
              <w:jc w:val="right"/>
              <w:rPr>
                <w:i/>
              </w:rPr>
            </w:pPr>
          </w:p>
        </w:tc>
        <w:tc>
          <w:tcPr>
            <w:tcW w:w="907" w:type="dxa"/>
            <w:tcBorders>
              <w:left w:val="nil"/>
              <w:right w:val="nil"/>
            </w:tcBorders>
          </w:tcPr>
          <w:p w:rsidR="00000000" w:rsidRDefault="00000000">
            <w:pPr>
              <w:pStyle w:val="a1"/>
              <w:ind w:right="170"/>
              <w:jc w:val="right"/>
              <w:rPr>
                <w:i/>
              </w:rPr>
            </w:pPr>
          </w:p>
        </w:tc>
        <w:tc>
          <w:tcPr>
            <w:tcW w:w="907" w:type="dxa"/>
            <w:tcBorders>
              <w:left w:val="nil"/>
              <w:right w:val="nil"/>
            </w:tcBorders>
          </w:tcPr>
          <w:p w:rsidR="00000000" w:rsidRDefault="00000000">
            <w:pPr>
              <w:pStyle w:val="a1"/>
              <w:ind w:right="170"/>
              <w:jc w:val="right"/>
              <w:rPr>
                <w:i/>
              </w:rPr>
            </w:pPr>
          </w:p>
        </w:tc>
        <w:tc>
          <w:tcPr>
            <w:tcW w:w="1021" w:type="dxa"/>
            <w:tcBorders>
              <w:left w:val="nil"/>
              <w:right w:val="nil"/>
            </w:tcBorders>
          </w:tcPr>
          <w:p w:rsidR="00000000" w:rsidRDefault="00000000">
            <w:pPr>
              <w:pStyle w:val="a1"/>
              <w:ind w:right="227"/>
              <w:jc w:val="right"/>
              <w:rPr>
                <w:i/>
              </w:rPr>
            </w:pPr>
          </w:p>
        </w:tc>
        <w:tc>
          <w:tcPr>
            <w:tcW w:w="1021" w:type="dxa"/>
            <w:tcBorders>
              <w:left w:val="nil"/>
            </w:tcBorders>
          </w:tcPr>
          <w:p w:rsidR="00000000" w:rsidRDefault="00000000">
            <w:pPr>
              <w:pStyle w:val="a1"/>
              <w:ind w:right="227"/>
              <w:jc w:val="right"/>
              <w:rPr>
                <w:i/>
              </w:rPr>
            </w:pPr>
          </w:p>
        </w:tc>
      </w:tr>
      <w:tr w:rsidR="00000000">
        <w:tblPrEx>
          <w:tblCellMar>
            <w:top w:w="0" w:type="dxa"/>
            <w:bottom w:w="0" w:type="dxa"/>
          </w:tblCellMar>
        </w:tblPrEx>
        <w:tc>
          <w:tcPr>
            <w:tcW w:w="3062" w:type="dxa"/>
          </w:tcPr>
          <w:p w:rsidR="00000000" w:rsidRDefault="00000000">
            <w:pPr>
              <w:pStyle w:val="a1"/>
            </w:pPr>
            <w:r>
              <w:t>В возрасте до одного года</w:t>
            </w:r>
          </w:p>
        </w:tc>
        <w:tc>
          <w:tcPr>
            <w:tcW w:w="907" w:type="dxa"/>
          </w:tcPr>
          <w:p w:rsidR="00000000" w:rsidRDefault="00000000">
            <w:pPr>
              <w:pStyle w:val="a1"/>
              <w:ind w:right="170"/>
              <w:jc w:val="right"/>
            </w:pPr>
            <w:r>
              <w:t>87,37</w:t>
            </w:r>
          </w:p>
        </w:tc>
        <w:tc>
          <w:tcPr>
            <w:tcW w:w="907" w:type="dxa"/>
          </w:tcPr>
          <w:p w:rsidR="00000000" w:rsidRDefault="00000000">
            <w:pPr>
              <w:pStyle w:val="a1"/>
              <w:ind w:right="170"/>
              <w:jc w:val="right"/>
            </w:pPr>
            <w:r>
              <w:t>87,85</w:t>
            </w:r>
          </w:p>
        </w:tc>
        <w:tc>
          <w:tcPr>
            <w:tcW w:w="907" w:type="dxa"/>
          </w:tcPr>
          <w:p w:rsidR="00000000" w:rsidRDefault="00000000">
            <w:pPr>
              <w:pStyle w:val="a1"/>
              <w:ind w:right="170"/>
              <w:jc w:val="right"/>
            </w:pPr>
            <w:r>
              <w:t>91,76</w:t>
            </w:r>
          </w:p>
        </w:tc>
        <w:tc>
          <w:tcPr>
            <w:tcW w:w="907" w:type="dxa"/>
          </w:tcPr>
          <w:p w:rsidR="00000000" w:rsidRDefault="00000000">
            <w:pPr>
              <w:pStyle w:val="a1"/>
              <w:ind w:right="170"/>
              <w:jc w:val="right"/>
            </w:pPr>
            <w:r>
              <w:t>89,60</w:t>
            </w:r>
          </w:p>
        </w:tc>
        <w:tc>
          <w:tcPr>
            <w:tcW w:w="907" w:type="dxa"/>
          </w:tcPr>
          <w:p w:rsidR="00000000" w:rsidRDefault="00000000">
            <w:pPr>
              <w:pStyle w:val="a1"/>
              <w:ind w:right="170"/>
              <w:jc w:val="right"/>
            </w:pPr>
            <w:r>
              <w:t>93,53</w:t>
            </w:r>
          </w:p>
        </w:tc>
        <w:tc>
          <w:tcPr>
            <w:tcW w:w="1021" w:type="dxa"/>
          </w:tcPr>
          <w:p w:rsidR="00000000" w:rsidRDefault="00000000">
            <w:pPr>
              <w:pStyle w:val="a1"/>
              <w:ind w:right="227"/>
              <w:jc w:val="right"/>
            </w:pPr>
            <w:r>
              <w:t>92,00</w:t>
            </w:r>
          </w:p>
        </w:tc>
        <w:tc>
          <w:tcPr>
            <w:tcW w:w="1021" w:type="dxa"/>
          </w:tcPr>
          <w:p w:rsidR="00000000" w:rsidRDefault="00000000">
            <w:pPr>
              <w:pStyle w:val="a1"/>
              <w:ind w:right="227"/>
              <w:jc w:val="right"/>
            </w:pPr>
            <w:r>
              <w:t>95,50</w:t>
            </w:r>
          </w:p>
        </w:tc>
      </w:tr>
      <w:tr w:rsidR="00000000">
        <w:tblPrEx>
          <w:tblCellMar>
            <w:top w:w="0" w:type="dxa"/>
            <w:bottom w:w="0" w:type="dxa"/>
          </w:tblCellMar>
        </w:tblPrEx>
        <w:tc>
          <w:tcPr>
            <w:tcW w:w="3062" w:type="dxa"/>
          </w:tcPr>
          <w:p w:rsidR="00000000" w:rsidRDefault="00000000">
            <w:pPr>
              <w:pStyle w:val="a1"/>
            </w:pPr>
            <w:r>
              <w:t>В возрасте от одного года до четырех лет</w:t>
            </w:r>
          </w:p>
        </w:tc>
        <w:tc>
          <w:tcPr>
            <w:tcW w:w="907" w:type="dxa"/>
          </w:tcPr>
          <w:p w:rsidR="00000000" w:rsidRDefault="00000000">
            <w:pPr>
              <w:pStyle w:val="a1"/>
              <w:ind w:right="170"/>
              <w:jc w:val="right"/>
            </w:pPr>
            <w:r>
              <w:t>95,30</w:t>
            </w:r>
          </w:p>
        </w:tc>
        <w:tc>
          <w:tcPr>
            <w:tcW w:w="907" w:type="dxa"/>
          </w:tcPr>
          <w:p w:rsidR="00000000" w:rsidRDefault="00000000">
            <w:pPr>
              <w:pStyle w:val="a1"/>
              <w:ind w:right="170"/>
              <w:jc w:val="right"/>
            </w:pPr>
            <w:r>
              <w:t>95,60</w:t>
            </w:r>
          </w:p>
        </w:tc>
        <w:tc>
          <w:tcPr>
            <w:tcW w:w="907" w:type="dxa"/>
          </w:tcPr>
          <w:p w:rsidR="00000000" w:rsidRDefault="00000000">
            <w:pPr>
              <w:pStyle w:val="a1"/>
              <w:ind w:right="170"/>
              <w:jc w:val="right"/>
            </w:pPr>
            <w:r>
              <w:t>97,00</w:t>
            </w:r>
          </w:p>
        </w:tc>
        <w:tc>
          <w:tcPr>
            <w:tcW w:w="907" w:type="dxa"/>
          </w:tcPr>
          <w:p w:rsidR="00000000" w:rsidRDefault="00000000">
            <w:pPr>
              <w:pStyle w:val="a1"/>
              <w:ind w:right="170"/>
              <w:jc w:val="right"/>
            </w:pPr>
            <w:r>
              <w:t>98,80</w:t>
            </w:r>
          </w:p>
        </w:tc>
        <w:tc>
          <w:tcPr>
            <w:tcW w:w="907" w:type="dxa"/>
          </w:tcPr>
          <w:p w:rsidR="00000000" w:rsidRDefault="00000000">
            <w:pPr>
              <w:pStyle w:val="a1"/>
              <w:ind w:right="170"/>
              <w:jc w:val="right"/>
            </w:pPr>
            <w:r>
              <w:t>97,20</w:t>
            </w:r>
          </w:p>
        </w:tc>
        <w:tc>
          <w:tcPr>
            <w:tcW w:w="1021" w:type="dxa"/>
          </w:tcPr>
          <w:p w:rsidR="00000000" w:rsidRDefault="00000000">
            <w:pPr>
              <w:pStyle w:val="a1"/>
              <w:ind w:right="227"/>
              <w:jc w:val="right"/>
            </w:pPr>
            <w:r>
              <w:t>97,60</w:t>
            </w:r>
          </w:p>
        </w:tc>
        <w:tc>
          <w:tcPr>
            <w:tcW w:w="1021" w:type="dxa"/>
          </w:tcPr>
          <w:p w:rsidR="00000000" w:rsidRDefault="00000000">
            <w:pPr>
              <w:pStyle w:val="a1"/>
              <w:ind w:right="227"/>
              <w:jc w:val="right"/>
            </w:pPr>
            <w:r>
              <w:t>98,32</w:t>
            </w:r>
          </w:p>
        </w:tc>
      </w:tr>
      <w:tr w:rsidR="00000000">
        <w:tblPrEx>
          <w:tblCellMar>
            <w:top w:w="0" w:type="dxa"/>
            <w:bottom w:w="0" w:type="dxa"/>
          </w:tblCellMar>
        </w:tblPrEx>
        <w:trPr>
          <w:cantSplit/>
        </w:trPr>
        <w:tc>
          <w:tcPr>
            <w:tcW w:w="9639" w:type="dxa"/>
            <w:gridSpan w:val="8"/>
          </w:tcPr>
          <w:p w:rsidR="00000000" w:rsidRDefault="00000000">
            <w:pPr>
              <w:pStyle w:val="a1"/>
              <w:ind w:right="227"/>
              <w:rPr>
                <w:b/>
              </w:rPr>
            </w:pPr>
            <w:r>
              <w:rPr>
                <w:b/>
              </w:rPr>
              <w:t>Заболевания, поддающиеся профилактике путем вакц</w:t>
            </w:r>
            <w:r>
              <w:rPr>
                <w:b/>
              </w:rPr>
              <w:t>и</w:t>
            </w:r>
            <w:r>
              <w:rPr>
                <w:b/>
              </w:rPr>
              <w:t>нации (число случаев)</w:t>
            </w:r>
            <w:r>
              <w:rPr>
                <w:b/>
                <w:vertAlign w:val="superscript"/>
              </w:rPr>
              <w:t>2</w:t>
            </w:r>
          </w:p>
        </w:tc>
      </w:tr>
      <w:tr w:rsidR="00000000">
        <w:tblPrEx>
          <w:tblCellMar>
            <w:top w:w="0" w:type="dxa"/>
            <w:bottom w:w="0" w:type="dxa"/>
          </w:tblCellMar>
        </w:tblPrEx>
        <w:tc>
          <w:tcPr>
            <w:tcW w:w="3062" w:type="dxa"/>
          </w:tcPr>
          <w:p w:rsidR="00000000" w:rsidRDefault="00000000">
            <w:pPr>
              <w:pStyle w:val="a1"/>
            </w:pPr>
            <w:r>
              <w:t>Полиоми</w:t>
            </w:r>
            <w:r>
              <w:t>е</w:t>
            </w:r>
            <w:r>
              <w:t>лит</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1021" w:type="dxa"/>
          </w:tcPr>
          <w:p w:rsidR="00000000" w:rsidRDefault="00000000">
            <w:pPr>
              <w:pStyle w:val="a1"/>
              <w:ind w:right="227"/>
              <w:jc w:val="right"/>
            </w:pPr>
            <w:r>
              <w:t>0</w:t>
            </w:r>
          </w:p>
        </w:tc>
        <w:tc>
          <w:tcPr>
            <w:tcW w:w="1021" w:type="dxa"/>
          </w:tcPr>
          <w:p w:rsidR="00000000" w:rsidRDefault="00000000">
            <w:pPr>
              <w:pStyle w:val="a1"/>
              <w:ind w:right="227"/>
              <w:jc w:val="right"/>
            </w:pPr>
            <w:r>
              <w:t>0</w:t>
            </w:r>
          </w:p>
        </w:tc>
      </w:tr>
      <w:tr w:rsidR="00000000">
        <w:tblPrEx>
          <w:tblCellMar>
            <w:top w:w="0" w:type="dxa"/>
            <w:bottom w:w="0" w:type="dxa"/>
          </w:tblCellMar>
        </w:tblPrEx>
        <w:tc>
          <w:tcPr>
            <w:tcW w:w="3062" w:type="dxa"/>
          </w:tcPr>
          <w:p w:rsidR="00000000" w:rsidRDefault="00000000">
            <w:pPr>
              <w:pStyle w:val="a1"/>
            </w:pPr>
            <w:r>
              <w:t>Столбняк</w:t>
            </w:r>
          </w:p>
        </w:tc>
        <w:tc>
          <w:tcPr>
            <w:tcW w:w="907" w:type="dxa"/>
          </w:tcPr>
          <w:p w:rsidR="00000000" w:rsidRDefault="00000000">
            <w:pPr>
              <w:pStyle w:val="a1"/>
              <w:ind w:right="170"/>
              <w:jc w:val="right"/>
            </w:pPr>
            <w:r>
              <w:t>177</w:t>
            </w:r>
          </w:p>
        </w:tc>
        <w:tc>
          <w:tcPr>
            <w:tcW w:w="907" w:type="dxa"/>
          </w:tcPr>
          <w:p w:rsidR="00000000" w:rsidRDefault="00000000">
            <w:pPr>
              <w:pStyle w:val="a1"/>
              <w:ind w:right="170"/>
              <w:jc w:val="right"/>
            </w:pPr>
            <w:r>
              <w:t>128</w:t>
            </w:r>
          </w:p>
        </w:tc>
        <w:tc>
          <w:tcPr>
            <w:tcW w:w="907" w:type="dxa"/>
          </w:tcPr>
          <w:p w:rsidR="00000000" w:rsidRDefault="00000000">
            <w:pPr>
              <w:pStyle w:val="a1"/>
              <w:ind w:right="170"/>
              <w:jc w:val="right"/>
            </w:pPr>
            <w:r>
              <w:t>165</w:t>
            </w:r>
          </w:p>
        </w:tc>
        <w:tc>
          <w:tcPr>
            <w:tcW w:w="907" w:type="dxa"/>
          </w:tcPr>
          <w:p w:rsidR="00000000" w:rsidRDefault="00000000">
            <w:pPr>
              <w:pStyle w:val="a1"/>
              <w:ind w:right="170"/>
              <w:jc w:val="right"/>
            </w:pPr>
            <w:r>
              <w:t>169</w:t>
            </w:r>
          </w:p>
        </w:tc>
        <w:tc>
          <w:tcPr>
            <w:tcW w:w="907" w:type="dxa"/>
          </w:tcPr>
          <w:p w:rsidR="00000000" w:rsidRDefault="00000000">
            <w:pPr>
              <w:pStyle w:val="a1"/>
              <w:ind w:right="170"/>
              <w:jc w:val="right"/>
            </w:pPr>
            <w:r>
              <w:t>148</w:t>
            </w:r>
          </w:p>
        </w:tc>
        <w:tc>
          <w:tcPr>
            <w:tcW w:w="1021" w:type="dxa"/>
          </w:tcPr>
          <w:p w:rsidR="00000000" w:rsidRDefault="00000000">
            <w:pPr>
              <w:pStyle w:val="a1"/>
              <w:ind w:right="227"/>
              <w:jc w:val="right"/>
            </w:pPr>
            <w:r>
              <w:t>119</w:t>
            </w:r>
          </w:p>
        </w:tc>
        <w:tc>
          <w:tcPr>
            <w:tcW w:w="1021" w:type="dxa"/>
          </w:tcPr>
          <w:p w:rsidR="00000000" w:rsidRDefault="00000000">
            <w:pPr>
              <w:pStyle w:val="a1"/>
              <w:ind w:right="227"/>
              <w:jc w:val="right"/>
            </w:pPr>
            <w:r>
              <w:t>119</w:t>
            </w:r>
          </w:p>
        </w:tc>
      </w:tr>
      <w:tr w:rsidR="00000000">
        <w:tblPrEx>
          <w:tblCellMar>
            <w:top w:w="0" w:type="dxa"/>
            <w:bottom w:w="0" w:type="dxa"/>
          </w:tblCellMar>
        </w:tblPrEx>
        <w:tc>
          <w:tcPr>
            <w:tcW w:w="3062" w:type="dxa"/>
          </w:tcPr>
          <w:p w:rsidR="00000000" w:rsidRDefault="00000000">
            <w:pPr>
              <w:pStyle w:val="a1"/>
            </w:pPr>
            <w:r>
              <w:t>Корь</w:t>
            </w:r>
            <w:r>
              <w:rPr>
                <w:vertAlign w:val="superscript"/>
              </w:rPr>
              <w:t>3</w:t>
            </w:r>
          </w:p>
        </w:tc>
        <w:tc>
          <w:tcPr>
            <w:tcW w:w="907" w:type="dxa"/>
          </w:tcPr>
          <w:p w:rsidR="00000000" w:rsidRDefault="00000000">
            <w:pPr>
              <w:pStyle w:val="a1"/>
              <w:ind w:right="170"/>
              <w:jc w:val="right"/>
            </w:pPr>
            <w:r>
              <w:t>128</w:t>
            </w:r>
          </w:p>
        </w:tc>
        <w:tc>
          <w:tcPr>
            <w:tcW w:w="907" w:type="dxa"/>
          </w:tcPr>
          <w:p w:rsidR="00000000" w:rsidRDefault="00000000">
            <w:pPr>
              <w:pStyle w:val="a1"/>
              <w:ind w:right="170"/>
              <w:jc w:val="right"/>
            </w:pPr>
            <w:r>
              <w:t>12</w:t>
            </w:r>
          </w:p>
        </w:tc>
        <w:tc>
          <w:tcPr>
            <w:tcW w:w="907" w:type="dxa"/>
          </w:tcPr>
          <w:p w:rsidR="00000000" w:rsidRDefault="00000000">
            <w:pPr>
              <w:pStyle w:val="a1"/>
              <w:ind w:right="170"/>
              <w:jc w:val="right"/>
            </w:pPr>
            <w:r>
              <w:t>2</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1021" w:type="dxa"/>
          </w:tcPr>
          <w:p w:rsidR="00000000" w:rsidRDefault="00000000">
            <w:pPr>
              <w:pStyle w:val="a1"/>
              <w:ind w:right="227"/>
              <w:jc w:val="right"/>
            </w:pPr>
            <w:r>
              <w:t>0</w:t>
            </w:r>
          </w:p>
        </w:tc>
        <w:tc>
          <w:tcPr>
            <w:tcW w:w="1021" w:type="dxa"/>
          </w:tcPr>
          <w:p w:rsidR="00000000" w:rsidRDefault="00000000">
            <w:pPr>
              <w:pStyle w:val="a1"/>
              <w:ind w:right="227"/>
              <w:jc w:val="right"/>
            </w:pPr>
            <w:r>
              <w:t>0</w:t>
            </w:r>
          </w:p>
        </w:tc>
      </w:tr>
      <w:tr w:rsidR="00000000">
        <w:tblPrEx>
          <w:tblCellMar>
            <w:top w:w="0" w:type="dxa"/>
            <w:bottom w:w="0" w:type="dxa"/>
          </w:tblCellMar>
        </w:tblPrEx>
        <w:tc>
          <w:tcPr>
            <w:tcW w:w="3062" w:type="dxa"/>
          </w:tcPr>
          <w:p w:rsidR="00000000" w:rsidRDefault="00000000">
            <w:pPr>
              <w:pStyle w:val="a1"/>
            </w:pPr>
            <w:r>
              <w:t>Коклюш</w:t>
            </w:r>
          </w:p>
        </w:tc>
        <w:tc>
          <w:tcPr>
            <w:tcW w:w="907" w:type="dxa"/>
          </w:tcPr>
          <w:p w:rsidR="00000000" w:rsidRDefault="00000000">
            <w:pPr>
              <w:pStyle w:val="a1"/>
              <w:ind w:right="170"/>
              <w:jc w:val="right"/>
            </w:pPr>
            <w:r>
              <w:t>599</w:t>
            </w:r>
          </w:p>
        </w:tc>
        <w:tc>
          <w:tcPr>
            <w:tcW w:w="907" w:type="dxa"/>
          </w:tcPr>
          <w:p w:rsidR="00000000" w:rsidRDefault="00000000">
            <w:pPr>
              <w:pStyle w:val="a1"/>
              <w:ind w:right="170"/>
              <w:jc w:val="right"/>
            </w:pPr>
            <w:r>
              <w:t>15</w:t>
            </w:r>
          </w:p>
        </w:tc>
        <w:tc>
          <w:tcPr>
            <w:tcW w:w="907" w:type="dxa"/>
          </w:tcPr>
          <w:p w:rsidR="00000000" w:rsidRDefault="00000000">
            <w:pPr>
              <w:pStyle w:val="a1"/>
              <w:ind w:right="170"/>
              <w:jc w:val="right"/>
            </w:pPr>
            <w:r>
              <w:t>32</w:t>
            </w:r>
          </w:p>
        </w:tc>
        <w:tc>
          <w:tcPr>
            <w:tcW w:w="907" w:type="dxa"/>
          </w:tcPr>
          <w:p w:rsidR="00000000" w:rsidRDefault="00000000">
            <w:pPr>
              <w:pStyle w:val="a1"/>
              <w:ind w:right="170"/>
              <w:jc w:val="right"/>
            </w:pPr>
            <w:r>
              <w:t>593</w:t>
            </w:r>
          </w:p>
        </w:tc>
        <w:tc>
          <w:tcPr>
            <w:tcW w:w="907" w:type="dxa"/>
          </w:tcPr>
          <w:p w:rsidR="00000000" w:rsidRDefault="00000000">
            <w:pPr>
              <w:pStyle w:val="a1"/>
              <w:ind w:right="170"/>
              <w:jc w:val="right"/>
            </w:pPr>
            <w:r>
              <w:t>188</w:t>
            </w:r>
          </w:p>
        </w:tc>
        <w:tc>
          <w:tcPr>
            <w:tcW w:w="1021" w:type="dxa"/>
          </w:tcPr>
          <w:p w:rsidR="00000000" w:rsidRDefault="00000000">
            <w:pPr>
              <w:pStyle w:val="a1"/>
              <w:ind w:right="170"/>
              <w:jc w:val="right"/>
            </w:pPr>
            <w:r>
              <w:t>92</w:t>
            </w:r>
          </w:p>
        </w:tc>
        <w:tc>
          <w:tcPr>
            <w:tcW w:w="1021" w:type="dxa"/>
          </w:tcPr>
          <w:p w:rsidR="00000000" w:rsidRDefault="00000000">
            <w:pPr>
              <w:pStyle w:val="a1"/>
              <w:ind w:right="170"/>
              <w:jc w:val="right"/>
            </w:pPr>
            <w:r>
              <w:t>10</w:t>
            </w:r>
          </w:p>
        </w:tc>
      </w:tr>
      <w:tr w:rsidR="00000000">
        <w:tblPrEx>
          <w:tblCellMar>
            <w:top w:w="0" w:type="dxa"/>
            <w:bottom w:w="0" w:type="dxa"/>
          </w:tblCellMar>
        </w:tblPrEx>
        <w:tc>
          <w:tcPr>
            <w:tcW w:w="3062" w:type="dxa"/>
          </w:tcPr>
          <w:p w:rsidR="00000000" w:rsidRDefault="00000000">
            <w:pPr>
              <w:pStyle w:val="a1"/>
            </w:pPr>
            <w:r>
              <w:t>Дифтерия</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907" w:type="dxa"/>
          </w:tcPr>
          <w:p w:rsidR="00000000" w:rsidRDefault="00000000">
            <w:pPr>
              <w:pStyle w:val="a1"/>
              <w:ind w:right="170"/>
              <w:jc w:val="right"/>
            </w:pPr>
            <w:r>
              <w:t>0</w:t>
            </w:r>
          </w:p>
        </w:tc>
        <w:tc>
          <w:tcPr>
            <w:tcW w:w="1021" w:type="dxa"/>
          </w:tcPr>
          <w:p w:rsidR="00000000" w:rsidRDefault="00000000">
            <w:pPr>
              <w:pStyle w:val="a1"/>
              <w:ind w:right="170"/>
              <w:jc w:val="right"/>
            </w:pPr>
            <w:r>
              <w:t>0</w:t>
            </w:r>
          </w:p>
        </w:tc>
        <w:tc>
          <w:tcPr>
            <w:tcW w:w="1021" w:type="dxa"/>
          </w:tcPr>
          <w:p w:rsidR="00000000" w:rsidRDefault="00000000">
            <w:pPr>
              <w:pStyle w:val="a1"/>
              <w:ind w:right="170"/>
              <w:jc w:val="right"/>
            </w:pPr>
            <w:r>
              <w:t>0</w:t>
            </w:r>
          </w:p>
        </w:tc>
      </w:tr>
    </w:tbl>
    <w:p w:rsidR="00000000" w:rsidRDefault="00000000">
      <w:pPr>
        <w:pStyle w:val="a2"/>
        <w:spacing w:before="120"/>
      </w:pPr>
      <w:r>
        <w:t>Источник: Министерство здравоохранения Мексики.</w:t>
      </w:r>
    </w:p>
    <w:p w:rsidR="00000000" w:rsidRDefault="00000000">
      <w:pPr>
        <w:pStyle w:val="a2"/>
      </w:pPr>
      <w:r>
        <w:rPr>
          <w:vertAlign w:val="superscript"/>
        </w:rPr>
        <w:t>1</w:t>
      </w:r>
      <w:r>
        <w:t xml:space="preserve"> Число случаев смертельного исхода на каждые 100 тыс. жителей данной возрастной гру</w:t>
      </w:r>
      <w:r>
        <w:t>п</w:t>
      </w:r>
      <w:r>
        <w:t>пы.</w:t>
      </w:r>
    </w:p>
    <w:p w:rsidR="00000000" w:rsidRDefault="00000000">
      <w:pPr>
        <w:pStyle w:val="a2"/>
      </w:pPr>
      <w:r>
        <w:rPr>
          <w:vertAlign w:val="superscript"/>
        </w:rPr>
        <w:t>2</w:t>
      </w:r>
      <w:r>
        <w:t xml:space="preserve"> Данных с разбивкой по полу не имеется.</w:t>
      </w:r>
    </w:p>
    <w:p w:rsidR="00000000" w:rsidRDefault="00000000">
      <w:pPr>
        <w:pStyle w:val="a2"/>
      </w:pPr>
      <w:r>
        <w:rPr>
          <w:vertAlign w:val="superscript"/>
        </w:rPr>
        <w:t>3</w:t>
      </w:r>
      <w:r>
        <w:t xml:space="preserve"> В 2000 году было зарегистрировано 25 случаев в возрастных группах детей до одного года и молодежи среди лиц, не охваченных программой вакцинации.</w:t>
      </w:r>
    </w:p>
    <w:p w:rsidR="00000000" w:rsidRDefault="00000000">
      <w:pPr>
        <w:pStyle w:val="a2"/>
      </w:pPr>
      <w:r>
        <w:rPr>
          <w:vertAlign w:val="superscript"/>
          <w:lang w:val="en-US"/>
        </w:rPr>
        <w:t>p</w:t>
      </w:r>
      <w:r>
        <w:t xml:space="preserve"> Предварительные данные.</w:t>
      </w:r>
    </w:p>
    <w:p w:rsidR="00000000" w:rsidRDefault="00000000">
      <w:pPr>
        <w:pStyle w:val="a2"/>
      </w:pPr>
      <w:r>
        <w:rPr>
          <w:vertAlign w:val="superscript"/>
          <w:lang w:val="en-US"/>
        </w:rPr>
        <w:t>e</w:t>
      </w:r>
      <w:r>
        <w:t xml:space="preserve"> Согласно оценкам. </w:t>
      </w:r>
    </w:p>
    <w:p w:rsidR="00000000" w:rsidRDefault="00000000">
      <w:pPr>
        <w:rPr>
          <w:lang w:val="en-US"/>
        </w:rPr>
      </w:pPr>
    </w:p>
    <w:p w:rsidR="00000000" w:rsidRDefault="00000000">
      <w:pPr>
        <w:pStyle w:val="Heading3"/>
        <w:spacing w:before="0"/>
      </w:pPr>
      <w:r>
        <w:t xml:space="preserve">Медицинский арбитраж </w:t>
      </w:r>
    </w:p>
    <w:p w:rsidR="00000000" w:rsidRDefault="00000000">
      <w:r>
        <w:t>618.</w:t>
      </w:r>
      <w:r>
        <w:tab/>
        <w:t>В последние годы были созданы новые учреждения, в задачу которых входит прием жалоб от населения на действия медицинских работников и расследование обстоятельств, послужи</w:t>
      </w:r>
      <w:r>
        <w:t>в</w:t>
      </w:r>
      <w:r>
        <w:t xml:space="preserve">ших причиной жалобы. </w:t>
      </w:r>
    </w:p>
    <w:p w:rsidR="00000000" w:rsidRDefault="00000000">
      <w:r>
        <w:t>619.</w:t>
      </w:r>
      <w:r>
        <w:tab/>
        <w:t>Как было сообщено Комитету в 1998 году, благодаря работе, проделанной Национальной комиссией по м</w:t>
      </w:r>
      <w:r>
        <w:t>е</w:t>
      </w:r>
      <w:r>
        <w:t xml:space="preserve">дицинскому арбитражу (КОНАМЕД), учрежденной декретом от 3 июня 1996 года, удалось ускорить рассмотрение дел упомянутого характера. Тем самым работа Комиссии способствовала повышению качества медобслуживания, повышению доверия населения к службам здравоохранения и усилению профилактической и лечебной работы, проводимой указанными службами. В текущем году Комиссии предстоит завершить рассмотрение 5328 дел, что превышает показатели 1999 года на 9,7 процента. </w:t>
      </w:r>
    </w:p>
    <w:p w:rsidR="00000000" w:rsidRDefault="00000000">
      <w:r>
        <w:t>620.</w:t>
      </w:r>
      <w:r>
        <w:tab/>
        <w:t>В целях рассмотрения указанных дел на местах правительства ряда субъектов Федерации учредили комиссии штатов по медицинскому арбитражу с учетом, в частности, того обстоятельства, что члены этих комиссий спосо</w:t>
      </w:r>
      <w:r>
        <w:t>б</w:t>
      </w:r>
      <w:r>
        <w:t xml:space="preserve">ны лучше понять местную специфику. В настоящее время подобные комиссии действуют </w:t>
      </w:r>
      <w:r>
        <w:rPr>
          <w:lang w:val="en-US"/>
        </w:rPr>
        <w:br/>
      </w:r>
      <w:r>
        <w:t>в 13 субъектах Федер</w:t>
      </w:r>
      <w:r>
        <w:t>а</w:t>
      </w:r>
      <w:r>
        <w:t xml:space="preserve">ции, и ожидается, что до конца года они будут созданы еще в шести. </w:t>
      </w:r>
    </w:p>
    <w:p w:rsidR="00000000" w:rsidRDefault="00000000">
      <w:r>
        <w:t>621.</w:t>
      </w:r>
      <w:r>
        <w:tab/>
        <w:t>В случае, если окажутся нарушены медицинские или юридические нормы, населению гарантировано право заявить о своем несогласии с действиями соответствующих лиц, подав жалобу не только в КОНАМЕД, но и в по</w:t>
      </w:r>
      <w:r>
        <w:t>д</w:t>
      </w:r>
      <w:r>
        <w:t>разделения ИМСС, ИСССТЭ и Министерства здравоохранения, а кроме того, в комиссию по правам человека соответствующего штата, федерального округа и в наци</w:t>
      </w:r>
      <w:r>
        <w:t>о</w:t>
      </w:r>
      <w:r>
        <w:t xml:space="preserve">нальную комиссию по правам человека. </w:t>
      </w:r>
    </w:p>
    <w:p w:rsidR="00000000" w:rsidRDefault="00000000">
      <w:r>
        <w:t>622.</w:t>
      </w:r>
      <w:r>
        <w:tab/>
        <w:t>В целях расширения организационных возможностей рассмотрения случаев вероятного применения мед</w:t>
      </w:r>
      <w:r>
        <w:t>и</w:t>
      </w:r>
      <w:r>
        <w:t xml:space="preserve">цинскими работниками методов контрацепции по отношению к пациенту, недостаточно информированному об этом или не изъявившему своего согласия, генеральный секретариат КОНАПО должен совместно с КОНАМЕД изучить обоснование жалобы, поданной в Комиссию. По нашим сведениям, подобные случаи до 1997 года были довольно редки. </w:t>
      </w:r>
    </w:p>
    <w:p w:rsidR="00000000" w:rsidRDefault="00000000">
      <w:pPr>
        <w:pStyle w:val="Heading3"/>
      </w:pPr>
      <w:r>
        <w:t xml:space="preserve">Содействие развитию человека </w:t>
      </w:r>
    </w:p>
    <w:p w:rsidR="00000000" w:rsidRDefault="00000000">
      <w:r>
        <w:t>623.</w:t>
      </w:r>
      <w:r>
        <w:tab/>
        <w:t>Чтобы активизировать работу по развитию творческих способностей мексиканской женщины – как в псих</w:t>
      </w:r>
      <w:r>
        <w:t>о</w:t>
      </w:r>
      <w:r>
        <w:t>логическом, так и в социальном плане, – был проведен ряд мероприятий с целью помочь женщинам наладить о</w:t>
      </w:r>
      <w:r>
        <w:t>б</w:t>
      </w:r>
      <w:r>
        <w:t xml:space="preserve">щение в семье и привить им определенную систему ценностей. </w:t>
      </w:r>
    </w:p>
    <w:p w:rsidR="00000000" w:rsidRDefault="00000000">
      <w:r>
        <w:t>624.</w:t>
      </w:r>
      <w:r>
        <w:tab/>
        <w:t>С 1998 года ИМСС участвовал в этой деятельности, разрабатывая и проводя в жизнь программы, направле</w:t>
      </w:r>
      <w:r>
        <w:t>н</w:t>
      </w:r>
      <w:r>
        <w:t>ные не только на охрану здоровья женщин, но и на улучшение условий их жизни, положения в обществе, психол</w:t>
      </w:r>
      <w:r>
        <w:t>о</w:t>
      </w:r>
      <w:r>
        <w:t xml:space="preserve">гического состояния и способности принимать важные решения. </w:t>
      </w:r>
    </w:p>
    <w:p w:rsidR="00000000" w:rsidRDefault="00000000">
      <w:r>
        <w:t>625.</w:t>
      </w:r>
      <w:r>
        <w:tab/>
        <w:t>Одной из главных целей этих программ было добиться более ясного понимания женщинами принципов ге</w:t>
      </w:r>
      <w:r>
        <w:t>н</w:t>
      </w:r>
      <w:r>
        <w:t>дерного подхода. Кроме того, ставились задачи уменьшения тех опасностей, которые могут представлять для зд</w:t>
      </w:r>
      <w:r>
        <w:t>о</w:t>
      </w:r>
      <w:r>
        <w:t>ровья женщины сексуальная жизнь и деторождение, задачи снижения уровня женской смертности при родах, а также искоренения насилия в семье.</w:t>
      </w:r>
    </w:p>
    <w:p w:rsidR="00000000" w:rsidRDefault="00000000">
      <w:pPr>
        <w:pStyle w:val="Heading2"/>
      </w:pPr>
      <w:r>
        <w:br w:type="page"/>
        <w:t>СТАТЬЯ 13</w:t>
      </w:r>
    </w:p>
    <w:p w:rsidR="00000000" w:rsidRDefault="00000000">
      <w:pPr>
        <w:pStyle w:val="Heading3"/>
      </w:pPr>
      <w:r>
        <w:t xml:space="preserve">Семейные пособия </w:t>
      </w:r>
    </w:p>
    <w:p w:rsidR="00000000" w:rsidRDefault="00000000">
      <w:r>
        <w:t>626.</w:t>
      </w:r>
      <w:r>
        <w:tab/>
        <w:t>Как уже сообщалось Комитету в третьем и четвертом объединенн</w:t>
      </w:r>
      <w:r>
        <w:rPr>
          <w:lang w:val="en-US"/>
        </w:rPr>
        <w:t>ом</w:t>
      </w:r>
      <w:r>
        <w:t xml:space="preserve"> докладе, определяющими для орган</w:t>
      </w:r>
      <w:r>
        <w:t>и</w:t>
      </w:r>
      <w:r>
        <w:t>зации в целом системы социального обеспечения в Мексике являются положения статьи 123 Конституции Мекс</w:t>
      </w:r>
      <w:r>
        <w:t>и</w:t>
      </w:r>
      <w:r>
        <w:t xml:space="preserve">канских Соединенных Штатов, основным содержанием которой является защита прав трудящихся. Что касается гендерного равенства, то этот принцип утверждается положениями статьи 4 того же документа. </w:t>
      </w:r>
    </w:p>
    <w:p w:rsidR="00000000" w:rsidRDefault="00000000">
      <w:r>
        <w:t>627.</w:t>
      </w:r>
      <w:r>
        <w:tab/>
        <w:t>Указанные конституционные принципы заключаются в том, что трудящиеся – мужчины и женщины – имеют право на социальное обеспечение, определенные виды которого являются обязательными, как то: страхование от несчастных случаев на производстве, пособия по болезни, беременности и родам, по инвалидности, а также страх</w:t>
      </w:r>
      <w:r>
        <w:t>о</w:t>
      </w:r>
      <w:r>
        <w:t>вание жизни, выход на пенсию и пенсионное обеспечение по старости. К ним же относится право на получение пособий на оплату детских учреждений и других социальных пособий и услуг. Добровольными являются: страх</w:t>
      </w:r>
      <w:r>
        <w:t>о</w:t>
      </w:r>
      <w:r>
        <w:t xml:space="preserve">вание жизни членов семьи и другие виды страхования. </w:t>
      </w:r>
    </w:p>
    <w:p w:rsidR="00000000" w:rsidRDefault="00000000">
      <w:r>
        <w:t>628.</w:t>
      </w:r>
      <w:r>
        <w:tab/>
        <w:t>Согласно положениям закона о социальном страховании, вступившего в силу 1 июля 1997 года, существует пять программ страхования, проводимых в жизнь Мексиканским институтом социального страхования (ИМСС), предусматривающих защиту интересов трудящихся – мужчин и женщин – и обеспечивающих определенные мат</w:t>
      </w:r>
      <w:r>
        <w:t>е</w:t>
      </w:r>
      <w:r>
        <w:t xml:space="preserve">риальные блага их семьям, а именно: </w:t>
      </w:r>
    </w:p>
    <w:p w:rsidR="00000000" w:rsidRDefault="00000000">
      <w:pPr>
        <w:tabs>
          <w:tab w:val="left" w:pos="284"/>
        </w:tabs>
        <w:ind w:left="567" w:hanging="567"/>
      </w:pPr>
      <w:r>
        <w:tab/>
        <w:t>1.</w:t>
      </w:r>
      <w:r>
        <w:tab/>
        <w:t>Программа пособий на оплату детских учреждений предусматривает защиту интересов работающих женщин, а также мужчин, состоящих в разводе или овдовевших, имеющих на своем иждивении малолетних д</w:t>
      </w:r>
      <w:r>
        <w:t>е</w:t>
      </w:r>
      <w:r>
        <w:t xml:space="preserve">тей. </w:t>
      </w:r>
    </w:p>
    <w:p w:rsidR="00000000" w:rsidRDefault="00000000">
      <w:pPr>
        <w:tabs>
          <w:tab w:val="left" w:pos="284"/>
        </w:tabs>
        <w:ind w:left="567" w:hanging="567"/>
      </w:pPr>
      <w:r>
        <w:tab/>
        <w:t>2.</w:t>
      </w:r>
      <w:r>
        <w:tab/>
        <w:t>Программа социальных пособий и услуг, призванная обеспечить повышение общего уровня жизни и доходов застрахованных лиц, путем организации курсов профессионального обучения и повышения квалификации, улучшения питания, жилья и доступа к культурным и спортивным мер</w:t>
      </w:r>
      <w:r>
        <w:t>о</w:t>
      </w:r>
      <w:r>
        <w:t xml:space="preserve">приятиям. </w:t>
      </w:r>
    </w:p>
    <w:p w:rsidR="00000000" w:rsidRDefault="00000000">
      <w:pPr>
        <w:pStyle w:val="BodyTextIndent3"/>
        <w:tabs>
          <w:tab w:val="left" w:pos="680"/>
        </w:tabs>
      </w:pPr>
      <w:r>
        <w:tab/>
        <w:t>3.</w:t>
      </w:r>
      <w:r>
        <w:tab/>
        <w:t>Страхование на случай болезни, а также по беременности и родам призвано обеспечить охрану здор</w:t>
      </w:r>
      <w:r>
        <w:t>о</w:t>
      </w:r>
      <w:r>
        <w:t>вья застрахованных лиц, а также пенсионеров и членов их семей путем оказания им необходимых услуг (медици</w:t>
      </w:r>
      <w:r>
        <w:t>н</w:t>
      </w:r>
      <w:r>
        <w:t>ского обслуживания) и выплаты дене</w:t>
      </w:r>
      <w:r>
        <w:t>ж</w:t>
      </w:r>
      <w:r>
        <w:t xml:space="preserve">ных пособий. </w:t>
      </w:r>
    </w:p>
    <w:p w:rsidR="00000000" w:rsidRDefault="00000000">
      <w:pPr>
        <w:tabs>
          <w:tab w:val="left" w:pos="284"/>
        </w:tabs>
        <w:ind w:left="567" w:hanging="567"/>
      </w:pPr>
      <w:r>
        <w:tab/>
        <w:t>4.</w:t>
      </w:r>
      <w:r>
        <w:tab/>
        <w:t>Страхование от несчастных случаев на производстве призвано содействовать охране здоровья раб</w:t>
      </w:r>
      <w:r>
        <w:t>о</w:t>
      </w:r>
      <w:r>
        <w:t xml:space="preserve">тающих женщин также путем предоставления медицинского обслуживания и выплаты денежных пособий. </w:t>
      </w:r>
    </w:p>
    <w:p w:rsidR="00000000" w:rsidRDefault="00000000">
      <w:pPr>
        <w:tabs>
          <w:tab w:val="left" w:pos="284"/>
        </w:tabs>
        <w:ind w:left="567" w:hanging="567"/>
      </w:pPr>
      <w:r>
        <w:tab/>
        <w:t>5.</w:t>
      </w:r>
      <w:r>
        <w:tab/>
        <w:t>Страхование от инвалидности и страхование жизни призваны защитить граждан на протяжении их тр</w:t>
      </w:r>
      <w:r>
        <w:t>у</w:t>
      </w:r>
      <w:r>
        <w:t>довой жизни от опасностей, не связанных с производством. Страхование на случай потери работы в предпенсио</w:t>
      </w:r>
      <w:r>
        <w:t>н</w:t>
      </w:r>
      <w:r>
        <w:t xml:space="preserve">ном возрасте и пенсионное обеспечение призваны гарантировать женщине достойную старость и материальный достаток по достижении возраста 60 лет. </w:t>
      </w:r>
    </w:p>
    <w:p w:rsidR="00000000" w:rsidRDefault="00000000">
      <w:r>
        <w:t>629.</w:t>
      </w:r>
      <w:r>
        <w:tab/>
        <w:t xml:space="preserve">К числу добровольных видов социального страхования, согласно новому закону о социальном страховании, относится страхование здоровья членов семьи. Этот вид страхования предназначен для всех мексиканских семей, глава которых не является наемным работником. Все заинтересованные лица могут в настоящее время заключить с ИМСС договор о предоставлении услуг в случае болезни или по беременности и родам, уплачивая ежемесячные взносы в размере 22,4 процента суммы минимальной заработной платы; все остальные связанные с этим расходы берет на себя государство. </w:t>
      </w:r>
    </w:p>
    <w:p w:rsidR="00000000" w:rsidRDefault="00000000">
      <w:pPr>
        <w:spacing w:line="230" w:lineRule="auto"/>
      </w:pPr>
      <w:r>
        <w:t>630.</w:t>
      </w:r>
      <w:r>
        <w:tab/>
        <w:t>Статья 3 Закона об организации Института социального обеспечения и социальных услуг для государстве</w:t>
      </w:r>
      <w:r>
        <w:t>н</w:t>
      </w:r>
      <w:r>
        <w:t>ных служащих (ИСССТЭ) предусматривает в обязательном порядке выплату следующих пособий и оказание сл</w:t>
      </w:r>
      <w:r>
        <w:t>е</w:t>
      </w:r>
      <w:r>
        <w:t>дующих услуг: профилактика заболеваний; страхование от болезней и по беременности и родам; реабилитация п</w:t>
      </w:r>
      <w:r>
        <w:t>о</w:t>
      </w:r>
      <w:r>
        <w:t>сле перенесенных соматических и психических заболеваний; страхование от несчастных случаев на производстве; пенсионное обеспечение по старости и по выслуге лет; пенсии по инвалидности; пенсии в связи с потерей ко</w:t>
      </w:r>
      <w:r>
        <w:t>р</w:t>
      </w:r>
      <w:r>
        <w:t>мильца; страхование на случай потери работы в предпенсионном возрасте; страхование от любых рисков; услуги по охране здоровья и воспитанию ребенка; комплекс услуг для пенсионеров; аренда и продажа гражданам недор</w:t>
      </w:r>
      <w:r>
        <w:t>о</w:t>
      </w:r>
      <w:r>
        <w:t>гого жилья из фондов Института; ипотечный кредит и любые виды финансирования строительства и приобретения жилья в виде покупки земельных участков под застройку и/или квартир в жилых домах, текущего и капитального ремонта, расширения и благоустройства жилой площади, а также оплату содержания имущества, приобретенного в вышеуказанном порядке; краткосрочные и среднесрочные ссуды; оказание услуг, способствующих повышению качества жизни, и туристических услуг; культурные мероприятия образовательного и спортивного характера и организация досуга; ритуальные услуги; система н</w:t>
      </w:r>
      <w:r>
        <w:t>а</w:t>
      </w:r>
      <w:r>
        <w:t xml:space="preserve">коплений на старость. </w:t>
      </w:r>
    </w:p>
    <w:p w:rsidR="00000000" w:rsidRDefault="00000000">
      <w:pPr>
        <w:spacing w:line="230" w:lineRule="auto"/>
      </w:pPr>
      <w:r>
        <w:t>631.</w:t>
      </w:r>
      <w:r>
        <w:tab/>
        <w:t>Как ИМСС, так и ИСССТЭ и система социального обеспечения в целом имеют целью охрану здоровья женщин, обеспечивая для всех женщин доступ к услугам по родовспоможению и обслуживанию в период кормл</w:t>
      </w:r>
      <w:r>
        <w:t>е</w:t>
      </w:r>
      <w:r>
        <w:t xml:space="preserve">ния ребенка, а также медицинскому обслуживанию, направленному, в частности, на профилактику рака грудной железы и рака шейки матки. </w:t>
      </w:r>
    </w:p>
    <w:p w:rsidR="00000000" w:rsidRDefault="00000000">
      <w:pPr>
        <w:spacing w:line="230" w:lineRule="auto"/>
      </w:pPr>
      <w:r>
        <w:t>632.</w:t>
      </w:r>
      <w:r>
        <w:tab/>
        <w:t>Закон об организации Института социального обеспечения и социальных услуг для государственных служ</w:t>
      </w:r>
      <w:r>
        <w:t>а</w:t>
      </w:r>
      <w:r>
        <w:t xml:space="preserve">щих (раздел 2, глава 5, статья 60) гласит: </w:t>
      </w:r>
    </w:p>
    <w:p w:rsidR="00000000" w:rsidRDefault="00000000">
      <w:pPr>
        <w:tabs>
          <w:tab w:val="left" w:pos="284"/>
        </w:tabs>
        <w:spacing w:line="230" w:lineRule="auto"/>
        <w:ind w:left="284" w:hanging="284"/>
        <w:rPr>
          <w:i/>
        </w:rPr>
      </w:pPr>
      <w:r>
        <w:tab/>
      </w:r>
      <w:r>
        <w:rPr>
          <w:i/>
        </w:rPr>
        <w:t>"Право на пенсию по выслуге лет гарантировано мужчинам, имеющим стаж трудовой деятельности 30 и более лет, и женщинам, имеющим стаж трудовой деятельности 28 и более лет, платившим взносы в кассу И</w:t>
      </w:r>
      <w:r>
        <w:rPr>
          <w:i/>
        </w:rPr>
        <w:t>н</w:t>
      </w:r>
      <w:r>
        <w:rPr>
          <w:i/>
        </w:rPr>
        <w:t>ститута на протяжении всего этого периода, независимо от возраста; при этом к лицам женского пола непр</w:t>
      </w:r>
      <w:r>
        <w:rPr>
          <w:i/>
        </w:rPr>
        <w:t>и</w:t>
      </w:r>
      <w:r>
        <w:rPr>
          <w:i/>
        </w:rPr>
        <w:t>менимы две последние строки таблицы, приводимой в статье 63 н</w:t>
      </w:r>
      <w:r>
        <w:rPr>
          <w:i/>
        </w:rPr>
        <w:t>а</w:t>
      </w:r>
      <w:r>
        <w:rPr>
          <w:i/>
        </w:rPr>
        <w:t xml:space="preserve">стоящего Закона. </w:t>
      </w:r>
    </w:p>
    <w:p w:rsidR="00000000" w:rsidRDefault="00000000">
      <w:pPr>
        <w:tabs>
          <w:tab w:val="left" w:pos="284"/>
        </w:tabs>
        <w:spacing w:line="230" w:lineRule="auto"/>
        <w:ind w:left="284" w:hanging="284"/>
      </w:pPr>
      <w:r>
        <w:rPr>
          <w:i/>
        </w:rPr>
        <w:tab/>
        <w:t>Пенсионное обслуживание по выслуге лет предполагает выплату заинтересованному лицу пенсии, равной 100 процентам ставки заработной платы, как это установлено статьей 64 настоящего Закона. Выплата нач</w:t>
      </w:r>
      <w:r>
        <w:rPr>
          <w:i/>
        </w:rPr>
        <w:t>и</w:t>
      </w:r>
      <w:r>
        <w:rPr>
          <w:i/>
        </w:rPr>
        <w:t>нается со дня, следующего за последним днем, на который начислялась зарабо</w:t>
      </w:r>
      <w:r>
        <w:rPr>
          <w:i/>
        </w:rPr>
        <w:t>т</w:t>
      </w:r>
      <w:r>
        <w:rPr>
          <w:i/>
        </w:rPr>
        <w:t>ная плата".</w:t>
      </w:r>
      <w:r>
        <w:t xml:space="preserve"> </w:t>
      </w:r>
    </w:p>
    <w:p w:rsidR="00000000" w:rsidRDefault="00000000">
      <w:pPr>
        <w:spacing w:line="230" w:lineRule="auto"/>
      </w:pPr>
      <w:r>
        <w:t>633.</w:t>
      </w:r>
      <w:r>
        <w:tab/>
        <w:t xml:space="preserve">Статья 61 того же Закона гласит: </w:t>
      </w:r>
    </w:p>
    <w:p w:rsidR="00000000" w:rsidRDefault="00000000">
      <w:pPr>
        <w:tabs>
          <w:tab w:val="left" w:pos="284"/>
        </w:tabs>
        <w:spacing w:line="230" w:lineRule="auto"/>
        <w:ind w:left="284" w:hanging="284"/>
        <w:rPr>
          <w:i/>
        </w:rPr>
      </w:pPr>
      <w:r>
        <w:tab/>
      </w:r>
      <w:r>
        <w:rPr>
          <w:i/>
        </w:rPr>
        <w:t>"Право на пенсию по старости и выслуге лет имеют лица, достигшие возраста 55 лет, имеющие мин</w:t>
      </w:r>
      <w:r>
        <w:rPr>
          <w:i/>
        </w:rPr>
        <w:t>и</w:t>
      </w:r>
      <w:r>
        <w:rPr>
          <w:i/>
        </w:rPr>
        <w:t xml:space="preserve">мальный трудовой стаж, равный 15 годам, и платившие на протяжении всего указанного периода взносы в кассу Института". </w:t>
      </w:r>
    </w:p>
    <w:p w:rsidR="00000000" w:rsidRDefault="00000000">
      <w:pPr>
        <w:spacing w:line="230" w:lineRule="auto"/>
      </w:pPr>
      <w:r>
        <w:t>634.</w:t>
      </w:r>
      <w:r>
        <w:tab/>
        <w:t xml:space="preserve">Статья 63 того же Закона гласит: </w:t>
      </w:r>
    </w:p>
    <w:p w:rsidR="00000000" w:rsidRDefault="00000000">
      <w:pPr>
        <w:spacing w:line="230" w:lineRule="auto"/>
      </w:pPr>
      <w:r>
        <w:tab/>
      </w:r>
      <w:r>
        <w:rPr>
          <w:i/>
        </w:rPr>
        <w:t>"Сумма пенсии по старости и выслуге лет устанавливается в соответствии со следующей табл</w:t>
      </w:r>
      <w:r>
        <w:rPr>
          <w:i/>
        </w:rPr>
        <w:t>и</w:t>
      </w:r>
      <w:r>
        <w:rPr>
          <w:i/>
        </w:rPr>
        <w:t>цей</w:t>
      </w:r>
      <w:r>
        <w:t>:</w:t>
      </w:r>
    </w:p>
    <w:tbl>
      <w:tblPr>
        <w:tblW w:w="0" w:type="auto"/>
        <w:tblInd w:w="2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102"/>
      </w:tblGrid>
      <w:tr w:rsidR="00000000">
        <w:tblPrEx>
          <w:tblCellMar>
            <w:top w:w="0" w:type="dxa"/>
            <w:bottom w:w="0" w:type="dxa"/>
          </w:tblCellMar>
        </w:tblPrEx>
        <w:tc>
          <w:tcPr>
            <w:tcW w:w="1701" w:type="dxa"/>
          </w:tcPr>
          <w:p w:rsidR="00000000" w:rsidRDefault="00000000">
            <w:pPr>
              <w:spacing w:before="20" w:after="20" w:line="230" w:lineRule="auto"/>
              <w:jc w:val="center"/>
              <w:rPr>
                <w:b/>
              </w:rPr>
            </w:pPr>
            <w:r>
              <w:rPr>
                <w:b/>
              </w:rPr>
              <w:t>Стаж</w:t>
            </w:r>
          </w:p>
        </w:tc>
        <w:tc>
          <w:tcPr>
            <w:tcW w:w="2102" w:type="dxa"/>
          </w:tcPr>
          <w:p w:rsidR="00000000" w:rsidRDefault="00000000">
            <w:pPr>
              <w:spacing w:before="20" w:after="20" w:line="230" w:lineRule="auto"/>
              <w:jc w:val="center"/>
              <w:rPr>
                <w:b/>
              </w:rPr>
            </w:pPr>
            <w:r>
              <w:rPr>
                <w:b/>
              </w:rPr>
              <w:t>Процентная доля</w:t>
            </w:r>
          </w:p>
        </w:tc>
      </w:tr>
      <w:tr w:rsidR="00000000">
        <w:tblPrEx>
          <w:tblCellMar>
            <w:top w:w="0" w:type="dxa"/>
            <w:bottom w:w="0" w:type="dxa"/>
          </w:tblCellMar>
        </w:tblPrEx>
        <w:tc>
          <w:tcPr>
            <w:tcW w:w="1701" w:type="dxa"/>
          </w:tcPr>
          <w:p w:rsidR="00000000" w:rsidRDefault="00000000">
            <w:pPr>
              <w:spacing w:before="20" w:after="20" w:line="230" w:lineRule="auto"/>
              <w:jc w:val="center"/>
            </w:pPr>
            <w:r>
              <w:t>15</w:t>
            </w:r>
          </w:p>
        </w:tc>
        <w:tc>
          <w:tcPr>
            <w:tcW w:w="2102" w:type="dxa"/>
          </w:tcPr>
          <w:p w:rsidR="00000000" w:rsidRDefault="00000000">
            <w:pPr>
              <w:spacing w:before="20" w:after="20" w:line="230" w:lineRule="auto"/>
              <w:jc w:val="center"/>
            </w:pPr>
            <w:r>
              <w:t>50,0</w:t>
            </w:r>
          </w:p>
        </w:tc>
      </w:tr>
      <w:tr w:rsidR="00000000">
        <w:tblPrEx>
          <w:tblCellMar>
            <w:top w:w="0" w:type="dxa"/>
            <w:bottom w:w="0" w:type="dxa"/>
          </w:tblCellMar>
        </w:tblPrEx>
        <w:tc>
          <w:tcPr>
            <w:tcW w:w="1701" w:type="dxa"/>
          </w:tcPr>
          <w:p w:rsidR="00000000" w:rsidRDefault="00000000">
            <w:pPr>
              <w:spacing w:before="20" w:after="20" w:line="230" w:lineRule="auto"/>
              <w:jc w:val="center"/>
            </w:pPr>
            <w:r>
              <w:t>16</w:t>
            </w:r>
          </w:p>
        </w:tc>
        <w:tc>
          <w:tcPr>
            <w:tcW w:w="2102" w:type="dxa"/>
          </w:tcPr>
          <w:p w:rsidR="00000000" w:rsidRDefault="00000000">
            <w:pPr>
              <w:spacing w:before="20" w:after="20" w:line="230" w:lineRule="auto"/>
              <w:jc w:val="center"/>
            </w:pPr>
            <w:r>
              <w:t>52,5</w:t>
            </w:r>
          </w:p>
        </w:tc>
      </w:tr>
      <w:tr w:rsidR="00000000">
        <w:tblPrEx>
          <w:tblCellMar>
            <w:top w:w="0" w:type="dxa"/>
            <w:bottom w:w="0" w:type="dxa"/>
          </w:tblCellMar>
        </w:tblPrEx>
        <w:tc>
          <w:tcPr>
            <w:tcW w:w="1701" w:type="dxa"/>
          </w:tcPr>
          <w:p w:rsidR="00000000" w:rsidRDefault="00000000">
            <w:pPr>
              <w:spacing w:before="20" w:after="20" w:line="230" w:lineRule="auto"/>
              <w:jc w:val="center"/>
            </w:pPr>
            <w:r>
              <w:t>17</w:t>
            </w:r>
          </w:p>
        </w:tc>
        <w:tc>
          <w:tcPr>
            <w:tcW w:w="2102" w:type="dxa"/>
          </w:tcPr>
          <w:p w:rsidR="00000000" w:rsidRDefault="00000000">
            <w:pPr>
              <w:spacing w:before="20" w:after="20" w:line="230" w:lineRule="auto"/>
              <w:jc w:val="center"/>
            </w:pPr>
            <w:r>
              <w:t>55,0</w:t>
            </w:r>
          </w:p>
        </w:tc>
      </w:tr>
      <w:tr w:rsidR="00000000">
        <w:tblPrEx>
          <w:tblCellMar>
            <w:top w:w="0" w:type="dxa"/>
            <w:bottom w:w="0" w:type="dxa"/>
          </w:tblCellMar>
        </w:tblPrEx>
        <w:tc>
          <w:tcPr>
            <w:tcW w:w="1701" w:type="dxa"/>
          </w:tcPr>
          <w:p w:rsidR="00000000" w:rsidRDefault="00000000">
            <w:pPr>
              <w:spacing w:before="20" w:after="20" w:line="230" w:lineRule="auto"/>
              <w:jc w:val="center"/>
            </w:pPr>
            <w:r>
              <w:t>18</w:t>
            </w:r>
          </w:p>
        </w:tc>
        <w:tc>
          <w:tcPr>
            <w:tcW w:w="2102" w:type="dxa"/>
          </w:tcPr>
          <w:p w:rsidR="00000000" w:rsidRDefault="00000000">
            <w:pPr>
              <w:spacing w:before="20" w:after="20" w:line="230" w:lineRule="auto"/>
              <w:jc w:val="center"/>
            </w:pPr>
            <w:r>
              <w:t>57,5</w:t>
            </w:r>
          </w:p>
        </w:tc>
      </w:tr>
      <w:tr w:rsidR="00000000">
        <w:tblPrEx>
          <w:tblCellMar>
            <w:top w:w="0" w:type="dxa"/>
            <w:bottom w:w="0" w:type="dxa"/>
          </w:tblCellMar>
        </w:tblPrEx>
        <w:tc>
          <w:tcPr>
            <w:tcW w:w="1701" w:type="dxa"/>
          </w:tcPr>
          <w:p w:rsidR="00000000" w:rsidRDefault="00000000">
            <w:pPr>
              <w:spacing w:before="20" w:after="20" w:line="230" w:lineRule="auto"/>
              <w:jc w:val="center"/>
            </w:pPr>
            <w:r>
              <w:t>19</w:t>
            </w:r>
          </w:p>
        </w:tc>
        <w:tc>
          <w:tcPr>
            <w:tcW w:w="2102" w:type="dxa"/>
          </w:tcPr>
          <w:p w:rsidR="00000000" w:rsidRDefault="00000000">
            <w:pPr>
              <w:spacing w:before="20" w:after="20" w:line="230" w:lineRule="auto"/>
              <w:jc w:val="center"/>
            </w:pPr>
            <w:r>
              <w:t>60,0</w:t>
            </w:r>
          </w:p>
        </w:tc>
      </w:tr>
      <w:tr w:rsidR="00000000">
        <w:tblPrEx>
          <w:tblCellMar>
            <w:top w:w="0" w:type="dxa"/>
            <w:bottom w:w="0" w:type="dxa"/>
          </w:tblCellMar>
        </w:tblPrEx>
        <w:tc>
          <w:tcPr>
            <w:tcW w:w="1701" w:type="dxa"/>
          </w:tcPr>
          <w:p w:rsidR="00000000" w:rsidRDefault="00000000">
            <w:pPr>
              <w:spacing w:before="20" w:after="20" w:line="230" w:lineRule="auto"/>
              <w:jc w:val="center"/>
            </w:pPr>
            <w:r>
              <w:t>20</w:t>
            </w:r>
          </w:p>
        </w:tc>
        <w:tc>
          <w:tcPr>
            <w:tcW w:w="2102" w:type="dxa"/>
          </w:tcPr>
          <w:p w:rsidR="00000000" w:rsidRDefault="00000000">
            <w:pPr>
              <w:spacing w:before="20" w:after="20" w:line="230" w:lineRule="auto"/>
              <w:jc w:val="center"/>
            </w:pPr>
            <w:r>
              <w:t>62,5</w:t>
            </w:r>
          </w:p>
        </w:tc>
      </w:tr>
      <w:tr w:rsidR="00000000">
        <w:tblPrEx>
          <w:tblCellMar>
            <w:top w:w="0" w:type="dxa"/>
            <w:bottom w:w="0" w:type="dxa"/>
          </w:tblCellMar>
        </w:tblPrEx>
        <w:tc>
          <w:tcPr>
            <w:tcW w:w="1701" w:type="dxa"/>
          </w:tcPr>
          <w:p w:rsidR="00000000" w:rsidRDefault="00000000">
            <w:pPr>
              <w:spacing w:before="20" w:after="20" w:line="230" w:lineRule="auto"/>
              <w:jc w:val="center"/>
            </w:pPr>
            <w:r>
              <w:t>21</w:t>
            </w:r>
          </w:p>
        </w:tc>
        <w:tc>
          <w:tcPr>
            <w:tcW w:w="2102" w:type="dxa"/>
          </w:tcPr>
          <w:p w:rsidR="00000000" w:rsidRDefault="00000000">
            <w:pPr>
              <w:spacing w:before="20" w:after="20" w:line="230" w:lineRule="auto"/>
              <w:jc w:val="center"/>
            </w:pPr>
            <w:r>
              <w:t>65,0</w:t>
            </w:r>
          </w:p>
        </w:tc>
      </w:tr>
      <w:tr w:rsidR="00000000">
        <w:tblPrEx>
          <w:tblCellMar>
            <w:top w:w="0" w:type="dxa"/>
            <w:bottom w:w="0" w:type="dxa"/>
          </w:tblCellMar>
        </w:tblPrEx>
        <w:tc>
          <w:tcPr>
            <w:tcW w:w="1701" w:type="dxa"/>
          </w:tcPr>
          <w:p w:rsidR="00000000" w:rsidRDefault="00000000">
            <w:pPr>
              <w:spacing w:before="20" w:after="20" w:line="230" w:lineRule="auto"/>
              <w:jc w:val="center"/>
            </w:pPr>
            <w:r>
              <w:t>22</w:t>
            </w:r>
          </w:p>
        </w:tc>
        <w:tc>
          <w:tcPr>
            <w:tcW w:w="2102" w:type="dxa"/>
          </w:tcPr>
          <w:p w:rsidR="00000000" w:rsidRDefault="00000000">
            <w:pPr>
              <w:spacing w:before="20" w:after="20" w:line="230" w:lineRule="auto"/>
              <w:jc w:val="center"/>
            </w:pPr>
            <w:r>
              <w:t>67,5</w:t>
            </w:r>
          </w:p>
        </w:tc>
      </w:tr>
      <w:tr w:rsidR="00000000">
        <w:tblPrEx>
          <w:tblCellMar>
            <w:top w:w="0" w:type="dxa"/>
            <w:bottom w:w="0" w:type="dxa"/>
          </w:tblCellMar>
        </w:tblPrEx>
        <w:tc>
          <w:tcPr>
            <w:tcW w:w="1701" w:type="dxa"/>
          </w:tcPr>
          <w:p w:rsidR="00000000" w:rsidRDefault="00000000">
            <w:pPr>
              <w:spacing w:before="20" w:after="20" w:line="230" w:lineRule="auto"/>
              <w:jc w:val="center"/>
            </w:pPr>
            <w:r>
              <w:t>23</w:t>
            </w:r>
          </w:p>
        </w:tc>
        <w:tc>
          <w:tcPr>
            <w:tcW w:w="2102" w:type="dxa"/>
          </w:tcPr>
          <w:p w:rsidR="00000000" w:rsidRDefault="00000000">
            <w:pPr>
              <w:spacing w:before="20" w:after="20" w:line="230" w:lineRule="auto"/>
              <w:jc w:val="center"/>
            </w:pPr>
            <w:r>
              <w:t>70,0</w:t>
            </w:r>
          </w:p>
        </w:tc>
      </w:tr>
      <w:tr w:rsidR="00000000">
        <w:tblPrEx>
          <w:tblCellMar>
            <w:top w:w="0" w:type="dxa"/>
            <w:bottom w:w="0" w:type="dxa"/>
          </w:tblCellMar>
        </w:tblPrEx>
        <w:tc>
          <w:tcPr>
            <w:tcW w:w="1701" w:type="dxa"/>
          </w:tcPr>
          <w:p w:rsidR="00000000" w:rsidRDefault="00000000">
            <w:pPr>
              <w:spacing w:before="20" w:after="20" w:line="230" w:lineRule="auto"/>
              <w:jc w:val="center"/>
            </w:pPr>
            <w:r>
              <w:t>24</w:t>
            </w:r>
          </w:p>
        </w:tc>
        <w:tc>
          <w:tcPr>
            <w:tcW w:w="2102" w:type="dxa"/>
          </w:tcPr>
          <w:p w:rsidR="00000000" w:rsidRDefault="00000000">
            <w:pPr>
              <w:spacing w:before="20" w:after="20" w:line="230" w:lineRule="auto"/>
              <w:jc w:val="center"/>
            </w:pPr>
            <w:r>
              <w:t>72,5</w:t>
            </w:r>
          </w:p>
        </w:tc>
      </w:tr>
      <w:tr w:rsidR="00000000">
        <w:tblPrEx>
          <w:tblCellMar>
            <w:top w:w="0" w:type="dxa"/>
            <w:bottom w:w="0" w:type="dxa"/>
          </w:tblCellMar>
        </w:tblPrEx>
        <w:tc>
          <w:tcPr>
            <w:tcW w:w="1701" w:type="dxa"/>
          </w:tcPr>
          <w:p w:rsidR="00000000" w:rsidRDefault="00000000">
            <w:pPr>
              <w:spacing w:before="20" w:after="20" w:line="230" w:lineRule="auto"/>
              <w:jc w:val="center"/>
            </w:pPr>
            <w:r>
              <w:t>25</w:t>
            </w:r>
          </w:p>
        </w:tc>
        <w:tc>
          <w:tcPr>
            <w:tcW w:w="2102" w:type="dxa"/>
          </w:tcPr>
          <w:p w:rsidR="00000000" w:rsidRDefault="00000000">
            <w:pPr>
              <w:spacing w:before="20" w:after="20" w:line="230" w:lineRule="auto"/>
              <w:jc w:val="center"/>
            </w:pPr>
            <w:r>
              <w:t>75,0</w:t>
            </w:r>
          </w:p>
        </w:tc>
      </w:tr>
      <w:tr w:rsidR="00000000">
        <w:tblPrEx>
          <w:tblCellMar>
            <w:top w:w="0" w:type="dxa"/>
            <w:bottom w:w="0" w:type="dxa"/>
          </w:tblCellMar>
        </w:tblPrEx>
        <w:tc>
          <w:tcPr>
            <w:tcW w:w="1701" w:type="dxa"/>
          </w:tcPr>
          <w:p w:rsidR="00000000" w:rsidRDefault="00000000">
            <w:pPr>
              <w:spacing w:before="20" w:after="20" w:line="230" w:lineRule="auto"/>
              <w:jc w:val="center"/>
            </w:pPr>
            <w:r>
              <w:t>26</w:t>
            </w:r>
          </w:p>
        </w:tc>
        <w:tc>
          <w:tcPr>
            <w:tcW w:w="2102" w:type="dxa"/>
          </w:tcPr>
          <w:p w:rsidR="00000000" w:rsidRDefault="00000000">
            <w:pPr>
              <w:spacing w:before="20" w:after="20" w:line="230" w:lineRule="auto"/>
              <w:jc w:val="center"/>
            </w:pPr>
            <w:r>
              <w:t>80,0</w:t>
            </w:r>
          </w:p>
        </w:tc>
      </w:tr>
      <w:tr w:rsidR="00000000">
        <w:tblPrEx>
          <w:tblCellMar>
            <w:top w:w="0" w:type="dxa"/>
            <w:bottom w:w="0" w:type="dxa"/>
          </w:tblCellMar>
        </w:tblPrEx>
        <w:tc>
          <w:tcPr>
            <w:tcW w:w="1701" w:type="dxa"/>
          </w:tcPr>
          <w:p w:rsidR="00000000" w:rsidRDefault="00000000">
            <w:pPr>
              <w:spacing w:before="20" w:after="20" w:line="230" w:lineRule="auto"/>
              <w:jc w:val="center"/>
            </w:pPr>
            <w:r>
              <w:t>27</w:t>
            </w:r>
          </w:p>
        </w:tc>
        <w:tc>
          <w:tcPr>
            <w:tcW w:w="2102" w:type="dxa"/>
          </w:tcPr>
          <w:p w:rsidR="00000000" w:rsidRDefault="00000000">
            <w:pPr>
              <w:spacing w:before="20" w:after="20" w:line="230" w:lineRule="auto"/>
              <w:jc w:val="center"/>
            </w:pPr>
            <w:r>
              <w:t>85,0</w:t>
            </w:r>
          </w:p>
        </w:tc>
      </w:tr>
      <w:tr w:rsidR="00000000">
        <w:tblPrEx>
          <w:tblCellMar>
            <w:top w:w="0" w:type="dxa"/>
            <w:bottom w:w="0" w:type="dxa"/>
          </w:tblCellMar>
        </w:tblPrEx>
        <w:tc>
          <w:tcPr>
            <w:tcW w:w="1701" w:type="dxa"/>
          </w:tcPr>
          <w:p w:rsidR="00000000" w:rsidRDefault="00000000">
            <w:pPr>
              <w:spacing w:before="20" w:after="20" w:line="230" w:lineRule="auto"/>
              <w:jc w:val="center"/>
            </w:pPr>
            <w:r>
              <w:t>28</w:t>
            </w:r>
          </w:p>
        </w:tc>
        <w:tc>
          <w:tcPr>
            <w:tcW w:w="2102" w:type="dxa"/>
          </w:tcPr>
          <w:p w:rsidR="00000000" w:rsidRDefault="00000000">
            <w:pPr>
              <w:spacing w:before="20" w:after="20" w:line="230" w:lineRule="auto"/>
              <w:jc w:val="center"/>
            </w:pPr>
            <w:r>
              <w:t>90,0</w:t>
            </w:r>
          </w:p>
        </w:tc>
      </w:tr>
      <w:tr w:rsidR="00000000">
        <w:tblPrEx>
          <w:tblCellMar>
            <w:top w:w="0" w:type="dxa"/>
            <w:bottom w:w="0" w:type="dxa"/>
          </w:tblCellMar>
        </w:tblPrEx>
        <w:tc>
          <w:tcPr>
            <w:tcW w:w="1701" w:type="dxa"/>
          </w:tcPr>
          <w:p w:rsidR="00000000" w:rsidRDefault="00000000">
            <w:pPr>
              <w:spacing w:before="20" w:after="20" w:line="230" w:lineRule="auto"/>
              <w:jc w:val="center"/>
            </w:pPr>
            <w:r>
              <w:t>29</w:t>
            </w:r>
          </w:p>
        </w:tc>
        <w:tc>
          <w:tcPr>
            <w:tcW w:w="2102" w:type="dxa"/>
          </w:tcPr>
          <w:p w:rsidR="00000000" w:rsidRDefault="00000000">
            <w:pPr>
              <w:spacing w:before="20" w:after="20" w:line="230" w:lineRule="auto"/>
              <w:jc w:val="center"/>
            </w:pPr>
            <w:r>
              <w:t>95,0"</w:t>
            </w:r>
          </w:p>
        </w:tc>
      </w:tr>
    </w:tbl>
    <w:p w:rsidR="00000000" w:rsidRDefault="00000000">
      <w:r>
        <w:t>635.</w:t>
      </w:r>
      <w:r>
        <w:tab/>
        <w:t xml:space="preserve">Статья 64 того же Закона гласит: </w:t>
      </w:r>
    </w:p>
    <w:p w:rsidR="00000000" w:rsidRDefault="00000000">
      <w:pPr>
        <w:tabs>
          <w:tab w:val="clear" w:pos="567"/>
          <w:tab w:val="left" w:pos="284"/>
        </w:tabs>
        <w:ind w:left="284" w:hanging="284"/>
        <w:rPr>
          <w:i/>
        </w:rPr>
      </w:pPr>
      <w:r>
        <w:tab/>
      </w:r>
      <w:r>
        <w:rPr>
          <w:i/>
        </w:rPr>
        <w:t>"Для расчета суммы пенсий, выплачиваемых на основании статей 60, 63, 67, 76 и прочих, имеющих отнош</w:t>
      </w:r>
      <w:r>
        <w:rPr>
          <w:i/>
        </w:rPr>
        <w:t>е</w:t>
      </w:r>
      <w:r>
        <w:rPr>
          <w:i/>
        </w:rPr>
        <w:t xml:space="preserve">ние к данному вопросу, за исходную сумму берется среднемесячная заработная плата последнего полного года трудовой деятельности, вплоть до даты выхода на пенсию или смерти гражданина". </w:t>
      </w:r>
    </w:p>
    <w:p w:rsidR="00000000" w:rsidRDefault="00000000">
      <w:r>
        <w:t>636.</w:t>
      </w:r>
      <w:r>
        <w:tab/>
        <w:t xml:space="preserve">В отношении пенсий по инвалидности статьи 67 и 73 устанавливают: </w:t>
      </w:r>
    </w:p>
    <w:p w:rsidR="00000000" w:rsidRDefault="00000000">
      <w:pPr>
        <w:tabs>
          <w:tab w:val="clear" w:pos="567"/>
          <w:tab w:val="left" w:pos="284"/>
        </w:tabs>
        <w:ind w:left="284" w:hanging="284"/>
        <w:rPr>
          <w:i/>
        </w:rPr>
      </w:pPr>
      <w:r>
        <w:tab/>
      </w:r>
      <w:r>
        <w:rPr>
          <w:i/>
        </w:rPr>
        <w:t>"Статья 67. Пенсия по инвалидности назначается гражданину в случае потери трудоспособности, физ</w:t>
      </w:r>
      <w:r>
        <w:rPr>
          <w:i/>
        </w:rPr>
        <w:t>и</w:t>
      </w:r>
      <w:r>
        <w:rPr>
          <w:i/>
        </w:rPr>
        <w:t>ческой или умственной, по причине, не связанной с его трудовой деятельностью, но только в том случае, если он платил взносы в кассу Института на протяжении как минимум 15 лет. [ … ] При расчете суммы указанной пе</w:t>
      </w:r>
      <w:r>
        <w:rPr>
          <w:i/>
        </w:rPr>
        <w:t>н</w:t>
      </w:r>
      <w:r>
        <w:rPr>
          <w:i/>
        </w:rPr>
        <w:t>сии берется за основу таблица, приводимая в статье 63, в части, имеющей непосредственное отношение к пол</w:t>
      </w:r>
      <w:r>
        <w:rPr>
          <w:i/>
        </w:rPr>
        <w:t>о</w:t>
      </w:r>
      <w:r>
        <w:rPr>
          <w:i/>
        </w:rPr>
        <w:t xml:space="preserve">жениям статьи 64. </w:t>
      </w:r>
    </w:p>
    <w:p w:rsidR="00000000" w:rsidRDefault="00000000">
      <w:pPr>
        <w:tabs>
          <w:tab w:val="clear" w:pos="567"/>
          <w:tab w:val="left" w:pos="284"/>
        </w:tabs>
        <w:ind w:left="284" w:hanging="284"/>
      </w:pPr>
      <w:r>
        <w:rPr>
          <w:i/>
        </w:rPr>
        <w:tab/>
        <w:t>Статья 73. Смерть работника, случившаяся по причине, не связанной с его трудовой деятельностью и н</w:t>
      </w:r>
      <w:r>
        <w:rPr>
          <w:i/>
        </w:rPr>
        <w:t>е</w:t>
      </w:r>
      <w:r>
        <w:rPr>
          <w:i/>
        </w:rPr>
        <w:t>зависимо от его возраста, в том случае, если он платил взносы в кассу Института на протяжении более чем 15 лет, или же наступившая в возрасте 60 и более лет, при условии, что данный работник платил взносы в кассу И</w:t>
      </w:r>
      <w:r>
        <w:rPr>
          <w:i/>
        </w:rPr>
        <w:t>н</w:t>
      </w:r>
      <w:r>
        <w:rPr>
          <w:i/>
        </w:rPr>
        <w:t>ститута на протяжении как минимум 10 лет, а также смерть лица, получавшего пенсию по старости или высл</w:t>
      </w:r>
      <w:r>
        <w:rPr>
          <w:i/>
        </w:rPr>
        <w:t>у</w:t>
      </w:r>
      <w:r>
        <w:rPr>
          <w:i/>
        </w:rPr>
        <w:t>ге лет, или получавшего пособие в связи с потерей работы в предпенсионном возрасте, или пенсию по инвалидн</w:t>
      </w:r>
      <w:r>
        <w:rPr>
          <w:i/>
        </w:rPr>
        <w:t>о</w:t>
      </w:r>
      <w:r>
        <w:rPr>
          <w:i/>
        </w:rPr>
        <w:t>сти, являются основанием назначения пенсии в связи с потерей кормильца вдове, состоявшей с покойным в зарег</w:t>
      </w:r>
      <w:r>
        <w:rPr>
          <w:i/>
        </w:rPr>
        <w:t>и</w:t>
      </w:r>
      <w:r>
        <w:rPr>
          <w:i/>
        </w:rPr>
        <w:t>стрированном или гражданском браке, нетрудоспособным детям или родителям, в порядке, установленном н</w:t>
      </w:r>
      <w:r>
        <w:rPr>
          <w:i/>
        </w:rPr>
        <w:t>а</w:t>
      </w:r>
      <w:r>
        <w:rPr>
          <w:i/>
        </w:rPr>
        <w:t>стоящим Законом".</w:t>
      </w:r>
    </w:p>
    <w:p w:rsidR="00000000" w:rsidRDefault="00000000"/>
    <w:p w:rsidR="00000000" w:rsidRDefault="00000000">
      <w:pPr>
        <w:jc w:val="center"/>
        <w:rPr>
          <w:b/>
          <w:vertAlign w:val="superscript"/>
        </w:rPr>
      </w:pPr>
      <w:r>
        <w:rPr>
          <w:b/>
        </w:rPr>
        <w:t>Число пенсионеров</w:t>
      </w:r>
      <w:r>
        <w:rPr>
          <w:b/>
          <w:vertAlign w:val="superscript"/>
        </w:rPr>
        <w:t>1</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693"/>
        <w:gridCol w:w="1389"/>
        <w:gridCol w:w="1389"/>
        <w:gridCol w:w="1389"/>
        <w:gridCol w:w="1389"/>
        <w:gridCol w:w="1389"/>
      </w:tblGrid>
      <w:tr w:rsidR="00000000">
        <w:tblPrEx>
          <w:tblCellMar>
            <w:top w:w="0" w:type="dxa"/>
            <w:bottom w:w="0" w:type="dxa"/>
          </w:tblCellMar>
        </w:tblPrEx>
        <w:trPr>
          <w:cantSplit/>
        </w:trPr>
        <w:tc>
          <w:tcPr>
            <w:tcW w:w="2693" w:type="dxa"/>
            <w:vMerge w:val="restart"/>
            <w:vAlign w:val="center"/>
          </w:tcPr>
          <w:p w:rsidR="00000000" w:rsidRDefault="00000000">
            <w:pPr>
              <w:pStyle w:val="a1"/>
              <w:jc w:val="center"/>
              <w:rPr>
                <w:b/>
              </w:rPr>
            </w:pPr>
            <w:r>
              <w:rPr>
                <w:b/>
              </w:rPr>
              <w:t xml:space="preserve">Размер пенсии </w:t>
            </w:r>
            <w:r>
              <w:rPr>
                <w:b/>
              </w:rPr>
              <w:br/>
              <w:t>(мин</w:t>
            </w:r>
            <w:r>
              <w:rPr>
                <w:b/>
              </w:rPr>
              <w:t>и</w:t>
            </w:r>
            <w:r>
              <w:rPr>
                <w:b/>
              </w:rPr>
              <w:t xml:space="preserve">мальных </w:t>
            </w:r>
            <w:r>
              <w:rPr>
                <w:b/>
              </w:rPr>
              <w:br/>
              <w:t>заработных плат)</w:t>
            </w:r>
          </w:p>
        </w:tc>
        <w:tc>
          <w:tcPr>
            <w:tcW w:w="1389" w:type="dxa"/>
            <w:vAlign w:val="center"/>
          </w:tcPr>
          <w:p w:rsidR="00000000" w:rsidRDefault="00000000">
            <w:pPr>
              <w:pStyle w:val="a1"/>
              <w:jc w:val="center"/>
              <w:rPr>
                <w:b/>
              </w:rPr>
            </w:pPr>
            <w:r>
              <w:rPr>
                <w:b/>
              </w:rPr>
              <w:t>1998</w:t>
            </w:r>
            <w:r>
              <w:rPr>
                <w:b/>
                <w:vertAlign w:val="superscript"/>
              </w:rPr>
              <w:t>2</w:t>
            </w:r>
            <w:r>
              <w:rPr>
                <w:b/>
              </w:rPr>
              <w:t xml:space="preserve"> год</w:t>
            </w:r>
          </w:p>
        </w:tc>
        <w:tc>
          <w:tcPr>
            <w:tcW w:w="2778" w:type="dxa"/>
            <w:gridSpan w:val="2"/>
            <w:vAlign w:val="center"/>
          </w:tcPr>
          <w:p w:rsidR="00000000" w:rsidRDefault="00000000">
            <w:pPr>
              <w:pStyle w:val="a1"/>
              <w:jc w:val="center"/>
              <w:rPr>
                <w:b/>
              </w:rPr>
            </w:pPr>
            <w:r>
              <w:rPr>
                <w:b/>
              </w:rPr>
              <w:t>1999 год</w:t>
            </w:r>
          </w:p>
        </w:tc>
        <w:tc>
          <w:tcPr>
            <w:tcW w:w="2778" w:type="dxa"/>
            <w:gridSpan w:val="2"/>
            <w:vAlign w:val="center"/>
          </w:tcPr>
          <w:p w:rsidR="00000000" w:rsidRDefault="00000000">
            <w:pPr>
              <w:pStyle w:val="a1"/>
              <w:jc w:val="center"/>
              <w:rPr>
                <w:b/>
              </w:rPr>
            </w:pPr>
            <w:r>
              <w:rPr>
                <w:b/>
              </w:rPr>
              <w:t>2000</w:t>
            </w:r>
            <w:r>
              <w:rPr>
                <w:b/>
                <w:vertAlign w:val="superscript"/>
              </w:rPr>
              <w:t>3</w:t>
            </w:r>
            <w:r>
              <w:rPr>
                <w:b/>
              </w:rPr>
              <w:t xml:space="preserve"> год</w:t>
            </w:r>
          </w:p>
        </w:tc>
      </w:tr>
      <w:tr w:rsidR="00000000">
        <w:tblPrEx>
          <w:tblCellMar>
            <w:top w:w="0" w:type="dxa"/>
            <w:bottom w:w="0" w:type="dxa"/>
          </w:tblCellMar>
        </w:tblPrEx>
        <w:trPr>
          <w:cantSplit/>
        </w:trPr>
        <w:tc>
          <w:tcPr>
            <w:tcW w:w="2693" w:type="dxa"/>
            <w:vMerge/>
            <w:vAlign w:val="center"/>
          </w:tcPr>
          <w:p w:rsidR="00000000" w:rsidRDefault="00000000">
            <w:pPr>
              <w:pStyle w:val="a1"/>
              <w:jc w:val="center"/>
              <w:rPr>
                <w:b/>
              </w:rPr>
            </w:pPr>
          </w:p>
        </w:tc>
        <w:tc>
          <w:tcPr>
            <w:tcW w:w="1389" w:type="dxa"/>
            <w:vAlign w:val="center"/>
          </w:tcPr>
          <w:p w:rsidR="00000000" w:rsidRDefault="00000000">
            <w:pPr>
              <w:pStyle w:val="a1"/>
              <w:jc w:val="center"/>
              <w:rPr>
                <w:b/>
              </w:rPr>
            </w:pPr>
            <w:r>
              <w:rPr>
                <w:b/>
              </w:rPr>
              <w:t>итого</w:t>
            </w:r>
          </w:p>
        </w:tc>
        <w:tc>
          <w:tcPr>
            <w:tcW w:w="1389" w:type="dxa"/>
            <w:vAlign w:val="center"/>
          </w:tcPr>
          <w:p w:rsidR="00000000" w:rsidRDefault="00000000">
            <w:pPr>
              <w:pStyle w:val="a1"/>
              <w:jc w:val="center"/>
              <w:rPr>
                <w:b/>
              </w:rPr>
            </w:pPr>
            <w:r>
              <w:rPr>
                <w:b/>
              </w:rPr>
              <w:t>мужчины</w:t>
            </w:r>
          </w:p>
        </w:tc>
        <w:tc>
          <w:tcPr>
            <w:tcW w:w="1389" w:type="dxa"/>
            <w:vAlign w:val="center"/>
          </w:tcPr>
          <w:p w:rsidR="00000000" w:rsidRDefault="00000000">
            <w:pPr>
              <w:pStyle w:val="a1"/>
              <w:jc w:val="center"/>
              <w:rPr>
                <w:b/>
              </w:rPr>
            </w:pPr>
            <w:r>
              <w:rPr>
                <w:b/>
              </w:rPr>
              <w:t>женщины</w:t>
            </w:r>
          </w:p>
        </w:tc>
        <w:tc>
          <w:tcPr>
            <w:tcW w:w="1389" w:type="dxa"/>
            <w:vAlign w:val="center"/>
          </w:tcPr>
          <w:p w:rsidR="00000000" w:rsidRDefault="00000000">
            <w:pPr>
              <w:pStyle w:val="a1"/>
              <w:jc w:val="center"/>
              <w:rPr>
                <w:b/>
              </w:rPr>
            </w:pPr>
            <w:r>
              <w:rPr>
                <w:b/>
              </w:rPr>
              <w:t>мужчины</w:t>
            </w:r>
          </w:p>
        </w:tc>
        <w:tc>
          <w:tcPr>
            <w:tcW w:w="1389" w:type="dxa"/>
            <w:vAlign w:val="center"/>
          </w:tcPr>
          <w:p w:rsidR="00000000" w:rsidRDefault="00000000">
            <w:pPr>
              <w:pStyle w:val="a1"/>
              <w:jc w:val="center"/>
              <w:rPr>
                <w:b/>
              </w:rPr>
            </w:pPr>
            <w:r>
              <w:rPr>
                <w:b/>
              </w:rPr>
              <w:t>женщины</w:t>
            </w:r>
          </w:p>
        </w:tc>
      </w:tr>
      <w:tr w:rsidR="00000000">
        <w:tblPrEx>
          <w:tblCellMar>
            <w:top w:w="0" w:type="dxa"/>
            <w:bottom w:w="0" w:type="dxa"/>
          </w:tblCellMar>
        </w:tblPrEx>
        <w:trPr>
          <w:cantSplit/>
        </w:trPr>
        <w:tc>
          <w:tcPr>
            <w:tcW w:w="2693" w:type="dxa"/>
          </w:tcPr>
          <w:p w:rsidR="00000000" w:rsidRDefault="00000000">
            <w:pPr>
              <w:pStyle w:val="a1"/>
            </w:pPr>
            <w:r>
              <w:t>1</w:t>
            </w:r>
          </w:p>
        </w:tc>
        <w:tc>
          <w:tcPr>
            <w:tcW w:w="1389" w:type="dxa"/>
          </w:tcPr>
          <w:p w:rsidR="00000000" w:rsidRDefault="00000000">
            <w:pPr>
              <w:pStyle w:val="a1"/>
              <w:tabs>
                <w:tab w:val="clear" w:pos="1021"/>
              </w:tabs>
              <w:ind w:right="311"/>
              <w:jc w:val="right"/>
            </w:pPr>
            <w:r>
              <w:t>12 284</w:t>
            </w:r>
          </w:p>
        </w:tc>
        <w:tc>
          <w:tcPr>
            <w:tcW w:w="1389" w:type="dxa"/>
          </w:tcPr>
          <w:p w:rsidR="00000000" w:rsidRDefault="00000000">
            <w:pPr>
              <w:pStyle w:val="a1"/>
              <w:tabs>
                <w:tab w:val="clear" w:pos="1021"/>
              </w:tabs>
              <w:ind w:right="311"/>
              <w:jc w:val="right"/>
            </w:pPr>
            <w:r>
              <w:t>10183</w:t>
            </w:r>
          </w:p>
        </w:tc>
        <w:tc>
          <w:tcPr>
            <w:tcW w:w="1389" w:type="dxa"/>
          </w:tcPr>
          <w:p w:rsidR="00000000" w:rsidRDefault="00000000">
            <w:pPr>
              <w:pStyle w:val="a1"/>
              <w:tabs>
                <w:tab w:val="clear" w:pos="1021"/>
              </w:tabs>
              <w:ind w:right="311"/>
              <w:jc w:val="right"/>
            </w:pPr>
            <w:r>
              <w:t>4 586</w:t>
            </w:r>
          </w:p>
        </w:tc>
        <w:tc>
          <w:tcPr>
            <w:tcW w:w="1389" w:type="dxa"/>
          </w:tcPr>
          <w:p w:rsidR="00000000" w:rsidRDefault="00000000">
            <w:pPr>
              <w:pStyle w:val="a1"/>
              <w:tabs>
                <w:tab w:val="clear" w:pos="1021"/>
              </w:tabs>
              <w:ind w:right="311"/>
              <w:jc w:val="right"/>
            </w:pPr>
            <w:r>
              <w:t>11 299</w:t>
            </w:r>
          </w:p>
        </w:tc>
        <w:tc>
          <w:tcPr>
            <w:tcW w:w="1389" w:type="dxa"/>
          </w:tcPr>
          <w:p w:rsidR="00000000" w:rsidRDefault="00000000">
            <w:pPr>
              <w:pStyle w:val="a1"/>
              <w:tabs>
                <w:tab w:val="clear" w:pos="1021"/>
              </w:tabs>
              <w:ind w:right="311"/>
              <w:jc w:val="right"/>
            </w:pPr>
            <w:r>
              <w:t>5 052</w:t>
            </w:r>
          </w:p>
        </w:tc>
      </w:tr>
      <w:tr w:rsidR="00000000">
        <w:tblPrEx>
          <w:tblCellMar>
            <w:top w:w="0" w:type="dxa"/>
            <w:bottom w:w="0" w:type="dxa"/>
          </w:tblCellMar>
        </w:tblPrEx>
        <w:trPr>
          <w:cantSplit/>
        </w:trPr>
        <w:tc>
          <w:tcPr>
            <w:tcW w:w="2693" w:type="dxa"/>
          </w:tcPr>
          <w:p w:rsidR="00000000" w:rsidRDefault="00000000">
            <w:pPr>
              <w:pStyle w:val="a1"/>
            </w:pPr>
            <w:r>
              <w:t>От 1 до 2</w:t>
            </w:r>
          </w:p>
        </w:tc>
        <w:tc>
          <w:tcPr>
            <w:tcW w:w="1389" w:type="dxa"/>
          </w:tcPr>
          <w:p w:rsidR="00000000" w:rsidRDefault="00000000">
            <w:pPr>
              <w:pStyle w:val="a1"/>
              <w:tabs>
                <w:tab w:val="clear" w:pos="1021"/>
              </w:tabs>
              <w:ind w:right="311"/>
              <w:jc w:val="right"/>
            </w:pPr>
            <w:r>
              <w:t>159 596</w:t>
            </w:r>
          </w:p>
        </w:tc>
        <w:tc>
          <w:tcPr>
            <w:tcW w:w="1389" w:type="dxa"/>
          </w:tcPr>
          <w:p w:rsidR="00000000" w:rsidRDefault="00000000">
            <w:pPr>
              <w:pStyle w:val="a1"/>
              <w:tabs>
                <w:tab w:val="clear" w:pos="1021"/>
              </w:tabs>
              <w:ind w:right="311"/>
              <w:jc w:val="right"/>
            </w:pPr>
            <w:r>
              <w:t>75 750</w:t>
            </w:r>
          </w:p>
        </w:tc>
        <w:tc>
          <w:tcPr>
            <w:tcW w:w="1389" w:type="dxa"/>
          </w:tcPr>
          <w:p w:rsidR="00000000" w:rsidRDefault="00000000">
            <w:pPr>
              <w:pStyle w:val="a1"/>
              <w:tabs>
                <w:tab w:val="clear" w:pos="1021"/>
              </w:tabs>
              <w:ind w:right="311"/>
              <w:jc w:val="right"/>
            </w:pPr>
            <w:r>
              <w:t>87 626</w:t>
            </w:r>
          </w:p>
        </w:tc>
        <w:tc>
          <w:tcPr>
            <w:tcW w:w="1389" w:type="dxa"/>
          </w:tcPr>
          <w:p w:rsidR="00000000" w:rsidRDefault="00000000">
            <w:pPr>
              <w:pStyle w:val="a1"/>
              <w:tabs>
                <w:tab w:val="clear" w:pos="1021"/>
              </w:tabs>
              <w:ind w:right="311"/>
              <w:jc w:val="right"/>
            </w:pPr>
            <w:r>
              <w:t>75 564</w:t>
            </w:r>
          </w:p>
        </w:tc>
        <w:tc>
          <w:tcPr>
            <w:tcW w:w="1389" w:type="dxa"/>
          </w:tcPr>
          <w:p w:rsidR="00000000" w:rsidRDefault="00000000">
            <w:pPr>
              <w:pStyle w:val="a1"/>
              <w:tabs>
                <w:tab w:val="clear" w:pos="1021"/>
              </w:tabs>
              <w:ind w:right="311"/>
              <w:jc w:val="right"/>
            </w:pPr>
            <w:r>
              <w:t>87 845</w:t>
            </w:r>
          </w:p>
        </w:tc>
      </w:tr>
      <w:tr w:rsidR="00000000">
        <w:tblPrEx>
          <w:tblCellMar>
            <w:top w:w="0" w:type="dxa"/>
            <w:bottom w:w="0" w:type="dxa"/>
          </w:tblCellMar>
        </w:tblPrEx>
        <w:trPr>
          <w:cantSplit/>
        </w:trPr>
        <w:tc>
          <w:tcPr>
            <w:tcW w:w="2693" w:type="dxa"/>
          </w:tcPr>
          <w:p w:rsidR="00000000" w:rsidRDefault="00000000">
            <w:pPr>
              <w:pStyle w:val="a1"/>
            </w:pPr>
            <w:r>
              <w:t>От 2 до 3</w:t>
            </w:r>
          </w:p>
        </w:tc>
        <w:tc>
          <w:tcPr>
            <w:tcW w:w="1389" w:type="dxa"/>
          </w:tcPr>
          <w:p w:rsidR="00000000" w:rsidRDefault="00000000">
            <w:pPr>
              <w:pStyle w:val="a1"/>
              <w:tabs>
                <w:tab w:val="clear" w:pos="1021"/>
              </w:tabs>
              <w:ind w:right="311"/>
              <w:jc w:val="right"/>
            </w:pPr>
            <w:r>
              <w:t>65 087</w:t>
            </w:r>
          </w:p>
        </w:tc>
        <w:tc>
          <w:tcPr>
            <w:tcW w:w="1389" w:type="dxa"/>
          </w:tcPr>
          <w:p w:rsidR="00000000" w:rsidRDefault="00000000">
            <w:pPr>
              <w:pStyle w:val="a1"/>
              <w:tabs>
                <w:tab w:val="clear" w:pos="1021"/>
              </w:tabs>
              <w:ind w:right="311"/>
              <w:jc w:val="right"/>
            </w:pPr>
            <w:r>
              <w:t>34 352</w:t>
            </w:r>
          </w:p>
        </w:tc>
        <w:tc>
          <w:tcPr>
            <w:tcW w:w="1389" w:type="dxa"/>
          </w:tcPr>
          <w:p w:rsidR="00000000" w:rsidRDefault="00000000">
            <w:pPr>
              <w:pStyle w:val="a1"/>
              <w:tabs>
                <w:tab w:val="clear" w:pos="1021"/>
              </w:tabs>
              <w:ind w:right="311"/>
              <w:jc w:val="right"/>
            </w:pPr>
            <w:r>
              <w:t>39 794</w:t>
            </w:r>
          </w:p>
        </w:tc>
        <w:tc>
          <w:tcPr>
            <w:tcW w:w="1389" w:type="dxa"/>
          </w:tcPr>
          <w:p w:rsidR="00000000" w:rsidRDefault="00000000">
            <w:pPr>
              <w:pStyle w:val="a1"/>
              <w:tabs>
                <w:tab w:val="clear" w:pos="1021"/>
              </w:tabs>
              <w:ind w:right="311"/>
              <w:jc w:val="right"/>
            </w:pPr>
            <w:r>
              <w:t>35 786</w:t>
            </w:r>
          </w:p>
        </w:tc>
        <w:tc>
          <w:tcPr>
            <w:tcW w:w="1389" w:type="dxa"/>
          </w:tcPr>
          <w:p w:rsidR="00000000" w:rsidRDefault="00000000">
            <w:pPr>
              <w:pStyle w:val="a1"/>
              <w:tabs>
                <w:tab w:val="clear" w:pos="1021"/>
              </w:tabs>
              <w:ind w:right="311"/>
              <w:jc w:val="right"/>
            </w:pPr>
            <w:r>
              <w:t>41 729</w:t>
            </w:r>
          </w:p>
        </w:tc>
      </w:tr>
      <w:tr w:rsidR="00000000">
        <w:tblPrEx>
          <w:tblCellMar>
            <w:top w:w="0" w:type="dxa"/>
            <w:bottom w:w="0" w:type="dxa"/>
          </w:tblCellMar>
        </w:tblPrEx>
        <w:trPr>
          <w:cantSplit/>
        </w:trPr>
        <w:tc>
          <w:tcPr>
            <w:tcW w:w="2693" w:type="dxa"/>
          </w:tcPr>
          <w:p w:rsidR="00000000" w:rsidRDefault="00000000">
            <w:pPr>
              <w:pStyle w:val="a1"/>
            </w:pPr>
            <w:r>
              <w:t>От 3 до 4</w:t>
            </w:r>
          </w:p>
        </w:tc>
        <w:tc>
          <w:tcPr>
            <w:tcW w:w="1389" w:type="dxa"/>
          </w:tcPr>
          <w:p w:rsidR="00000000" w:rsidRDefault="00000000">
            <w:pPr>
              <w:pStyle w:val="a1"/>
              <w:tabs>
                <w:tab w:val="clear" w:pos="1021"/>
              </w:tabs>
              <w:ind w:right="311"/>
              <w:jc w:val="right"/>
            </w:pPr>
            <w:r>
              <w:t>29 401</w:t>
            </w:r>
          </w:p>
        </w:tc>
        <w:tc>
          <w:tcPr>
            <w:tcW w:w="1389" w:type="dxa"/>
          </w:tcPr>
          <w:p w:rsidR="00000000" w:rsidRDefault="00000000">
            <w:pPr>
              <w:pStyle w:val="a1"/>
              <w:tabs>
                <w:tab w:val="clear" w:pos="1021"/>
              </w:tabs>
              <w:ind w:right="311"/>
              <w:jc w:val="right"/>
            </w:pPr>
            <w:r>
              <w:t>14 045</w:t>
            </w:r>
          </w:p>
        </w:tc>
        <w:tc>
          <w:tcPr>
            <w:tcW w:w="1389" w:type="dxa"/>
          </w:tcPr>
          <w:p w:rsidR="00000000" w:rsidRDefault="00000000">
            <w:pPr>
              <w:pStyle w:val="a1"/>
              <w:tabs>
                <w:tab w:val="clear" w:pos="1021"/>
              </w:tabs>
              <w:ind w:right="311"/>
              <w:jc w:val="right"/>
            </w:pPr>
            <w:r>
              <w:t>18 221</w:t>
            </w:r>
          </w:p>
        </w:tc>
        <w:tc>
          <w:tcPr>
            <w:tcW w:w="1389" w:type="dxa"/>
          </w:tcPr>
          <w:p w:rsidR="00000000" w:rsidRDefault="00000000">
            <w:pPr>
              <w:pStyle w:val="a1"/>
              <w:tabs>
                <w:tab w:val="clear" w:pos="1021"/>
              </w:tabs>
              <w:ind w:right="311"/>
              <w:jc w:val="right"/>
            </w:pPr>
            <w:r>
              <w:t>14 942</w:t>
            </w:r>
          </w:p>
        </w:tc>
        <w:tc>
          <w:tcPr>
            <w:tcW w:w="1389" w:type="dxa"/>
          </w:tcPr>
          <w:p w:rsidR="00000000" w:rsidRDefault="00000000">
            <w:pPr>
              <w:pStyle w:val="a1"/>
              <w:tabs>
                <w:tab w:val="clear" w:pos="1021"/>
              </w:tabs>
              <w:ind w:right="311"/>
              <w:jc w:val="right"/>
            </w:pPr>
            <w:r>
              <w:t>19 616</w:t>
            </w:r>
          </w:p>
        </w:tc>
      </w:tr>
      <w:tr w:rsidR="00000000">
        <w:tblPrEx>
          <w:tblCellMar>
            <w:top w:w="0" w:type="dxa"/>
            <w:bottom w:w="0" w:type="dxa"/>
          </w:tblCellMar>
        </w:tblPrEx>
        <w:trPr>
          <w:cantSplit/>
        </w:trPr>
        <w:tc>
          <w:tcPr>
            <w:tcW w:w="2693" w:type="dxa"/>
          </w:tcPr>
          <w:p w:rsidR="00000000" w:rsidRDefault="00000000">
            <w:pPr>
              <w:pStyle w:val="a1"/>
            </w:pPr>
            <w:r>
              <w:t>От 4 до 5</w:t>
            </w:r>
          </w:p>
        </w:tc>
        <w:tc>
          <w:tcPr>
            <w:tcW w:w="1389" w:type="dxa"/>
          </w:tcPr>
          <w:p w:rsidR="00000000" w:rsidRDefault="00000000">
            <w:pPr>
              <w:pStyle w:val="a1"/>
              <w:tabs>
                <w:tab w:val="clear" w:pos="1021"/>
              </w:tabs>
              <w:ind w:right="311"/>
              <w:jc w:val="right"/>
            </w:pPr>
            <w:r>
              <w:t>19 537</w:t>
            </w:r>
          </w:p>
        </w:tc>
        <w:tc>
          <w:tcPr>
            <w:tcW w:w="1389" w:type="dxa"/>
          </w:tcPr>
          <w:p w:rsidR="00000000" w:rsidRDefault="00000000">
            <w:pPr>
              <w:pStyle w:val="a1"/>
              <w:tabs>
                <w:tab w:val="clear" w:pos="1021"/>
              </w:tabs>
              <w:ind w:right="311"/>
              <w:jc w:val="right"/>
            </w:pPr>
            <w:r>
              <w:t>9 033</w:t>
            </w:r>
          </w:p>
        </w:tc>
        <w:tc>
          <w:tcPr>
            <w:tcW w:w="1389" w:type="dxa"/>
          </w:tcPr>
          <w:p w:rsidR="00000000" w:rsidRDefault="00000000">
            <w:pPr>
              <w:pStyle w:val="a1"/>
              <w:tabs>
                <w:tab w:val="clear" w:pos="1021"/>
              </w:tabs>
              <w:ind w:right="311"/>
              <w:jc w:val="right"/>
            </w:pPr>
            <w:r>
              <w:t>12 807</w:t>
            </w:r>
          </w:p>
        </w:tc>
        <w:tc>
          <w:tcPr>
            <w:tcW w:w="1389" w:type="dxa"/>
          </w:tcPr>
          <w:p w:rsidR="00000000" w:rsidRDefault="00000000">
            <w:pPr>
              <w:pStyle w:val="a1"/>
              <w:tabs>
                <w:tab w:val="clear" w:pos="1021"/>
              </w:tabs>
              <w:ind w:right="311"/>
              <w:jc w:val="right"/>
            </w:pPr>
            <w:r>
              <w:t>9 604</w:t>
            </w:r>
          </w:p>
        </w:tc>
        <w:tc>
          <w:tcPr>
            <w:tcW w:w="1389" w:type="dxa"/>
          </w:tcPr>
          <w:p w:rsidR="00000000" w:rsidRDefault="00000000">
            <w:pPr>
              <w:pStyle w:val="a1"/>
              <w:tabs>
                <w:tab w:val="clear" w:pos="1021"/>
              </w:tabs>
              <w:ind w:right="311"/>
              <w:jc w:val="right"/>
            </w:pPr>
            <w:r>
              <w:t>13 734</w:t>
            </w:r>
          </w:p>
        </w:tc>
      </w:tr>
      <w:tr w:rsidR="00000000">
        <w:tblPrEx>
          <w:tblCellMar>
            <w:top w:w="0" w:type="dxa"/>
            <w:bottom w:w="0" w:type="dxa"/>
          </w:tblCellMar>
        </w:tblPrEx>
        <w:trPr>
          <w:cantSplit/>
        </w:trPr>
        <w:tc>
          <w:tcPr>
            <w:tcW w:w="2693" w:type="dxa"/>
          </w:tcPr>
          <w:p w:rsidR="00000000" w:rsidRDefault="00000000">
            <w:pPr>
              <w:pStyle w:val="a1"/>
            </w:pPr>
            <w:r>
              <w:t>От 5 до 6</w:t>
            </w:r>
          </w:p>
        </w:tc>
        <w:tc>
          <w:tcPr>
            <w:tcW w:w="1389" w:type="dxa"/>
          </w:tcPr>
          <w:p w:rsidR="00000000" w:rsidRDefault="00000000">
            <w:pPr>
              <w:pStyle w:val="a1"/>
              <w:tabs>
                <w:tab w:val="clear" w:pos="1021"/>
              </w:tabs>
              <w:ind w:right="311"/>
              <w:jc w:val="right"/>
            </w:pPr>
            <w:r>
              <w:t>12 770</w:t>
            </w:r>
          </w:p>
        </w:tc>
        <w:tc>
          <w:tcPr>
            <w:tcW w:w="1389" w:type="dxa"/>
          </w:tcPr>
          <w:p w:rsidR="00000000" w:rsidRDefault="00000000">
            <w:pPr>
              <w:pStyle w:val="a1"/>
              <w:tabs>
                <w:tab w:val="clear" w:pos="1021"/>
              </w:tabs>
              <w:ind w:right="311"/>
              <w:jc w:val="right"/>
            </w:pPr>
            <w:r>
              <w:t>6 505</w:t>
            </w:r>
          </w:p>
        </w:tc>
        <w:tc>
          <w:tcPr>
            <w:tcW w:w="1389" w:type="dxa"/>
          </w:tcPr>
          <w:p w:rsidR="00000000" w:rsidRDefault="00000000">
            <w:pPr>
              <w:pStyle w:val="a1"/>
              <w:tabs>
                <w:tab w:val="clear" w:pos="1021"/>
              </w:tabs>
              <w:ind w:right="311"/>
              <w:jc w:val="right"/>
            </w:pPr>
            <w:r>
              <w:t>8 212</w:t>
            </w:r>
          </w:p>
        </w:tc>
        <w:tc>
          <w:tcPr>
            <w:tcW w:w="1389" w:type="dxa"/>
          </w:tcPr>
          <w:p w:rsidR="00000000" w:rsidRDefault="00000000">
            <w:pPr>
              <w:pStyle w:val="a1"/>
              <w:tabs>
                <w:tab w:val="clear" w:pos="1021"/>
              </w:tabs>
              <w:ind w:right="311"/>
              <w:jc w:val="right"/>
            </w:pPr>
            <w:r>
              <w:t>6 990</w:t>
            </w:r>
          </w:p>
        </w:tc>
        <w:tc>
          <w:tcPr>
            <w:tcW w:w="1389" w:type="dxa"/>
          </w:tcPr>
          <w:p w:rsidR="00000000" w:rsidRDefault="00000000">
            <w:pPr>
              <w:pStyle w:val="a1"/>
              <w:tabs>
                <w:tab w:val="clear" w:pos="1021"/>
              </w:tabs>
              <w:ind w:right="311"/>
              <w:jc w:val="right"/>
            </w:pPr>
            <w:r>
              <w:t>8 925</w:t>
            </w:r>
          </w:p>
        </w:tc>
      </w:tr>
      <w:tr w:rsidR="00000000">
        <w:tblPrEx>
          <w:tblCellMar>
            <w:top w:w="0" w:type="dxa"/>
            <w:bottom w:w="0" w:type="dxa"/>
          </w:tblCellMar>
        </w:tblPrEx>
        <w:trPr>
          <w:cantSplit/>
        </w:trPr>
        <w:tc>
          <w:tcPr>
            <w:tcW w:w="2693" w:type="dxa"/>
          </w:tcPr>
          <w:p w:rsidR="00000000" w:rsidRDefault="00000000">
            <w:pPr>
              <w:pStyle w:val="a1"/>
            </w:pPr>
            <w:r>
              <w:t>От  6 до 7</w:t>
            </w:r>
          </w:p>
        </w:tc>
        <w:tc>
          <w:tcPr>
            <w:tcW w:w="1389" w:type="dxa"/>
          </w:tcPr>
          <w:p w:rsidR="00000000" w:rsidRDefault="00000000">
            <w:pPr>
              <w:pStyle w:val="a1"/>
              <w:tabs>
                <w:tab w:val="clear" w:pos="1021"/>
              </w:tabs>
              <w:ind w:right="311"/>
              <w:jc w:val="right"/>
            </w:pPr>
            <w:r>
              <w:t>9 283</w:t>
            </w:r>
          </w:p>
        </w:tc>
        <w:tc>
          <w:tcPr>
            <w:tcW w:w="1389" w:type="dxa"/>
          </w:tcPr>
          <w:p w:rsidR="00000000" w:rsidRDefault="00000000">
            <w:pPr>
              <w:pStyle w:val="a1"/>
              <w:tabs>
                <w:tab w:val="clear" w:pos="1021"/>
              </w:tabs>
              <w:ind w:right="311"/>
              <w:jc w:val="right"/>
            </w:pPr>
            <w:r>
              <w:t>5 259</w:t>
            </w:r>
          </w:p>
        </w:tc>
        <w:tc>
          <w:tcPr>
            <w:tcW w:w="1389" w:type="dxa"/>
          </w:tcPr>
          <w:p w:rsidR="00000000" w:rsidRDefault="00000000">
            <w:pPr>
              <w:pStyle w:val="a1"/>
              <w:tabs>
                <w:tab w:val="clear" w:pos="1021"/>
              </w:tabs>
              <w:ind w:right="311"/>
              <w:jc w:val="right"/>
            </w:pPr>
            <w:r>
              <w:t>5 723</w:t>
            </w:r>
          </w:p>
        </w:tc>
        <w:tc>
          <w:tcPr>
            <w:tcW w:w="1389" w:type="dxa"/>
          </w:tcPr>
          <w:p w:rsidR="00000000" w:rsidRDefault="00000000">
            <w:pPr>
              <w:pStyle w:val="a1"/>
              <w:tabs>
                <w:tab w:val="clear" w:pos="1021"/>
              </w:tabs>
              <w:ind w:right="311"/>
              <w:jc w:val="right"/>
            </w:pPr>
            <w:r>
              <w:t>5 746</w:t>
            </w:r>
          </w:p>
        </w:tc>
        <w:tc>
          <w:tcPr>
            <w:tcW w:w="1389" w:type="dxa"/>
          </w:tcPr>
          <w:p w:rsidR="00000000" w:rsidRDefault="00000000">
            <w:pPr>
              <w:pStyle w:val="a1"/>
              <w:tabs>
                <w:tab w:val="clear" w:pos="1021"/>
              </w:tabs>
              <w:ind w:right="311"/>
              <w:jc w:val="right"/>
            </w:pPr>
            <w:r>
              <w:t>6 673</w:t>
            </w:r>
          </w:p>
        </w:tc>
      </w:tr>
      <w:tr w:rsidR="00000000">
        <w:tblPrEx>
          <w:tblCellMar>
            <w:top w:w="0" w:type="dxa"/>
            <w:bottom w:w="0" w:type="dxa"/>
          </w:tblCellMar>
        </w:tblPrEx>
        <w:trPr>
          <w:cantSplit/>
        </w:trPr>
        <w:tc>
          <w:tcPr>
            <w:tcW w:w="2693" w:type="dxa"/>
          </w:tcPr>
          <w:p w:rsidR="00000000" w:rsidRDefault="00000000">
            <w:pPr>
              <w:pStyle w:val="a1"/>
            </w:pPr>
            <w:r>
              <w:t xml:space="preserve">От 7 до 8 </w:t>
            </w:r>
          </w:p>
        </w:tc>
        <w:tc>
          <w:tcPr>
            <w:tcW w:w="1389" w:type="dxa"/>
          </w:tcPr>
          <w:p w:rsidR="00000000" w:rsidRDefault="00000000">
            <w:pPr>
              <w:pStyle w:val="a1"/>
              <w:tabs>
                <w:tab w:val="clear" w:pos="1021"/>
              </w:tabs>
              <w:ind w:right="311"/>
              <w:jc w:val="right"/>
            </w:pPr>
            <w:r>
              <w:t>6 117</w:t>
            </w:r>
          </w:p>
        </w:tc>
        <w:tc>
          <w:tcPr>
            <w:tcW w:w="1389" w:type="dxa"/>
          </w:tcPr>
          <w:p w:rsidR="00000000" w:rsidRDefault="00000000">
            <w:pPr>
              <w:pStyle w:val="a1"/>
              <w:tabs>
                <w:tab w:val="clear" w:pos="1021"/>
              </w:tabs>
              <w:ind w:right="311"/>
              <w:jc w:val="right"/>
            </w:pPr>
            <w:r>
              <w:t>3 966</w:t>
            </w:r>
          </w:p>
        </w:tc>
        <w:tc>
          <w:tcPr>
            <w:tcW w:w="1389" w:type="dxa"/>
          </w:tcPr>
          <w:p w:rsidR="00000000" w:rsidRDefault="00000000">
            <w:pPr>
              <w:pStyle w:val="a1"/>
              <w:tabs>
                <w:tab w:val="clear" w:pos="1021"/>
              </w:tabs>
              <w:ind w:right="311"/>
              <w:jc w:val="right"/>
            </w:pPr>
            <w:r>
              <w:t>3 582</w:t>
            </w:r>
          </w:p>
        </w:tc>
        <w:tc>
          <w:tcPr>
            <w:tcW w:w="1389" w:type="dxa"/>
          </w:tcPr>
          <w:p w:rsidR="00000000" w:rsidRDefault="00000000">
            <w:pPr>
              <w:pStyle w:val="a1"/>
              <w:tabs>
                <w:tab w:val="clear" w:pos="1021"/>
              </w:tabs>
              <w:ind w:right="311"/>
              <w:jc w:val="right"/>
            </w:pPr>
            <w:r>
              <w:t>4 489</w:t>
            </w:r>
          </w:p>
        </w:tc>
        <w:tc>
          <w:tcPr>
            <w:tcW w:w="1389" w:type="dxa"/>
          </w:tcPr>
          <w:p w:rsidR="00000000" w:rsidRDefault="00000000">
            <w:pPr>
              <w:pStyle w:val="a1"/>
              <w:tabs>
                <w:tab w:val="clear" w:pos="1021"/>
              </w:tabs>
              <w:ind w:right="311"/>
              <w:jc w:val="right"/>
            </w:pPr>
            <w:r>
              <w:t>4 312</w:t>
            </w:r>
          </w:p>
        </w:tc>
      </w:tr>
      <w:tr w:rsidR="00000000">
        <w:tblPrEx>
          <w:tblCellMar>
            <w:top w:w="0" w:type="dxa"/>
            <w:bottom w:w="0" w:type="dxa"/>
          </w:tblCellMar>
        </w:tblPrEx>
        <w:trPr>
          <w:cantSplit/>
        </w:trPr>
        <w:tc>
          <w:tcPr>
            <w:tcW w:w="2693" w:type="dxa"/>
          </w:tcPr>
          <w:p w:rsidR="00000000" w:rsidRDefault="00000000">
            <w:pPr>
              <w:pStyle w:val="a1"/>
            </w:pPr>
            <w:r>
              <w:t>От 8 до 9</w:t>
            </w:r>
          </w:p>
        </w:tc>
        <w:tc>
          <w:tcPr>
            <w:tcW w:w="1389" w:type="dxa"/>
          </w:tcPr>
          <w:p w:rsidR="00000000" w:rsidRDefault="00000000">
            <w:pPr>
              <w:pStyle w:val="a1"/>
              <w:tabs>
                <w:tab w:val="clear" w:pos="1021"/>
              </w:tabs>
              <w:ind w:right="311"/>
              <w:jc w:val="right"/>
            </w:pPr>
            <w:r>
              <w:t>5 293</w:t>
            </w:r>
          </w:p>
        </w:tc>
        <w:tc>
          <w:tcPr>
            <w:tcW w:w="1389" w:type="dxa"/>
          </w:tcPr>
          <w:p w:rsidR="00000000" w:rsidRDefault="00000000">
            <w:pPr>
              <w:pStyle w:val="a1"/>
              <w:tabs>
                <w:tab w:val="clear" w:pos="1021"/>
              </w:tabs>
              <w:ind w:right="311"/>
              <w:jc w:val="right"/>
            </w:pPr>
            <w:r>
              <w:t>3 958</w:t>
            </w:r>
          </w:p>
        </w:tc>
        <w:tc>
          <w:tcPr>
            <w:tcW w:w="1389" w:type="dxa"/>
          </w:tcPr>
          <w:p w:rsidR="00000000" w:rsidRDefault="00000000">
            <w:pPr>
              <w:pStyle w:val="a1"/>
              <w:tabs>
                <w:tab w:val="clear" w:pos="1021"/>
              </w:tabs>
              <w:ind w:right="311"/>
              <w:jc w:val="right"/>
            </w:pPr>
            <w:r>
              <w:t>2 940</w:t>
            </w:r>
          </w:p>
        </w:tc>
        <w:tc>
          <w:tcPr>
            <w:tcW w:w="1389" w:type="dxa"/>
          </w:tcPr>
          <w:p w:rsidR="00000000" w:rsidRDefault="00000000">
            <w:pPr>
              <w:pStyle w:val="a1"/>
              <w:tabs>
                <w:tab w:val="clear" w:pos="1021"/>
              </w:tabs>
              <w:ind w:right="311"/>
              <w:jc w:val="right"/>
            </w:pPr>
            <w:r>
              <w:t>4 468</w:t>
            </w:r>
          </w:p>
        </w:tc>
        <w:tc>
          <w:tcPr>
            <w:tcW w:w="1389" w:type="dxa"/>
          </w:tcPr>
          <w:p w:rsidR="00000000" w:rsidRDefault="00000000">
            <w:pPr>
              <w:pStyle w:val="a1"/>
              <w:tabs>
                <w:tab w:val="clear" w:pos="1021"/>
              </w:tabs>
              <w:ind w:right="311"/>
              <w:jc w:val="right"/>
            </w:pPr>
            <w:r>
              <w:t>3 585</w:t>
            </w:r>
          </w:p>
        </w:tc>
      </w:tr>
      <w:tr w:rsidR="00000000">
        <w:tblPrEx>
          <w:tblCellMar>
            <w:top w:w="0" w:type="dxa"/>
            <w:bottom w:w="0" w:type="dxa"/>
          </w:tblCellMar>
        </w:tblPrEx>
        <w:trPr>
          <w:cantSplit/>
        </w:trPr>
        <w:tc>
          <w:tcPr>
            <w:tcW w:w="2693" w:type="dxa"/>
          </w:tcPr>
          <w:p w:rsidR="00000000" w:rsidRDefault="00000000">
            <w:pPr>
              <w:pStyle w:val="a1"/>
            </w:pPr>
            <w:r>
              <w:t>От 9 до 10</w:t>
            </w:r>
          </w:p>
        </w:tc>
        <w:tc>
          <w:tcPr>
            <w:tcW w:w="1389" w:type="dxa"/>
          </w:tcPr>
          <w:p w:rsidR="00000000" w:rsidRDefault="00000000">
            <w:pPr>
              <w:pStyle w:val="a1"/>
              <w:tabs>
                <w:tab w:val="clear" w:pos="1021"/>
              </w:tabs>
              <w:ind w:right="311"/>
              <w:jc w:val="right"/>
            </w:pPr>
            <w:r>
              <w:t>5 410</w:t>
            </w:r>
          </w:p>
        </w:tc>
        <w:tc>
          <w:tcPr>
            <w:tcW w:w="1389" w:type="dxa"/>
          </w:tcPr>
          <w:p w:rsidR="00000000" w:rsidRDefault="00000000">
            <w:pPr>
              <w:pStyle w:val="a1"/>
              <w:tabs>
                <w:tab w:val="clear" w:pos="1021"/>
              </w:tabs>
              <w:ind w:right="311"/>
              <w:jc w:val="right"/>
            </w:pPr>
            <w:r>
              <w:t>4 051</w:t>
            </w:r>
          </w:p>
        </w:tc>
        <w:tc>
          <w:tcPr>
            <w:tcW w:w="1389" w:type="dxa"/>
          </w:tcPr>
          <w:p w:rsidR="00000000" w:rsidRDefault="00000000">
            <w:pPr>
              <w:pStyle w:val="a1"/>
              <w:tabs>
                <w:tab w:val="clear" w:pos="1021"/>
              </w:tabs>
              <w:ind w:right="311"/>
              <w:jc w:val="right"/>
            </w:pPr>
            <w:r>
              <w:t>2 364</w:t>
            </w:r>
          </w:p>
        </w:tc>
        <w:tc>
          <w:tcPr>
            <w:tcW w:w="1389" w:type="dxa"/>
          </w:tcPr>
          <w:p w:rsidR="00000000" w:rsidRDefault="00000000">
            <w:pPr>
              <w:pStyle w:val="a1"/>
              <w:tabs>
                <w:tab w:val="clear" w:pos="1021"/>
              </w:tabs>
              <w:ind w:right="311"/>
              <w:jc w:val="right"/>
            </w:pPr>
            <w:r>
              <w:t>5 139</w:t>
            </w:r>
          </w:p>
        </w:tc>
        <w:tc>
          <w:tcPr>
            <w:tcW w:w="1389" w:type="dxa"/>
          </w:tcPr>
          <w:p w:rsidR="00000000" w:rsidRDefault="00000000">
            <w:pPr>
              <w:pStyle w:val="a1"/>
              <w:tabs>
                <w:tab w:val="clear" w:pos="1021"/>
              </w:tabs>
              <w:ind w:right="311"/>
              <w:jc w:val="right"/>
            </w:pPr>
            <w:r>
              <w:t>3 296</w:t>
            </w:r>
          </w:p>
        </w:tc>
      </w:tr>
      <w:tr w:rsidR="00000000">
        <w:tblPrEx>
          <w:tblCellMar>
            <w:top w:w="0" w:type="dxa"/>
            <w:bottom w:w="0" w:type="dxa"/>
          </w:tblCellMar>
        </w:tblPrEx>
        <w:trPr>
          <w:cantSplit/>
        </w:trPr>
        <w:tc>
          <w:tcPr>
            <w:tcW w:w="2693" w:type="dxa"/>
          </w:tcPr>
          <w:p w:rsidR="00000000" w:rsidRDefault="00000000">
            <w:pPr>
              <w:pStyle w:val="a1"/>
            </w:pPr>
          </w:p>
        </w:tc>
        <w:tc>
          <w:tcPr>
            <w:tcW w:w="1389" w:type="dxa"/>
          </w:tcPr>
          <w:p w:rsidR="00000000" w:rsidRDefault="00000000">
            <w:pPr>
              <w:pStyle w:val="a1"/>
              <w:tabs>
                <w:tab w:val="clear" w:pos="1021"/>
              </w:tabs>
              <w:ind w:right="311"/>
              <w:jc w:val="right"/>
            </w:pPr>
          </w:p>
        </w:tc>
        <w:tc>
          <w:tcPr>
            <w:tcW w:w="1389" w:type="dxa"/>
          </w:tcPr>
          <w:p w:rsidR="00000000" w:rsidRDefault="00000000">
            <w:pPr>
              <w:pStyle w:val="a1"/>
              <w:tabs>
                <w:tab w:val="clear" w:pos="1021"/>
              </w:tabs>
              <w:ind w:right="311"/>
              <w:jc w:val="right"/>
            </w:pPr>
            <w:r>
              <w:t>167 102</w:t>
            </w:r>
          </w:p>
        </w:tc>
        <w:tc>
          <w:tcPr>
            <w:tcW w:w="1389" w:type="dxa"/>
          </w:tcPr>
          <w:p w:rsidR="00000000" w:rsidRDefault="00000000">
            <w:pPr>
              <w:pStyle w:val="a1"/>
              <w:tabs>
                <w:tab w:val="clear" w:pos="1021"/>
              </w:tabs>
              <w:ind w:right="311"/>
              <w:jc w:val="right"/>
            </w:pPr>
            <w:r>
              <w:t>185 855</w:t>
            </w:r>
          </w:p>
        </w:tc>
        <w:tc>
          <w:tcPr>
            <w:tcW w:w="1389" w:type="dxa"/>
          </w:tcPr>
          <w:p w:rsidR="00000000" w:rsidRDefault="00000000">
            <w:pPr>
              <w:pStyle w:val="a1"/>
              <w:tabs>
                <w:tab w:val="clear" w:pos="1021"/>
              </w:tabs>
              <w:ind w:right="311"/>
              <w:jc w:val="right"/>
            </w:pPr>
            <w:r>
              <w:t>174 027</w:t>
            </w:r>
          </w:p>
        </w:tc>
        <w:tc>
          <w:tcPr>
            <w:tcW w:w="1389" w:type="dxa"/>
          </w:tcPr>
          <w:p w:rsidR="00000000" w:rsidRDefault="00000000">
            <w:pPr>
              <w:pStyle w:val="a1"/>
              <w:tabs>
                <w:tab w:val="clear" w:pos="1021"/>
              </w:tabs>
              <w:ind w:right="311"/>
              <w:jc w:val="right"/>
            </w:pPr>
            <w:r>
              <w:t>194 767</w:t>
            </w:r>
          </w:p>
        </w:tc>
      </w:tr>
      <w:tr w:rsidR="00000000">
        <w:tblPrEx>
          <w:tblCellMar>
            <w:top w:w="0" w:type="dxa"/>
            <w:bottom w:w="0" w:type="dxa"/>
          </w:tblCellMar>
        </w:tblPrEx>
        <w:trPr>
          <w:cantSplit/>
        </w:trPr>
        <w:tc>
          <w:tcPr>
            <w:tcW w:w="2693" w:type="dxa"/>
          </w:tcPr>
          <w:p w:rsidR="00000000" w:rsidRDefault="00000000">
            <w:pPr>
              <w:pStyle w:val="a1"/>
              <w:rPr>
                <w:b/>
              </w:rPr>
            </w:pPr>
            <w:r>
              <w:rPr>
                <w:b/>
              </w:rPr>
              <w:t>Всего пенсион</w:t>
            </w:r>
            <w:r>
              <w:rPr>
                <w:b/>
              </w:rPr>
              <w:t>е</w:t>
            </w:r>
            <w:r>
              <w:rPr>
                <w:b/>
              </w:rPr>
              <w:t>ров</w:t>
            </w:r>
          </w:p>
        </w:tc>
        <w:tc>
          <w:tcPr>
            <w:tcW w:w="1389" w:type="dxa"/>
          </w:tcPr>
          <w:p w:rsidR="00000000" w:rsidRDefault="00000000">
            <w:pPr>
              <w:pStyle w:val="a1"/>
              <w:tabs>
                <w:tab w:val="clear" w:pos="1021"/>
              </w:tabs>
              <w:ind w:right="311"/>
              <w:jc w:val="right"/>
              <w:rPr>
                <w:b/>
              </w:rPr>
            </w:pPr>
            <w:r>
              <w:rPr>
                <w:b/>
              </w:rPr>
              <w:t>324 778</w:t>
            </w:r>
          </w:p>
        </w:tc>
        <w:tc>
          <w:tcPr>
            <w:tcW w:w="1389" w:type="dxa"/>
          </w:tcPr>
          <w:p w:rsidR="00000000" w:rsidRDefault="00000000">
            <w:pPr>
              <w:pStyle w:val="a1"/>
              <w:tabs>
                <w:tab w:val="clear" w:pos="1021"/>
              </w:tabs>
              <w:ind w:right="311"/>
              <w:jc w:val="right"/>
              <w:rPr>
                <w:b/>
              </w:rPr>
            </w:pPr>
          </w:p>
        </w:tc>
        <w:tc>
          <w:tcPr>
            <w:tcW w:w="1389" w:type="dxa"/>
          </w:tcPr>
          <w:p w:rsidR="00000000" w:rsidRDefault="00000000">
            <w:pPr>
              <w:pStyle w:val="a1"/>
              <w:tabs>
                <w:tab w:val="clear" w:pos="1021"/>
              </w:tabs>
              <w:ind w:right="311"/>
              <w:jc w:val="right"/>
              <w:rPr>
                <w:b/>
              </w:rPr>
            </w:pPr>
            <w:r>
              <w:rPr>
                <w:b/>
              </w:rPr>
              <w:t>352 957</w:t>
            </w:r>
          </w:p>
        </w:tc>
        <w:tc>
          <w:tcPr>
            <w:tcW w:w="1389" w:type="dxa"/>
          </w:tcPr>
          <w:p w:rsidR="00000000" w:rsidRDefault="00000000">
            <w:pPr>
              <w:pStyle w:val="a1"/>
              <w:tabs>
                <w:tab w:val="clear" w:pos="1021"/>
              </w:tabs>
              <w:ind w:right="311"/>
              <w:jc w:val="right"/>
              <w:rPr>
                <w:b/>
              </w:rPr>
            </w:pPr>
          </w:p>
        </w:tc>
        <w:tc>
          <w:tcPr>
            <w:tcW w:w="1389" w:type="dxa"/>
          </w:tcPr>
          <w:p w:rsidR="00000000" w:rsidRDefault="00000000">
            <w:pPr>
              <w:pStyle w:val="a1"/>
              <w:tabs>
                <w:tab w:val="clear" w:pos="1021"/>
              </w:tabs>
              <w:ind w:right="311"/>
              <w:jc w:val="right"/>
              <w:rPr>
                <w:b/>
              </w:rPr>
            </w:pPr>
            <w:r>
              <w:rPr>
                <w:b/>
              </w:rPr>
              <w:t>368 794</w:t>
            </w:r>
          </w:p>
        </w:tc>
      </w:tr>
    </w:tbl>
    <w:p w:rsidR="00000000" w:rsidRDefault="00000000">
      <w:pPr>
        <w:pStyle w:val="a2"/>
        <w:spacing w:before="120"/>
      </w:pPr>
      <w:r>
        <w:rPr>
          <w:vertAlign w:val="superscript"/>
        </w:rPr>
        <w:t>1</w:t>
      </w:r>
      <w:r>
        <w:t xml:space="preserve"> Не включены лица, работавшие на вредном производстве.</w:t>
      </w:r>
    </w:p>
    <w:p w:rsidR="00000000" w:rsidRDefault="00000000">
      <w:pPr>
        <w:pStyle w:val="a2"/>
      </w:pPr>
      <w:r>
        <w:rPr>
          <w:vertAlign w:val="superscript"/>
        </w:rPr>
        <w:t>2</w:t>
      </w:r>
      <w:r>
        <w:t xml:space="preserve"> По этому году имеются только обобщенные данные с разбивкой по полу: 172 358 женщин и 152 420 мужчин.</w:t>
      </w:r>
    </w:p>
    <w:p w:rsidR="00000000" w:rsidRDefault="00000000">
      <w:pPr>
        <w:pStyle w:val="a2"/>
      </w:pPr>
      <w:r>
        <w:rPr>
          <w:vertAlign w:val="superscript"/>
        </w:rPr>
        <w:t>3</w:t>
      </w:r>
      <w:r>
        <w:t xml:space="preserve"> По данным на август.</w:t>
      </w:r>
    </w:p>
    <w:p w:rsidR="00000000" w:rsidRDefault="00000000">
      <w:pPr>
        <w:pStyle w:val="a2"/>
      </w:pPr>
      <w:r>
        <w:t xml:space="preserve">Источник: ИСССТЭ. </w:t>
      </w:r>
    </w:p>
    <w:p w:rsidR="00000000" w:rsidRDefault="00000000">
      <w:r>
        <w:t>637.</w:t>
      </w:r>
      <w:r>
        <w:tab/>
        <w:t>Поскольку было отмечено, что в Законе об организации Института социального обеспечения и социальных услуг для государственных служащих сохранялись положения, согласно которым женщины подлежали приему на государственную службу на иных условиях, чем мужчины, 15 декабря 1999 года сенат республики принял  попра</w:t>
      </w:r>
      <w:r>
        <w:t>в</w:t>
      </w:r>
      <w:r>
        <w:t>ку к пункту 1 статьи 24 указанного Закона и упразднил пункт 5 той же статьи, что и было одобрено палатой депут</w:t>
      </w:r>
      <w:r>
        <w:t>а</w:t>
      </w:r>
      <w:r>
        <w:t>тов 29 апреля текущего года. Если говорить конкретнее, то статья 24 ограничивала право на получение пособий и услуг в таких сферах медицинского обслуживания, как диагностика заболеваний, стоматология, хирургия, стаци</w:t>
      </w:r>
      <w:r>
        <w:t>о</w:t>
      </w:r>
      <w:r>
        <w:t>нарное лечение, льготное обеспечение лекарственными препаратами и восстановительное лечение лицом, состо</w:t>
      </w:r>
      <w:r>
        <w:t>я</w:t>
      </w:r>
      <w:r>
        <w:t>щим в зарегистрированном или гражданском браке с работающей женщиной или пенсионеркой старше 55 лет и при этом являющимся нетрудоспособным в силу своего физического или психического состояния или находящи</w:t>
      </w:r>
      <w:r>
        <w:t>м</w:t>
      </w:r>
      <w:r>
        <w:t>ся на ее иждивении, при том что применительно к женщине, состоящей в браке с работающим мужчиной, подо</w:t>
      </w:r>
      <w:r>
        <w:t>б</w:t>
      </w:r>
      <w:r>
        <w:t xml:space="preserve">ных ограничений не существовало. </w:t>
      </w:r>
    </w:p>
    <w:p w:rsidR="00000000" w:rsidRDefault="00000000">
      <w:r>
        <w:t>638.</w:t>
      </w:r>
      <w:r>
        <w:tab/>
        <w:t>Указанные изменения в законодательстве, произведенные в целях преодоления неравенства женщин, им</w:t>
      </w:r>
      <w:r>
        <w:t>е</w:t>
      </w:r>
      <w:r>
        <w:t>ли следствием то, что, по нашим оценкам, около 231 660 мексиканцев, состоящих в зарегистрированном или гра</w:t>
      </w:r>
      <w:r>
        <w:t>ж</w:t>
      </w:r>
      <w:r>
        <w:t xml:space="preserve">данском браке с работающими женщинами, получили доступ к услугам, которые ИСССТЭ предоставляет своим клиентам. </w:t>
      </w:r>
    </w:p>
    <w:p w:rsidR="00000000" w:rsidRDefault="00000000">
      <w:r>
        <w:t>639.</w:t>
      </w:r>
      <w:r>
        <w:tab/>
        <w:t>В соответствии с положениями программных документов, относящихся к данной области, Национальный план развития признает, что жизнь в кругу семьи является предпочтительной для большинства мексиканцев и ме</w:t>
      </w:r>
      <w:r>
        <w:t>к</w:t>
      </w:r>
      <w:r>
        <w:t>сиканок. Национальный план устанавливает также в качестве одной из своих приоритетных задач работу с семь</w:t>
      </w:r>
      <w:r>
        <w:t>я</w:t>
      </w:r>
      <w:r>
        <w:t>ми, которые живут в условиях крайней нищеты в населенных пунктах, лишенных всех благ цивилизации, и кот</w:t>
      </w:r>
      <w:r>
        <w:t>о</w:t>
      </w:r>
      <w:r>
        <w:t xml:space="preserve">рые принадлежат к коренному населению или к социально неблагополучным группам, с целью приобщить их к процессам развития. </w:t>
      </w:r>
    </w:p>
    <w:p w:rsidR="00000000" w:rsidRDefault="00000000">
      <w:r>
        <w:t>640.</w:t>
      </w:r>
      <w:r>
        <w:tab/>
        <w:t xml:space="preserve">Как уже сообщалось Комитету, Национальная программа по улучшению положения женщин (ПРОНАМ) выдвигает в качестве основной цели направления ее деятельности, осуществляющейся под девизом "Женщина и семья", необходимость </w:t>
      </w:r>
      <w:r>
        <w:rPr>
          <w:i/>
        </w:rPr>
        <w:t>"содействовать более справедливому распределению между мужчинами и женщинами прав и обязанностей в семье и вне ее, с учетом различий социально-экономических и культурных условий проживания различных семей, разнообразия форм организации и уклада жизни семей, а также тех перемен, которые происходят в семье на протяжении жизни ее членов"</w:t>
      </w:r>
      <w:r>
        <w:t>, то есть стремиться к достижению тех целей, о которых идет речь в статье 5 Конве</w:t>
      </w:r>
      <w:r>
        <w:t>н</w:t>
      </w:r>
      <w:r>
        <w:t xml:space="preserve">ции. </w:t>
      </w:r>
    </w:p>
    <w:p w:rsidR="00000000" w:rsidRDefault="00000000">
      <w:r>
        <w:t>641.</w:t>
      </w:r>
      <w:r>
        <w:tab/>
        <w:t>Кроме указанных программных документов следует упомянуть и о существующих в Мексике государстве</w:t>
      </w:r>
      <w:r>
        <w:t>н</w:t>
      </w:r>
      <w:r>
        <w:t>ных организациях, политика которых в отношении семьи регулируется их собственными нормативными докуме</w:t>
      </w:r>
      <w:r>
        <w:t>н</w:t>
      </w:r>
      <w:r>
        <w:t>тами и которые ведут как социальную работу, так и работу по стимулированию квалифицированной трудовой де</w:t>
      </w:r>
      <w:r>
        <w:t>я</w:t>
      </w:r>
      <w:r>
        <w:t>тельности женщины, признавая в то же время ее роль как движущей силы в развитии семьи и общ</w:t>
      </w:r>
      <w:r>
        <w:t>е</w:t>
      </w:r>
      <w:r>
        <w:t xml:space="preserve">ства. </w:t>
      </w:r>
    </w:p>
    <w:p w:rsidR="00000000" w:rsidRDefault="00000000">
      <w:r>
        <w:t>642.</w:t>
      </w:r>
      <w:r>
        <w:tab/>
        <w:t xml:space="preserve">Опираясь на Национальную систему комплексного развития семьи (ДИФ), включающую в себя </w:t>
      </w:r>
      <w:r>
        <w:br/>
        <w:t>32 подси</w:t>
      </w:r>
      <w:r>
        <w:t>с</w:t>
      </w:r>
      <w:r>
        <w:t>темы (по одной на каждый субъект Федерации) и около 2 тыс. муниципальных систем, федеральное правительство осуществляет различные государственные программы, направленные, прямо или косвенно, на поддержку наиболее социально незащищенных семей, проживающих в трудных, а иногда и экстремальных условиях. В частности, ДИФ проводит в жизнь три программы продовольственной помощи: "Завтраки ДИФ", "Социальная продовольственная помощь" и "Народная кухня и  центры комплексных услуг". Эти программы рассчитаны на оказание помощи с</w:t>
      </w:r>
      <w:r>
        <w:t>а</w:t>
      </w:r>
      <w:r>
        <w:t>мым незащищенным группам населения, живущим в деревнях и на городских окраинах, особенно детям 4–8 лет, беременным и кормящим женщинам, а также пожилым л</w:t>
      </w:r>
      <w:r>
        <w:t>ю</w:t>
      </w:r>
      <w:r>
        <w:t xml:space="preserve">дям и инвалидам. </w:t>
      </w:r>
    </w:p>
    <w:p w:rsidR="00000000" w:rsidRDefault="00000000">
      <w:r>
        <w:t>643.</w:t>
      </w:r>
      <w:r>
        <w:tab/>
        <w:t>Помимо указанных существуют и другие программы, имеющие целью помочь семьям, прямо или косвенно, в частности программы обеспечения жильем, образования, здравоохранения, социальной защиты, улучшения усл</w:t>
      </w:r>
      <w:r>
        <w:t>о</w:t>
      </w:r>
      <w:r>
        <w:t>вий труда, повышения квалификации, охраны прав человека. Среди них можно выделить такие, как Программа о</w:t>
      </w:r>
      <w:r>
        <w:t>б</w:t>
      </w:r>
      <w:r>
        <w:t>разования, здравоохранения и питания (ПРОГРЕСА), Социальная программа снабжения (ДИКОНСА), Социальная программа снабжения молочными продуктами (ЛИКОНСА), Программа "Субсидии крестьянской кухне", Пр</w:t>
      </w:r>
      <w:r>
        <w:t>о</w:t>
      </w:r>
      <w:r>
        <w:t>грамма ИМСС – Солидарность и Программа расширения системы охраны здоровья населения, ориентированные на предоставление целевой помощи и защиты семьям, признанным неблагополучными. Среди последних – много с</w:t>
      </w:r>
      <w:r>
        <w:t>е</w:t>
      </w:r>
      <w:r>
        <w:t xml:space="preserve">мей, главой которых является мать-одиночка. </w:t>
      </w:r>
    </w:p>
    <w:p w:rsidR="00000000" w:rsidRDefault="00000000">
      <w:r>
        <w:t>644.</w:t>
      </w:r>
      <w:r>
        <w:tab/>
        <w:t>Последовательное применение гендерного подхода можно отметить в тех мероприятиях, которые провод</w:t>
      </w:r>
      <w:r>
        <w:t>и</w:t>
      </w:r>
      <w:r>
        <w:t>лись в рамках программ, именуемых "Направление-26" (в настоящий момент – "Генеральное направление-20"), перед которыми ставится цель комплексной борьбы с бедностью и оказания первоочередной поддержки семьям, проживающим в наиболее отсталых в социальном и экономическом плане областях страны. Средствами достиж</w:t>
      </w:r>
      <w:r>
        <w:t>е</w:t>
      </w:r>
      <w:r>
        <w:t xml:space="preserve">ния указанной цели являются наращивание производственных возможностей, дальнейшее развитие и отдельной личности, и коллектива. При этом можно выделить такие конкретные меры, как создание и укрепление социальных предприятий, создание временных рабочих мест, поддержка крестьян с низким уровнем дохода и мигрирующих сельскохозяйственных рабочих, стимулирование производственной деятельности социально незащищенных групп населения, в частности индейцев и жителей засушливых областей, а также поддержка, оказываемая социальным  службам, учителям-пенсионерам и общественным организациям, ведущим полезную для общества работу. </w:t>
      </w:r>
    </w:p>
    <w:p w:rsidR="00000000" w:rsidRDefault="00000000">
      <w:r>
        <w:t>645.</w:t>
      </w:r>
      <w:r>
        <w:tab/>
        <w:t>Для того чтобы успешно бороться с причинами, порождающими бедность и дискриминацию, жертвами к</w:t>
      </w:r>
      <w:r>
        <w:t>о</w:t>
      </w:r>
      <w:r>
        <w:t>торых часто оказываются женщины и девочки, в 1999 году было принято решение отразить во всех программах "Направления-26" принципы гендерного подхода с целью способствовать созданию равных возможностей и пр</w:t>
      </w:r>
      <w:r>
        <w:t>е</w:t>
      </w:r>
      <w:r>
        <w:t xml:space="preserve">одолеть сегрегацию, обеспечивая в то же время такое положение, при котором </w:t>
      </w:r>
      <w:r>
        <w:br/>
        <w:t>50 процентов всех ресурсов и мер</w:t>
      </w:r>
      <w:r>
        <w:t>о</w:t>
      </w:r>
      <w:r>
        <w:t xml:space="preserve">приятий, проводимых во исполнение указанных программ, направлялись бы на удовлетворение специфических потребностей женщин. </w:t>
      </w:r>
    </w:p>
    <w:p w:rsidR="00000000" w:rsidRDefault="00000000">
      <w:r>
        <w:t>646.</w:t>
      </w:r>
      <w:r>
        <w:tab/>
        <w:t>Проведение в жизнь указанного "Генерального направления" предполагает сосредоточение всех организац</w:t>
      </w:r>
      <w:r>
        <w:t>и</w:t>
      </w:r>
      <w:r>
        <w:t>онных, интеллектуальных и финансовых ресурсов на выполнение комплексных и дифференцированных видов с</w:t>
      </w:r>
      <w:r>
        <w:t>о</w:t>
      </w:r>
      <w:r>
        <w:t>циальной работы с учетом потребностей, возможностей и особенностей каждого региона и каждой группы насел</w:t>
      </w:r>
      <w:r>
        <w:t>е</w:t>
      </w:r>
      <w:r>
        <w:t>ния. Работа ведется по 15 программам с участием четырех различных фондов. В каждом из фондов имеются гру</w:t>
      </w:r>
      <w:r>
        <w:t>п</w:t>
      </w:r>
      <w:r>
        <w:t xml:space="preserve">пы социальной помощи и технические комитеты, призванные наблюдать за точным соблюдением специальных нормативов, а также за тем, чтобы женская часть населения была в полной мере представлена среди получателей помощи, как того требуют принципы справедливости и равенства возможностей. </w:t>
      </w:r>
    </w:p>
    <w:p w:rsidR="00000000" w:rsidRDefault="00000000">
      <w:r>
        <w:t>647.</w:t>
      </w:r>
      <w:r>
        <w:tab/>
        <w:t xml:space="preserve">Средства фондов распределяются между следующими программами: </w:t>
      </w:r>
    </w:p>
    <w:p w:rsidR="00000000" w:rsidRDefault="00000000">
      <w:pPr>
        <w:spacing w:after="0"/>
      </w:pPr>
      <w:r>
        <w:sym w:font="Symbol" w:char="F0B7"/>
      </w:r>
      <w:r>
        <w:tab/>
        <w:t>Фонд развития производства:</w:t>
      </w:r>
    </w:p>
    <w:p w:rsidR="00000000" w:rsidRDefault="00000000">
      <w:pPr>
        <w:spacing w:after="0"/>
      </w:pPr>
      <w:r>
        <w:tab/>
        <w:t>Программа временной занятости</w:t>
      </w:r>
    </w:p>
    <w:p w:rsidR="00000000" w:rsidRDefault="00000000">
      <w:pPr>
        <w:spacing w:after="0"/>
      </w:pPr>
      <w:r>
        <w:tab/>
        <w:t>Программа "Общественные предприятия" (ФОНАЭС)</w:t>
      </w:r>
    </w:p>
    <w:p w:rsidR="00000000" w:rsidRDefault="00000000">
      <w:pPr>
        <w:spacing w:after="0"/>
      </w:pPr>
      <w:r>
        <w:tab/>
        <w:t>Программа "Верить слову"</w:t>
      </w:r>
    </w:p>
    <w:p w:rsidR="00000000" w:rsidRDefault="00000000">
      <w:pPr>
        <w:spacing w:after="0"/>
      </w:pPr>
      <w:r>
        <w:tab/>
        <w:t>Программа "Развитие производства в интересах женщин"</w:t>
      </w:r>
    </w:p>
    <w:p w:rsidR="00000000" w:rsidRDefault="00000000">
      <w:pPr>
        <w:spacing w:after="0"/>
      </w:pPr>
      <w:r>
        <w:tab/>
        <w:t>Программа "Засушливые районы"</w:t>
      </w:r>
    </w:p>
    <w:p w:rsidR="00000000" w:rsidRDefault="00000000">
      <w:r>
        <w:tab/>
        <w:t>Региональные фонды для коренного населения</w:t>
      </w:r>
    </w:p>
    <w:p w:rsidR="00000000" w:rsidRDefault="00000000">
      <w:pPr>
        <w:spacing w:after="0"/>
      </w:pPr>
      <w:r>
        <w:sym w:font="Symbol" w:char="F0B7"/>
      </w:r>
      <w:r>
        <w:tab/>
        <w:t>Фонд содействия устойчивому развитию регионов:</w:t>
      </w:r>
    </w:p>
    <w:p w:rsidR="00000000" w:rsidRDefault="00000000">
      <w:pPr>
        <w:spacing w:after="0"/>
      </w:pPr>
      <w:r>
        <w:tab/>
        <w:t>Планирование регионального развития</w:t>
      </w:r>
    </w:p>
    <w:p w:rsidR="00000000" w:rsidRDefault="00000000">
      <w:pPr>
        <w:spacing w:after="0"/>
      </w:pPr>
      <w:r>
        <w:tab/>
        <w:t>Региональные компенсационные фонды (штат Чьяпас)</w:t>
      </w:r>
    </w:p>
    <w:p w:rsidR="00000000" w:rsidRDefault="00000000">
      <w:r>
        <w:tab/>
        <w:t>Исследования и разработка региональных проектов</w:t>
      </w:r>
    </w:p>
    <w:p w:rsidR="00000000" w:rsidRDefault="00000000">
      <w:pPr>
        <w:spacing w:after="0"/>
      </w:pPr>
      <w:r>
        <w:sym w:font="Symbol" w:char="F0B7"/>
      </w:r>
      <w:r>
        <w:tab/>
        <w:t>Фонд помощи наиболее нуждающимся группам:</w:t>
      </w:r>
    </w:p>
    <w:p w:rsidR="00000000" w:rsidRDefault="00000000">
      <w:pPr>
        <w:spacing w:after="0"/>
      </w:pPr>
      <w:r>
        <w:tab/>
        <w:t>Помощь сельскохозяйственным рабочим</w:t>
      </w:r>
    </w:p>
    <w:p w:rsidR="00000000" w:rsidRDefault="00000000">
      <w:pPr>
        <w:spacing w:after="0"/>
      </w:pPr>
      <w:r>
        <w:tab/>
        <w:t>Помощь сельским производителям с низким уровнем доходов</w:t>
      </w:r>
    </w:p>
    <w:p w:rsidR="00000000" w:rsidRDefault="00000000">
      <w:r>
        <w:tab/>
        <w:t>Помощь учителям-пенсионерам</w:t>
      </w:r>
    </w:p>
    <w:p w:rsidR="00000000" w:rsidRDefault="00000000">
      <w:pPr>
        <w:spacing w:after="0"/>
      </w:pPr>
      <w:r>
        <w:sym w:font="Symbol" w:char="F0B7"/>
      </w:r>
      <w:r>
        <w:tab/>
        <w:t>Фонд взаимных социальных инвестиций и развития общин:</w:t>
      </w:r>
    </w:p>
    <w:p w:rsidR="00000000" w:rsidRDefault="00000000">
      <w:pPr>
        <w:spacing w:after="0"/>
      </w:pPr>
      <w:r>
        <w:tab/>
        <w:t>Социальные услуги общинам</w:t>
      </w:r>
    </w:p>
    <w:p w:rsidR="00000000" w:rsidRDefault="00000000">
      <w:pPr>
        <w:spacing w:after="0"/>
      </w:pPr>
      <w:r>
        <w:tab/>
        <w:t>Взаимные социальные инвестиции</w:t>
      </w:r>
    </w:p>
    <w:p w:rsidR="00000000" w:rsidRDefault="00000000">
      <w:r>
        <w:tab/>
        <w:t xml:space="preserve">Профессиональное обучение в интересах укрепления общин </w:t>
      </w:r>
    </w:p>
    <w:p w:rsidR="00000000" w:rsidRDefault="00000000">
      <w:r>
        <w:t>648.</w:t>
      </w:r>
      <w:r>
        <w:tab/>
        <w:t>Разработка системы требований и нормативов в рамках программ "Направления-26" представляет собой зн</w:t>
      </w:r>
      <w:r>
        <w:t>а</w:t>
      </w:r>
      <w:r>
        <w:t>чительный шаг вперед и положительный пример для других государственных организаций уже потому, что этими действиями положено начало процессу пересмотра программ и обсуждению способов преодоления гендерного неравенства, а также конкретных мер, которые могут принять привлеченные к этой деятельности государственные учр</w:t>
      </w:r>
      <w:r>
        <w:t>е</w:t>
      </w:r>
      <w:r>
        <w:t>ждения. Эта деятельность уже породила большие ожидания в обществе – ожидания дальнейшего развития процесса достижения равенства мужчин и женщин. Однако, хотя были предприняты большие усилия по реализации некот</w:t>
      </w:r>
      <w:r>
        <w:t>о</w:t>
      </w:r>
      <w:r>
        <w:t>рых из программ "Направления-26", в большей их части пока еще не нашел отражения гендерный подход, ввиду того что официальное признание его необходимости отнюдь еще не означает того, что такой подход действительно воплотился в конкретные и практические действия, предпринятые уполномоченными на это учреждени</w:t>
      </w:r>
      <w:r>
        <w:t>я</w:t>
      </w:r>
      <w:r>
        <w:t xml:space="preserve">ми. </w:t>
      </w:r>
    </w:p>
    <w:p w:rsidR="00000000" w:rsidRDefault="00000000">
      <w:pPr>
        <w:pStyle w:val="Heading3"/>
      </w:pPr>
      <w:r>
        <w:t>Банковские ссуды, ипотечны</w:t>
      </w:r>
      <w:r>
        <w:rPr>
          <w:noProof w:val="0"/>
          <w:lang w:val="ru-RU"/>
        </w:rPr>
        <w:t>й</w:t>
      </w:r>
      <w:r>
        <w:t xml:space="preserve"> кредит и другие виды финансовых обязательств </w:t>
      </w:r>
    </w:p>
    <w:p w:rsidR="00000000" w:rsidRDefault="00000000">
      <w:r>
        <w:t>649.</w:t>
      </w:r>
      <w:r>
        <w:tab/>
        <w:t>Одно из основных ограничений, препятствующих развитию социально-экономического потенциала женщин, – это ограниченность их доступа к источникам финансирования производства, хотя, как мы уже сообщали Комит</w:t>
      </w:r>
      <w:r>
        <w:t>е</w:t>
      </w:r>
      <w:r>
        <w:t xml:space="preserve">ту, в федеральном законодательстве не существует собственно юридических ограничений для доступа женщин к указанным источникам. Учитывая эти обстоятельства, правительство Мексики поставило своей целью расширить возможности кредитования и иных видов финансирования в интересах мексиканских женщин. </w:t>
      </w:r>
    </w:p>
    <w:p w:rsidR="00000000" w:rsidRDefault="00000000">
      <w:r>
        <w:t>650.</w:t>
      </w:r>
      <w:r>
        <w:tab/>
        <w:t>В третьем и четвертом объединенном докладе, представленных Мексикой Комитету, уже приводились св</w:t>
      </w:r>
      <w:r>
        <w:t>е</w:t>
      </w:r>
      <w:r>
        <w:t xml:space="preserve">дения об имеющихся программах кредитования, таких как программа стимулирования и поддержки женщин-предпринимателей с низкими доходами Национальной финансовой компании (НАФИН); Система Национального банка сельскохозяйственного кредита (БАНРУРАЛЬ) в поддержку женских аграрно-промышленных организаций (УАИМ), женщин-собственниц и женщин – членов сельскохозяйственных общин; </w:t>
      </w:r>
      <w:r>
        <w:rPr>
          <w:lang w:val="es-ES_tradnl"/>
        </w:rPr>
        <w:t xml:space="preserve">Ассоциация попечителей сельскохозяйственного сектора (ФИРА) </w:t>
      </w:r>
      <w:r>
        <w:t xml:space="preserve">Мексиканского банка, а также </w:t>
      </w:r>
      <w:r>
        <w:rPr>
          <w:lang w:val="es-ES_tradnl"/>
        </w:rPr>
        <w:t>Национальный доверительный фонд развития сельских общин (ФИФОНАФЕ)</w:t>
      </w:r>
      <w:r>
        <w:t>, ответственный за осуществление программы развития женщины-крестьянки Министерства аграрной рефо</w:t>
      </w:r>
      <w:r>
        <w:t>р</w:t>
      </w:r>
      <w:r>
        <w:t xml:space="preserve">мы. </w:t>
      </w:r>
    </w:p>
    <w:p w:rsidR="00000000" w:rsidRDefault="00000000">
      <w:r>
        <w:t>651.</w:t>
      </w:r>
      <w:r>
        <w:tab/>
        <w:t>Помимо указанных программ Национальный фонд поддержки социальных предприятий (ФОНАЭС) стр</w:t>
      </w:r>
      <w:r>
        <w:t>е</w:t>
      </w:r>
      <w:r>
        <w:t>мится расширить возможности получения кредита женщинами и усилить приток венчурного капитала в мексика</w:t>
      </w:r>
      <w:r>
        <w:t>н</w:t>
      </w:r>
      <w:r>
        <w:t>скую экономику; расширить также систему распространения знаний в области создания предприятий. В течение последних шести лет ФОНАЭС  способствовал созданию 4402 акционерных предприятий и 186 тыс. постоянных рабочих мест путем привлечения венчурного капитала. Одновременно Фонд оказал помощь в создании еще 525 тыс. временных рабочих мест, поддержав 11 439 инициатив по созданию предприятий – преимущественно сельск</w:t>
      </w:r>
      <w:r>
        <w:t>о</w:t>
      </w:r>
      <w:r>
        <w:t xml:space="preserve">хозяйственных и торговых – в рамках программы "Первый шаг к производству". </w:t>
      </w:r>
      <w:r>
        <w:br/>
        <w:t xml:space="preserve">На продолжение деятельности в этом направлении в 2000 году было ассигновано 810 600 000 песо, что на </w:t>
      </w:r>
      <w:r>
        <w:br/>
        <w:t>1,5 процента превышает, в реальном и</w:t>
      </w:r>
      <w:r>
        <w:t>с</w:t>
      </w:r>
      <w:r>
        <w:t xml:space="preserve">числении, ассигнования 1999 года и на 36,5 процента, также в реальном исчислении, ассигнования 1994 года. </w:t>
      </w:r>
    </w:p>
    <w:p w:rsidR="00000000" w:rsidRDefault="00000000">
      <w:r>
        <w:t>652.</w:t>
      </w:r>
      <w:r>
        <w:tab/>
        <w:t>В целях расширения возможностей доступа к источникам финансирования для земледельцев с низкими д</w:t>
      </w:r>
      <w:r>
        <w:t>о</w:t>
      </w:r>
      <w:r>
        <w:t>ходами, обрабатывающих малоплодородные земли или земли, расположенные в районах, неблагоприятных для сельского хозяйства, в 2000 году было выделено 531,2 млн. песо на осуществление программы "Верить слову". Ежегодно за последние шесть лет по каналам этой программы была оказана помощь 587 тыс. производителей сельск</w:t>
      </w:r>
      <w:r>
        <w:t>о</w:t>
      </w:r>
      <w:r>
        <w:t>хозяйственной продукции, обрабатывающих земли о</w:t>
      </w:r>
      <w:r>
        <w:t>б</w:t>
      </w:r>
      <w:r>
        <w:t xml:space="preserve">щей площадью 1,3 млн. гектаров. </w:t>
      </w:r>
    </w:p>
    <w:p w:rsidR="00000000" w:rsidRDefault="00000000">
      <w:r>
        <w:t>653.</w:t>
      </w:r>
      <w:r>
        <w:tab/>
        <w:t>В рамках Программы развития производства в интересах женщин Министерства социального развития (СЕДЕСОЛ) была оказана поддержка производственным проектам, имевшим целью повышение занятости женщин, увеличение их доходов и интеграцию семейного и общинного производства в экономику страны. На осуществление этой программы в 2000 году было выделено 87 млн. песо; в среднем за последние шесть лет в рамках данной пр</w:t>
      </w:r>
      <w:r>
        <w:t>о</w:t>
      </w:r>
      <w:r>
        <w:t xml:space="preserve">граммы ежегодно оказывалась помощь более 3 тыс. предприятий. </w:t>
      </w:r>
    </w:p>
    <w:p w:rsidR="00000000" w:rsidRDefault="00000000">
      <w:r>
        <w:t>654.</w:t>
      </w:r>
      <w:r>
        <w:tab/>
        <w:t>Кроме того, чтобы гарантировать своевременное финансирование производства, улучшить условия сбыта и повысить добавленную стоимость продукции, было оказано содействие региональным фондам Национального и</w:t>
      </w:r>
      <w:r>
        <w:t>н</w:t>
      </w:r>
      <w:r>
        <w:t>ститута по проблемам коренного населения, находящимся в ведении Министерства социального развития и Фонда малых кредитов женщинам-крестьянкам (ФОММУР). Этот Фонд, созданный в 1999 году, расширяет возможности доступа мелких сельскохозяйственных производителей к источникам финансирования и поддерживает регионал</w:t>
      </w:r>
      <w:r>
        <w:t>ь</w:t>
      </w:r>
      <w:r>
        <w:t>ные и местные финансовые организации, оказывающие услуги сельскохозяйственным производителям. В текущем году указанным фондам было выделено 318,2 млн. песо – на 11,6 процента больше, в реальном исчислении, чем в 1999 году. ФОММУР выполняет задачу оказания поддержки инициативам в области бизнеса и индивидуальной трудовой деятельности, с тем чтобы поддерживать на определенном уровне доходы и качество жизни женщин в сельской местности. Для того чтобы выделяемая экономическая помощь нашла адресата, ФОММУР поручено н</w:t>
      </w:r>
      <w:r>
        <w:t>а</w:t>
      </w:r>
      <w:r>
        <w:t>ходить и финансировать организации-посредники (к числу которых принадлежат общественные организации, заи</w:t>
      </w:r>
      <w:r>
        <w:t>н</w:t>
      </w:r>
      <w:r>
        <w:t>тересованные в устойчивом развитии сельских территорий, ссудо-сберегательные кассы, кооперативы, неправ</w:t>
      </w:r>
      <w:r>
        <w:t>и</w:t>
      </w:r>
      <w:r>
        <w:t>тельственные организации и т. д.), которые могли бы быть уполномочены вести поэтапное финансирование сел</w:t>
      </w:r>
      <w:r>
        <w:t>ь</w:t>
      </w:r>
      <w:r>
        <w:t xml:space="preserve">ских женщин-предпринимателей. </w:t>
      </w:r>
    </w:p>
    <w:p w:rsidR="00000000" w:rsidRDefault="00000000">
      <w:r>
        <w:t>655.</w:t>
      </w:r>
      <w:r>
        <w:tab/>
        <w:t>9 марта 2000 года Национальная финансовая компания и Национальная комиссия по делам женщин по</w:t>
      </w:r>
      <w:r>
        <w:t>д</w:t>
      </w:r>
      <w:r>
        <w:t>писали Договор о сотрудничестве в поддержку руководимых женщинами предприятий с минимальным числом р</w:t>
      </w:r>
      <w:r>
        <w:t>а</w:t>
      </w:r>
      <w:r>
        <w:t xml:space="preserve">ботников, положив тем самым начало выполнению программы "Женщины-предприниматели, женщины-производители". Эта программа призвана оказать поддержку женщинам, занимающимся бизнесом и производством в малых масштабах, и содействовать их интеграции в сферу производства. </w:t>
      </w:r>
    </w:p>
    <w:p w:rsidR="00000000" w:rsidRDefault="00000000">
      <w:pPr>
        <w:pStyle w:val="Heading3"/>
      </w:pPr>
      <w:r>
        <w:t xml:space="preserve">Проблема жилья </w:t>
      </w:r>
    </w:p>
    <w:p w:rsidR="00000000" w:rsidRDefault="00000000">
      <w:r>
        <w:t>656.</w:t>
      </w:r>
      <w:r>
        <w:tab/>
        <w:t xml:space="preserve">Чтобы обеспечить женщинам возможность иметь достойное человека жилище со всеми удобствами, а также и юридические гарантии владения им, правительство Мексики обнародовало в 1997 году проект создания Альянса развития жилого фонда и Специальную программу кредитов и субсидий на жилье (ПРОСАВИ). </w:t>
      </w:r>
      <w:r>
        <w:br/>
        <w:t>В выполнении да</w:t>
      </w:r>
      <w:r>
        <w:t>н</w:t>
      </w:r>
      <w:r>
        <w:t>ной Программы участвуют три стороны: государство, коммерческие банки и семьи, нуждающиеся в жилье; Пр</w:t>
      </w:r>
      <w:r>
        <w:t>о</w:t>
      </w:r>
      <w:r>
        <w:t>грамма ориентируется на два типа семей: это семьи, проживающие в малых и средних городах, и семьи, во главе которых стоит женщина, работающая по найму или имеющая собственное дело. С помощью ПРОСАВИ федерал</w:t>
      </w:r>
      <w:r>
        <w:t>ь</w:t>
      </w:r>
      <w:r>
        <w:t xml:space="preserve">ное правительство намерено выделять желающим субсидии в размере </w:t>
      </w:r>
      <w:r>
        <w:br/>
        <w:t>20 процентов от стоимости жилья, с тем чт</w:t>
      </w:r>
      <w:r>
        <w:t>о</w:t>
      </w:r>
      <w:r>
        <w:t>бы данная сумма служила гарантией для коммерческих и ипотечных банков при выделении кредитов на те же цели. Правительствам штатов пришлось изменить гражданские и гражданско-процессуальные кодексы своих территорий, с тем чтобы расширить правовые основы ипотечного кредита, децентрализовать его и уменьшить его налогообл</w:t>
      </w:r>
      <w:r>
        <w:t>о</w:t>
      </w:r>
      <w:r>
        <w:t>жение. Эти меры должны были уменьшить стоимость данного вида кредита и тем самым способствовать расшир</w:t>
      </w:r>
      <w:r>
        <w:t>е</w:t>
      </w:r>
      <w:r>
        <w:t xml:space="preserve">нию масштабов жилищного строительства. </w:t>
      </w:r>
    </w:p>
    <w:p w:rsidR="00000000" w:rsidRDefault="00000000">
      <w:r>
        <w:t>657.</w:t>
      </w:r>
      <w:r>
        <w:tab/>
        <w:t>В 1997 году была введена в действие Программа сбережений и субсидий на строительство современного ж</w:t>
      </w:r>
      <w:r>
        <w:t>и</w:t>
      </w:r>
      <w:r>
        <w:t>лья. Призванная помочь семьям, живущим в крайней нищете в населенных пунктах городского типа, не имеющим возможности брать кредиты в коммерческих банках и в большинстве своем обойденным правительственными пр</w:t>
      </w:r>
      <w:r>
        <w:t>о</w:t>
      </w:r>
      <w:r>
        <w:t>граммами, данная Программа обеспечила рост предложения современного жилья, построенного на государстве</w:t>
      </w:r>
      <w:r>
        <w:t>н</w:t>
      </w:r>
      <w:r>
        <w:t>ные средства, в комплекте с основными услугами по его содержанию и с юридическими гарантиями собственн</w:t>
      </w:r>
      <w:r>
        <w:t>о</w:t>
      </w:r>
      <w:r>
        <w:t>сти. В первые два года осуществления данной программы получателями ссуд стали 22 054 семьи, 48,1 процента которых проживают в десяти штатах, имеющих наиболее высокий процент населения, живущего за чертой бедн</w:t>
      </w:r>
      <w:r>
        <w:t>о</w:t>
      </w:r>
      <w:r>
        <w:t xml:space="preserve">сти. В 2000 году по каналам данной Программы было выделено 32 405 ссуд на общую сумму 695,1 млн. песо, то есть в 4 раза больше, чем в 1998 году. </w:t>
      </w:r>
    </w:p>
    <w:p w:rsidR="00000000" w:rsidRDefault="00000000">
      <w:r>
        <w:t>658.</w:t>
      </w:r>
      <w:r>
        <w:tab/>
        <w:t>Хотя Конституция Мексиканских Соединенных Штатов и Федеральный закон о труде закрепляют принцип равноправия мужчин и женщин и, соответственно, в них не проводится различия по признаку пола между труд</w:t>
      </w:r>
      <w:r>
        <w:t>я</w:t>
      </w:r>
      <w:r>
        <w:t>щимися, претендующими на получение ссуды на жилье, в некоторых административных документах этот конст</w:t>
      </w:r>
      <w:r>
        <w:t>и</w:t>
      </w:r>
      <w:r>
        <w:t xml:space="preserve">туционный принцип был нарушен. </w:t>
      </w:r>
    </w:p>
    <w:p w:rsidR="00000000" w:rsidRDefault="00000000">
      <w:r>
        <w:t>659.</w:t>
      </w:r>
      <w:r>
        <w:tab/>
        <w:t>Правила Института национального жилищного фонда для трудящихся (ИНФОНАВИТ), регулирующие пр</w:t>
      </w:r>
      <w:r>
        <w:t>е</w:t>
      </w:r>
      <w:r>
        <w:t xml:space="preserve">доставление кредитов, содержали условие, согласно которому только мужчина мог заявить о наличии супруга-иждивенца; в результате семьи, во главе которых стоит женщина, оказались в явно невыгодном положении среди соискателей жилищных ссуд. </w:t>
      </w:r>
    </w:p>
    <w:p w:rsidR="00000000" w:rsidRDefault="00000000">
      <w:r>
        <w:t>660.</w:t>
      </w:r>
      <w:r>
        <w:tab/>
        <w:t xml:space="preserve">Для исправления этого положения общественная организация, известная как Группа защиты пострадавших, представила в Генеральную дирекцию ИНФОНАВИТ свои предложения по изменению административных норм и процедур. И эти предложения были приняты. В октябре 1998 года Административный совет ИНФОНАВИТ принял документ, названный "Жилищное соглашение", а в июле </w:t>
      </w:r>
      <w:r>
        <w:br/>
        <w:t>1999 года совместно с представителями трудящихся, предпринимателей и государства, входящими в руководство Института, постановил ввести в действие новые прав</w:t>
      </w:r>
      <w:r>
        <w:t>и</w:t>
      </w:r>
      <w:r>
        <w:t xml:space="preserve">ла предоставления кредита, в соответствии с которыми приоритет отдается более молодым семьям и семьям, во главе которых стоит женщина, что вполне согласуется с основополагающими принципами ПРОСАВИ. </w:t>
      </w:r>
    </w:p>
    <w:p w:rsidR="00000000" w:rsidRDefault="00000000">
      <w:r>
        <w:t>661.</w:t>
      </w:r>
      <w:r>
        <w:tab/>
        <w:t xml:space="preserve">Закон федерального округа о жилище, опубликованный в "Гасета офисиаль" федерального округа </w:t>
      </w:r>
      <w:r>
        <w:br/>
        <w:t>от 2 марта 2000 года, гласит: "Все жители федерального округа имеют право на достойное человека жилище, представляющее собой место, пригодное для обитания, безопасное и не создающее угрозы здоровью, дающее возможность уедин</w:t>
      </w:r>
      <w:r>
        <w:t>е</w:t>
      </w:r>
      <w:r>
        <w:t>ния и участия в жизни населенного пункта и общества в целом. Для его приобретения не может быть препятствием ни экономическое и социальное положение гражданина, ни его этническая и национальная принадлежность, ни его возраст, пол, отношение к миграции, политические или религиозные убеждения". Закон возлагает на правительство федерального округа обязанности по созданию механизмов и осуществлению мероприятий в целях привлечения финансовых средств и распределения их между различными программами через посредство Института жилья ф</w:t>
      </w:r>
      <w:r>
        <w:t>е</w:t>
      </w:r>
      <w:r>
        <w:t>дерального о</w:t>
      </w:r>
      <w:r>
        <w:t>к</w:t>
      </w:r>
      <w:r>
        <w:t xml:space="preserve">руга. </w:t>
      </w:r>
    </w:p>
    <w:p w:rsidR="00000000" w:rsidRDefault="00000000">
      <w:r>
        <w:t>662.</w:t>
      </w:r>
      <w:r>
        <w:tab/>
        <w:t xml:space="preserve">Среднегодовой объем ипотечных кредитов, выделяемых по каналам ИСССТЭ, вырос за период 1995–2000 годов на 68,3 процента в номинальном и на 44,5 процента в реальном исчислении. Преимущество в получении этих кредитов отдавалось женщинам – главам семей. В 1998 году 52 процента этих кредитов были выделены женщинам, а в 1999 году – 60 процентов. </w:t>
      </w:r>
    </w:p>
    <w:p w:rsidR="00000000" w:rsidRDefault="00000000">
      <w:pPr>
        <w:pStyle w:val="Heading3"/>
      </w:pPr>
      <w:r>
        <w:t xml:space="preserve">Участие в организованном досуге, спортивных мероприятиях и различных формах культурной жизни </w:t>
      </w:r>
    </w:p>
    <w:p w:rsidR="00000000" w:rsidRDefault="00000000">
      <w:r>
        <w:t>663.</w:t>
      </w:r>
      <w:r>
        <w:tab/>
        <w:t>Как отмечалось в третьем и четвертом объединенном докладе, женщина в Мексике имеет равные с мужч</w:t>
      </w:r>
      <w:r>
        <w:t>и</w:t>
      </w:r>
      <w:r>
        <w:t xml:space="preserve">ной права на участие во всех сферах культурной жизни, во всех формах организованного досуга и в спортивных мероприятиях; причем во всех указанных сферах жизни участие женщин неуклонно росло. </w:t>
      </w:r>
    </w:p>
    <w:p w:rsidR="00000000" w:rsidRDefault="00000000"/>
    <w:p w:rsidR="00000000" w:rsidRDefault="00000000">
      <w:pPr>
        <w:pStyle w:val="Heading2"/>
      </w:pPr>
      <w:r>
        <w:rPr>
          <w:lang w:val="en-US"/>
        </w:rPr>
        <w:br w:type="page"/>
      </w:r>
      <w:r>
        <w:t>СТАТЬЯ 14</w:t>
      </w:r>
    </w:p>
    <w:p w:rsidR="00000000" w:rsidRDefault="00000000">
      <w:r>
        <w:rPr>
          <w:caps/>
        </w:rPr>
        <w:t>664</w:t>
      </w:r>
      <w:r>
        <w:t>.</w:t>
      </w:r>
      <w:r>
        <w:tab/>
        <w:t xml:space="preserve">Женщины, проживающие в сельских населенных пунктах, насчитывающих не более 2500 жителей, относятся к сельскому населению. Согласно предварительным данным Национальной переписи населения </w:t>
      </w:r>
      <w:r>
        <w:br/>
        <w:t>2000 года, население страны составляет 97 361 711 человек, из них 47 354 386 – мужчины и 50 007 325 – женщины.</w:t>
      </w:r>
    </w:p>
    <w:p w:rsidR="00000000" w:rsidRDefault="00000000">
      <w:r>
        <w:t>665.</w:t>
      </w:r>
      <w:r>
        <w:tab/>
        <w:t>Сельское население преобладает в штатах Идальго, Чьяпас и Оахака.</w:t>
      </w:r>
    </w:p>
    <w:p w:rsidR="00000000" w:rsidRDefault="00000000">
      <w:pPr>
        <w:suppressLineNumbers/>
      </w:pPr>
      <w:r>
        <w:t>666.</w:t>
      </w:r>
      <w:r>
        <w:tab/>
        <w:t>В соответствии с результатами Национального опроса по вопросам доходов и расходов семей (Модуль использования времени) 1996 года, 35,6 процента сельских женщин относятся к экономически активному населению, 32,9 процента от общего числа работающих женщин занимаются неоплачиваемым домашним трудом; 30,5 процента занимаются индивидуальной трудовой деятельностью; 36 процентов работают по найму. Доходы 42,6 процента женщин ниже минимальной заработной платы.</w:t>
      </w:r>
    </w:p>
    <w:p w:rsidR="00000000" w:rsidRDefault="00000000">
      <w:pPr>
        <w:pStyle w:val="Heading3"/>
        <w:rPr>
          <w:noProof w:val="0"/>
          <w:lang w:val="ru-RU"/>
        </w:rPr>
      </w:pPr>
      <w:r>
        <w:t>Программы производственного развития сельских районов. "Союз в интересах села"</w:t>
      </w:r>
    </w:p>
    <w:p w:rsidR="00000000" w:rsidRDefault="00000000">
      <w:r>
        <w:t>667.</w:t>
      </w:r>
      <w:r>
        <w:tab/>
        <w:t>Политика правительства Мексики в области сельского хозяйства и развития сельских районов направлена на улучшение условий жизни сельского населения путем увеличения его доходов и повышения производительности. При разработке политики и осуществлении программ в сельскохозяйственном секторе поощряется участие как производителей через их организации, так и органов всех трех уровней власти.</w:t>
      </w:r>
    </w:p>
    <w:p w:rsidR="00000000" w:rsidRDefault="00000000">
      <w:r>
        <w:t>668.</w:t>
      </w:r>
      <w:r>
        <w:tab/>
        <w:t>В рамках "Союза в интересах села" поощряется ответственное и солидарное участие производителей и органов трех уровней власти для увеличения производства и повышения его эффективности при помощи прикладных исследований, передачи технологии, улучшения профессиональной подготовки и здравоохранения. "Союз в интересах села" также способствует комплексному развитию путем проведения политики, учитывающей производственные и структурные особенности регионов и социальных групп.</w:t>
      </w:r>
    </w:p>
    <w:p w:rsidR="00000000" w:rsidRDefault="00000000">
      <w:r>
        <w:t>669.</w:t>
      </w:r>
      <w:r>
        <w:tab/>
        <w:t>На 1999 финансовый год "Союз в интересах села" разработал специальную программу помощи организованным группам женщин в интересах развития сельских районов, направленную на то, чтобы во всех программах развития сельских районов первостепенное внимание уделялось обеспечению доступа женщин к достижениям в рамках программы "Союз в интересах села".</w:t>
      </w:r>
    </w:p>
    <w:p w:rsidR="00000000" w:rsidRDefault="00000000">
      <w:r>
        <w:t>700.</w:t>
      </w:r>
      <w:r>
        <w:tab/>
        <w:t>Благодаря своевременности своих программ и приоритетному вниманию к аграрному сектору, в 1996–2000 годах "Союз в интересах села" получил более крупные средства от федерального правительства и правительств штатов. В 1996–1999 годах через Министерство сельского хозяйства, животноводства и сельского развития (САГАР) и Национальную крестьянскую конфедерацию (НКК) было выделено 11 194,2 млн. песо из федеральных средств и 5 869,1 млн. песо – правительствами штатов. Включая 14 417,8 млн. песо, предоставленных производителям, общая сумма составила 31 481, 1 млн. песо. На каждое песо федеральных расходов было выделено еще почти два.</w:t>
      </w:r>
    </w:p>
    <w:p w:rsidR="00000000" w:rsidRDefault="00000000">
      <w:r>
        <w:t>701.</w:t>
      </w:r>
      <w:r>
        <w:tab/>
        <w:t xml:space="preserve">На 2000 год САГАР выделил "Союзу в интересах села" 2 895,4 млн. песо. 56 процентов этой суммы было направлено на помощь самым бедным крестьянам в наиболее отсталых регионах. Дополнительно НКК выделила "Союзу в интересах села" 559,8 млн. песо, что вместе со средствами САГАР составило 3 455,2 млн. песо. Кроме того, в 2000 году различными организациями и учреждениями на борьбу с бедностью было выделено 36 999,6 млн. песо, что составляет реальный рост в 12,2 процента и 73,8 процента по сравнению с </w:t>
      </w:r>
      <w:r>
        <w:rPr>
          <w:lang w:val="en-US"/>
        </w:rPr>
        <w:br/>
      </w:r>
      <w:r>
        <w:t>1999 и 1994 годами, соответственно.</w:t>
      </w:r>
    </w:p>
    <w:p w:rsidR="00000000" w:rsidRDefault="00000000">
      <w:r>
        <w:t>702.</w:t>
      </w:r>
      <w:r>
        <w:tab/>
        <w:t>Программы развития сельских районов в рамках "Союза в интересах села" способствуют передаче технологии, осуществлению профессиональной подготовки и оказанию технического содействия при учете производственных особенностей каждого микрорегиона. Эти программы направлены на повышение производства, прежде всего культур, способствующих самообеспечению, а также товарных культур, дающих денежные доходы. Кроме того, эти программы укрепляют связи между производством и рынком.</w:t>
      </w:r>
    </w:p>
    <w:p w:rsidR="00000000" w:rsidRDefault="00000000">
      <w:r>
        <w:t>703.</w:t>
      </w:r>
      <w:r>
        <w:tab/>
        <w:t>Главная цель этих программ заключается в том, чтобы способствовать реализации производственных проектов, позволяющих повысить доходы и благосостояние малоимущих крестьянских семей, занимающихся разными видами деятельности и потребляющих большую часть того, что они производят.</w:t>
      </w:r>
    </w:p>
    <w:p w:rsidR="00000000" w:rsidRDefault="00000000">
      <w:r>
        <w:t>704.</w:t>
      </w:r>
      <w:r>
        <w:tab/>
        <w:t>Некоторые программы направлены на развитие производства, помощь торгово-закупочным предприятиям социального сектора, профессиональную подготовку и распространение знаний, техническое содействие, обеспечение устойчивого развития производства в отсталых сельских районах.</w:t>
      </w:r>
    </w:p>
    <w:p w:rsidR="00000000" w:rsidRDefault="00000000">
      <w:pPr>
        <w:pStyle w:val="Heading3"/>
      </w:pPr>
      <w:r>
        <w:t>Программы помощи женщинам в сельской местности</w:t>
      </w:r>
    </w:p>
    <w:p w:rsidR="00000000" w:rsidRDefault="00000000">
      <w:r>
        <w:t>705.</w:t>
      </w:r>
      <w:r>
        <w:tab/>
        <w:t>Правительство Мексики разработало ряд программ, направленных на создание рабочих мест и источников получения доходов, а также на вовлечение женщин из сельских районов в производственную деятельность. Были разработаны, в частности, программы развития производства, помощи в области сбыта, финансирования, профессиональной подготовки, а также в сфере предпринимательства и обработки земли. Кроме того, для оказания помощи мельчайшим, малым и средним предприятиям были задействованы различные схемы финансирования и профессиональной подготовки.</w:t>
      </w:r>
    </w:p>
    <w:p w:rsidR="00000000" w:rsidRDefault="00000000">
      <w:pPr>
        <w:pStyle w:val="Heading4"/>
      </w:pPr>
      <w:r>
        <w:t>Развитие производства</w:t>
      </w:r>
    </w:p>
    <w:p w:rsidR="00000000" w:rsidRDefault="00000000">
      <w:pPr>
        <w:pStyle w:val="Heading1"/>
        <w:spacing w:after="240"/>
        <w:jc w:val="left"/>
        <w:rPr>
          <w:sz w:val="20"/>
        </w:rPr>
      </w:pPr>
      <w:r>
        <w:rPr>
          <w:sz w:val="20"/>
        </w:rPr>
        <w:t>Участие женщин в развитии сельских районов</w:t>
      </w:r>
    </w:p>
    <w:p w:rsidR="00000000" w:rsidRDefault="00000000">
      <w:r>
        <w:t>706.</w:t>
      </w:r>
      <w:r>
        <w:tab/>
        <w:t>Как уже сообщалось Комитету, цель программы "Участие женщин в развитии сельских районов" (МДР) заключается в вовлечении организованных групп женщин в осуществление стратегии микрорегионального планирования и комплексного развития сельских районов, которая направлена на увеличение доходов и стимулирование борьбы с бедностью, а также на поощрение роста производства и повышение его рентабельности. Достижению этой цели должны способствовать проекты, которые осуществляются женщинами в различных видах деятельности, способствующей росту занятости в сельских районах.</w:t>
      </w:r>
    </w:p>
    <w:p w:rsidR="00000000" w:rsidRDefault="00000000">
      <w:r>
        <w:t>707.</w:t>
      </w:r>
      <w:r>
        <w:tab/>
        <w:t>В 1996–1999 годах в рамках МДР была оказана помощь 862 442 женщинам на общую сумму 568,14 млн. песо. Успехи, достигнутые благодаря этой Программе, заключаются не только в росте числа женщин, получивших помощь, но и в разработке новой стратегии и политики.</w:t>
      </w:r>
    </w:p>
    <w:p w:rsidR="00000000" w:rsidRDefault="00000000">
      <w:r>
        <w:t>708.</w:t>
      </w:r>
      <w:r>
        <w:tab/>
        <w:t>В 1996–1998 годах помощь осуществлялась по следующим основным направлениям: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936"/>
        <w:gridCol w:w="2409"/>
        <w:gridCol w:w="2175"/>
      </w:tblGrid>
      <w:tr w:rsidR="00000000">
        <w:tblPrEx>
          <w:tblCellMar>
            <w:top w:w="0" w:type="dxa"/>
            <w:bottom w:w="0" w:type="dxa"/>
          </w:tblCellMar>
        </w:tblPrEx>
        <w:trPr>
          <w:jc w:val="center"/>
        </w:trPr>
        <w:tc>
          <w:tcPr>
            <w:tcW w:w="3936" w:type="dxa"/>
          </w:tcPr>
          <w:p w:rsidR="00000000" w:rsidRDefault="00000000">
            <w:pPr>
              <w:spacing w:before="20" w:after="20"/>
              <w:rPr>
                <w:b/>
              </w:rPr>
            </w:pPr>
            <w:r>
              <w:rPr>
                <w:b/>
              </w:rPr>
              <w:t>Направление</w:t>
            </w:r>
          </w:p>
        </w:tc>
        <w:tc>
          <w:tcPr>
            <w:tcW w:w="2409" w:type="dxa"/>
          </w:tcPr>
          <w:p w:rsidR="00000000" w:rsidRDefault="00000000">
            <w:pPr>
              <w:spacing w:before="20" w:after="20"/>
              <w:jc w:val="center"/>
              <w:rPr>
                <w:b/>
              </w:rPr>
            </w:pPr>
            <w:r>
              <w:rPr>
                <w:b/>
              </w:rPr>
              <w:t>Единица измерения</w:t>
            </w:r>
          </w:p>
        </w:tc>
        <w:tc>
          <w:tcPr>
            <w:tcW w:w="2175" w:type="dxa"/>
          </w:tcPr>
          <w:p w:rsidR="00000000" w:rsidRDefault="00000000">
            <w:pPr>
              <w:spacing w:before="20" w:after="20"/>
              <w:jc w:val="center"/>
              <w:rPr>
                <w:b/>
              </w:rPr>
            </w:pPr>
            <w:r>
              <w:rPr>
                <w:b/>
              </w:rPr>
              <w:t>Всего</w:t>
            </w:r>
          </w:p>
        </w:tc>
      </w:tr>
      <w:tr w:rsidR="00000000">
        <w:tblPrEx>
          <w:tblCellMar>
            <w:top w:w="0" w:type="dxa"/>
            <w:bottom w:w="0" w:type="dxa"/>
          </w:tblCellMar>
        </w:tblPrEx>
        <w:trPr>
          <w:jc w:val="center"/>
        </w:trPr>
        <w:tc>
          <w:tcPr>
            <w:tcW w:w="3936" w:type="dxa"/>
          </w:tcPr>
          <w:p w:rsidR="00000000" w:rsidRDefault="00000000">
            <w:pPr>
              <w:spacing w:before="20" w:after="20"/>
            </w:pPr>
            <w:r>
              <w:t>Птицеводство</w:t>
            </w:r>
          </w:p>
        </w:tc>
        <w:tc>
          <w:tcPr>
            <w:tcW w:w="2409" w:type="dxa"/>
          </w:tcPr>
          <w:p w:rsidR="00000000" w:rsidRDefault="00000000">
            <w:pPr>
              <w:spacing w:before="20" w:after="20"/>
              <w:jc w:val="center"/>
            </w:pPr>
            <w:r>
              <w:t>Пакеты</w:t>
            </w:r>
          </w:p>
        </w:tc>
        <w:tc>
          <w:tcPr>
            <w:tcW w:w="2175" w:type="dxa"/>
          </w:tcPr>
          <w:p w:rsidR="00000000" w:rsidRDefault="00000000">
            <w:pPr>
              <w:spacing w:before="20" w:after="20"/>
              <w:jc w:val="center"/>
            </w:pPr>
            <w:r>
              <w:t>390 402</w:t>
            </w:r>
          </w:p>
        </w:tc>
      </w:tr>
      <w:tr w:rsidR="00000000">
        <w:tblPrEx>
          <w:tblCellMar>
            <w:top w:w="0" w:type="dxa"/>
            <w:bottom w:w="0" w:type="dxa"/>
          </w:tblCellMar>
        </w:tblPrEx>
        <w:trPr>
          <w:jc w:val="center"/>
        </w:trPr>
        <w:tc>
          <w:tcPr>
            <w:tcW w:w="3936" w:type="dxa"/>
          </w:tcPr>
          <w:p w:rsidR="00000000" w:rsidRDefault="00000000">
            <w:pPr>
              <w:pStyle w:val="Header"/>
              <w:tabs>
                <w:tab w:val="clear" w:pos="4677"/>
                <w:tab w:val="clear" w:pos="9355"/>
              </w:tabs>
              <w:spacing w:before="20" w:after="20"/>
            </w:pPr>
            <w:r>
              <w:t>Свиноводство</w:t>
            </w:r>
          </w:p>
        </w:tc>
        <w:tc>
          <w:tcPr>
            <w:tcW w:w="2409" w:type="dxa"/>
          </w:tcPr>
          <w:p w:rsidR="00000000" w:rsidRDefault="00000000">
            <w:pPr>
              <w:spacing w:before="20" w:after="20"/>
              <w:jc w:val="center"/>
            </w:pPr>
            <w:r>
              <w:t>Голов</w:t>
            </w:r>
          </w:p>
        </w:tc>
        <w:tc>
          <w:tcPr>
            <w:tcW w:w="2175" w:type="dxa"/>
          </w:tcPr>
          <w:p w:rsidR="00000000" w:rsidRDefault="00000000">
            <w:pPr>
              <w:spacing w:before="20" w:after="20"/>
              <w:jc w:val="center"/>
            </w:pPr>
            <w:r>
              <w:t>100 297</w:t>
            </w:r>
          </w:p>
        </w:tc>
      </w:tr>
      <w:tr w:rsidR="00000000">
        <w:tblPrEx>
          <w:tblCellMar>
            <w:top w:w="0" w:type="dxa"/>
            <w:bottom w:w="0" w:type="dxa"/>
          </w:tblCellMar>
        </w:tblPrEx>
        <w:trPr>
          <w:jc w:val="center"/>
        </w:trPr>
        <w:tc>
          <w:tcPr>
            <w:tcW w:w="3936" w:type="dxa"/>
          </w:tcPr>
          <w:p w:rsidR="00000000" w:rsidRDefault="00000000">
            <w:pPr>
              <w:spacing w:before="20" w:after="20"/>
            </w:pPr>
            <w:r>
              <w:t>Овцеводство</w:t>
            </w:r>
          </w:p>
        </w:tc>
        <w:tc>
          <w:tcPr>
            <w:tcW w:w="2409" w:type="dxa"/>
          </w:tcPr>
          <w:p w:rsidR="00000000" w:rsidRDefault="00000000">
            <w:pPr>
              <w:spacing w:before="20" w:after="20"/>
              <w:jc w:val="center"/>
            </w:pPr>
            <w:r>
              <w:t>Голов</w:t>
            </w:r>
          </w:p>
        </w:tc>
        <w:tc>
          <w:tcPr>
            <w:tcW w:w="2175" w:type="dxa"/>
          </w:tcPr>
          <w:p w:rsidR="00000000" w:rsidRDefault="00000000">
            <w:pPr>
              <w:spacing w:before="20" w:after="20"/>
              <w:jc w:val="center"/>
            </w:pPr>
            <w:r>
              <w:t>100 940</w:t>
            </w:r>
          </w:p>
        </w:tc>
      </w:tr>
      <w:tr w:rsidR="00000000">
        <w:tblPrEx>
          <w:tblCellMar>
            <w:top w:w="0" w:type="dxa"/>
            <w:bottom w:w="0" w:type="dxa"/>
          </w:tblCellMar>
        </w:tblPrEx>
        <w:trPr>
          <w:jc w:val="center"/>
        </w:trPr>
        <w:tc>
          <w:tcPr>
            <w:tcW w:w="3936" w:type="dxa"/>
          </w:tcPr>
          <w:p w:rsidR="00000000" w:rsidRDefault="00000000">
            <w:pPr>
              <w:spacing w:before="20" w:after="20"/>
            </w:pPr>
            <w:r>
              <w:t>Разведение коз</w:t>
            </w:r>
          </w:p>
        </w:tc>
        <w:tc>
          <w:tcPr>
            <w:tcW w:w="2409" w:type="dxa"/>
          </w:tcPr>
          <w:p w:rsidR="00000000" w:rsidRDefault="00000000">
            <w:pPr>
              <w:spacing w:before="20" w:after="20"/>
              <w:jc w:val="center"/>
            </w:pPr>
            <w:r>
              <w:t>Голов</w:t>
            </w:r>
          </w:p>
        </w:tc>
        <w:tc>
          <w:tcPr>
            <w:tcW w:w="2175" w:type="dxa"/>
          </w:tcPr>
          <w:p w:rsidR="00000000" w:rsidRDefault="00000000">
            <w:pPr>
              <w:pStyle w:val="Header"/>
              <w:tabs>
                <w:tab w:val="clear" w:pos="4677"/>
                <w:tab w:val="clear" w:pos="9355"/>
              </w:tabs>
              <w:spacing w:before="20" w:after="20"/>
              <w:jc w:val="center"/>
            </w:pPr>
            <w:r>
              <w:t>93 580</w:t>
            </w:r>
          </w:p>
        </w:tc>
      </w:tr>
      <w:tr w:rsidR="00000000">
        <w:tblPrEx>
          <w:tblCellMar>
            <w:top w:w="0" w:type="dxa"/>
            <w:bottom w:w="0" w:type="dxa"/>
          </w:tblCellMar>
        </w:tblPrEx>
        <w:trPr>
          <w:jc w:val="center"/>
        </w:trPr>
        <w:tc>
          <w:tcPr>
            <w:tcW w:w="3936" w:type="dxa"/>
          </w:tcPr>
          <w:p w:rsidR="00000000" w:rsidRDefault="00000000">
            <w:pPr>
              <w:spacing w:before="20" w:after="20"/>
            </w:pPr>
            <w:r>
              <w:t>Сельскохозяйственный инвентарь</w:t>
            </w:r>
          </w:p>
        </w:tc>
        <w:tc>
          <w:tcPr>
            <w:tcW w:w="2409" w:type="dxa"/>
          </w:tcPr>
          <w:p w:rsidR="00000000" w:rsidRDefault="00000000">
            <w:pPr>
              <w:spacing w:before="20" w:after="20"/>
              <w:jc w:val="center"/>
            </w:pPr>
            <w:r>
              <w:t>Единицы</w:t>
            </w:r>
          </w:p>
        </w:tc>
        <w:tc>
          <w:tcPr>
            <w:tcW w:w="2175" w:type="dxa"/>
          </w:tcPr>
          <w:p w:rsidR="00000000" w:rsidRDefault="00000000">
            <w:pPr>
              <w:spacing w:before="20" w:after="20"/>
              <w:jc w:val="center"/>
            </w:pPr>
            <w:r>
              <w:t>61 674</w:t>
            </w:r>
          </w:p>
        </w:tc>
      </w:tr>
      <w:tr w:rsidR="00000000">
        <w:tblPrEx>
          <w:tblCellMar>
            <w:top w:w="0" w:type="dxa"/>
            <w:bottom w:w="0" w:type="dxa"/>
          </w:tblCellMar>
        </w:tblPrEx>
        <w:trPr>
          <w:jc w:val="center"/>
        </w:trPr>
        <w:tc>
          <w:tcPr>
            <w:tcW w:w="3936" w:type="dxa"/>
          </w:tcPr>
          <w:p w:rsidR="00000000" w:rsidRDefault="00000000">
            <w:pPr>
              <w:pStyle w:val="Header"/>
              <w:tabs>
                <w:tab w:val="clear" w:pos="4677"/>
                <w:tab w:val="clear" w:pos="9355"/>
              </w:tabs>
              <w:spacing w:before="20" w:after="20"/>
            </w:pPr>
            <w:r>
              <w:t>Садоводство</w:t>
            </w:r>
          </w:p>
        </w:tc>
        <w:tc>
          <w:tcPr>
            <w:tcW w:w="2409" w:type="dxa"/>
          </w:tcPr>
          <w:p w:rsidR="00000000" w:rsidRDefault="00000000">
            <w:pPr>
              <w:spacing w:before="20" w:after="20"/>
              <w:jc w:val="center"/>
            </w:pPr>
            <w:r>
              <w:t>Пакеты</w:t>
            </w:r>
          </w:p>
        </w:tc>
        <w:tc>
          <w:tcPr>
            <w:tcW w:w="2175" w:type="dxa"/>
          </w:tcPr>
          <w:p w:rsidR="00000000" w:rsidRDefault="00000000">
            <w:pPr>
              <w:spacing w:before="20" w:after="20"/>
              <w:jc w:val="center"/>
            </w:pPr>
            <w:r>
              <w:t>45 872</w:t>
            </w:r>
          </w:p>
        </w:tc>
      </w:tr>
      <w:tr w:rsidR="00000000">
        <w:tblPrEx>
          <w:tblCellMar>
            <w:top w:w="0" w:type="dxa"/>
            <w:bottom w:w="0" w:type="dxa"/>
          </w:tblCellMar>
        </w:tblPrEx>
        <w:trPr>
          <w:jc w:val="center"/>
        </w:trPr>
        <w:tc>
          <w:tcPr>
            <w:tcW w:w="3936" w:type="dxa"/>
          </w:tcPr>
          <w:p w:rsidR="00000000" w:rsidRDefault="00000000">
            <w:pPr>
              <w:spacing w:before="20" w:after="20"/>
            </w:pPr>
            <w:r>
              <w:t>Овощеводство</w:t>
            </w:r>
          </w:p>
        </w:tc>
        <w:tc>
          <w:tcPr>
            <w:tcW w:w="2409" w:type="dxa"/>
          </w:tcPr>
          <w:p w:rsidR="00000000" w:rsidRDefault="00000000">
            <w:pPr>
              <w:spacing w:before="20" w:after="20"/>
              <w:jc w:val="center"/>
            </w:pPr>
            <w:r>
              <w:t>Пакеты</w:t>
            </w:r>
          </w:p>
        </w:tc>
        <w:tc>
          <w:tcPr>
            <w:tcW w:w="2175" w:type="dxa"/>
          </w:tcPr>
          <w:p w:rsidR="00000000" w:rsidRDefault="00000000">
            <w:pPr>
              <w:spacing w:before="20" w:after="20"/>
              <w:jc w:val="center"/>
            </w:pPr>
            <w:r>
              <w:t>11 941</w:t>
            </w:r>
          </w:p>
        </w:tc>
      </w:tr>
      <w:tr w:rsidR="00000000">
        <w:tblPrEx>
          <w:tblCellMar>
            <w:top w:w="0" w:type="dxa"/>
            <w:bottom w:w="0" w:type="dxa"/>
          </w:tblCellMar>
        </w:tblPrEx>
        <w:trPr>
          <w:jc w:val="center"/>
        </w:trPr>
        <w:tc>
          <w:tcPr>
            <w:tcW w:w="3936" w:type="dxa"/>
          </w:tcPr>
          <w:p w:rsidR="00000000" w:rsidRDefault="00000000">
            <w:pPr>
              <w:spacing w:before="20" w:after="20"/>
            </w:pPr>
            <w:r>
              <w:t xml:space="preserve"> Органические микрофермы (птица, кролики, овощи)</w:t>
            </w:r>
          </w:p>
        </w:tc>
        <w:tc>
          <w:tcPr>
            <w:tcW w:w="2409" w:type="dxa"/>
          </w:tcPr>
          <w:p w:rsidR="00000000" w:rsidRDefault="00000000">
            <w:pPr>
              <w:spacing w:before="20" w:after="20"/>
              <w:jc w:val="center"/>
            </w:pPr>
            <w:r>
              <w:t>Пакеты</w:t>
            </w:r>
          </w:p>
        </w:tc>
        <w:tc>
          <w:tcPr>
            <w:tcW w:w="2175" w:type="dxa"/>
          </w:tcPr>
          <w:p w:rsidR="00000000" w:rsidRDefault="00000000">
            <w:pPr>
              <w:spacing w:before="20" w:after="20"/>
              <w:jc w:val="center"/>
            </w:pPr>
            <w:r>
              <w:t>11 349</w:t>
            </w:r>
          </w:p>
        </w:tc>
      </w:tr>
      <w:tr w:rsidR="00000000">
        <w:tblPrEx>
          <w:tblCellMar>
            <w:top w:w="0" w:type="dxa"/>
            <w:bottom w:w="0" w:type="dxa"/>
          </w:tblCellMar>
        </w:tblPrEx>
        <w:trPr>
          <w:jc w:val="center"/>
        </w:trPr>
        <w:tc>
          <w:tcPr>
            <w:tcW w:w="3936" w:type="dxa"/>
          </w:tcPr>
          <w:p w:rsidR="00000000" w:rsidRDefault="00000000">
            <w:pPr>
              <w:spacing w:before="20" w:after="20"/>
            </w:pPr>
            <w:r>
              <w:t>Пчеловодство</w:t>
            </w:r>
          </w:p>
        </w:tc>
        <w:tc>
          <w:tcPr>
            <w:tcW w:w="2409" w:type="dxa"/>
          </w:tcPr>
          <w:p w:rsidR="00000000" w:rsidRDefault="00000000">
            <w:pPr>
              <w:spacing w:before="20" w:after="20"/>
              <w:jc w:val="center"/>
            </w:pPr>
            <w:r>
              <w:t>Пакеты</w:t>
            </w:r>
          </w:p>
        </w:tc>
        <w:tc>
          <w:tcPr>
            <w:tcW w:w="2175" w:type="dxa"/>
          </w:tcPr>
          <w:p w:rsidR="00000000" w:rsidRDefault="00000000">
            <w:pPr>
              <w:spacing w:before="20" w:after="20"/>
              <w:jc w:val="center"/>
            </w:pPr>
            <w:r>
              <w:t>9 619</w:t>
            </w:r>
          </w:p>
        </w:tc>
      </w:tr>
      <w:tr w:rsidR="00000000">
        <w:tblPrEx>
          <w:tblCellMar>
            <w:top w:w="0" w:type="dxa"/>
            <w:bottom w:w="0" w:type="dxa"/>
          </w:tblCellMar>
        </w:tblPrEx>
        <w:trPr>
          <w:jc w:val="center"/>
        </w:trPr>
        <w:tc>
          <w:tcPr>
            <w:tcW w:w="3936" w:type="dxa"/>
          </w:tcPr>
          <w:p w:rsidR="00000000" w:rsidRDefault="00000000">
            <w:pPr>
              <w:spacing w:before="20" w:after="20"/>
            </w:pPr>
            <w:r>
              <w:t xml:space="preserve">Мукомольное производство </w:t>
            </w:r>
          </w:p>
        </w:tc>
        <w:tc>
          <w:tcPr>
            <w:tcW w:w="2409" w:type="dxa"/>
          </w:tcPr>
          <w:p w:rsidR="00000000" w:rsidRDefault="00000000">
            <w:pPr>
              <w:spacing w:before="20" w:after="20"/>
              <w:jc w:val="center"/>
            </w:pPr>
            <w:r>
              <w:t>Единицы</w:t>
            </w:r>
          </w:p>
        </w:tc>
        <w:tc>
          <w:tcPr>
            <w:tcW w:w="2175" w:type="dxa"/>
          </w:tcPr>
          <w:p w:rsidR="00000000" w:rsidRDefault="00000000">
            <w:pPr>
              <w:spacing w:before="20" w:after="20"/>
              <w:jc w:val="center"/>
            </w:pPr>
            <w:r>
              <w:t>8 330</w:t>
            </w:r>
          </w:p>
        </w:tc>
      </w:tr>
      <w:tr w:rsidR="00000000">
        <w:tblPrEx>
          <w:tblCellMar>
            <w:top w:w="0" w:type="dxa"/>
            <w:bottom w:w="0" w:type="dxa"/>
          </w:tblCellMar>
        </w:tblPrEx>
        <w:trPr>
          <w:jc w:val="center"/>
        </w:trPr>
        <w:tc>
          <w:tcPr>
            <w:tcW w:w="3936" w:type="dxa"/>
          </w:tcPr>
          <w:p w:rsidR="00000000" w:rsidRDefault="00000000">
            <w:pPr>
              <w:spacing w:before="20" w:after="20"/>
            </w:pPr>
            <w:r>
              <w:t>Обустройство пастбищ</w:t>
            </w:r>
          </w:p>
        </w:tc>
        <w:tc>
          <w:tcPr>
            <w:tcW w:w="2409" w:type="dxa"/>
          </w:tcPr>
          <w:p w:rsidR="00000000" w:rsidRDefault="00000000">
            <w:pPr>
              <w:spacing w:before="20" w:after="20"/>
              <w:jc w:val="center"/>
            </w:pPr>
            <w:r>
              <w:t>Мероприятия</w:t>
            </w:r>
          </w:p>
        </w:tc>
        <w:tc>
          <w:tcPr>
            <w:tcW w:w="2175" w:type="dxa"/>
          </w:tcPr>
          <w:p w:rsidR="00000000" w:rsidRDefault="00000000">
            <w:pPr>
              <w:spacing w:before="20" w:after="20"/>
              <w:jc w:val="center"/>
            </w:pPr>
            <w:r>
              <w:t>7 245</w:t>
            </w:r>
          </w:p>
        </w:tc>
      </w:tr>
      <w:tr w:rsidR="00000000">
        <w:tblPrEx>
          <w:tblCellMar>
            <w:top w:w="0" w:type="dxa"/>
            <w:bottom w:w="0" w:type="dxa"/>
          </w:tblCellMar>
        </w:tblPrEx>
        <w:trPr>
          <w:jc w:val="center"/>
        </w:trPr>
        <w:tc>
          <w:tcPr>
            <w:tcW w:w="3936" w:type="dxa"/>
          </w:tcPr>
          <w:p w:rsidR="00000000" w:rsidRDefault="00000000">
            <w:pPr>
              <w:spacing w:before="20" w:after="20"/>
            </w:pPr>
            <w:r>
              <w:t>Микропредприятия</w:t>
            </w:r>
          </w:p>
        </w:tc>
        <w:tc>
          <w:tcPr>
            <w:tcW w:w="2409" w:type="dxa"/>
          </w:tcPr>
          <w:p w:rsidR="00000000" w:rsidRDefault="00000000">
            <w:pPr>
              <w:spacing w:before="20" w:after="20"/>
              <w:jc w:val="center"/>
            </w:pPr>
            <w:r>
              <w:t>Проекты</w:t>
            </w:r>
          </w:p>
        </w:tc>
        <w:tc>
          <w:tcPr>
            <w:tcW w:w="2175" w:type="dxa"/>
          </w:tcPr>
          <w:p w:rsidR="00000000" w:rsidRDefault="00000000">
            <w:pPr>
              <w:spacing w:before="20" w:after="20"/>
              <w:jc w:val="center"/>
              <w:rPr>
                <w:lang w:val="en-US"/>
              </w:rPr>
            </w:pPr>
            <w:r>
              <w:rPr>
                <w:lang w:val="en-US"/>
              </w:rPr>
              <w:t>4 090</w:t>
            </w:r>
          </w:p>
        </w:tc>
      </w:tr>
    </w:tbl>
    <w:p w:rsidR="00000000" w:rsidRDefault="00000000">
      <w:pPr>
        <w:pStyle w:val="a2"/>
        <w:spacing w:before="120"/>
        <w:ind w:left="567"/>
        <w:rPr>
          <w:lang w:val="en-US"/>
        </w:rPr>
      </w:pPr>
      <w:r>
        <w:t>Источник</w:t>
      </w:r>
      <w:r>
        <w:rPr>
          <w:lang w:val="en-US"/>
        </w:rPr>
        <w:t>: Министерство сельского хозяйства, животноводства и сельского развития.</w:t>
      </w:r>
    </w:p>
    <w:p w:rsidR="00000000" w:rsidRDefault="00000000">
      <w:r>
        <w:t>709.</w:t>
      </w:r>
      <w:r>
        <w:tab/>
        <w:t xml:space="preserve">В 1999 году из федеральных/государственных средств была предоставлена дополнительная помощь </w:t>
      </w:r>
      <w:r>
        <w:br/>
        <w:t xml:space="preserve">236 539 женщинам на общую сумму в 235,08 млн. песо, что по сравнению с 1998 годом больше </w:t>
      </w:r>
      <w:r>
        <w:br/>
        <w:t>на 42 805 женщин и на 101,63 млн. песо.</w:t>
      </w:r>
    </w:p>
    <w:p w:rsidR="00000000" w:rsidRDefault="00000000">
      <w:pPr>
        <w:spacing w:after="360"/>
      </w:pPr>
      <w:r>
        <w:t>710.</w:t>
      </w:r>
      <w:r>
        <w:tab/>
        <w:t>В 1999 году работа велась по следующим направлениям: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969"/>
        <w:gridCol w:w="2268"/>
        <w:gridCol w:w="2268"/>
      </w:tblGrid>
      <w:tr w:rsidR="00000000">
        <w:tblPrEx>
          <w:tblCellMar>
            <w:top w:w="0" w:type="dxa"/>
            <w:bottom w:w="0" w:type="dxa"/>
          </w:tblCellMar>
        </w:tblPrEx>
        <w:trPr>
          <w:jc w:val="center"/>
        </w:trPr>
        <w:tc>
          <w:tcPr>
            <w:tcW w:w="3969" w:type="dxa"/>
            <w:vAlign w:val="center"/>
          </w:tcPr>
          <w:p w:rsidR="00000000" w:rsidRDefault="00000000">
            <w:pPr>
              <w:pStyle w:val="Heading1"/>
              <w:spacing w:before="80" w:after="80"/>
              <w:rPr>
                <w:sz w:val="18"/>
              </w:rPr>
            </w:pPr>
            <w:r>
              <w:rPr>
                <w:sz w:val="18"/>
              </w:rPr>
              <w:t>Программа</w:t>
            </w:r>
          </w:p>
        </w:tc>
        <w:tc>
          <w:tcPr>
            <w:tcW w:w="2268" w:type="dxa"/>
            <w:vAlign w:val="center"/>
          </w:tcPr>
          <w:p w:rsidR="00000000" w:rsidRDefault="00000000">
            <w:pPr>
              <w:spacing w:before="80" w:after="80"/>
              <w:jc w:val="center"/>
              <w:rPr>
                <w:b/>
                <w:sz w:val="18"/>
              </w:rPr>
            </w:pPr>
            <w:r>
              <w:rPr>
                <w:b/>
                <w:sz w:val="18"/>
              </w:rPr>
              <w:t>Федеральные/</w:t>
            </w:r>
            <w:r>
              <w:rPr>
                <w:b/>
                <w:sz w:val="18"/>
              </w:rPr>
              <w:br/>
              <w:t>государственные расходы (млн. песо)</w:t>
            </w:r>
          </w:p>
        </w:tc>
        <w:tc>
          <w:tcPr>
            <w:tcW w:w="2268" w:type="dxa"/>
            <w:vAlign w:val="center"/>
          </w:tcPr>
          <w:p w:rsidR="00000000" w:rsidRDefault="00000000">
            <w:pPr>
              <w:spacing w:before="80" w:after="80"/>
              <w:jc w:val="center"/>
              <w:rPr>
                <w:b/>
                <w:sz w:val="18"/>
              </w:rPr>
            </w:pPr>
            <w:r>
              <w:rPr>
                <w:b/>
                <w:sz w:val="18"/>
              </w:rPr>
              <w:t>Число женщин, получивших помощь</w:t>
            </w:r>
          </w:p>
        </w:tc>
      </w:tr>
      <w:tr w:rsidR="00000000">
        <w:tblPrEx>
          <w:tblCellMar>
            <w:top w:w="0" w:type="dxa"/>
            <w:bottom w:w="0" w:type="dxa"/>
          </w:tblCellMar>
        </w:tblPrEx>
        <w:trPr>
          <w:jc w:val="center"/>
        </w:trPr>
        <w:tc>
          <w:tcPr>
            <w:tcW w:w="3969" w:type="dxa"/>
          </w:tcPr>
          <w:p w:rsidR="00000000" w:rsidRDefault="00000000">
            <w:pPr>
              <w:spacing w:before="80" w:after="80"/>
            </w:pPr>
            <w:r>
              <w:t>Поддержка развития сельских районов</w:t>
            </w:r>
          </w:p>
        </w:tc>
        <w:tc>
          <w:tcPr>
            <w:tcW w:w="2268" w:type="dxa"/>
          </w:tcPr>
          <w:p w:rsidR="00000000" w:rsidRDefault="00000000">
            <w:pPr>
              <w:spacing w:before="80" w:after="80"/>
              <w:jc w:val="center"/>
            </w:pPr>
            <w:r>
              <w:t>95,99</w:t>
            </w:r>
          </w:p>
        </w:tc>
        <w:tc>
          <w:tcPr>
            <w:tcW w:w="2268" w:type="dxa"/>
          </w:tcPr>
          <w:p w:rsidR="00000000" w:rsidRDefault="00000000">
            <w:pPr>
              <w:spacing w:before="80" w:after="80"/>
              <w:jc w:val="center"/>
            </w:pPr>
            <w:r>
              <w:t>175,020</w:t>
            </w:r>
          </w:p>
        </w:tc>
      </w:tr>
      <w:tr w:rsidR="00000000">
        <w:tblPrEx>
          <w:tblCellMar>
            <w:top w:w="0" w:type="dxa"/>
            <w:bottom w:w="0" w:type="dxa"/>
          </w:tblCellMar>
        </w:tblPrEx>
        <w:trPr>
          <w:jc w:val="center"/>
        </w:trPr>
        <w:tc>
          <w:tcPr>
            <w:tcW w:w="3969" w:type="dxa"/>
          </w:tcPr>
          <w:p w:rsidR="00000000" w:rsidRDefault="00000000">
            <w:pPr>
              <w:spacing w:before="80" w:after="80"/>
            </w:pPr>
            <w:r>
              <w:t>Национальная программа развития производства кофе</w:t>
            </w:r>
          </w:p>
        </w:tc>
        <w:tc>
          <w:tcPr>
            <w:tcW w:w="2268" w:type="dxa"/>
          </w:tcPr>
          <w:p w:rsidR="00000000" w:rsidRDefault="00000000">
            <w:pPr>
              <w:spacing w:before="80" w:after="80"/>
              <w:jc w:val="center"/>
            </w:pPr>
            <w:r>
              <w:t>36,53</w:t>
            </w:r>
          </w:p>
        </w:tc>
        <w:tc>
          <w:tcPr>
            <w:tcW w:w="2268" w:type="dxa"/>
          </w:tcPr>
          <w:p w:rsidR="00000000" w:rsidRDefault="00000000">
            <w:pPr>
              <w:spacing w:before="80" w:after="80"/>
              <w:jc w:val="center"/>
            </w:pPr>
            <w:r>
              <w:t>30,441</w:t>
            </w:r>
          </w:p>
        </w:tc>
      </w:tr>
      <w:tr w:rsidR="00000000">
        <w:tblPrEx>
          <w:tblCellMar>
            <w:top w:w="0" w:type="dxa"/>
            <w:bottom w:w="0" w:type="dxa"/>
          </w:tblCellMar>
        </w:tblPrEx>
        <w:trPr>
          <w:jc w:val="center"/>
        </w:trPr>
        <w:tc>
          <w:tcPr>
            <w:tcW w:w="3969" w:type="dxa"/>
          </w:tcPr>
          <w:p w:rsidR="00000000" w:rsidRDefault="00000000">
            <w:pPr>
              <w:spacing w:before="80" w:after="80"/>
            </w:pPr>
            <w:r>
              <w:t>Устойчивое развитие производства в отсталых сельских районах</w:t>
            </w:r>
          </w:p>
        </w:tc>
        <w:tc>
          <w:tcPr>
            <w:tcW w:w="2268" w:type="dxa"/>
          </w:tcPr>
          <w:p w:rsidR="00000000" w:rsidRDefault="00000000">
            <w:pPr>
              <w:spacing w:before="80" w:after="80"/>
              <w:jc w:val="center"/>
            </w:pPr>
            <w:r>
              <w:t>30,44</w:t>
            </w:r>
          </w:p>
        </w:tc>
        <w:tc>
          <w:tcPr>
            <w:tcW w:w="2268" w:type="dxa"/>
          </w:tcPr>
          <w:p w:rsidR="00000000" w:rsidRDefault="00000000">
            <w:pPr>
              <w:spacing w:before="80" w:after="80"/>
              <w:jc w:val="center"/>
            </w:pPr>
            <w:r>
              <w:t>6,380</w:t>
            </w:r>
          </w:p>
        </w:tc>
      </w:tr>
      <w:tr w:rsidR="00000000">
        <w:tblPrEx>
          <w:tblCellMar>
            <w:top w:w="0" w:type="dxa"/>
            <w:bottom w:w="0" w:type="dxa"/>
          </w:tblCellMar>
        </w:tblPrEx>
        <w:trPr>
          <w:jc w:val="center"/>
        </w:trPr>
        <w:tc>
          <w:tcPr>
            <w:tcW w:w="3969" w:type="dxa"/>
            <w:tcBorders>
              <w:bottom w:val="nil"/>
            </w:tcBorders>
          </w:tcPr>
          <w:p w:rsidR="00000000" w:rsidRDefault="00000000">
            <w:pPr>
              <w:spacing w:before="80" w:after="80"/>
            </w:pPr>
            <w:r>
              <w:t>Организованные группы женщин в развитии сельских районов</w:t>
            </w:r>
          </w:p>
        </w:tc>
        <w:tc>
          <w:tcPr>
            <w:tcW w:w="2268" w:type="dxa"/>
            <w:tcBorders>
              <w:bottom w:val="nil"/>
            </w:tcBorders>
          </w:tcPr>
          <w:p w:rsidR="00000000" w:rsidRDefault="00000000">
            <w:pPr>
              <w:spacing w:before="80" w:after="80"/>
              <w:jc w:val="center"/>
              <w:rPr>
                <w:lang w:val="en-US"/>
              </w:rPr>
            </w:pPr>
            <w:r>
              <w:rPr>
                <w:lang w:val="en-US"/>
              </w:rPr>
              <w:t>72,12</w:t>
            </w:r>
          </w:p>
        </w:tc>
        <w:tc>
          <w:tcPr>
            <w:tcW w:w="2268" w:type="dxa"/>
            <w:tcBorders>
              <w:bottom w:val="nil"/>
            </w:tcBorders>
          </w:tcPr>
          <w:p w:rsidR="00000000" w:rsidRDefault="00000000">
            <w:pPr>
              <w:spacing w:before="80" w:after="80"/>
              <w:jc w:val="center"/>
              <w:rPr>
                <w:lang w:val="en-US"/>
              </w:rPr>
            </w:pPr>
            <w:r>
              <w:rPr>
                <w:lang w:val="en-US"/>
              </w:rPr>
              <w:t>24,698</w:t>
            </w:r>
          </w:p>
        </w:tc>
      </w:tr>
      <w:tr w:rsidR="00000000">
        <w:tblPrEx>
          <w:tblCellMar>
            <w:top w:w="0" w:type="dxa"/>
            <w:bottom w:w="0" w:type="dxa"/>
          </w:tblCellMar>
        </w:tblPrEx>
        <w:trPr>
          <w:jc w:val="center"/>
        </w:trPr>
        <w:tc>
          <w:tcPr>
            <w:tcW w:w="3969" w:type="dxa"/>
            <w:tcBorders>
              <w:bottom w:val="single" w:sz="4" w:space="0" w:color="auto"/>
            </w:tcBorders>
          </w:tcPr>
          <w:p w:rsidR="00000000" w:rsidRDefault="00000000">
            <w:pPr>
              <w:spacing w:before="80" w:after="80"/>
              <w:rPr>
                <w:lang w:val="en-US"/>
              </w:rPr>
            </w:pPr>
            <w:r>
              <w:t>Всего</w:t>
            </w:r>
          </w:p>
        </w:tc>
        <w:tc>
          <w:tcPr>
            <w:tcW w:w="2268" w:type="dxa"/>
            <w:tcBorders>
              <w:bottom w:val="single" w:sz="4" w:space="0" w:color="auto"/>
            </w:tcBorders>
          </w:tcPr>
          <w:p w:rsidR="00000000" w:rsidRDefault="00000000">
            <w:pPr>
              <w:spacing w:before="80" w:after="80"/>
              <w:jc w:val="center"/>
              <w:rPr>
                <w:lang w:val="en-US"/>
              </w:rPr>
            </w:pPr>
            <w:r>
              <w:rPr>
                <w:lang w:val="en-US"/>
              </w:rPr>
              <w:t>235,08</w:t>
            </w:r>
          </w:p>
        </w:tc>
        <w:tc>
          <w:tcPr>
            <w:tcW w:w="2268" w:type="dxa"/>
            <w:tcBorders>
              <w:bottom w:val="single" w:sz="4" w:space="0" w:color="auto"/>
            </w:tcBorders>
          </w:tcPr>
          <w:p w:rsidR="00000000" w:rsidRDefault="00000000">
            <w:pPr>
              <w:spacing w:before="80" w:after="80"/>
              <w:jc w:val="center"/>
              <w:rPr>
                <w:lang w:val="en-US"/>
              </w:rPr>
            </w:pPr>
            <w:r>
              <w:rPr>
                <w:lang w:val="en-US"/>
              </w:rPr>
              <w:t>236,539</w:t>
            </w:r>
          </w:p>
        </w:tc>
      </w:tr>
    </w:tbl>
    <w:p w:rsidR="00000000" w:rsidRDefault="00000000">
      <w:pPr>
        <w:pStyle w:val="a2"/>
        <w:spacing w:before="120"/>
        <w:ind w:left="567"/>
      </w:pPr>
      <w:r>
        <w:t>Источник: Министерство сельского хозяйства, животноводства и сельского развития.</w:t>
      </w:r>
    </w:p>
    <w:p w:rsidR="00000000" w:rsidRDefault="00000000">
      <w:pPr>
        <w:spacing w:before="240"/>
      </w:pPr>
      <w:r>
        <w:t>711.</w:t>
      </w:r>
      <w:r>
        <w:tab/>
        <w:t>Дополнительно в 1999 году в рамках "Союза в интересах села" была разработана специальная программа для организованных групп женщин, участвующих в развитии сельских районов. Стратегическая цель этой программы состоит в том, чтобы расширить перспективы участия женщин в политической деятельности путем оказания более широкой помощи, например при найме специалистов с учетом гендерных факторов; учреждения микрорегиональных объединений и групп с целью мониторинга проектов, обмена опытом, анализа эффективности мероприятий, повышения квалификации и прежде всего создания возможностей для оценки успехов и изменений, достигнутых благодаря участию женщин в принятии решений. С этой целью в рамках МДР была разработана Национальная система мониторинга и оценки (СИСЕВАЛ/МДР) и было утверждено Техническое приложение для организованных групп женщин, участвующих в развитии сельских районов, что позволило расширить и углубить участие женщин в развитии сельских районов.</w:t>
      </w:r>
    </w:p>
    <w:p w:rsidR="00000000" w:rsidRDefault="00000000">
      <w:r>
        <w:t>712.</w:t>
      </w:r>
      <w:r>
        <w:tab/>
        <w:t>В 1999 году в рамках Программы помощи организованным группам женщин, участвующих в развитии сельских районов, была оказана поддержка 1457 микропредприятиям, в основном рукодельным и кустарным мастерским; животноводческим фермам, пекарням, предприятиям по переработке продуктов сельского хозяйства (производство сублимированных продуктов, мясных и молочных консервов); по изготовлению сладостей, шампуней и мыла; по выпечке кукурузных лепешек и развитию мукомольного производства (кукуруза); небольшим магазинам. В 2000 году на нужды Программы было выделено 72,3 млн. песо из федерального бюджета. Эта сумма запланирована для оказания поддержки 1018 сельским микропредприятиям и 152 микрорегиональным сетям, благодаря чему помощь получат дополнительно 18 448 женщин.</w:t>
      </w:r>
    </w:p>
    <w:p w:rsidR="00000000" w:rsidRDefault="00000000">
      <w:pPr>
        <w:spacing w:after="360"/>
      </w:pPr>
      <w:r>
        <w:br w:type="page"/>
        <w:t>713.</w:t>
      </w:r>
      <w:r>
        <w:tab/>
        <w:t>В ходе отчетного периода в рамках различных программ "Союза в интересах села" были реализованы мероприятия, на которые были выделены следующие бюджетные ассигнования:</w:t>
      </w:r>
    </w:p>
    <w:tbl>
      <w:tblPr>
        <w:tblW w:w="0" w:type="auto"/>
        <w:jc w:val="center"/>
        <w:tblLayout w:type="fixed"/>
        <w:tblCellMar>
          <w:left w:w="113" w:type="dxa"/>
          <w:right w:w="113" w:type="dxa"/>
        </w:tblCellMar>
        <w:tblLook w:val="0000" w:firstRow="0" w:lastRow="0" w:firstColumn="0" w:lastColumn="0" w:noHBand="0" w:noVBand="0"/>
      </w:tblPr>
      <w:tblGrid>
        <w:gridCol w:w="1823"/>
        <w:gridCol w:w="7783"/>
      </w:tblGrid>
      <w:tr w:rsidR="00000000">
        <w:tblPrEx>
          <w:tblCellMar>
            <w:top w:w="0" w:type="dxa"/>
            <w:bottom w:w="0" w:type="dxa"/>
          </w:tblCellMar>
        </w:tblPrEx>
        <w:trPr>
          <w:jc w:val="center"/>
        </w:trPr>
        <w:tc>
          <w:tcPr>
            <w:tcW w:w="1823" w:type="dxa"/>
          </w:tcPr>
          <w:p w:rsidR="00000000" w:rsidRDefault="00000000">
            <w:pPr>
              <w:pStyle w:val="a1"/>
              <w:spacing w:before="0" w:after="240"/>
              <w:ind w:right="301"/>
              <w:jc w:val="right"/>
            </w:pPr>
            <w:r>
              <w:rPr>
                <w:b/>
              </w:rPr>
              <w:t>Сумма</w:t>
            </w:r>
            <w:r>
              <w:t xml:space="preserve"> </w:t>
            </w:r>
            <w:r>
              <w:rPr>
                <w:lang w:val="en-US"/>
              </w:rPr>
              <w:br/>
            </w:r>
            <w:r>
              <w:t>(млн. песо)</w:t>
            </w:r>
          </w:p>
        </w:tc>
        <w:tc>
          <w:tcPr>
            <w:tcW w:w="7783" w:type="dxa"/>
          </w:tcPr>
          <w:p w:rsidR="00000000" w:rsidRDefault="00000000">
            <w:pPr>
              <w:pStyle w:val="a1"/>
              <w:spacing w:before="0" w:after="0"/>
              <w:rPr>
                <w:b/>
              </w:rPr>
            </w:pPr>
            <w:r>
              <w:rPr>
                <w:b/>
              </w:rPr>
              <w:t>Программы</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352,37</w:t>
            </w:r>
          </w:p>
        </w:tc>
        <w:tc>
          <w:tcPr>
            <w:tcW w:w="7783" w:type="dxa"/>
          </w:tcPr>
          <w:p w:rsidR="00000000" w:rsidRDefault="00000000">
            <w:pPr>
              <w:pStyle w:val="a1"/>
              <w:spacing w:before="0" w:after="40"/>
            </w:pPr>
            <w:r>
              <w:t>Программа поддержки развития сельских районов</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42,61</w:t>
            </w:r>
          </w:p>
        </w:tc>
        <w:tc>
          <w:tcPr>
            <w:tcW w:w="7783" w:type="dxa"/>
          </w:tcPr>
          <w:p w:rsidR="00000000" w:rsidRDefault="00000000">
            <w:pPr>
              <w:pStyle w:val="a1"/>
              <w:spacing w:before="0" w:after="40"/>
            </w:pPr>
            <w:r>
              <w:t>Национальная программа развития производства кофе</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33,62</w:t>
            </w:r>
          </w:p>
        </w:tc>
        <w:tc>
          <w:tcPr>
            <w:tcW w:w="7783" w:type="dxa"/>
          </w:tcPr>
          <w:p w:rsidR="00000000" w:rsidRDefault="00000000">
            <w:pPr>
              <w:pStyle w:val="a1"/>
              <w:spacing w:before="0" w:after="40"/>
            </w:pPr>
            <w:r>
              <w:t>Программа устойчивого развития производства в отсталых сельских районах</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18,83</w:t>
            </w:r>
          </w:p>
        </w:tc>
        <w:tc>
          <w:tcPr>
            <w:tcW w:w="7783" w:type="dxa"/>
          </w:tcPr>
          <w:p w:rsidR="00000000" w:rsidRDefault="00000000">
            <w:pPr>
              <w:pStyle w:val="a1"/>
              <w:spacing w:before="0" w:after="40"/>
            </w:pPr>
            <w:r>
              <w:t>Программа мелиорации и ирригации</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12,30</w:t>
            </w:r>
          </w:p>
        </w:tc>
        <w:tc>
          <w:tcPr>
            <w:tcW w:w="7783" w:type="dxa"/>
          </w:tcPr>
          <w:p w:rsidR="00000000" w:rsidRDefault="00000000">
            <w:pPr>
              <w:pStyle w:val="a1"/>
              <w:spacing w:before="0" w:after="40"/>
            </w:pPr>
            <w:r>
              <w:t>Программа обустройства пастбищ</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8,80</w:t>
            </w:r>
          </w:p>
        </w:tc>
        <w:tc>
          <w:tcPr>
            <w:tcW w:w="7783" w:type="dxa"/>
          </w:tcPr>
          <w:p w:rsidR="00000000" w:rsidRDefault="00000000">
            <w:pPr>
              <w:pStyle w:val="a1"/>
              <w:spacing w:before="0" w:after="40"/>
            </w:pPr>
            <w:r>
              <w:t>Программа развития производства молока</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5,70</w:t>
            </w:r>
          </w:p>
        </w:tc>
        <w:tc>
          <w:tcPr>
            <w:tcW w:w="7783" w:type="dxa"/>
          </w:tcPr>
          <w:p w:rsidR="00000000" w:rsidRDefault="00000000">
            <w:pPr>
              <w:pStyle w:val="a1"/>
              <w:spacing w:before="0" w:after="40"/>
            </w:pPr>
            <w:r>
              <w:t>Программа увеличения поголовья мелкого рогатого скота</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3,23</w:t>
            </w:r>
          </w:p>
        </w:tc>
        <w:tc>
          <w:tcPr>
            <w:tcW w:w="7783" w:type="dxa"/>
          </w:tcPr>
          <w:p w:rsidR="00000000" w:rsidRDefault="00000000">
            <w:pPr>
              <w:pStyle w:val="a1"/>
              <w:spacing w:before="0" w:after="40"/>
            </w:pPr>
            <w:r>
              <w:t>Национальная программа развития производства какао</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1,8</w:t>
            </w:r>
          </w:p>
        </w:tc>
        <w:tc>
          <w:tcPr>
            <w:tcW w:w="7783" w:type="dxa"/>
          </w:tcPr>
          <w:p w:rsidR="00000000" w:rsidRDefault="00000000">
            <w:pPr>
              <w:pStyle w:val="a1"/>
              <w:spacing w:before="0" w:after="40"/>
            </w:pPr>
            <w:r>
              <w:t>Программа развития ветеринарной службы</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1,56</w:t>
            </w:r>
          </w:p>
        </w:tc>
        <w:tc>
          <w:tcPr>
            <w:tcW w:w="7783" w:type="dxa"/>
          </w:tcPr>
          <w:p w:rsidR="00000000" w:rsidRDefault="00000000">
            <w:pPr>
              <w:pStyle w:val="a1"/>
              <w:spacing w:before="0" w:after="40"/>
            </w:pPr>
            <w:r>
              <w:t>Программа "Килограмм за килограмм"</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1,20</w:t>
            </w:r>
          </w:p>
        </w:tc>
        <w:tc>
          <w:tcPr>
            <w:tcW w:w="7783" w:type="dxa"/>
          </w:tcPr>
          <w:p w:rsidR="00000000" w:rsidRDefault="00000000">
            <w:pPr>
              <w:pStyle w:val="a1"/>
              <w:spacing w:before="0" w:after="40"/>
            </w:pPr>
            <w:r>
              <w:t>Национальная программа выращивания фасоли</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0,60</w:t>
            </w:r>
          </w:p>
        </w:tc>
        <w:tc>
          <w:tcPr>
            <w:tcW w:w="7783" w:type="dxa"/>
          </w:tcPr>
          <w:p w:rsidR="00000000" w:rsidRDefault="00000000">
            <w:pPr>
              <w:pStyle w:val="a1"/>
              <w:spacing w:before="0" w:after="40"/>
            </w:pPr>
            <w:r>
              <w:t>Национальная программа выращивания кокосовых пальм</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0,17</w:t>
            </w:r>
          </w:p>
        </w:tc>
        <w:tc>
          <w:tcPr>
            <w:tcW w:w="7783" w:type="dxa"/>
          </w:tcPr>
          <w:p w:rsidR="00000000" w:rsidRDefault="00000000">
            <w:pPr>
              <w:pStyle w:val="a1"/>
              <w:spacing w:before="0" w:after="40"/>
            </w:pPr>
            <w:r>
              <w:t>Программа развития производства каучука</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0,15</w:t>
            </w:r>
          </w:p>
        </w:tc>
        <w:tc>
          <w:tcPr>
            <w:tcW w:w="7783" w:type="dxa"/>
          </w:tcPr>
          <w:p w:rsidR="00000000" w:rsidRDefault="00000000">
            <w:pPr>
              <w:pStyle w:val="a1"/>
              <w:spacing w:before="0" w:after="40"/>
            </w:pPr>
            <w:r>
              <w:t>Национальная программа развития производства пальмового масла</w:t>
            </w:r>
          </w:p>
        </w:tc>
      </w:tr>
      <w:tr w:rsidR="00000000">
        <w:tblPrEx>
          <w:tblCellMar>
            <w:top w:w="0" w:type="dxa"/>
            <w:bottom w:w="0" w:type="dxa"/>
          </w:tblCellMar>
        </w:tblPrEx>
        <w:trPr>
          <w:jc w:val="center"/>
        </w:trPr>
        <w:tc>
          <w:tcPr>
            <w:tcW w:w="1823" w:type="dxa"/>
          </w:tcPr>
          <w:p w:rsidR="00000000" w:rsidRDefault="00000000">
            <w:pPr>
              <w:pStyle w:val="a1"/>
              <w:spacing w:before="0" w:after="40"/>
              <w:ind w:right="299"/>
              <w:jc w:val="right"/>
            </w:pPr>
            <w:r>
              <w:t>0,83</w:t>
            </w:r>
          </w:p>
        </w:tc>
        <w:tc>
          <w:tcPr>
            <w:tcW w:w="7783" w:type="dxa"/>
          </w:tcPr>
          <w:p w:rsidR="00000000" w:rsidRDefault="00000000">
            <w:pPr>
              <w:pStyle w:val="a1"/>
              <w:spacing w:before="0" w:after="40"/>
            </w:pPr>
            <w:r>
              <w:t>Национальная программа улучшения генофонда</w:t>
            </w:r>
          </w:p>
        </w:tc>
      </w:tr>
      <w:tr w:rsidR="00000000">
        <w:tblPrEx>
          <w:tblCellMar>
            <w:top w:w="0" w:type="dxa"/>
            <w:bottom w:w="0" w:type="dxa"/>
          </w:tblCellMar>
        </w:tblPrEx>
        <w:trPr>
          <w:jc w:val="center"/>
        </w:trPr>
        <w:tc>
          <w:tcPr>
            <w:tcW w:w="1823" w:type="dxa"/>
          </w:tcPr>
          <w:p w:rsidR="00000000" w:rsidRDefault="00000000">
            <w:pPr>
              <w:pStyle w:val="a1"/>
              <w:spacing w:before="0" w:after="0"/>
              <w:ind w:right="299"/>
              <w:jc w:val="right"/>
            </w:pPr>
            <w:r>
              <w:t>0,77</w:t>
            </w:r>
          </w:p>
        </w:tc>
        <w:tc>
          <w:tcPr>
            <w:tcW w:w="7783" w:type="dxa"/>
          </w:tcPr>
          <w:p w:rsidR="00000000" w:rsidRDefault="00000000">
            <w:pPr>
              <w:pStyle w:val="a1"/>
              <w:spacing w:before="0" w:after="0"/>
            </w:pPr>
            <w:r>
              <w:t>Национальная программа развития пчеловодства</w:t>
            </w:r>
          </w:p>
        </w:tc>
      </w:tr>
    </w:tbl>
    <w:p w:rsidR="00000000" w:rsidRDefault="00000000"/>
    <w:p w:rsidR="00000000" w:rsidRDefault="00000000">
      <w:r>
        <w:t>714.</w:t>
      </w:r>
      <w:r>
        <w:tab/>
        <w:t xml:space="preserve">Среди указанных мероприятий следует выделить Программу поддержки развития сельских районов, Национальную программу развития производства кофе и Программу устойчивого развития производства в маргинальных сельских районах, в рамках которых была оказана помощь, соответственно, 175 020, 30 441 и </w:t>
      </w:r>
      <w:r>
        <w:br/>
        <w:t>6380 женщинам.</w:t>
      </w:r>
    </w:p>
    <w:p w:rsidR="00000000" w:rsidRDefault="00000000">
      <w:pPr>
        <w:pStyle w:val="BodyText"/>
        <w:spacing w:before="0" w:after="240"/>
      </w:pPr>
      <w:r>
        <w:t>Программа расширения участия женщин в производстве</w:t>
      </w:r>
    </w:p>
    <w:p w:rsidR="00000000" w:rsidRDefault="00000000">
      <w:pPr>
        <w:pStyle w:val="BodyText"/>
        <w:spacing w:before="0" w:after="240"/>
        <w:rPr>
          <w:b w:val="0"/>
        </w:rPr>
      </w:pPr>
      <w:r>
        <w:rPr>
          <w:b w:val="0"/>
        </w:rPr>
        <w:t>715.</w:t>
      </w:r>
      <w:r>
        <w:rPr>
          <w:b w:val="0"/>
        </w:rPr>
        <w:tab/>
        <w:t xml:space="preserve">В 1999 году в рамках Программы развития производства в целях улучшения положения женщин, разработанной Министерством социального развития (СЕДЕСОЛ) и относящейся к разделу 26, который представлен в настоящем докладе в разделе, посвященном статье 13 Конвенции, было поддержано </w:t>
      </w:r>
      <w:r>
        <w:rPr>
          <w:b w:val="0"/>
        </w:rPr>
        <w:br/>
        <w:t>2888 производственных проектов и оказана помощь 46 569 женщинам во всех 31 федеральных административных единицах.</w:t>
      </w:r>
    </w:p>
    <w:p w:rsidR="00000000" w:rsidRDefault="00000000">
      <w:pPr>
        <w:pStyle w:val="BodyText"/>
        <w:spacing w:before="0" w:after="240"/>
      </w:pPr>
      <w:r>
        <w:t>Программы Национального института по проблемам коренного населения (ИНИ)</w:t>
      </w:r>
    </w:p>
    <w:p w:rsidR="00000000" w:rsidRDefault="00000000">
      <w:pPr>
        <w:pStyle w:val="BodyText"/>
        <w:spacing w:before="0" w:after="240"/>
        <w:rPr>
          <w:b w:val="0"/>
        </w:rPr>
      </w:pPr>
      <w:r>
        <w:rPr>
          <w:b w:val="0"/>
        </w:rPr>
        <w:t>716.</w:t>
      </w:r>
      <w:r>
        <w:rPr>
          <w:b w:val="0"/>
        </w:rPr>
        <w:tab/>
        <w:t>Национальный институт по проблемам коренного населения (ИНИ) осуществляет четыре программы содействия экономическому и производственному развитию коренного населения и его общин: Программу региональных фондов развития коренных народов; два проекта Института и Институционального фонда содействия рентабельности сельского хозяйства (ФИДА); проект защиты окружающей среды в сельском хозяйстве. В рамках региональных фондов развития коренного населения выделяются источники финансирования производственных проектов и оказывается помощь в проведении профессиональной подготовки по вопросам управления и производственной деятельности.</w:t>
      </w:r>
    </w:p>
    <w:p w:rsidR="00000000" w:rsidRDefault="00000000">
      <w:pPr>
        <w:pStyle w:val="BodyText"/>
        <w:spacing w:before="0" w:after="240"/>
        <w:rPr>
          <w:i/>
        </w:rPr>
      </w:pPr>
      <w:r>
        <w:rPr>
          <w:i/>
          <w:u w:val="single"/>
        </w:rPr>
        <w:br w:type="page"/>
      </w:r>
      <w:r>
        <w:rPr>
          <w:i/>
        </w:rPr>
        <w:t>Финансирование развития сельских районов</w:t>
      </w:r>
    </w:p>
    <w:p w:rsidR="00000000" w:rsidRDefault="00000000">
      <w:pPr>
        <w:pStyle w:val="BodyText"/>
        <w:spacing w:before="0" w:after="240"/>
      </w:pPr>
      <w:r>
        <w:t>Национальный фонд поддержки общественных предприятий</w:t>
      </w:r>
    </w:p>
    <w:p w:rsidR="00000000" w:rsidRDefault="00000000">
      <w:pPr>
        <w:pStyle w:val="BodyText"/>
        <w:spacing w:before="0" w:after="240"/>
        <w:rPr>
          <w:b w:val="0"/>
        </w:rPr>
      </w:pPr>
      <w:r>
        <w:rPr>
          <w:b w:val="0"/>
        </w:rPr>
        <w:t>717.</w:t>
      </w:r>
      <w:r>
        <w:rPr>
          <w:b w:val="0"/>
        </w:rPr>
        <w:tab/>
        <w:t xml:space="preserve">В рамках Национального фонда поддержки общественных предприятий (ФОНАЭС) в 1999 году для организации и укрепления предприятий, рентабельных в социальном и экономическом отношении и создающих рабочие места и доходы, было выделено 149 260 037 песо в поддержку инициатив бедных производителей социального сектора. В сфере венчурного капитала была оказана помощь 3212 женщинам – пайщицам </w:t>
      </w:r>
      <w:r>
        <w:rPr>
          <w:b w:val="0"/>
        </w:rPr>
        <w:br/>
        <w:t>256 предприятий в 31 штате страны (79 732 681,60 песо), а через Программу производственной занятости получил поддержку 1021 проект, в которых участвовали 9738 женщин в 30 штатах страны (527 355,76 песо).</w:t>
      </w:r>
    </w:p>
    <w:p w:rsidR="00000000" w:rsidRDefault="00000000">
      <w:pPr>
        <w:rPr>
          <w:b/>
        </w:rPr>
      </w:pPr>
      <w:r>
        <w:rPr>
          <w:b/>
        </w:rPr>
        <w:t>Программа "Женщины-предприниматели и женщины-товаропроизводители"</w:t>
      </w:r>
    </w:p>
    <w:p w:rsidR="00000000" w:rsidRDefault="00000000">
      <w:pPr>
        <w:pStyle w:val="BodyText"/>
        <w:spacing w:before="0" w:after="240"/>
        <w:rPr>
          <w:b w:val="0"/>
        </w:rPr>
      </w:pPr>
      <w:r>
        <w:rPr>
          <w:b w:val="0"/>
        </w:rPr>
        <w:t>718.</w:t>
      </w:r>
      <w:r>
        <w:rPr>
          <w:b w:val="0"/>
        </w:rPr>
        <w:tab/>
        <w:t>В течение 1999 года продолжалась разработка и осуществление экспериментальной фазы Программы "Женщины-предприниматели и женщины-товаропроизводители", посредством которой Национальная финансовая компания (НАФИН) стремится активизировать выполнение Всеобщей программы развития микропредприятий. Эта инициатива, направленная на широкомасштабное стимулирование промышленного развития, опирается на стратегию развития предпринимательства и помимо финансирования предусматривает оказание информационных услуг, проведение профессиональной подготовки, технических консультаций, предоставление технологической поддержки и организацию торговли. Ее целью является содействие структурным преобразованиям самых мелких производственных единиц в стране для обеспечения их конкурентоспособности, необходимой для участия в официальной экономике. Программа в виде экспериментальных проектов осуществлялась в шести общинах с низкими доходами, расположенных в пяти штатах Республики. Ею было охвачено более 2 тыс. владельцев микропредприятий, большинство из которых составляли женщины. Кроме того, в этих же общинах были созданы организации содействия развитию, которые находятся в исключительной собственности владельцев микропредприятий, оказывают технические услуги в разработке и осуществлении бизнес-планов и выступают в качестве посредников и связующего звена с инфраструктурой предпринимательской поддержки.</w:t>
      </w:r>
    </w:p>
    <w:p w:rsidR="00000000" w:rsidRDefault="00000000">
      <w:pPr>
        <w:pStyle w:val="BodyText"/>
        <w:spacing w:before="0" w:after="240"/>
      </w:pPr>
      <w:r>
        <w:t>Фонд микрофинансирования женщин в сельских районах</w:t>
      </w:r>
    </w:p>
    <w:p w:rsidR="00000000" w:rsidRDefault="00000000">
      <w:pPr>
        <w:pStyle w:val="BodyText"/>
        <w:spacing w:before="0" w:after="240"/>
        <w:rPr>
          <w:b w:val="0"/>
        </w:rPr>
      </w:pPr>
      <w:r>
        <w:rPr>
          <w:b w:val="0"/>
        </w:rPr>
        <w:t>719.</w:t>
      </w:r>
      <w:r>
        <w:rPr>
          <w:b w:val="0"/>
        </w:rPr>
        <w:tab/>
        <w:t>В 1999 году Министерство земледелия, животноводства и сельского развития и Национальная финансовая корпорация (НАФИН) создали уже упоминавшийся Фонд микрофинансирования женщин в сельских районах (ФОММУР), цель которого состоит в поощрении создания самостоятельных хозяйств с целью повышения уровня доходов и качества жизни женщин в сельских районах. Как было отмечено в главе настоящего доклада, посвященной статье 13 Конвенции, в целях распределения экономической помощи ФОММУР планирует определить и финансировать посреднические учреждения (общественные организации содействия устойчивому развитию сельских районов: гражданские ассоциации, сберегательные и ссудные кассы, кооперативы и неправительственные организации и т. п.), с тем чтобы последние, используя поэтапную схему, способствовали доступу сельских женщин к микрофинансированию.</w:t>
      </w:r>
    </w:p>
    <w:p w:rsidR="00000000" w:rsidRDefault="00000000">
      <w:pPr>
        <w:pStyle w:val="BodyText"/>
        <w:spacing w:before="0" w:after="240"/>
        <w:rPr>
          <w:b w:val="0"/>
        </w:rPr>
      </w:pPr>
      <w:r>
        <w:rPr>
          <w:b w:val="0"/>
        </w:rPr>
        <w:t>720.</w:t>
      </w:r>
      <w:r>
        <w:rPr>
          <w:b w:val="0"/>
        </w:rPr>
        <w:tab/>
        <w:t>ФОММУР начал свою деятельность в 2000 году по инновационной схеме микрокредитования и сбережений. К настоящему времени было одобрено предоставление помощи 759 группам из 18 промежуточных организаций в девяти штатах Республики. Помощь получили 12 292 женщины на сумму 7,6 млн. песо. До настоящего времени никаких задержек с выплатами не было.</w:t>
      </w:r>
    </w:p>
    <w:p w:rsidR="00000000" w:rsidRDefault="00000000">
      <w:pPr>
        <w:pStyle w:val="BodyText"/>
        <w:spacing w:before="0" w:after="240"/>
        <w:rPr>
          <w:b w:val="0"/>
        </w:rPr>
      </w:pPr>
      <w:r>
        <w:t>Национальный фонд развития сельских общин</w:t>
      </w:r>
    </w:p>
    <w:p w:rsidR="00000000" w:rsidRDefault="00000000">
      <w:pPr>
        <w:pStyle w:val="BodyText"/>
        <w:spacing w:before="0" w:after="240"/>
        <w:rPr>
          <w:b w:val="0"/>
        </w:rPr>
      </w:pPr>
      <w:r>
        <w:rPr>
          <w:b w:val="0"/>
        </w:rPr>
        <w:t>721.</w:t>
      </w:r>
      <w:r>
        <w:rPr>
          <w:b w:val="0"/>
        </w:rPr>
        <w:tab/>
        <w:t>В 1999 году Национальный фонд развития сельских общин через Программу по улучшению положения сельских женщин оказал финансовую поддержку 352 проектам на общую сумму в 14 866 847 песо. Прямую помощь получили 4463 женщины, а также 24 720 членов их семей.</w:t>
      </w:r>
    </w:p>
    <w:p w:rsidR="00000000" w:rsidRDefault="00000000">
      <w:pPr>
        <w:pStyle w:val="BodyText"/>
        <w:tabs>
          <w:tab w:val="clear" w:pos="567"/>
          <w:tab w:val="left" w:pos="284"/>
        </w:tabs>
        <w:spacing w:before="0" w:after="240"/>
      </w:pPr>
      <w:r>
        <w:br w:type="page"/>
      </w:r>
      <w:r>
        <w:sym w:font="Symbol" w:char="F0B7"/>
      </w:r>
      <w:r>
        <w:tab/>
        <w:t>Национальный банк сельского кредита</w:t>
      </w:r>
    </w:p>
    <w:p w:rsidR="00000000" w:rsidRDefault="00000000">
      <w:pPr>
        <w:pStyle w:val="BodyText"/>
        <w:spacing w:before="0" w:after="240"/>
        <w:rPr>
          <w:b w:val="0"/>
        </w:rPr>
      </w:pPr>
      <w:r>
        <w:rPr>
          <w:b w:val="0"/>
        </w:rPr>
        <w:t>722.</w:t>
      </w:r>
      <w:r>
        <w:rPr>
          <w:b w:val="0"/>
        </w:rPr>
        <w:tab/>
        <w:t>Система Национального банка сельского кредита (НБСК) через свои филиалы по всей стране осуществляет деятельность по улучшению положения женщин-крестьянок путем распределения кредитов, предназначенных для осуществления производственных проектов в рамках агропромышленных объединений женщин (УАИМ) и всех организаций, способствующих объединению женщин. В рамках последних для диверсификации производственной деятельности женщин в сельских районах программы кредитования комбинируются с другими механизмами, например с "Союзом в интересах села".</w:t>
      </w:r>
    </w:p>
    <w:p w:rsidR="00000000" w:rsidRDefault="00000000">
      <w:pPr>
        <w:pStyle w:val="BodyText"/>
        <w:spacing w:before="0" w:after="240"/>
        <w:rPr>
          <w:b w:val="0"/>
        </w:rPr>
      </w:pPr>
      <w:r>
        <w:rPr>
          <w:b w:val="0"/>
        </w:rPr>
        <w:t>723.</w:t>
      </w:r>
      <w:r>
        <w:rPr>
          <w:b w:val="0"/>
        </w:rPr>
        <w:tab/>
        <w:t>В 1995–2000 годах НБСК предоставил кредитов в реальном выражении на 2,2 процента больше, чем в 1988–1994 годах. 65 процентов этих кредитов предназначено для приобретения оборудования, 25 процентов – для финансирования земледелия и животноводства и 10 процентов – для рефинансирования просроченной задолженности.</w:t>
      </w:r>
    </w:p>
    <w:p w:rsidR="00000000" w:rsidRDefault="00000000">
      <w:pPr>
        <w:pStyle w:val="BodyText"/>
        <w:spacing w:before="0" w:after="240"/>
        <w:rPr>
          <w:b w:val="0"/>
        </w:rPr>
      </w:pPr>
      <w:r>
        <w:rPr>
          <w:b w:val="0"/>
        </w:rPr>
        <w:t>724.</w:t>
      </w:r>
      <w:r>
        <w:rPr>
          <w:b w:val="0"/>
        </w:rPr>
        <w:tab/>
        <w:t xml:space="preserve">Кредиты на приобретение оборудования, выделенные аграрному сектору, позволили увеличить площадь обрабатываемых земель с 1 251 000 гектаров в 1995 году до 2 324 000 гектаров в 2000 году, то есть почти на </w:t>
      </w:r>
      <w:r>
        <w:rPr>
          <w:b w:val="0"/>
        </w:rPr>
        <w:br/>
        <w:t xml:space="preserve">86 процентов. Что касается выращиваемых культур, то основные зерновые занимают 91 процент земель: посевы кукурузы увеличились с 329 тыс. гектаров в 1995 году до 1124 тыс. гектаров в 2000 году; посевы фасоли – </w:t>
      </w:r>
      <w:r>
        <w:rPr>
          <w:b w:val="0"/>
        </w:rPr>
        <w:br/>
        <w:t>с 249 тыс. до 343 тыс. гектаров; площади под прочие культуры, в том числе под овощи и фрукты, увеличились со 107 тыс. до 204 тыс. гектаров.</w:t>
      </w:r>
    </w:p>
    <w:p w:rsidR="00000000" w:rsidRDefault="00000000">
      <w:pPr>
        <w:pStyle w:val="BodyText"/>
        <w:spacing w:before="0" w:after="240"/>
        <w:rPr>
          <w:b w:val="0"/>
        </w:rPr>
      </w:pPr>
      <w:r>
        <w:rPr>
          <w:b w:val="0"/>
        </w:rPr>
        <w:t>725.</w:t>
      </w:r>
      <w:r>
        <w:rPr>
          <w:b w:val="0"/>
        </w:rPr>
        <w:tab/>
        <w:t>С сентября 1999 года по август 2000 года объем кредитов НБСК составил 12 766 млн. песо, что в реальном выражении на 15,9 процента больше, чем в предыдущем финансовом году. На долю земледелия пришлось 6304 млн. песо (49,4 процента), что позволило обработать 2324 тыс. гектаров земли; на нужды животноводства было выделено 610 млн. песо (4,8 процента), что позволило вырастить 119 955 голов скота; 5852 млн. песо (45,8 процента) было выделено на прочие виды деятельности, главным образом на организацию сбыта продукции, развитие агропромышленных предприятий, рыболовство и лесное хозяйство.</w:t>
      </w:r>
    </w:p>
    <w:p w:rsidR="00000000" w:rsidRDefault="00000000">
      <w:pPr>
        <w:pStyle w:val="BodyText"/>
        <w:spacing w:before="120" w:after="240"/>
        <w:rPr>
          <w:i/>
        </w:rPr>
      </w:pPr>
      <w:r>
        <w:rPr>
          <w:i/>
        </w:rPr>
        <w:t>Профессиональная подготовка в области предпринимательства и коммерции</w:t>
      </w:r>
    </w:p>
    <w:p w:rsidR="00000000" w:rsidRDefault="00000000">
      <w:pPr>
        <w:pStyle w:val="BodyText"/>
        <w:spacing w:before="0" w:after="240"/>
      </w:pPr>
      <w:r>
        <w:t>Программы Министерства торговли и промышленного развития</w:t>
      </w:r>
    </w:p>
    <w:p w:rsidR="00000000" w:rsidRDefault="00000000">
      <w:pPr>
        <w:pStyle w:val="BodyText"/>
        <w:spacing w:before="0" w:after="240"/>
        <w:rPr>
          <w:b w:val="0"/>
        </w:rPr>
      </w:pPr>
      <w:r>
        <w:rPr>
          <w:b w:val="0"/>
        </w:rPr>
        <w:t>726.</w:t>
      </w:r>
      <w:r>
        <w:rPr>
          <w:b w:val="0"/>
        </w:rPr>
        <w:tab/>
        <w:t>Для повышения конкурентоспособности мексиканских предпринимателей Министерство торговли и промышленного развития оказывает им техническое содействие и организует профессиональную подготовку, используя Систему управления профессиональной подготовкой, которая распространяет информацию о деятельности и возможностях соответствующих специализированных государственных и частных учреждений, учебные пособия, в которых содержатся рекомендации женщинам-предпринимателям по организации дела или улучшению его работы; Систему информации о технологических услугах (СИСТЕК) и технологические форумы, благодаря которым устанавливается контакт между женщинами-предпринимателями и институтами прикладных исследований и развития технологий; Систему производственных технологий, предоставляющую информацию по таким вопросам, как новая продукция, производственные процессы, машины и оборудование. С другой стороны, СЕКОФИ проводит встречи предпринимателей в рамках Программы развития поставщиков, в которых в 1999 году участвовало большое число женщин-предпринимателей.</w:t>
      </w:r>
    </w:p>
    <w:p w:rsidR="00000000" w:rsidRDefault="00000000">
      <w:pPr>
        <w:pStyle w:val="BodyText"/>
        <w:spacing w:before="0" w:after="240"/>
        <w:rPr>
          <w:b w:val="0"/>
        </w:rPr>
      </w:pPr>
      <w:r>
        <w:rPr>
          <w:b w:val="0"/>
        </w:rPr>
        <w:t>727.</w:t>
      </w:r>
      <w:r>
        <w:rPr>
          <w:b w:val="0"/>
        </w:rPr>
        <w:tab/>
        <w:t xml:space="preserve">В целях повышения конкурентоспособности розничных торговцев обоих полов СЕКОФИ приступила к осуществлению Программы профессиональной подготовки и модернизации розничной торговли (ПРОМОДЕ), благодаря которой началось проведение профессиональной подготовки и реформирование торговых заведений, а также была оказана помощь лицам, заинтересованным в открытии своего дела. В 1999 году по всей Республике 20 295 женщин получили профессиональную подготовку по трем направлениям Программы: </w:t>
      </w:r>
      <w:r>
        <w:rPr>
          <w:b w:val="0"/>
        </w:rPr>
        <w:br/>
        <w:t>а) общая профессиональная подготовка, в рамках которой розничные торговцы, независимо от своей специализации, прошли обучение по вопросам управления, закупок, ведения отчетности и бухгалтерского учета и маркетинга (17 817 женщин); b) базовая подготовка предпринимателей, предназначенная для лиц, заинтересованных в открытии торгового бизнеса, которая охватывает такие вопросы, как определение целей и действия, необходимые для создания собственного дела (1141 женщина); с) подготовка инструкторов общей профессиональной и базовой подготовки предпринимателей в различных регионах страны (1319 женщин).</w:t>
      </w:r>
    </w:p>
    <w:p w:rsidR="00000000" w:rsidRDefault="00000000">
      <w:pPr>
        <w:pStyle w:val="BodyText"/>
        <w:spacing w:before="0" w:after="240"/>
        <w:rPr>
          <w:b w:val="0"/>
        </w:rPr>
      </w:pPr>
      <w:r>
        <w:rPr>
          <w:b w:val="0"/>
        </w:rPr>
        <w:t>728.</w:t>
      </w:r>
      <w:r>
        <w:rPr>
          <w:b w:val="0"/>
        </w:rPr>
        <w:tab/>
        <w:t>СЕКОФИ осуществляет Программу "Компите" ("Соревнуйся!"), в рамках которой проводятся практические занятия и предлагается профессиональная подготовка для владельцев промышленных предприятий с целью повышения рентабельности их бизнеса при помощи доступных, малозатратных и результативных решений. По этой схеме в 1999 году было проведено 130 практических занятий на предприятиях, во главе которых стоят женщины. Около 4 тыс. женщин прошли профессиональную подготовку.</w:t>
      </w:r>
    </w:p>
    <w:p w:rsidR="00000000" w:rsidRDefault="00000000">
      <w:pPr>
        <w:pStyle w:val="BodyText"/>
        <w:spacing w:before="0" w:after="240"/>
        <w:rPr>
          <w:b w:val="0"/>
        </w:rPr>
      </w:pPr>
      <w:r>
        <w:rPr>
          <w:b w:val="0"/>
        </w:rPr>
        <w:t>729.</w:t>
      </w:r>
      <w:r>
        <w:rPr>
          <w:b w:val="0"/>
        </w:rPr>
        <w:tab/>
        <w:t xml:space="preserve">Совестно с предпринимателями и учеными СЕКОФИ разработал модель помощи микро-, малым и средним предприятиям, названную Сетью региональных центров по повышению конкурентоспособности предпринимателей (КРЕСЕ), цель которой заключается в проведении комплексных консультаций и профессиональной подготовки предпринимателей. По этой схеме в 1999 году КРЕСЕ оказала помощь </w:t>
      </w:r>
      <w:r>
        <w:rPr>
          <w:b w:val="0"/>
        </w:rPr>
        <w:br/>
        <w:t>1186 предприятиям, которыми руководят женщины, причем 84 процента этих предприятий составляют микропредприятия, а 46 процентов являются торговыми.</w:t>
      </w:r>
    </w:p>
    <w:p w:rsidR="00000000" w:rsidRDefault="00000000">
      <w:pPr>
        <w:pStyle w:val="BodyText"/>
        <w:spacing w:before="120" w:after="240"/>
      </w:pPr>
      <w:r>
        <w:t>Программа расширения участия женщин в производстве</w:t>
      </w:r>
    </w:p>
    <w:p w:rsidR="00000000" w:rsidRDefault="00000000">
      <w:pPr>
        <w:pStyle w:val="BodyText"/>
        <w:spacing w:before="0" w:after="240"/>
        <w:rPr>
          <w:b w:val="0"/>
        </w:rPr>
      </w:pPr>
      <w:r>
        <w:rPr>
          <w:b w:val="0"/>
        </w:rPr>
        <w:t>730.</w:t>
      </w:r>
      <w:r>
        <w:rPr>
          <w:b w:val="0"/>
        </w:rPr>
        <w:tab/>
        <w:t>В рамках этой Программы СЕДЕСОЛ, Национальная комиссия по делам женщин, Национальный фонд поддержки социальных предприятий (ФОНАЭС), Национальный институт солидарности (ИНСОЛ), региональные отделения СЕДЕСОЛ и правительства штатов провели семинар-практикум на тему "Развитие производства в целях улучшения положения женщин" в 26 центрах по всей стране. Цель семинара-практикума заключалась в том, чтобы организованные группы женщин и женщины, получающие помощь в рамках этой Программы, осознали важность социальной организации в качестве основы социального предприятия, предоставляющего возможность работать и получать доход, и могли лучше защищать свои интересы в отношениях с соответствующими инстанциями.</w:t>
      </w:r>
    </w:p>
    <w:p w:rsidR="00000000" w:rsidRDefault="00000000">
      <w:pPr>
        <w:pStyle w:val="Heading4"/>
      </w:pPr>
      <w:r>
        <w:t>Социальное обеспечение</w:t>
      </w:r>
    </w:p>
    <w:p w:rsidR="00000000" w:rsidRDefault="00000000">
      <w:pPr>
        <w:pStyle w:val="BodyText"/>
        <w:spacing w:before="0" w:after="240"/>
        <w:rPr>
          <w:b w:val="0"/>
        </w:rPr>
      </w:pPr>
      <w:r>
        <w:rPr>
          <w:b w:val="0"/>
        </w:rPr>
        <w:t>731.</w:t>
      </w:r>
      <w:r>
        <w:rPr>
          <w:b w:val="0"/>
        </w:rPr>
        <w:tab/>
        <w:t>После того как 1 июля 1997 года вступил в силу новый закон о социальном обеспечении, впервые поденщики получили всестороннюю социальную защиту. До принятия этого закона социальное обеспечение распространялось на 61 500 рабочих, составляющих только 7 процентов их общего числа. В августе этого года положения закона распространились на 809 604 и их семьи. Ресурсы, выделенные на нужды этой Программы, составляют 92,3 млн. песо, что в реальном выражении на 65,2 процента больше, чем в 1999 году.</w:t>
      </w:r>
    </w:p>
    <w:p w:rsidR="00000000" w:rsidRDefault="00000000">
      <w:pPr>
        <w:pStyle w:val="BodyText"/>
        <w:spacing w:before="0" w:after="240"/>
        <w:rPr>
          <w:b w:val="0"/>
        </w:rPr>
      </w:pPr>
      <w:r>
        <w:rPr>
          <w:b w:val="0"/>
        </w:rPr>
        <w:t>732.</w:t>
      </w:r>
      <w:r>
        <w:rPr>
          <w:b w:val="0"/>
        </w:rPr>
        <w:tab/>
        <w:t>Новый закон о социальном обеспечении открыл поденщикам доступ к комплексной схеме обязательных выплат. Так, впервые с момента создания ИМСС 50 лет назад, в 1999 году федеральное правительство начало делать солидарные взносы в схему социального обеспечения поденщиков, благодаря чему последние получили право на страхование в случае болезни, родов и ухода за ребенком, производственных травм, инвалидности и смерти, ухода на пенсию, увольнения в преклонном возрасте, а также право на пользование детскими садами и получение социальных выплат.</w:t>
      </w:r>
    </w:p>
    <w:p w:rsidR="00000000" w:rsidRDefault="00000000">
      <w:pPr>
        <w:pStyle w:val="Heading4"/>
      </w:pPr>
      <w:r>
        <w:t>Образование</w:t>
      </w:r>
    </w:p>
    <w:p w:rsidR="00000000" w:rsidRDefault="00000000">
      <w:pPr>
        <w:pStyle w:val="BodyText"/>
        <w:spacing w:before="0" w:after="240"/>
        <w:rPr>
          <w:b w:val="0"/>
        </w:rPr>
      </w:pPr>
      <w:r>
        <w:rPr>
          <w:b w:val="0"/>
        </w:rPr>
        <w:t>733.</w:t>
      </w:r>
      <w:r>
        <w:rPr>
          <w:b w:val="0"/>
        </w:rPr>
        <w:tab/>
        <w:t>Помимо образовательных центров в сельских районах и поселениях коренных народов в наиболее отдаленных и изолированных районах страны действует система общинного базового образования, которая является разновидностью базового образования. Начиная с 1994/95 учебного года прием в общинные школы увеличивался в среднем на 6,8 процента в год. В 1997 году федеральное правительство приступило к реализации Проекта предоставления образования поденщикам-мигрантам. Проект учитывает этнические, языковые и социокультурные особенности и характеристики этой группы.</w:t>
      </w:r>
    </w:p>
    <w:p w:rsidR="00000000" w:rsidRDefault="00000000">
      <w:pPr>
        <w:pStyle w:val="BodyText"/>
        <w:spacing w:before="0" w:after="240"/>
        <w:rPr>
          <w:b w:val="0"/>
        </w:rPr>
      </w:pPr>
      <w:r>
        <w:rPr>
          <w:b w:val="0"/>
        </w:rPr>
        <w:t>734.</w:t>
      </w:r>
      <w:r>
        <w:rPr>
          <w:b w:val="0"/>
        </w:rPr>
        <w:tab/>
        <w:t>Для осуществления общинных программ в 2000 году было выделено 1354 млн. песо, что в реальном выражении на 13,1 и 6,9 процента больше, чем в 1994 и 1999 финансовых годах, соответственно. Общим образованием было охвачено около 206 тыс. мальчиков и девочек в 1994 году и 350 тыс. мальчиков и девочек в 2000 году.</w:t>
      </w:r>
    </w:p>
    <w:p w:rsidR="00000000" w:rsidRDefault="00000000">
      <w:pPr>
        <w:pStyle w:val="Heading4"/>
        <w:spacing w:before="0"/>
      </w:pPr>
      <w:r>
        <w:br w:type="page"/>
        <w:t>Помощь мигрантам</w:t>
      </w:r>
    </w:p>
    <w:p w:rsidR="00000000" w:rsidRDefault="00000000">
      <w:pPr>
        <w:pStyle w:val="BodyText"/>
        <w:spacing w:before="0" w:after="240"/>
        <w:rPr>
          <w:b w:val="0"/>
        </w:rPr>
      </w:pPr>
      <w:r>
        <w:rPr>
          <w:b w:val="0"/>
        </w:rPr>
        <w:t>735.</w:t>
      </w:r>
      <w:r>
        <w:rPr>
          <w:b w:val="0"/>
        </w:rPr>
        <w:tab/>
        <w:t xml:space="preserve">В Мексике насчитывается 3,4 млн. поденщиков на сельскохозяйственных работах, из которых 1 млн. </w:t>
      </w:r>
      <w:r>
        <w:rPr>
          <w:b w:val="0"/>
        </w:rPr>
        <w:br/>
        <w:t>(29 процентов) являются мигрантами, в течение года меняющими место работы в зависимости от сроков созревания различных культур.</w:t>
      </w:r>
    </w:p>
    <w:p w:rsidR="00000000" w:rsidRDefault="00000000">
      <w:pPr>
        <w:pStyle w:val="BodyText"/>
        <w:spacing w:before="0" w:after="240"/>
        <w:rPr>
          <w:b w:val="0"/>
        </w:rPr>
      </w:pPr>
      <w:r>
        <w:rPr>
          <w:b w:val="0"/>
        </w:rPr>
        <w:t>736.</w:t>
      </w:r>
      <w:r>
        <w:rPr>
          <w:b w:val="0"/>
        </w:rPr>
        <w:tab/>
        <w:t>Комплексная стратегия Национальной программы солидарности с поденщиками в сельском хозяйстве, осуществляемой Министерством социального развития, позволяет ознакомиться с жизнью поденщиков и направлена на  удовлетворение их основных потребностей при участии и поддержке различных государственных, общественных и частных организаций, так или иначе связанных с этой группой населения.</w:t>
      </w:r>
    </w:p>
    <w:p w:rsidR="00000000" w:rsidRDefault="00000000">
      <w:pPr>
        <w:pStyle w:val="BodyText"/>
        <w:spacing w:before="0" w:after="240"/>
        <w:rPr>
          <w:b w:val="0"/>
        </w:rPr>
      </w:pPr>
      <w:r>
        <w:rPr>
          <w:b w:val="0"/>
        </w:rPr>
        <w:t>737.</w:t>
      </w:r>
      <w:r>
        <w:rPr>
          <w:b w:val="0"/>
        </w:rPr>
        <w:tab/>
        <w:t>Действия, направленные на повышение социального благосостояния и развитие производства в интересах поденщиков, осуществляются в 15 штатах. Это Веракрус, Герреро, Дуранго, Идальго, Мичоакан, Морелос, Наярит, Нижняя Калифорния Южная, Нижняя Калифорния, Оахака, Пуэбла, Сан-Луис-Потоси, Синалоа, Сонора и Халиско. Поденщики получают помощь в рамках социальных разделов Программы.</w:t>
      </w:r>
    </w:p>
    <w:p w:rsidR="00000000" w:rsidRDefault="00000000">
      <w:pPr>
        <w:pStyle w:val="BodyText"/>
        <w:spacing w:before="0" w:after="240"/>
        <w:rPr>
          <w:b w:val="0"/>
        </w:rPr>
      </w:pPr>
      <w:r>
        <w:rPr>
          <w:b w:val="0"/>
        </w:rPr>
        <w:t>738.</w:t>
      </w:r>
      <w:r>
        <w:rPr>
          <w:b w:val="0"/>
        </w:rPr>
        <w:tab/>
        <w:t>В 1995–1999 годах было осуществлено более 54 тыс. проектов, среди которых следует выделить проекты по улучшению жилищных условий и оздоровлению окружающей среды, развитию образования, повышению уровня культуры и организации досуга, а также проекты, направленные на создание рабочих мест, повышение профессиональной подготовки и производительности труда. В среднем за год этими проектами было охвачено 550 тыс. поденщиков.</w:t>
      </w:r>
    </w:p>
    <w:p w:rsidR="00000000" w:rsidRDefault="00000000">
      <w:pPr>
        <w:pStyle w:val="BodyText"/>
        <w:spacing w:before="0" w:after="240"/>
        <w:rPr>
          <w:b w:val="0"/>
        </w:rPr>
      </w:pPr>
      <w:r>
        <w:rPr>
          <w:b w:val="0"/>
        </w:rPr>
        <w:t>739.</w:t>
      </w:r>
      <w:r>
        <w:rPr>
          <w:b w:val="0"/>
        </w:rPr>
        <w:tab/>
        <w:t xml:space="preserve">В 2000 году на нужды Программы было выделено 162 млн. песо с целью оказать помощь </w:t>
      </w:r>
      <w:r>
        <w:rPr>
          <w:b w:val="0"/>
        </w:rPr>
        <w:br/>
        <w:t xml:space="preserve">763 524 поденщикам, занятым в 1464 хозяйствах, которые расположены в 259 муниципалитетах 15 штатов. Выделенные средства в реальном выражении на 11, 6 процента превышают средства, ассигнованные в </w:t>
      </w:r>
      <w:r>
        <w:rPr>
          <w:b w:val="0"/>
        </w:rPr>
        <w:br/>
        <w:t>1999 финансовом году.</w:t>
      </w:r>
    </w:p>
    <w:p w:rsidR="00000000" w:rsidRDefault="00000000">
      <w:pPr>
        <w:pStyle w:val="BodyText"/>
        <w:spacing w:before="0" w:after="240"/>
        <w:rPr>
          <w:b w:val="0"/>
        </w:rPr>
      </w:pPr>
      <w:r>
        <w:rPr>
          <w:b w:val="0"/>
        </w:rPr>
        <w:t>740.</w:t>
      </w:r>
      <w:r>
        <w:rPr>
          <w:b w:val="0"/>
        </w:rPr>
        <w:tab/>
        <w:t>В 1997 году Министерство народного образования начало реализацию Проекта по предоставлению помощи в получении образования поденщикам-мигрантам, в рамках которого была разработана модель приобретения базовых знаний и навыков детьми-мигрантами. Эта модель, основанная на национальных планах и программах, определяет содержание обучения и структуру учебного процесса с учетом возрастных различий и уровня знаний учеников, обучающихся в одном и том же классе. В 1999 году в штатах, участвующих в проекте, модель была применена в экспериментальном порядке. В эксперименте участвовали первоклассники в сельскохозяйственных лагерях и общинах, из которых мигранты выезжают на работу. В 2000 году этой инициативой были охвачены второклассники. Были разработаны специальные учебные программы и пособия для учителей и учеников. Кроме того, было подготовлено предложение об организации специальной подготовки учителей, работающих с детьми-мигрантами.</w:t>
      </w:r>
    </w:p>
    <w:p w:rsidR="00000000" w:rsidRDefault="00000000">
      <w:pPr>
        <w:pStyle w:val="BodyText"/>
        <w:spacing w:before="0" w:after="240"/>
        <w:rPr>
          <w:b w:val="0"/>
        </w:rPr>
      </w:pPr>
      <w:r>
        <w:rPr>
          <w:b w:val="0"/>
        </w:rPr>
        <w:t>741.</w:t>
      </w:r>
      <w:r>
        <w:rPr>
          <w:b w:val="0"/>
        </w:rPr>
        <w:tab/>
        <w:t>В рамках Образовательной программы для детей-мигрантов, которую Национальный совет по развитию образования (КОНАФЕ) начал осуществлять в 1997 году, были разработаны специальные методы определения направленности и организации учебного процесса, позволяющие повысить эффективность работы учителя в классе. Ожидается, что в нынешнем году более 29 235 учеников дошкольного и начального уровней будут обучаться по этой методике в 1657 лагерях и общинах, откуда мигранты выезжают на работу и куда они возвращаются. Это на 26 тыс. детей больше, чем в 1995 году, когда эта работа велась в 93 лагерях.</w:t>
      </w:r>
    </w:p>
    <w:p w:rsidR="00000000" w:rsidRDefault="00000000">
      <w:pPr>
        <w:pStyle w:val="BodyText"/>
        <w:spacing w:before="0" w:after="240"/>
        <w:rPr>
          <w:b w:val="0"/>
        </w:rPr>
      </w:pPr>
      <w:r>
        <w:rPr>
          <w:b w:val="0"/>
        </w:rPr>
        <w:t>742.</w:t>
      </w:r>
      <w:r>
        <w:rPr>
          <w:b w:val="0"/>
        </w:rPr>
        <w:tab/>
        <w:t>Национальный институт образования для взрослых координирует работу лагерей учебы и отдыха, в которых учатся мигранты старше 15 лет. В этих лагерях взрослые получают доступ к начальному и среднему образованию, а также к обучению профессиям и ремеслам. Начиная с 1996–1997 годов в среднем каждый год этой инициативой было охвачено 3300 человек.</w:t>
      </w:r>
    </w:p>
    <w:p w:rsidR="00000000" w:rsidRDefault="00000000">
      <w:pPr>
        <w:pStyle w:val="Heading2"/>
      </w:pPr>
      <w:r>
        <w:rPr>
          <w:b w:val="0"/>
        </w:rPr>
        <w:br w:type="page"/>
      </w:r>
      <w:r>
        <w:t>СТАТЬЯ 15</w:t>
      </w:r>
    </w:p>
    <w:p w:rsidR="00000000" w:rsidRDefault="00000000">
      <w:pPr>
        <w:pStyle w:val="BodyText"/>
        <w:spacing w:before="0" w:after="240"/>
        <w:rPr>
          <w:b w:val="0"/>
        </w:rPr>
      </w:pPr>
      <w:r>
        <w:rPr>
          <w:b w:val="0"/>
        </w:rPr>
        <w:t>743.</w:t>
      </w:r>
      <w:r>
        <w:rPr>
          <w:b w:val="0"/>
        </w:rPr>
        <w:tab/>
        <w:t>В третьем и четвертом объединенном докладе Мексика проинформировала Комитет о том, что, несмотря на закрепленное в Конституции юридическое равенство женщин и мужчин, которое фигурирует также в конституциях штатов Республики, в ряде случаев подзаконные нормативные акты ограничивали возможность осуществления женщинами своих прав. Так, например, в статье 158 Гражданского кодекса федерального округа установлено, что женщина может вступить в повторный брак лишь по прошествии не менее 300 дней после расторжения предыдущего брака.</w:t>
      </w:r>
    </w:p>
    <w:p w:rsidR="00000000" w:rsidRDefault="00000000">
      <w:pPr>
        <w:pStyle w:val="BodyText"/>
        <w:spacing w:before="0" w:after="240"/>
        <w:rPr>
          <w:b w:val="0"/>
        </w:rPr>
      </w:pPr>
      <w:r>
        <w:rPr>
          <w:b w:val="0"/>
        </w:rPr>
        <w:t>744.</w:t>
      </w:r>
      <w:r>
        <w:rPr>
          <w:b w:val="0"/>
        </w:rPr>
        <w:tab/>
        <w:t>В связи с этим доводится до сведения Комитета, что были пересмотрены положения Гражданского кодекса федерального округа, касающиеся общих вопросов, и положения Гражданского кодекса страны по вопросам федерального ведения, а также положения Гражданско-процессуального кодекса федерального округа. Таким образом, статья 158 Гражданского кодекса была отменена. Одновременно был отмечен существенный прогресс по ряду других направлений, которые рассматриваются в разделе доклада, посвященного статье 16 Конвенции.</w:t>
      </w:r>
    </w:p>
    <w:p w:rsidR="00000000" w:rsidRDefault="00000000">
      <w:pPr>
        <w:pStyle w:val="BodyText"/>
        <w:spacing w:before="0" w:after="240"/>
        <w:rPr>
          <w:b w:val="0"/>
        </w:rPr>
      </w:pPr>
      <w:r>
        <w:rPr>
          <w:b w:val="0"/>
        </w:rPr>
        <w:t>745.</w:t>
      </w:r>
      <w:r>
        <w:rPr>
          <w:b w:val="0"/>
        </w:rPr>
        <w:tab/>
        <w:t xml:space="preserve">Статья 2 Гражданского кодекса, которая закрепляет юридическое равенство женщин и мужчин и запрещает любые ограничения по признаку пола в получении и осуществлении женщинами своих гражданских прав, была пересмотрена и дополнена следующим положением: </w:t>
      </w:r>
      <w:r>
        <w:rPr>
          <w:b w:val="0"/>
          <w:i/>
        </w:rPr>
        <w:t>"Никому не может быть отказано в услуге или помощи, на которые данное лицо имеет право, никто не может быть ограничен в осуществлении своих прав независимо от характера последних, по причине возраста, пола, беременности, семейного положения, расы, языка, религии, идеологии, сексуальной ориентации, цвета кожи, национальности, происхождения или общественного положения, работы или профессии, экономического положения, физического облика, инвалидности или состояния здоровья"</w:t>
      </w:r>
      <w:r>
        <w:rPr>
          <w:b w:val="0"/>
        </w:rPr>
        <w:t>. Это положение не только защищает юридическое равенство женщин и осуществление ими своих прав, но и заложило основы для ликвидации любого вида дискриминации в области предоставления услуг и осуществления всех прав.</w:t>
      </w:r>
    </w:p>
    <w:p w:rsidR="00000000" w:rsidRDefault="00000000">
      <w:pPr>
        <w:pStyle w:val="BodyText"/>
        <w:spacing w:before="0" w:after="240"/>
        <w:rPr>
          <w:b w:val="0"/>
        </w:rPr>
      </w:pPr>
      <w:r>
        <w:rPr>
          <w:b w:val="0"/>
        </w:rPr>
        <w:t>746.</w:t>
      </w:r>
      <w:r>
        <w:rPr>
          <w:b w:val="0"/>
        </w:rPr>
        <w:tab/>
        <w:t>25 мая 2000 года в "Гасета Офисиаль" федерального округа был опубликован декрет, который отменяет, изменяет и дополняет положения Гражданского кодекса федерального округа, касающиеся общих вопросов, и положения Гражданского кодекса страны по вопросам федерального ведения и усиливает защиту семейной собственности. В статье 723 Гражданского кодекса содержится следующее определение:</w:t>
      </w:r>
    </w:p>
    <w:p w:rsidR="00000000" w:rsidRDefault="00000000">
      <w:pPr>
        <w:pStyle w:val="BodyText"/>
        <w:tabs>
          <w:tab w:val="left" w:pos="284"/>
        </w:tabs>
        <w:spacing w:before="0" w:after="240"/>
        <w:ind w:left="284" w:hanging="284"/>
        <w:rPr>
          <w:b w:val="0"/>
        </w:rPr>
      </w:pPr>
      <w:r>
        <w:rPr>
          <w:b w:val="0"/>
        </w:rPr>
        <w:tab/>
      </w:r>
      <w:r>
        <w:rPr>
          <w:b w:val="0"/>
          <w:i/>
        </w:rPr>
        <w:t>"Статья 723. Семейная собственность принадлежит к сфере общественных интересов; ее объектом являются имущество, необходимое для экономической защиты семьи и содержания домашнего очага. Семейная собственность может включать дом (комнату), мебель для домашнего и повседневного использования; обрабатываемый участок земли или промышленные и торговые заведения, которые эксплуатируются членами семьи, а также оборудование, необходимое для соответствующей деятельности, при условии, что стоимость семейной собственности не превышает максимальную сумму, установленную настоящим декретом"</w:t>
      </w:r>
      <w:r>
        <w:rPr>
          <w:b w:val="0"/>
        </w:rPr>
        <w:t>.</w:t>
      </w:r>
    </w:p>
    <w:p w:rsidR="00000000" w:rsidRDefault="00000000">
      <w:pPr>
        <w:pStyle w:val="BodyText"/>
        <w:spacing w:before="0" w:after="240"/>
        <w:rPr>
          <w:b w:val="0"/>
        </w:rPr>
      </w:pPr>
      <w:r>
        <w:rPr>
          <w:b w:val="0"/>
        </w:rPr>
        <w:t>747.</w:t>
      </w:r>
      <w:r>
        <w:rPr>
          <w:b w:val="0"/>
        </w:rPr>
        <w:tab/>
        <w:t>Помимо укрепления охраны семейной собственности и внесения изменений в прежний вариант статьи 723, в которой указанные объекты семейной собственности ограничивались домом (комнатой) и, в некоторых случаях, обрабатываемым участком земли, были пересмотрены статьи 724–727, 730–732, 734–737, 740–743 и 746 Гражданского кодекса, а также добавлена статья 746 bis.</w:t>
      </w:r>
    </w:p>
    <w:p w:rsidR="00000000" w:rsidRDefault="00000000">
      <w:r>
        <w:t>748.</w:t>
      </w:r>
      <w:r>
        <w:tab/>
        <w:t>Нынешняя статья 724 во многом превосходит положения предыдущей статьи 725, так как в ней устанавливаются субъекты, которые могут заявить о создании семейной собственности в суде по семейным делам с последующей регистрацией в Государственном регистре. При внесении этих изменений были приняты во внимание трансформация мексиканской семьи, а также активное участие в жизни общества всех ее членов, прежде всего женщин.</w:t>
      </w:r>
    </w:p>
    <w:p w:rsidR="00000000" w:rsidRDefault="00000000">
      <w:pPr>
        <w:tabs>
          <w:tab w:val="left" w:pos="284"/>
        </w:tabs>
        <w:ind w:left="284" w:hanging="284"/>
      </w:pPr>
      <w:r>
        <w:tab/>
      </w:r>
      <w:r>
        <w:rPr>
          <w:i/>
        </w:rPr>
        <w:t>"Статья 724. Семейную собственность могут образовать мать, отец или оба родителя, сожительница, сожитель или оба сожителя, одинокая мать или одинокий отец, бабушки, дедушки, дочери и сыновья либо любое лицо, желающее создать ее для юридической и экономической защиты семьи"</w:t>
      </w:r>
      <w:r>
        <w:t>.</w:t>
      </w:r>
    </w:p>
    <w:p w:rsidR="00000000" w:rsidRDefault="00000000">
      <w:r>
        <w:t>749.</w:t>
      </w:r>
      <w:r>
        <w:tab/>
        <w:t>Кроме того, в новой редакции статья 734 закрепляет права детей на семейную собственность в случае смерти родителей:</w:t>
      </w:r>
    </w:p>
    <w:p w:rsidR="00000000" w:rsidRDefault="00000000">
      <w:pPr>
        <w:tabs>
          <w:tab w:val="left" w:pos="284"/>
        </w:tabs>
        <w:ind w:left="284" w:hanging="284"/>
      </w:pPr>
      <w:r>
        <w:tab/>
      </w:r>
      <w:r>
        <w:rPr>
          <w:i/>
        </w:rPr>
        <w:t>"Статья 734. Лицами, имеющими право на пользование семейной собственностью, являются все, перечисленные в статье 725, и дети умерших родителей. Последние, а также опекун недееспособных кредиторов, родственники должника или Генеральная прокуратура в судебном порядке могут требовать образования семейной собственности в пределах, установленных в статье 730, никак не обосновывая свое требование. Образование этой семейной собственности осуществляется в соответствии с положениями статей 731 и 732"</w:t>
      </w:r>
      <w:r>
        <w:t>.</w:t>
      </w:r>
    </w:p>
    <w:p w:rsidR="00000000" w:rsidRDefault="00000000">
      <w:r>
        <w:t>750.</w:t>
      </w:r>
      <w:r>
        <w:tab/>
        <w:t>Другим существенным изменением действующего законодательства стало включение понятия совместного права собственности на семейное имущество, в то время как раньше права других членов семьи ограничивались правом пользования указанного имущества (прежняя статья 724). В результате женщина не имела возможности защищать свои права и, несмотря на свой вклад в создание семейной собственности, не всегда фигурировала в качестве субъекта права. В настоящее время статья 725 предусматривает:</w:t>
      </w:r>
    </w:p>
    <w:p w:rsidR="00000000" w:rsidRDefault="00000000">
      <w:pPr>
        <w:tabs>
          <w:tab w:val="left" w:pos="284"/>
        </w:tabs>
        <w:ind w:left="284" w:hanging="284"/>
      </w:pPr>
      <w:r>
        <w:tab/>
      </w:r>
      <w:r>
        <w:rPr>
          <w:i/>
        </w:rPr>
        <w:t>"Статья 725. Создание семейной собственности означает передачу права собственности на имущество, на которое оно распространяется, членам семьи, получающим данную собственность, причем их имена и фамилии должны быть указаны при подаче заявления об образовании семейной собственности"</w:t>
      </w:r>
      <w:r>
        <w:t>.</w:t>
      </w:r>
    </w:p>
    <w:p w:rsidR="00000000" w:rsidRDefault="00000000">
      <w:r>
        <w:t>751.</w:t>
      </w:r>
      <w:r>
        <w:tab/>
        <w:t>Лицо, представляющее получателей имущества, на которое распространяется право на семейную собственность, в отношениях с третьими лицами, отныне назначается большинством в рамках самой семьи. Прежние положения в первую очередь отдавали эту прерогативу, как и право распоряжаться имуществом, лицу, образовавшему семейную собственность, почти всегда отцу. В настоящее время статья 726 гласит:</w:t>
      </w:r>
    </w:p>
    <w:p w:rsidR="00000000" w:rsidRDefault="00000000">
      <w:pPr>
        <w:tabs>
          <w:tab w:val="left" w:pos="284"/>
        </w:tabs>
        <w:ind w:left="284" w:hanging="284"/>
      </w:pPr>
      <w:r>
        <w:tab/>
      </w:r>
      <w:r>
        <w:rPr>
          <w:i/>
        </w:rPr>
        <w:t>"Статья 726. Получателей имущества, на которое распространяется семейная собственность, в отношениях с третьими лицами по вопросам собственности представляет лицо, избранное большинством"</w:t>
      </w:r>
      <w:r>
        <w:t>.</w:t>
      </w:r>
    </w:p>
    <w:p w:rsidR="00000000" w:rsidRDefault="00000000">
      <w:r>
        <w:t>752.</w:t>
      </w:r>
      <w:r>
        <w:tab/>
        <w:t xml:space="preserve">Статья 727 гласит: </w:t>
      </w:r>
      <w:r>
        <w:rPr>
          <w:i/>
        </w:rPr>
        <w:t>"Имущество, на которое распространяется право семейной собственности, является неотчуждаемым и неотъемлемым, на него не может быть наложен арест, оно не может облагаться сборами"</w:t>
      </w:r>
      <w:r>
        <w:t>.</w:t>
      </w:r>
    </w:p>
    <w:p w:rsidR="00000000" w:rsidRDefault="00000000">
      <w:r>
        <w:t>753.</w:t>
      </w:r>
      <w:r>
        <w:tab/>
        <w:t>Для образования семейной собственности пересмотренная статья 731 устанавливает:</w:t>
      </w:r>
    </w:p>
    <w:p w:rsidR="00000000" w:rsidRDefault="00000000">
      <w:pPr>
        <w:tabs>
          <w:tab w:val="left" w:pos="284"/>
        </w:tabs>
        <w:ind w:left="284" w:hanging="284"/>
      </w:pPr>
      <w:r>
        <w:tab/>
      </w:r>
      <w:r>
        <w:rPr>
          <w:i/>
        </w:rPr>
        <w:t>"Статья 731. Члены семьи, желающие образовать семейную собственность, через своего общего представителя подают в суд по семейным делам письменное заявление, в котором точно указывают все движимое и недвижимое имущество для записи в Государственный регистр</w:t>
      </w:r>
      <w:r>
        <w:t>.</w:t>
      </w:r>
    </w:p>
    <w:p w:rsidR="00000000" w:rsidRDefault="00000000">
      <w:r>
        <w:t>В заявлении необходимо указать:</w:t>
      </w:r>
    </w:p>
    <w:p w:rsidR="00000000" w:rsidRDefault="00000000">
      <w:pPr>
        <w:tabs>
          <w:tab w:val="clear" w:pos="567"/>
          <w:tab w:val="left" w:pos="284"/>
        </w:tabs>
        <w:ind w:left="680" w:hanging="396"/>
        <w:rPr>
          <w:i/>
        </w:rPr>
      </w:pPr>
      <w:r>
        <w:rPr>
          <w:i/>
          <w:lang w:val="en-US"/>
        </w:rPr>
        <w:t>I</w:t>
      </w:r>
      <w:r>
        <w:rPr>
          <w:i/>
        </w:rPr>
        <w:t>.</w:t>
      </w:r>
      <w:r>
        <w:rPr>
          <w:i/>
        </w:rPr>
        <w:tab/>
        <w:t>имена членов семьи;</w:t>
      </w:r>
    </w:p>
    <w:p w:rsidR="00000000" w:rsidRDefault="00000000">
      <w:pPr>
        <w:tabs>
          <w:tab w:val="clear" w:pos="567"/>
          <w:tab w:val="left" w:pos="284"/>
        </w:tabs>
        <w:ind w:left="680" w:hanging="396"/>
        <w:rPr>
          <w:i/>
        </w:rPr>
      </w:pPr>
      <w:r>
        <w:rPr>
          <w:i/>
          <w:lang w:val="en-US"/>
        </w:rPr>
        <w:t>II</w:t>
      </w:r>
      <w:r>
        <w:rPr>
          <w:i/>
        </w:rPr>
        <w:t>.</w:t>
      </w:r>
      <w:r>
        <w:rPr>
          <w:i/>
        </w:rPr>
        <w:tab/>
        <w:t>место жительства семьи;</w:t>
      </w:r>
    </w:p>
    <w:p w:rsidR="00000000" w:rsidRDefault="00000000">
      <w:pPr>
        <w:tabs>
          <w:tab w:val="clear" w:pos="567"/>
          <w:tab w:val="left" w:pos="284"/>
        </w:tabs>
        <w:ind w:left="680" w:hanging="396"/>
        <w:rPr>
          <w:i/>
        </w:rPr>
      </w:pPr>
      <w:r>
        <w:rPr>
          <w:i/>
          <w:lang w:val="en-US"/>
        </w:rPr>
        <w:t>III</w:t>
      </w:r>
      <w:r>
        <w:rPr>
          <w:i/>
        </w:rPr>
        <w:t>.</w:t>
      </w:r>
      <w:r>
        <w:rPr>
          <w:i/>
        </w:rPr>
        <w:tab/>
        <w:t>имя владельца имущества, образующего семейную собственность, а также документы, подтверждающие право на собственность и удостоверяющие, что данное имущество свободно от залога и иных обязательств;</w:t>
      </w:r>
    </w:p>
    <w:p w:rsidR="00000000" w:rsidRDefault="00000000">
      <w:pPr>
        <w:tabs>
          <w:tab w:val="clear" w:pos="567"/>
          <w:tab w:val="left" w:pos="284"/>
        </w:tabs>
        <w:ind w:left="680" w:hanging="396"/>
      </w:pPr>
      <w:r>
        <w:rPr>
          <w:i/>
          <w:lang w:val="en-US"/>
        </w:rPr>
        <w:t>IV</w:t>
      </w:r>
      <w:r>
        <w:rPr>
          <w:i/>
        </w:rPr>
        <w:t>.</w:t>
      </w:r>
      <w:r>
        <w:rPr>
          <w:i/>
        </w:rPr>
        <w:tab/>
        <w:t>стоимость имущества, образующего семейную собственность, не должна превышать сумму, установленную статьей 730 настоящего Кодекса"</w:t>
      </w:r>
      <w:r>
        <w:t>.</w:t>
      </w:r>
    </w:p>
    <w:p w:rsidR="00000000" w:rsidRDefault="00000000">
      <w:r>
        <w:t>754.</w:t>
      </w:r>
      <w:r>
        <w:tab/>
        <w:t>Что касается прекращения существования семейной собственности, то пересмотренные статьи 741, 742, 746 и дополнительная статья 746 bis Гражданского кодекса создают более прочную основу для ее защиты. Объявление о прекращении существования семейной собственности находится исключительно в ведении суда по семейным делам и осуществляется в соответствии с процедурой, установленной Гражданско-процессуальным кодексом федерального округа, и впоследствии оформляется в органах государственной регистрации. После прекращения существования семейной собственности имущество подлежит ликвидации, а полученные суммы распределяются в равных долях.</w:t>
      </w:r>
    </w:p>
    <w:p w:rsidR="00000000" w:rsidRDefault="00000000">
      <w:r>
        <w:t>755.</w:t>
      </w:r>
      <w:r>
        <w:tab/>
        <w:t>Новая статья 746 bis устанавливает также следующее:</w:t>
      </w:r>
    </w:p>
    <w:p w:rsidR="00000000" w:rsidRDefault="00000000">
      <w:pPr>
        <w:tabs>
          <w:tab w:val="left" w:pos="284"/>
        </w:tabs>
        <w:ind w:left="284" w:hanging="284"/>
      </w:pPr>
      <w:r>
        <w:tab/>
      </w:r>
      <w:r>
        <w:rPr>
          <w:i/>
        </w:rPr>
        <w:t>"Статья 746 bis. В случае смерти одного из членов семьи его наследники, если таковые имеются, имеют право на наследуемую часть собственности после ее ликвидации; в отсутствие наследников наследуемые части распределяются между остальными членами семьи"</w:t>
      </w:r>
      <w:r>
        <w:t>.</w:t>
      </w:r>
    </w:p>
    <w:p w:rsidR="00000000" w:rsidRDefault="00000000">
      <w:r>
        <w:t>756.</w:t>
      </w:r>
      <w:r>
        <w:tab/>
        <w:t>Более подробные сведения о режиме собственности супругов и разделе имущества в браке приведены в следующем разделе, посвященном статье 16 Конвенции.</w:t>
      </w:r>
    </w:p>
    <w:p w:rsidR="00000000" w:rsidRDefault="00000000">
      <w:pPr>
        <w:pStyle w:val="Heading2"/>
      </w:pPr>
      <w:r>
        <w:br w:type="page"/>
        <w:t>СТАТЬЯ 16</w:t>
      </w:r>
    </w:p>
    <w:p w:rsidR="00000000" w:rsidRDefault="00000000">
      <w:r>
        <w:t>757.</w:t>
      </w:r>
      <w:r>
        <w:tab/>
        <w:t>До сведения Комитета по ликвидации дискриминации в отношении женщин доводится, что со времени представления Мексикой третьего и четвертого объединенного доклада в законодательстве по вопросам прав, охраняемых статьей 16 Конвенции, был достигнут значительный прогресс.</w:t>
      </w:r>
    </w:p>
    <w:p w:rsidR="00000000" w:rsidRDefault="00000000">
      <w:r>
        <w:t>758.</w:t>
      </w:r>
      <w:r>
        <w:tab/>
        <w:t>В результате пересмотра положений Гражданского кодекса федерального округа (общие вопросы) и Республики (вопросы федерального ведения), которые были закреплены Декретом, опубликованным 25 мая 2000 года в "Гасета Офисиаль" федерального округа, были внесены важнейшие изменения в законодательство по вопросам брака и семейных отношений. Благодаря этому юридическое равенство женщин обрело законную силу.</w:t>
      </w:r>
    </w:p>
    <w:p w:rsidR="00000000" w:rsidRDefault="00000000">
      <w:r>
        <w:t>759.</w:t>
      </w:r>
      <w:r>
        <w:tab/>
        <w:t xml:space="preserve">В Гражданский кодекс была включена общая глава "О семье" с целью регулирования и поощрения всестороннего развития членов семьи и гармоничных семейных отношений как в законном браке, так и во внебрачном сожительстве и в отношениях между родственниками. Эта глава играет большую роль для защиты жертв насилия в семье, в том числе сожительниц, что согласуется с установленной в законе необходимостью предоставления защиты всем женщинам, невзирая на те или иные частные ситуации. Глава включает статьи </w:t>
      </w:r>
      <w:r>
        <w:br/>
        <w:t>138 ter – 138 sexter, которые гласят:</w:t>
      </w:r>
    </w:p>
    <w:p w:rsidR="00000000" w:rsidRDefault="00000000">
      <w:pPr>
        <w:tabs>
          <w:tab w:val="left" w:pos="284"/>
        </w:tabs>
        <w:ind w:left="284"/>
        <w:rPr>
          <w:i/>
        </w:rPr>
      </w:pPr>
      <w:r>
        <w:rPr>
          <w:i/>
        </w:rPr>
        <w:t>"Статья 138 ter. Положения, относящиеся к семье, представляют государственный и общественный интерес и направлены на ее защиту и на всестороннее развитие ее членов на основе уважения их достоинства".</w:t>
      </w:r>
    </w:p>
    <w:p w:rsidR="00000000" w:rsidRDefault="00000000">
      <w:pPr>
        <w:tabs>
          <w:tab w:val="left" w:pos="284"/>
        </w:tabs>
        <w:ind w:left="284"/>
        <w:rPr>
          <w:i/>
        </w:rPr>
      </w:pPr>
      <w:r>
        <w:rPr>
          <w:i/>
        </w:rPr>
        <w:t>"Статья 138 quáter. Юридические отношения между членами семьи представляют собой совокупность обязанностей, прав и обязательств лиц, входящих в состав семьи".</w:t>
      </w:r>
    </w:p>
    <w:p w:rsidR="00000000" w:rsidRDefault="00000000">
      <w:pPr>
        <w:pStyle w:val="BodyTextIndent"/>
        <w:tabs>
          <w:tab w:val="left" w:pos="680"/>
        </w:tabs>
      </w:pPr>
      <w:r>
        <w:t>"Статья 138 quintus. Юридические отношения между членами семьи, порождающие обязанности, права и обязательства, возникают между лицами в результате заключения брака, в силу родства или сожительства".</w:t>
      </w:r>
    </w:p>
    <w:p w:rsidR="00000000" w:rsidRDefault="00000000">
      <w:pPr>
        <w:tabs>
          <w:tab w:val="left" w:pos="284"/>
        </w:tabs>
        <w:ind w:left="284"/>
      </w:pPr>
      <w:r>
        <w:rPr>
          <w:i/>
        </w:rPr>
        <w:t>"Статья 138 sexter. Члены семьи должны проявлять внимание, солидарность и взаимное уважение в процессе развития семейных отношений"</w:t>
      </w:r>
      <w:r>
        <w:t>.</w:t>
      </w:r>
    </w:p>
    <w:p w:rsidR="00000000" w:rsidRDefault="00000000">
      <w:r>
        <w:t>760.</w:t>
      </w:r>
      <w:r>
        <w:tab/>
        <w:t xml:space="preserve">После пересмотра кодекса в Разделе 5 "О браке" Книги </w:t>
      </w:r>
      <w:r>
        <w:rPr>
          <w:lang w:val="en-US"/>
        </w:rPr>
        <w:t>I</w:t>
      </w:r>
      <w:r>
        <w:t xml:space="preserve"> была упразднена глава 1 "О помолвке" ввиду неэффективности этого положения, в котором говорилось о письменном обещании вступить в брак.</w:t>
      </w:r>
    </w:p>
    <w:p w:rsidR="00000000" w:rsidRDefault="00000000">
      <w:r>
        <w:t>761.</w:t>
      </w:r>
      <w:r>
        <w:tab/>
        <w:t>Что касается условий, необходимых для заключения брака, содержащихся в главе II того же раздела, статья 146 была пересмотрена: вместо простой констатации положения процедурного характера она была дополнена определением, которое согласуется с требованиями времени к институту брака:</w:t>
      </w:r>
    </w:p>
    <w:p w:rsidR="00000000" w:rsidRDefault="00000000">
      <w:pPr>
        <w:tabs>
          <w:tab w:val="left" w:pos="284"/>
        </w:tabs>
        <w:ind w:left="284" w:hanging="284"/>
      </w:pPr>
      <w:r>
        <w:tab/>
      </w:r>
      <w:r>
        <w:rPr>
          <w:i/>
        </w:rPr>
        <w:t>"Статья 146. Брак является свободным союзом мужчины и женщины для совместной жизни на основе уважения, равенства и взаимной помощи, предусматривающим возможность свободного, ответственного и информированного решения о рождении детей. Брак заключается в органах государственной регистрации с соблюдением всех формальностей, установленных законом"</w:t>
      </w:r>
      <w:r>
        <w:t>.</w:t>
      </w:r>
    </w:p>
    <w:p w:rsidR="00000000" w:rsidRDefault="00000000">
      <w:r>
        <w:t>762.</w:t>
      </w:r>
      <w:r>
        <w:tab/>
        <w:t xml:space="preserve">Исходя из содержания статьи 146, в статье 147 положение, гласившее </w:t>
      </w:r>
      <w:r>
        <w:rPr>
          <w:i/>
        </w:rPr>
        <w:t>"Любое условие, препятствующее выполнению таких обязанностей супругов, как продолжение рода либо оказание взаимной помощи, считается недействительным"</w:t>
      </w:r>
      <w:r>
        <w:t xml:space="preserve">, было заменено на следующее: </w:t>
      </w:r>
      <w:r>
        <w:rPr>
          <w:i/>
        </w:rPr>
        <w:t>"Договоренности между лицами, заключившими брак, считаются недействительными, если они противоречат положениям предыдущей статьи"</w:t>
      </w:r>
      <w:r>
        <w:t>.</w:t>
      </w:r>
    </w:p>
    <w:p w:rsidR="00000000" w:rsidRDefault="00000000">
      <w:r>
        <w:t>763.</w:t>
      </w:r>
      <w:r>
        <w:tab/>
        <w:t xml:space="preserve">В Гражданском кодексе закреплено, что в семье супруги пользуются равной властью и уважением (статья 168). Отныне устанавливается, что оба супруга могут заниматься любой деятельностью, не запрещенной законом (статья 169). Благодаря дополнению, внесенному в статью 164 bis, в кодексе также признается важность домашнего труда, который обычно осуществляется женщиной: </w:t>
      </w:r>
      <w:r>
        <w:rPr>
          <w:i/>
        </w:rPr>
        <w:t>"Работа по дому или уход за детьми расцениваются как экономический вклад в содержание семьи"</w:t>
      </w:r>
      <w:r>
        <w:t>.</w:t>
      </w:r>
    </w:p>
    <w:p w:rsidR="00000000" w:rsidRDefault="00000000">
      <w:r>
        <w:t>764.</w:t>
      </w:r>
      <w:r>
        <w:tab/>
        <w:t>В отношении внебрачного сожительства в Гражданский кодекс была включена глава с новыми статьями 291 bis, 291 ter, 291 quáter, 291 quintus, в которых устанавливается:</w:t>
      </w:r>
    </w:p>
    <w:p w:rsidR="00000000" w:rsidRDefault="00000000">
      <w:pPr>
        <w:tabs>
          <w:tab w:val="left" w:pos="284"/>
        </w:tabs>
        <w:ind w:left="284" w:hanging="284"/>
        <w:rPr>
          <w:i/>
        </w:rPr>
      </w:pPr>
      <w:r>
        <w:tab/>
      </w:r>
      <w:r>
        <w:rPr>
          <w:i/>
        </w:rPr>
        <w:t>"Статья 291 bis. Сожитель и сожительница имеют взаимные права и обязанности, если они, не имея законных препятствий для заключения брака, постоянно проживали вместе не менее двух лет, предшествующих возникновению прав и обязанностей, рассматриваемых в этой главе.</w:t>
      </w:r>
    </w:p>
    <w:p w:rsidR="00000000" w:rsidRDefault="00000000">
      <w:pPr>
        <w:tabs>
          <w:tab w:val="left" w:pos="284"/>
        </w:tabs>
        <w:ind w:left="284"/>
        <w:rPr>
          <w:i/>
        </w:rPr>
      </w:pPr>
      <w:r>
        <w:rPr>
          <w:i/>
        </w:rPr>
        <w:t>Указанный период времени не является необходимым, если они, при выполнении прочих требований, имеют общего ребенка.</w:t>
      </w:r>
    </w:p>
    <w:p w:rsidR="00000000" w:rsidRDefault="00000000">
      <w:pPr>
        <w:pStyle w:val="BodyTextIndent"/>
        <w:tabs>
          <w:tab w:val="left" w:pos="680"/>
        </w:tabs>
      </w:pPr>
      <w:r>
        <w:t>Если одно и то же лицо одновременно связано несколькими союзами описанного выше характера, ни один из них не может быть признан сожительством. Добросовестный партнер может в судебном порядке требовать компенсации за причиненный ущерб и убытки.</w:t>
      </w:r>
    </w:p>
    <w:p w:rsidR="00000000" w:rsidRDefault="00000000">
      <w:pPr>
        <w:tabs>
          <w:tab w:val="left" w:pos="284"/>
        </w:tabs>
        <w:ind w:left="284"/>
        <w:rPr>
          <w:i/>
        </w:rPr>
      </w:pPr>
      <w:r>
        <w:rPr>
          <w:i/>
        </w:rPr>
        <w:t>Статья 291 ter. На внебрачное сожительство распространяются все права и обязанности, характерные для семьи, в той мере, в которой они могут быть применимы.</w:t>
      </w:r>
    </w:p>
    <w:p w:rsidR="00000000" w:rsidRDefault="00000000">
      <w:pPr>
        <w:tabs>
          <w:tab w:val="left" w:pos="284"/>
        </w:tabs>
        <w:ind w:left="284"/>
        <w:rPr>
          <w:i/>
        </w:rPr>
      </w:pPr>
      <w:r>
        <w:rPr>
          <w:i/>
        </w:rPr>
        <w:t>Статья 291 quáter. Сожительство порождает между сожителями право на алименты и наследование независимо от других прав и обязанностей, признанных в данном кодексе и в иных законах.</w:t>
      </w:r>
    </w:p>
    <w:p w:rsidR="00000000" w:rsidRDefault="00000000">
      <w:pPr>
        <w:tabs>
          <w:tab w:val="left" w:pos="284"/>
        </w:tabs>
        <w:ind w:left="284"/>
        <w:rPr>
          <w:i/>
        </w:rPr>
      </w:pPr>
      <w:r>
        <w:rPr>
          <w:i/>
        </w:rPr>
        <w:t>Статья 291 quintus. После прекращения сожительства сожительница или сожитель, не имеющий доходов или имущества, достаточного для его содержания, имеет право на получение алиментов в течение времени, равного продолжительности совместного проживания. Не может требовать выплаты алиментов лицо, продемонстрировавшее неблагодарность, сожительствующее с другим лицом или вступившее в брак.</w:t>
      </w:r>
    </w:p>
    <w:p w:rsidR="00000000" w:rsidRDefault="00000000">
      <w:pPr>
        <w:tabs>
          <w:tab w:val="left" w:pos="284"/>
        </w:tabs>
        <w:ind w:left="284" w:hanging="284"/>
      </w:pPr>
      <w:r>
        <w:rPr>
          <w:i/>
        </w:rPr>
        <w:tab/>
        <w:t>Право, предоставляемое данной статьей, может осуществляться только в течение года, следующего за прекращением сожительства"</w:t>
      </w:r>
      <w:r>
        <w:t>.</w:t>
      </w:r>
    </w:p>
    <w:p w:rsidR="00000000" w:rsidRDefault="00000000">
      <w:r>
        <w:t>765.</w:t>
      </w:r>
      <w:r>
        <w:tab/>
        <w:t>Относительно минимального возраста для вступления в брак новый закон требует, чтобы оба супруга были совершеннолетними. Применительно к несовершеннолетним установлен одинаковый минимальный возраст 16 лет для женщин и мужчин, причем в этом случае необходимо согласие лиц, осуществляющих родительские права или опеку, либо судьи по семейным делам. Настоящая статья 148 гласит:</w:t>
      </w:r>
    </w:p>
    <w:p w:rsidR="00000000" w:rsidRDefault="00000000">
      <w:pPr>
        <w:tabs>
          <w:tab w:val="left" w:pos="284"/>
        </w:tabs>
        <w:spacing w:after="0"/>
        <w:ind w:left="284" w:hanging="284"/>
        <w:rPr>
          <w:i/>
        </w:rPr>
      </w:pPr>
      <w:r>
        <w:rPr>
          <w:i/>
        </w:rPr>
        <w:tab/>
        <w:t>"Статья 148. Для вступления в брак необходимо, чтобы оба супруга были совершеннолетними.</w:t>
      </w:r>
    </w:p>
    <w:p w:rsidR="00000000" w:rsidRDefault="00000000">
      <w:pPr>
        <w:tabs>
          <w:tab w:val="left" w:pos="284"/>
        </w:tabs>
        <w:ind w:left="284" w:hanging="284"/>
      </w:pPr>
      <w:r>
        <w:tab/>
      </w:r>
      <w:r>
        <w:rPr>
          <w:i/>
        </w:rPr>
        <w:t>Несовершеннолетние могут вступить в брак, если обоим супругам исполнилось 16 лет. Для этого необходимо согласие лиц, осуществляющих родительские права, а в случае их отсутствия– опекуна; в случае отсутствия опекуна, отказа или невозможности дать согласие последними согласие выдается судьей по семейным делам с учетом особых обстоятельств дела"</w:t>
      </w:r>
      <w:r>
        <w:t>.</w:t>
      </w:r>
    </w:p>
    <w:p w:rsidR="00000000" w:rsidRDefault="00000000">
      <w:r>
        <w:t>766.</w:t>
      </w:r>
      <w:r>
        <w:tab/>
        <w:t>Равным образом статья 156 среди препятствий для вступления в брак устанавливает такие, как недостижение требуемого по закону возраста (18 лет), а также отсутствие согласия лиц, осуществляющих родительские права или опеку, либо судьи по семейным делам, уполномоченного рассматривать дела несовершеннолетних.</w:t>
      </w:r>
    </w:p>
    <w:p w:rsidR="00000000" w:rsidRDefault="00000000">
      <w:r>
        <w:t>767.</w:t>
      </w:r>
      <w:r>
        <w:tab/>
        <w:t>Внесение изменений в Гражданский кодекс затронуло область установления отцовства и материнства.</w:t>
      </w:r>
    </w:p>
    <w:p w:rsidR="00000000" w:rsidRDefault="00000000">
      <w:r>
        <w:t>768.</w:t>
      </w:r>
      <w:r>
        <w:tab/>
        <w:t xml:space="preserve">Статья 162 согласуется со статьей 4 Конституции и защищает равенство репродуктивных прав в браке. Статья гласит: </w:t>
      </w:r>
      <w:r>
        <w:rPr>
          <w:i/>
        </w:rPr>
        <w:t>"Супруги имеют право на принятие свободного, информированного и ответственного решения о числе детей и интервалах между их рождением, а также использовать в установленном законом порядке любой вид помощи для воспроизводства потомства. Это право осуществляется супругами по взаимному согласию".</w:t>
      </w:r>
    </w:p>
    <w:p w:rsidR="00000000" w:rsidRDefault="00000000">
      <w:r>
        <w:t>769.</w:t>
      </w:r>
      <w:r>
        <w:tab/>
        <w:t>В статье 59 упразднено упоминание о "детях, родившихся в браке", с тем чтобы при оформлении свидетельства о рождении изначально не дискредитировать детей, родившихся вне брака.</w:t>
      </w:r>
    </w:p>
    <w:p w:rsidR="00000000" w:rsidRDefault="00000000">
      <w:r>
        <w:t>770.</w:t>
      </w:r>
      <w:r>
        <w:tab/>
        <w:t>Кроме того, отменена предоставлявшаяся отцу возможность добровольного признания детей, рожденных вне брака, в то время как признание таких детей матерью вменялось ей в обязанность. Теперь статья 60 гласит:</w:t>
      </w:r>
    </w:p>
    <w:p w:rsidR="00000000" w:rsidRDefault="00000000">
      <w:pPr>
        <w:tabs>
          <w:tab w:val="left" w:pos="284"/>
        </w:tabs>
        <w:ind w:left="284" w:hanging="284"/>
        <w:rPr>
          <w:i/>
        </w:rPr>
      </w:pPr>
      <w:r>
        <w:tab/>
      </w:r>
      <w:r>
        <w:rPr>
          <w:i/>
        </w:rPr>
        <w:t>"Статья 60. Отец и мать обязаны признать своих детей.</w:t>
      </w:r>
    </w:p>
    <w:p w:rsidR="00000000" w:rsidRDefault="00000000">
      <w:pPr>
        <w:tabs>
          <w:tab w:val="left" w:pos="284"/>
        </w:tabs>
        <w:ind w:left="284" w:hanging="284"/>
        <w:rPr>
          <w:i/>
        </w:rPr>
      </w:pPr>
      <w:r>
        <w:rPr>
          <w:i/>
        </w:rPr>
        <w:tab/>
        <w:t>Если они не состоят в браке, признание детей осуществляется обоими родителями лично либо их представителями в органах государственной регистрации.</w:t>
      </w:r>
    </w:p>
    <w:p w:rsidR="00000000" w:rsidRDefault="00000000">
      <w:pPr>
        <w:tabs>
          <w:tab w:val="left" w:pos="284"/>
        </w:tabs>
        <w:ind w:left="284" w:hanging="284"/>
        <w:rPr>
          <w:i/>
        </w:rPr>
      </w:pPr>
      <w:r>
        <w:rPr>
          <w:i/>
        </w:rPr>
        <w:tab/>
        <w:t>Установление как материнства, так и отцовства производится в судебном порядке в соответствии с положениями настоящего Кодекса.</w:t>
      </w:r>
    </w:p>
    <w:p w:rsidR="00000000" w:rsidRDefault="00000000">
      <w:pPr>
        <w:tabs>
          <w:tab w:val="left" w:pos="284"/>
        </w:tabs>
        <w:ind w:left="284" w:hanging="284"/>
      </w:pPr>
      <w:r>
        <w:rPr>
          <w:i/>
        </w:rPr>
        <w:tab/>
        <w:t>Помимо имен родителей в свидетельстве о рождении указываются их гражданство и место жительства"</w:t>
      </w:r>
      <w:r>
        <w:t>.</w:t>
      </w:r>
    </w:p>
    <w:p w:rsidR="00000000" w:rsidRDefault="00000000">
      <w:r>
        <w:t>771.</w:t>
      </w:r>
      <w:r>
        <w:tab/>
        <w:t>В пересмотренном Гражданском кодексе не упоминаются "незаконнорожденные дети", "внебрачные дети", "дети от кровосмесительной связи". Была также изъята глава "Предоставление незаконным детям прав законных детей". Кроме того, в статьях 63 и 324 установлено, что любой ребенок, родившийся в браке, считается ребенком супругов, если не будет доказано обратное. Последняя из указанных статей устанавливает также, что дети, родившиеся в течение трехсот дней после расторжения брака, считаются детьми бывшего супруга. В пересмотренной статье 383 Гражданский кодекс предусматривает защиту детей, рожденных в сожительстве.</w:t>
      </w:r>
    </w:p>
    <w:p w:rsidR="00000000" w:rsidRDefault="00000000">
      <w:pPr>
        <w:pStyle w:val="BodyText"/>
        <w:spacing w:before="0" w:after="240"/>
        <w:rPr>
          <w:b w:val="0"/>
        </w:rPr>
      </w:pPr>
      <w:r>
        <w:rPr>
          <w:b w:val="0"/>
        </w:rPr>
        <w:t>772.</w:t>
      </w:r>
      <w:r>
        <w:rPr>
          <w:b w:val="0"/>
        </w:rPr>
        <w:tab/>
        <w:t xml:space="preserve">В результате пересмотра положений Гражданского кодекса была упразднена также статья 158, которая гласила: </w:t>
      </w:r>
      <w:r>
        <w:rPr>
          <w:b w:val="0"/>
          <w:i/>
        </w:rPr>
        <w:t>"Женщина может вступить в повторный брак лишь по прошествии 300 дней после расторжения предыдущего брака, за исключением случаев, связанных с рождением ребенка в течение указанного периода. В случаях признания брака недействительным или развода указанный срок может отсчитываться с момента прекращения совместного проживания"</w:t>
      </w:r>
      <w:r>
        <w:rPr>
          <w:b w:val="0"/>
        </w:rPr>
        <w:t>.</w:t>
      </w:r>
    </w:p>
    <w:p w:rsidR="00000000" w:rsidRDefault="00000000">
      <w:pPr>
        <w:pStyle w:val="BodyText"/>
        <w:spacing w:before="0" w:after="240"/>
        <w:rPr>
          <w:b w:val="0"/>
        </w:rPr>
      </w:pPr>
      <w:r>
        <w:rPr>
          <w:b w:val="0"/>
        </w:rPr>
        <w:t>773.</w:t>
      </w:r>
      <w:r>
        <w:rPr>
          <w:b w:val="0"/>
        </w:rPr>
        <w:tab/>
        <w:t>В результате пересмотра Гражданского кодекса были также упразднены все преимущества родителей отца по сравнению с родителями матери, например в отношении обязанности заявлять о рождении ребенка (статья 59).</w:t>
      </w:r>
    </w:p>
    <w:p w:rsidR="00000000" w:rsidRDefault="00000000">
      <w:pPr>
        <w:pStyle w:val="BodyText"/>
        <w:spacing w:before="0" w:after="240"/>
        <w:rPr>
          <w:b w:val="0"/>
        </w:rPr>
      </w:pPr>
      <w:r>
        <w:rPr>
          <w:b w:val="0"/>
        </w:rPr>
        <w:t>774.</w:t>
      </w:r>
      <w:r>
        <w:rPr>
          <w:b w:val="0"/>
        </w:rPr>
        <w:tab/>
        <w:t>В области усыновления действующие статьи 86 и 87 Гражданского кодекса гласят:</w:t>
      </w:r>
    </w:p>
    <w:p w:rsidR="00000000" w:rsidRDefault="00000000">
      <w:pPr>
        <w:pStyle w:val="BodyText"/>
        <w:tabs>
          <w:tab w:val="left" w:pos="284"/>
        </w:tabs>
        <w:spacing w:before="0" w:after="240"/>
        <w:ind w:left="284" w:hanging="284"/>
        <w:rPr>
          <w:b w:val="0"/>
        </w:rPr>
      </w:pPr>
      <w:r>
        <w:rPr>
          <w:b w:val="0"/>
        </w:rPr>
        <w:tab/>
      </w:r>
      <w:r>
        <w:rPr>
          <w:b w:val="0"/>
          <w:i/>
        </w:rPr>
        <w:t>"Статья 86. В случае усыновления оформляется такое же свидетельство о рождении, что и свидетельство, выдаваемое биологическим родителям на их детей, при условии соблюдения положений следующей статьи"</w:t>
      </w:r>
      <w:r>
        <w:rPr>
          <w:b w:val="0"/>
        </w:rPr>
        <w:t>.</w:t>
      </w:r>
    </w:p>
    <w:p w:rsidR="00000000" w:rsidRDefault="00000000">
      <w:pPr>
        <w:pStyle w:val="BodyText"/>
        <w:tabs>
          <w:tab w:val="left" w:pos="284"/>
        </w:tabs>
        <w:spacing w:before="0" w:after="240"/>
        <w:ind w:left="284" w:hanging="284"/>
        <w:rPr>
          <w:b w:val="0"/>
        </w:rPr>
      </w:pPr>
      <w:r>
        <w:rPr>
          <w:b w:val="0"/>
        </w:rPr>
        <w:tab/>
      </w:r>
      <w:r>
        <w:rPr>
          <w:b w:val="0"/>
          <w:i/>
        </w:rPr>
        <w:t>"Статья 87. В случае усыновления производятся соответствующие записи в первоначальное свидетельство о рождении, которое подлежит хранению в архиве. Не допускается упоминание или разглашение факта усыновления, за исключением установленного в судебном порядке"</w:t>
      </w:r>
      <w:r>
        <w:rPr>
          <w:b w:val="0"/>
        </w:rPr>
        <w:t>.</w:t>
      </w:r>
    </w:p>
    <w:p w:rsidR="00000000" w:rsidRDefault="00000000">
      <w:pPr>
        <w:pStyle w:val="BodyText"/>
        <w:spacing w:before="0" w:after="240"/>
        <w:rPr>
          <w:b w:val="0"/>
        </w:rPr>
      </w:pPr>
      <w:r>
        <w:rPr>
          <w:b w:val="0"/>
        </w:rPr>
        <w:t>775.</w:t>
      </w:r>
      <w:r>
        <w:rPr>
          <w:b w:val="0"/>
        </w:rPr>
        <w:tab/>
        <w:t xml:space="preserve">В Гражданский кодекс было включено положение о полном усыновлении и отменено положение о простом усыновлении. Это сделано с целью признания отцовства и материнства независимо от того, возникло ли оно в браке или в сожительстве, а также для защиты прав детей. Действующая статья 293 устанавливает следующее: </w:t>
      </w:r>
      <w:r>
        <w:rPr>
          <w:b w:val="0"/>
          <w:i/>
        </w:rPr>
        <w:t>"В случае усыновления отношения между усыновляемым и усыновителем, родственниками последнего и потомками первого приравниваются к кровнородственным"</w:t>
      </w:r>
      <w:r>
        <w:rPr>
          <w:b w:val="0"/>
        </w:rPr>
        <w:t>. Если же наличествует кровнородственная связь с усыновляемым несовершеннолетним или инвалидом, то устанавливается гражданское родство. В результате усыновленный ребенок имеет в семье усыновителя (усыновителей) те же права, обязанности и обязательства, что и родной ребенок (статья 410-А).</w:t>
      </w:r>
    </w:p>
    <w:p w:rsidR="00000000" w:rsidRDefault="00000000">
      <w:pPr>
        <w:pStyle w:val="BodyText"/>
        <w:spacing w:before="0" w:after="240"/>
        <w:rPr>
          <w:b w:val="0"/>
        </w:rPr>
      </w:pPr>
      <w:r>
        <w:rPr>
          <w:b w:val="0"/>
        </w:rPr>
        <w:t>776.</w:t>
      </w:r>
      <w:r>
        <w:rPr>
          <w:b w:val="0"/>
        </w:rPr>
        <w:tab/>
        <w:t>Новая статья 410-С, кроме того, позволяет органам записи актов гражданского состояния воздерживаться от предоставления сведений о биологической семье усыновленного ребенка, за исключением случаев, установленных законом. В то же время статья 410-В защищает права отца или матери несовершеннолетнего ребенка, который может быть усыновлен только с их согласия.</w:t>
      </w:r>
    </w:p>
    <w:p w:rsidR="00000000" w:rsidRDefault="00000000">
      <w:pPr>
        <w:pStyle w:val="BodyText"/>
        <w:spacing w:before="0" w:after="240"/>
        <w:rPr>
          <w:b w:val="0"/>
        </w:rPr>
      </w:pPr>
      <w:r>
        <w:rPr>
          <w:b w:val="0"/>
        </w:rPr>
        <w:t>777.</w:t>
      </w:r>
      <w:r>
        <w:rPr>
          <w:b w:val="0"/>
        </w:rPr>
        <w:tab/>
        <w:t>Статья 293 признает за детьми, родившимися в результате искусственного оплодотворения, кровное родство с лицами, давшими на это согласие.</w:t>
      </w:r>
    </w:p>
    <w:p w:rsidR="00000000" w:rsidRDefault="00000000">
      <w:pPr>
        <w:pStyle w:val="BodyText"/>
        <w:spacing w:before="0" w:after="240"/>
        <w:rPr>
          <w:b w:val="0"/>
        </w:rPr>
      </w:pPr>
      <w:r>
        <w:rPr>
          <w:b w:val="0"/>
        </w:rPr>
        <w:t>778.</w:t>
      </w:r>
      <w:r>
        <w:rPr>
          <w:b w:val="0"/>
        </w:rPr>
        <w:tab/>
        <w:t xml:space="preserve">В отношении родства действующая статья 338 гласит: </w:t>
      </w:r>
      <w:r>
        <w:rPr>
          <w:b w:val="0"/>
          <w:i/>
        </w:rPr>
        <w:t>"Родством является отношение между отцом или матерью и ребенком, которые образуют первичное социальное ядро семьи; следовательно, родство не может быть предметом договоренности или сделки сторон и не подлежит рассмотрению в третейском суде"</w:t>
      </w:r>
      <w:r>
        <w:rPr>
          <w:b w:val="0"/>
        </w:rPr>
        <w:t>.</w:t>
      </w:r>
    </w:p>
    <w:p w:rsidR="00000000" w:rsidRDefault="00000000">
      <w:pPr>
        <w:pStyle w:val="BodyText"/>
        <w:spacing w:before="0" w:after="240"/>
        <w:rPr>
          <w:b w:val="0"/>
        </w:rPr>
      </w:pPr>
      <w:r>
        <w:rPr>
          <w:b w:val="0"/>
        </w:rPr>
        <w:t>779.</w:t>
      </w:r>
      <w:r>
        <w:rPr>
          <w:b w:val="0"/>
        </w:rPr>
        <w:tab/>
        <w:t>Что касается имущества, новое гражданское законодательство закрепляет, что брак должен заключаться либо в режиме единой супружеской собственности, либо в режиме раздельного имущества. Для этого будущие супруги должны составить договор об определении своих имущественных прав, который представляет собой соглашение об образовании режима собственности в браке и регламентации распоряжения имуществом обоими супругами, за исключением случаев, когда договором устанавливается иное; в период действия брака договор может быть изменен в суде по семейным делам.</w:t>
      </w:r>
    </w:p>
    <w:p w:rsidR="00000000" w:rsidRDefault="00000000">
      <w:pPr>
        <w:pStyle w:val="BodyText"/>
        <w:spacing w:before="0" w:after="240"/>
        <w:rPr>
          <w:b w:val="0"/>
        </w:rPr>
      </w:pPr>
      <w:r>
        <w:rPr>
          <w:b w:val="0"/>
        </w:rPr>
        <w:t>780.</w:t>
      </w:r>
      <w:r>
        <w:rPr>
          <w:b w:val="0"/>
        </w:rPr>
        <w:tab/>
        <w:t>В отношении режима единой супружеской собственности в новых статьях 182 ter и 182 quater Гражданского кодекса устанавливается, что, пока не доказано, что имущество и доходы, полученные одним из супругов, принадлежат только ему, они образуют общую супружескую собственность и принадлежат обоим супругам в равных долях. Это положение защищает женщин, занятых домашним трудом.</w:t>
      </w:r>
    </w:p>
    <w:p w:rsidR="00000000" w:rsidRDefault="00000000">
      <w:pPr>
        <w:pStyle w:val="BodyText"/>
        <w:spacing w:before="0" w:after="240"/>
        <w:rPr>
          <w:b w:val="0"/>
        </w:rPr>
      </w:pPr>
      <w:r>
        <w:rPr>
          <w:b w:val="0"/>
        </w:rPr>
        <w:t>781.</w:t>
      </w:r>
      <w:r>
        <w:rPr>
          <w:b w:val="0"/>
        </w:rPr>
        <w:tab/>
        <w:t>Новая статья 182 quintus гласит:</w:t>
      </w:r>
    </w:p>
    <w:p w:rsidR="00000000" w:rsidRDefault="00000000">
      <w:pPr>
        <w:pStyle w:val="BodyText"/>
        <w:tabs>
          <w:tab w:val="clear" w:pos="567"/>
          <w:tab w:val="left" w:pos="284"/>
          <w:tab w:val="left" w:pos="709"/>
        </w:tabs>
        <w:spacing w:before="0" w:after="240"/>
        <w:ind w:left="284" w:hanging="284"/>
        <w:rPr>
          <w:b w:val="0"/>
          <w:i/>
        </w:rPr>
      </w:pPr>
      <w:r>
        <w:rPr>
          <w:b w:val="0"/>
        </w:rPr>
        <w:tab/>
      </w:r>
      <w:r>
        <w:rPr>
          <w:b w:val="0"/>
          <w:i/>
        </w:rPr>
        <w:t>"В режиме единой супружеской собственности каждому супругу принадлежат, за исключением установленного в договоре об определении имущественных прав супругов:</w:t>
      </w:r>
    </w:p>
    <w:p w:rsidR="00000000" w:rsidRDefault="00000000">
      <w:pPr>
        <w:pStyle w:val="BodyText"/>
        <w:tabs>
          <w:tab w:val="clear" w:pos="567"/>
          <w:tab w:val="left" w:pos="284"/>
          <w:tab w:val="left" w:pos="709"/>
        </w:tabs>
        <w:spacing w:before="0" w:after="240"/>
        <w:ind w:left="709" w:hanging="709"/>
        <w:rPr>
          <w:b w:val="0"/>
          <w:i/>
        </w:rPr>
      </w:pPr>
      <w:r>
        <w:rPr>
          <w:b w:val="0"/>
          <w:i/>
        </w:rPr>
        <w:tab/>
      </w:r>
      <w:r>
        <w:rPr>
          <w:b w:val="0"/>
          <w:i/>
          <w:lang w:val="en-US"/>
        </w:rPr>
        <w:t>I</w:t>
      </w:r>
      <w:r>
        <w:rPr>
          <w:b w:val="0"/>
          <w:i/>
        </w:rPr>
        <w:t>.</w:t>
      </w:r>
      <w:r>
        <w:rPr>
          <w:b w:val="0"/>
          <w:i/>
        </w:rPr>
        <w:tab/>
        <w:t>имущество и права, принадлежащие ему к моменту заключения брака, а также те, которыми он владеет до заключения брака, даже если он не является их владельцем, но приобретает права на них по давности в период брака;</w:t>
      </w:r>
    </w:p>
    <w:p w:rsidR="00000000" w:rsidRDefault="00000000">
      <w:pPr>
        <w:pStyle w:val="BodyText"/>
        <w:tabs>
          <w:tab w:val="clear" w:pos="567"/>
          <w:tab w:val="left" w:pos="284"/>
          <w:tab w:val="left" w:pos="709"/>
        </w:tabs>
        <w:spacing w:before="0" w:after="240"/>
        <w:ind w:left="709" w:hanging="709"/>
        <w:rPr>
          <w:b w:val="0"/>
          <w:i/>
        </w:rPr>
      </w:pPr>
      <w:r>
        <w:rPr>
          <w:b w:val="0"/>
          <w:i/>
        </w:rPr>
        <w:tab/>
      </w:r>
      <w:r>
        <w:rPr>
          <w:b w:val="0"/>
          <w:i/>
          <w:lang w:val="en-US"/>
        </w:rPr>
        <w:t>II</w:t>
      </w:r>
      <w:r>
        <w:rPr>
          <w:b w:val="0"/>
          <w:i/>
        </w:rPr>
        <w:t>.</w:t>
      </w:r>
      <w:r>
        <w:rPr>
          <w:b w:val="0"/>
          <w:i/>
        </w:rPr>
        <w:tab/>
        <w:t>имущество, полученное после вступления в брак по наследству, завещанию, дарению или случайно;</w:t>
      </w:r>
    </w:p>
    <w:p w:rsidR="00000000" w:rsidRDefault="00000000">
      <w:pPr>
        <w:pStyle w:val="BodyText"/>
        <w:tabs>
          <w:tab w:val="clear" w:pos="567"/>
          <w:tab w:val="left" w:pos="284"/>
          <w:tab w:val="left" w:pos="709"/>
        </w:tabs>
        <w:spacing w:before="0" w:after="240"/>
        <w:ind w:left="709" w:hanging="709"/>
        <w:rPr>
          <w:b w:val="0"/>
          <w:i/>
        </w:rPr>
      </w:pPr>
      <w:r>
        <w:rPr>
          <w:b w:val="0"/>
          <w:i/>
        </w:rPr>
        <w:tab/>
      </w:r>
      <w:r>
        <w:rPr>
          <w:b w:val="0"/>
          <w:i/>
          <w:lang w:val="en-US"/>
        </w:rPr>
        <w:t>III</w:t>
      </w:r>
      <w:r>
        <w:rPr>
          <w:b w:val="0"/>
          <w:i/>
        </w:rPr>
        <w:t>.</w:t>
      </w:r>
      <w:r>
        <w:rPr>
          <w:b w:val="0"/>
          <w:i/>
        </w:rPr>
        <w:tab/>
        <w:t>имущество, приобретенное единолично до вступления в брак, даже если получение прав собственности состоялось после заключения брака, при условии, что все сопутствующие виды оплат были произведены хозяином данного имущества;</w:t>
      </w:r>
    </w:p>
    <w:p w:rsidR="00000000" w:rsidRDefault="00000000">
      <w:pPr>
        <w:pStyle w:val="BodyText"/>
        <w:tabs>
          <w:tab w:val="clear" w:pos="567"/>
          <w:tab w:val="left" w:pos="284"/>
          <w:tab w:val="left" w:pos="709"/>
        </w:tabs>
        <w:spacing w:before="0" w:after="240"/>
        <w:ind w:left="709" w:hanging="709"/>
        <w:rPr>
          <w:b w:val="0"/>
          <w:i/>
          <w:lang w:val="en-US"/>
        </w:rPr>
      </w:pPr>
      <w:r>
        <w:rPr>
          <w:b w:val="0"/>
          <w:i/>
        </w:rPr>
        <w:tab/>
      </w:r>
      <w:r>
        <w:rPr>
          <w:b w:val="0"/>
          <w:i/>
          <w:lang w:val="en-US"/>
        </w:rPr>
        <w:t>IV</w:t>
      </w:r>
      <w:r>
        <w:rPr>
          <w:b w:val="0"/>
          <w:i/>
        </w:rPr>
        <w:t>.</w:t>
      </w:r>
      <w:r>
        <w:rPr>
          <w:b w:val="0"/>
          <w:i/>
        </w:rPr>
        <w:tab/>
        <w:t>имущество, приобретенное в результате продажи или обмена собственного имущества;</w:t>
      </w:r>
    </w:p>
    <w:p w:rsidR="00000000" w:rsidRDefault="00000000">
      <w:pPr>
        <w:pStyle w:val="BodyText"/>
        <w:tabs>
          <w:tab w:val="clear" w:pos="567"/>
          <w:tab w:val="left" w:pos="284"/>
          <w:tab w:val="left" w:pos="709"/>
        </w:tabs>
        <w:spacing w:before="0" w:after="240"/>
        <w:ind w:left="709" w:hanging="709"/>
        <w:rPr>
          <w:b w:val="0"/>
          <w:i/>
        </w:rPr>
      </w:pPr>
      <w:r>
        <w:rPr>
          <w:b w:val="0"/>
          <w:i/>
          <w:lang w:val="en-US"/>
        </w:rPr>
        <w:tab/>
        <w:t>V</w:t>
      </w:r>
      <w:r>
        <w:rPr>
          <w:b w:val="0"/>
          <w:i/>
        </w:rPr>
        <w:t>.</w:t>
      </w:r>
      <w:r>
        <w:rPr>
          <w:b w:val="0"/>
          <w:i/>
        </w:rPr>
        <w:tab/>
        <w:t>предметы личного пользования;</w:t>
      </w:r>
    </w:p>
    <w:p w:rsidR="00000000" w:rsidRDefault="00000000">
      <w:pPr>
        <w:pStyle w:val="BodyText"/>
        <w:tabs>
          <w:tab w:val="clear" w:pos="567"/>
          <w:tab w:val="left" w:pos="284"/>
          <w:tab w:val="left" w:pos="709"/>
        </w:tabs>
        <w:spacing w:before="0" w:after="240"/>
        <w:ind w:left="709" w:hanging="709"/>
        <w:rPr>
          <w:b w:val="0"/>
          <w:i/>
        </w:rPr>
      </w:pPr>
      <w:r>
        <w:rPr>
          <w:b w:val="0"/>
          <w:i/>
        </w:rPr>
        <w:tab/>
      </w:r>
      <w:r>
        <w:rPr>
          <w:b w:val="0"/>
          <w:i/>
          <w:lang w:val="en-US"/>
        </w:rPr>
        <w:t>VI</w:t>
      </w:r>
      <w:r>
        <w:rPr>
          <w:b w:val="0"/>
          <w:i/>
        </w:rPr>
        <w:t>.</w:t>
      </w:r>
      <w:r>
        <w:rPr>
          <w:b w:val="0"/>
          <w:i/>
        </w:rPr>
        <w:tab/>
        <w:t>инструменты, необходимые для работы по профессии в области искусств или ремесел, за исключением тех случаев, когда они относятся или принадлежат заведению или хозяйству, входящему в режим единой супружеской собственности;</w:t>
      </w:r>
    </w:p>
    <w:p w:rsidR="00000000" w:rsidRDefault="00000000">
      <w:pPr>
        <w:pStyle w:val="BodyText"/>
        <w:tabs>
          <w:tab w:val="clear" w:pos="567"/>
          <w:tab w:val="left" w:pos="284"/>
          <w:tab w:val="left" w:pos="709"/>
        </w:tabs>
        <w:spacing w:before="0" w:after="240"/>
        <w:ind w:left="709" w:hanging="709"/>
        <w:rPr>
          <w:b w:val="0"/>
        </w:rPr>
      </w:pPr>
      <w:r>
        <w:rPr>
          <w:b w:val="0"/>
          <w:i/>
        </w:rPr>
        <w:tab/>
      </w:r>
      <w:r>
        <w:rPr>
          <w:b w:val="0"/>
          <w:i/>
          <w:lang w:val="en-US"/>
        </w:rPr>
        <w:t>VII</w:t>
      </w:r>
      <w:r>
        <w:rPr>
          <w:b w:val="0"/>
          <w:i/>
        </w:rPr>
        <w:t>.</w:t>
      </w:r>
      <w:r>
        <w:rPr>
          <w:b w:val="0"/>
          <w:i/>
        </w:rPr>
        <w:tab/>
        <w:t>имущество, купленное в рассрочку одним из супругов до заключения брака, исключается из единой супружеской собственности, если вся отсроченная сумма или ее часть была выплачена из денег того же супруга. Это правило не распространяется на жилье, предметы домашнего обихода и мебель".</w:t>
      </w:r>
    </w:p>
    <w:p w:rsidR="00000000" w:rsidRDefault="00000000">
      <w:pPr>
        <w:pStyle w:val="BodyText"/>
        <w:spacing w:before="0" w:after="240"/>
        <w:rPr>
          <w:b w:val="0"/>
        </w:rPr>
      </w:pPr>
      <w:r>
        <w:rPr>
          <w:b w:val="0"/>
        </w:rPr>
        <w:t>782.</w:t>
      </w:r>
      <w:r>
        <w:rPr>
          <w:b w:val="0"/>
        </w:rPr>
        <w:tab/>
        <w:t>В случае возникновения спорных вопросов при разводе, как добровольном, так и вынужденном, наибольшие трудности в отношении определения имущества супругов семейным судьей представляет режим единой супружеской собственности.</w:t>
      </w:r>
    </w:p>
    <w:p w:rsidR="00000000" w:rsidRDefault="00000000">
      <w:r>
        <w:t>783.</w:t>
      </w:r>
      <w:r>
        <w:tab/>
        <w:t>Согласно статьям 203 и 204 Гражданского кодекса в случае распада единой супружеской собственности составляется ее перечень, из которого исключаются спальные принадлежности, повседневная одежда и предметы личного и профессионального пользования супругов; судья по семейным делам определяет порядок раздела между супругами собственности, оставшейся после очередных платежей, в соответствии с порядком, установленным в договоре об определении имущественных прав, либо, если таковой отсутствует, в соответствии с общими положениями о супружеской собственности.</w:t>
      </w:r>
    </w:p>
    <w:p w:rsidR="00000000" w:rsidRDefault="00000000">
      <w:r>
        <w:t>784.</w:t>
      </w:r>
      <w:r>
        <w:tab/>
        <w:t>В режиме раздела имущества при разводе супруги имеют право требовать в судебном порядке от другого супруга (статья 289 bis) компенсацию в размере до 50 процентов стоимости имущества, приобретенного в период брака. Для этого необходимо, чтобы истец в период брака занимался главным образом домашней работой и уходом за детьми и не приобрел собственного имущества либо чтобы стоимость приобретенного им имущества была значительно меньше, чем стоимость имущества другой стороны.</w:t>
      </w:r>
    </w:p>
    <w:p w:rsidR="00000000" w:rsidRDefault="00000000">
      <w:r>
        <w:t>785.</w:t>
      </w:r>
      <w:r>
        <w:tab/>
        <w:t>При рассмотрении в суде дел о вынужденном разводе, в том числе по причине насилия в семье, новые положения статьи 288 Гражданского кодекса предусматривают, что судья по семейным делам обязывает виновного супруга выплатить компенсацию в виде алиментов в пользу пострадавшего супруга, если последний не имеет имущества, либо в период брака занимался главным образом домашней работой или уходом за детьми, или не имеет возможности работать. Кроме того, в случае добровольного развода через суд та же статья предусматривает, что женщина имеет право на получение алиментов в течение периода времени, равного продолжительности брака. Женщина может пользоваться этим правом при отсутствии достаточных доходов и до вступления в повторный брак или до начала другого сожительства.</w:t>
      </w:r>
    </w:p>
    <w:p w:rsidR="00000000" w:rsidRDefault="00000000">
      <w:r>
        <w:t>786.</w:t>
      </w:r>
      <w:r>
        <w:tab/>
        <w:t>Статья 245 пересмотренного Гражданского кодекса устанавливает, что физическое и психологическое насилие является причиной признания брака недействительным при наличии одного из следующих обстоятельств:</w:t>
      </w:r>
    </w:p>
    <w:p w:rsidR="00000000" w:rsidRDefault="00000000">
      <w:pPr>
        <w:tabs>
          <w:tab w:val="clear" w:pos="567"/>
          <w:tab w:val="left" w:pos="284"/>
        </w:tabs>
        <w:ind w:left="680" w:hanging="680"/>
        <w:rPr>
          <w:i/>
          <w:lang w:val="en-US"/>
        </w:rPr>
      </w:pPr>
      <w:r>
        <w:rPr>
          <w:i/>
        </w:rPr>
        <w:tab/>
      </w:r>
      <w:r>
        <w:rPr>
          <w:i/>
          <w:lang w:val="en-US"/>
        </w:rPr>
        <w:t>I</w:t>
      </w:r>
      <w:r>
        <w:rPr>
          <w:i/>
        </w:rPr>
        <w:t>.</w:t>
      </w:r>
      <w:r>
        <w:rPr>
          <w:i/>
        </w:rPr>
        <w:tab/>
        <w:t>если оно создало угрозу для жизни, чести, свободы, здоровья или значительной части имущества;</w:t>
      </w:r>
    </w:p>
    <w:p w:rsidR="00000000" w:rsidRDefault="00000000">
      <w:pPr>
        <w:tabs>
          <w:tab w:val="clear" w:pos="567"/>
          <w:tab w:val="left" w:pos="284"/>
        </w:tabs>
        <w:ind w:left="680" w:hanging="680"/>
        <w:rPr>
          <w:i/>
          <w:lang w:val="en-US"/>
        </w:rPr>
      </w:pPr>
      <w:r>
        <w:rPr>
          <w:i/>
          <w:lang w:val="en-US"/>
        </w:rPr>
        <w:tab/>
        <w:t>II</w:t>
      </w:r>
      <w:r>
        <w:rPr>
          <w:i/>
        </w:rPr>
        <w:t>.</w:t>
      </w:r>
      <w:r>
        <w:rPr>
          <w:i/>
        </w:rPr>
        <w:tab/>
        <w:t>если оно было совершено в отношении супруга, лица или лиц, на которых распространялись родительские права или опека при заключении брака, их предков, потомков, родных и неродных братьев и сестер до четвертой степени родства;</w:t>
      </w:r>
    </w:p>
    <w:p w:rsidR="00000000" w:rsidRDefault="00000000">
      <w:pPr>
        <w:tabs>
          <w:tab w:val="clear" w:pos="567"/>
          <w:tab w:val="left" w:pos="284"/>
        </w:tabs>
        <w:ind w:left="680" w:hanging="680"/>
      </w:pPr>
      <w:r>
        <w:rPr>
          <w:i/>
          <w:lang w:val="en-US"/>
        </w:rPr>
        <w:tab/>
        <w:t>III</w:t>
      </w:r>
      <w:r>
        <w:rPr>
          <w:i/>
        </w:rPr>
        <w:t>.</w:t>
      </w:r>
      <w:r>
        <w:rPr>
          <w:i/>
        </w:rPr>
        <w:tab/>
        <w:t>если оно сопровождало заключение брака.</w:t>
      </w:r>
    </w:p>
    <w:p w:rsidR="00000000" w:rsidRDefault="00000000">
      <w:r>
        <w:t>787.</w:t>
      </w:r>
      <w:r>
        <w:tab/>
        <w:t>Пересмотрев статью 267, Ассамблея представителей зафиксировала причины развода, среди которых следует отметить насилие в семье, совершенное или дозволенное одним из супругов в отношении другого либо в отношении общих детей или детей одного из них. Эти же обстоятельства могут явиться причиной лишения, приостановления или ограничения родительских прав (статья 444).</w:t>
      </w:r>
    </w:p>
    <w:p w:rsidR="00000000" w:rsidRDefault="00000000">
      <w:r>
        <w:t>788.</w:t>
      </w:r>
      <w:r>
        <w:tab/>
        <w:t>До сведения Комитета доводится, что были также установлены некоторые процедуры, позволяющие применять временные меры по защите имущества женщин и семейной собственности при разводе. Так, согласно статье 282 Гражданского кодекса, с момента подачи заявления о разводе и в период рассмотрения дела в суде судья по семейным делам может вынести решение о применении временных мер во избежание использования семейного жилища.</w:t>
      </w:r>
    </w:p>
    <w:p w:rsidR="00000000" w:rsidRDefault="00000000">
      <w:r>
        <w:t>789.</w:t>
      </w:r>
      <w:r>
        <w:tab/>
        <w:t>В статьях 272 А, 290 и 299 пересмотренного Гражданско-процессуального кодекса федерального округа, который также был обнародован в Декрете от 25 мая 2000 года в "Гасета Офисиаль" федерального округа, установлен порядок проведения судьей предварительного разбирательства и примирительной процедуры между сторонами, а также порядок установления минимальных сроков для представления, приема и рассмотрения доказательств в том случае, если примирение сторон окажется невозможным. Эти сроки могут быть сокращены в случае вынужденного развода, вызванного насилием в семье.</w:t>
      </w:r>
    </w:p>
    <w:p w:rsidR="00000000" w:rsidRDefault="00000000">
      <w:r>
        <w:t>790.</w:t>
      </w:r>
      <w:r>
        <w:tab/>
        <w:t>Наряду с этими реформами, направленными на защиту вклада женщин в семейную собственность, была проведена информационная кампания для судей по семейным делам, посвященная особому положению женщин, и в том числе в период расторжения брака. На Национальном коллоквиуме "Применение Конвенции о ликвидации всех форм дискриминации в отношении женщин и Конвенции о правах ребенка в процессе отправления правосудия", который состоялся в декабре 1999 года в рамках двадцатой годовщины Конвенции о ликвидации всех форм дискриминации в отношении женщин, десятой годовщины Конвенции о правах ребенка и пятой годовщины Межамериканской конвенции о предотвращении и искоренении насилия в отношении женщин и наказании за него, или Конвенции Белем-ду-Пара, была вновь выражена обеспокоенность в связи тем положением, которое складывается на практике при разводе, когда семейная собственность остается у мужчины.</w:t>
      </w:r>
    </w:p>
    <w:p w:rsidR="00000000" w:rsidRDefault="00000000">
      <w:r>
        <w:t>791.</w:t>
      </w:r>
      <w:r>
        <w:tab/>
        <w:t>Принимавшие участие в коллоквиуме судьи высших и низших инстанций всех 25 административных единиц страны говорили о трудностях, с которыми они сталкиваются, когда необходимо доказать вклад женщин в создание собственности, особенно если женщина занимается домашней работой. Учитывая это обстоятельство, судьи рекомендовали университетам и научным учреждениям углубить исследования финансовых и нефинансовых вкладов в жизнь семьи и роли женщин в семье, а также предпринять поиски, если это необходимо, новых юридических формулировок для справедливой оценки вклада супругов при разделе семейной собственности, как, например, формулировка, утвержденная Законодательной ассамблеей федерального округа.</w:t>
      </w:r>
    </w:p>
    <w:p w:rsidR="00000000" w:rsidRDefault="00000000">
      <w:pPr>
        <w:pStyle w:val="a"/>
      </w:pPr>
      <w:r>
        <w:br w:type="page"/>
        <w:t>Часть III</w:t>
      </w:r>
    </w:p>
    <w:p w:rsidR="00000000" w:rsidRDefault="00000000">
      <w:pPr>
        <w:pStyle w:val="a"/>
        <w:spacing w:after="0"/>
      </w:pPr>
      <w:r>
        <w:t xml:space="preserve">Реализация в Мексике Платформы действий, </w:t>
      </w:r>
      <w:r>
        <w:rPr>
          <w:lang w:val="en-US"/>
        </w:rPr>
        <w:br/>
      </w:r>
      <w:r>
        <w:t xml:space="preserve">принятой на четвертой Всемирной конференции </w:t>
      </w:r>
      <w:r>
        <w:rPr>
          <w:lang w:val="en-US"/>
        </w:rPr>
        <w:br/>
      </w:r>
      <w:r>
        <w:t xml:space="preserve">по положению женщин, </w:t>
      </w:r>
    </w:p>
    <w:p w:rsidR="00000000" w:rsidRDefault="00000000">
      <w:pPr>
        <w:pStyle w:val="a"/>
        <w:spacing w:after="0"/>
      </w:pPr>
      <w:r>
        <w:t>и</w:t>
      </w:r>
    </w:p>
    <w:p w:rsidR="00000000" w:rsidRDefault="00000000">
      <w:pPr>
        <w:pStyle w:val="a"/>
        <w:spacing w:after="0"/>
      </w:pPr>
      <w:r>
        <w:t>рекомендации по применению Конвенции,</w:t>
      </w:r>
      <w:r>
        <w:br/>
        <w:t>внесенные государственными учреждениями</w:t>
      </w:r>
      <w:r>
        <w:br/>
        <w:t>и общественными организациями</w:t>
      </w:r>
    </w:p>
    <w:p w:rsidR="00000000" w:rsidRDefault="00000000">
      <w:pPr>
        <w:pStyle w:val="BodyText2"/>
        <w:rPr>
          <w:lang w:val="en-US"/>
        </w:rPr>
      </w:pPr>
    </w:p>
    <w:p w:rsidR="00000000" w:rsidRDefault="00000000">
      <w:pPr>
        <w:pStyle w:val="Heading2"/>
        <w:spacing w:before="360"/>
      </w:pPr>
      <w:r>
        <w:t xml:space="preserve">РЕАЛИЗАЦИЯ В МЕКСИКЕ ПЛАТФОРМЫ ДЕЙСТВИЙ, </w:t>
      </w:r>
      <w:r>
        <w:rPr>
          <w:lang w:val="en-US"/>
        </w:rPr>
        <w:br/>
      </w:r>
      <w:r>
        <w:t xml:space="preserve">ПРИНЯТОЙ НА ЧЕТВЕРТОЙ ВСЕМИРНОЙ КОНФЕРЕНЦИИ </w:t>
      </w:r>
      <w:r>
        <w:rPr>
          <w:lang w:val="en-US"/>
        </w:rPr>
        <w:br/>
      </w:r>
      <w:r>
        <w:t>ПО ПОЛОЖЕНИЮ ЖЕНЩИН</w:t>
      </w:r>
    </w:p>
    <w:p w:rsidR="00000000" w:rsidRDefault="00000000">
      <w:pPr>
        <w:pStyle w:val="Heading3"/>
      </w:pPr>
      <w:r>
        <w:t>Мексика в процессе "Пекин + 5"</w:t>
      </w:r>
    </w:p>
    <w:p w:rsidR="00000000" w:rsidRDefault="00000000">
      <w:pPr>
        <w:pStyle w:val="BodyText2"/>
        <w:rPr>
          <w:b w:val="0"/>
          <w:caps w:val="0"/>
        </w:rPr>
      </w:pPr>
      <w:r>
        <w:rPr>
          <w:b w:val="0"/>
          <w:caps w:val="0"/>
        </w:rPr>
        <w:t>792.</w:t>
      </w:r>
      <w:r>
        <w:rPr>
          <w:b w:val="0"/>
          <w:caps w:val="0"/>
        </w:rPr>
        <w:tab/>
        <w:t>Принимая во внимание резолюции 52/100 и 53/120, в которых Генеральная Ассамблея Организации Объединенных Наций призвала правительства разработать доклады о реализации Пекинской платформы действий, уделяя особое внимание позитивным факторам, приобретенному опыту, препятствиям, основным нерешенным проблемам и путям достижения гендерного равенства в следующем тысячелетии, Национальная комиссия по делам женщин совместно с Координационным отделом по делам женщин Министерства иностранных дел подготовила документ "Мексика: Ответы на вопросы анкеты, направленной правительствам, о реализации Пекинской платформы действий". Эта анкета была разослана различным общественным организациям, политическим партиям и комиссиям Национального конгресса по вопросам гендерного равенства.</w:t>
      </w:r>
    </w:p>
    <w:p w:rsidR="00000000" w:rsidRDefault="00000000">
      <w:pPr>
        <w:pStyle w:val="BodyText2"/>
        <w:rPr>
          <w:b w:val="0"/>
          <w:caps w:val="0"/>
        </w:rPr>
      </w:pPr>
      <w:r>
        <w:rPr>
          <w:b w:val="0"/>
          <w:caps w:val="0"/>
        </w:rPr>
        <w:t>793.</w:t>
      </w:r>
      <w:r>
        <w:rPr>
          <w:b w:val="0"/>
          <w:caps w:val="0"/>
        </w:rPr>
        <w:tab/>
        <w:t>Для обсуждения этого документа в мае 1999 года было проведено информационно-консультативное совещание по оценке процесса "Пекин + 5". Это положило начало процессу "Пекин + 5", направленному на оценку реализации в Мексике Пекинской платформы действий,</w:t>
      </w:r>
      <w:r>
        <w:t xml:space="preserve"> </w:t>
      </w:r>
      <w:r>
        <w:rPr>
          <w:b w:val="0"/>
          <w:caps w:val="0"/>
        </w:rPr>
        <w:t>принятой четвертой Всемирной конференцией по положению женщин, для ее представления на специальной сессии Генеральной Ассамблеи Организации Объединенных Наций в июне 2000 года. Предложения и комментарии участников совещания были учтены при разработке окончательного варианта этого документа, который в мае того же года был направлен в Организацию Объединенных Наций.</w:t>
      </w:r>
    </w:p>
    <w:p w:rsidR="00000000" w:rsidRDefault="00000000">
      <w:pPr>
        <w:pStyle w:val="Heading3"/>
      </w:pPr>
      <w:r>
        <w:t>Доклад Мексики</w:t>
      </w:r>
    </w:p>
    <w:p w:rsidR="00000000" w:rsidRDefault="00000000">
      <w:pPr>
        <w:pStyle w:val="BodyText2"/>
        <w:rPr>
          <w:b w:val="0"/>
          <w:caps w:val="0"/>
        </w:rPr>
      </w:pPr>
      <w:r>
        <w:rPr>
          <w:b w:val="0"/>
          <w:caps w:val="0"/>
        </w:rPr>
        <w:t>794.</w:t>
      </w:r>
      <w:r>
        <w:rPr>
          <w:b w:val="0"/>
          <w:caps w:val="0"/>
        </w:rPr>
        <w:tab/>
        <w:t>В июне 1999 года для подготовки доклада Мексики, который должен быть представлен специальной сессии Генеральной Ассамблеи Организации Объединенных Наций, был образован Межведомственный технический комитет "Пекин + 5". Образование Комитета и организация его работы были поручены Общему координационному совету Национальной комиссии по делам женщин. В состав двенадцати рабочих групп комитета вошли представители государственных учреждений, неправительственных организаций, научных центров и учебных заведений, общественных организаций. Работу этих групп координировали представители Министерства социального развития ("Женщины и бедность"); Министерства просвещения ("Образование и профессиональная подготовка женщин"); Министерства здравоохранения ("Женщины и здравоохранение"); Национальной программы борьбы против насилия в семье ("Насилие в отношении женщин"); Национальной комиссии по делам женщин и Координационного совета по развитию диалога и переговорного процесса в Чьяпас при Министерстве внутренних дел ("Женщины и вооруженные конфликты"); Министерства труда и социального обеспечения ("Женщины и экономика"); Национальной комиссии по делам женщин ("Женщины, власть и принятие решений" и "Конституционные механизмы повышения роли женщин"); Национальной комиссии по делам женщин и Министерства иностранных дел ("Женщины и права человека"); Национальной комиссии по делам женщин ("Женщины и средства коммуникации"); Министерства окружающей среды, природных ресурсов и рыболовства ("Женщины и окружающая среда"); Национальной системы комплексного развития семьи ("Положение девочек").</w:t>
      </w:r>
    </w:p>
    <w:p w:rsidR="00000000" w:rsidRDefault="00000000">
      <w:pPr>
        <w:pStyle w:val="BodyText2"/>
        <w:rPr>
          <w:b w:val="0"/>
          <w:caps w:val="0"/>
        </w:rPr>
      </w:pPr>
      <w:r>
        <w:rPr>
          <w:b w:val="0"/>
          <w:caps w:val="0"/>
        </w:rPr>
        <w:t>795.</w:t>
      </w:r>
      <w:r>
        <w:rPr>
          <w:b w:val="0"/>
          <w:caps w:val="0"/>
        </w:rPr>
        <w:tab/>
        <w:t>В Комитете были также представлены Национальный совет по народонаселению, Национальный институт статистики, географии и информатики, комиссии по вопросам гендерного равенства сената, палаты депутатов и Законодательной ассамблеи федерального округа, а также Консультативный совет и Социальная инспекция при Национальной программе по улучшению положения женщин.</w:t>
      </w:r>
    </w:p>
    <w:p w:rsidR="00000000" w:rsidRDefault="00000000">
      <w:pPr>
        <w:pStyle w:val="BodyText2"/>
        <w:rPr>
          <w:b w:val="0"/>
          <w:caps w:val="0"/>
        </w:rPr>
      </w:pPr>
      <w:r>
        <w:rPr>
          <w:b w:val="0"/>
          <w:caps w:val="0"/>
        </w:rPr>
        <w:t>796.</w:t>
      </w:r>
      <w:r>
        <w:rPr>
          <w:b w:val="0"/>
          <w:caps w:val="0"/>
        </w:rPr>
        <w:tab/>
        <w:t>Доклад Мексики, который был представлен в июне этого года специальной сессии Генеральной Ассамблеи Организации Объединенных Наций, информирует о достигнутых успехах, препятствиях, которые предстоит преодолеть, а также об изменениях, необходимых для того, чтобы жить в более справедливом обществе. В докладе обобщены усилия правительства и общественных организаций за пятилетие, завершающее один из этапов истории Мексики и всего мира.</w:t>
      </w:r>
    </w:p>
    <w:p w:rsidR="00000000" w:rsidRDefault="00000000">
      <w:pPr>
        <w:pStyle w:val="BodyText2"/>
        <w:rPr>
          <w:b w:val="0"/>
          <w:caps w:val="0"/>
        </w:rPr>
      </w:pPr>
      <w:r>
        <w:rPr>
          <w:b w:val="0"/>
          <w:caps w:val="0"/>
        </w:rPr>
        <w:t>797.</w:t>
      </w:r>
      <w:r>
        <w:rPr>
          <w:b w:val="0"/>
          <w:caps w:val="0"/>
        </w:rPr>
        <w:tab/>
        <w:t>Информация, содержащаяся в указанном документе, была включена в ряд статей настоящего, пятого периодического доклада Мексики, который представляется во исполнение статьи 18 Конвенции о ликвидации всех форм дискриминации в отношении женщин. Исключение составляют некоторые проблемы, которым уделяется особое внимание в Пекинской платформе действий, а именно проблемы положения девочек, положения женщин в связи с окружающей средой, а также роли неправительственных организаций. Поэтому представляется уместным воспроизвести три главы "Резюме доклада Мексики о реализации Платформы действий, принятой на четвертой Всемирной конференции по положению женщин".</w:t>
      </w:r>
    </w:p>
    <w:p w:rsidR="00000000" w:rsidRDefault="00000000">
      <w:pPr>
        <w:pStyle w:val="Heading3"/>
        <w:jc w:val="center"/>
      </w:pPr>
      <w:r>
        <w:t>Положение девочек</w:t>
      </w:r>
    </w:p>
    <w:p w:rsidR="00000000" w:rsidRDefault="00000000">
      <w:pPr>
        <w:pStyle w:val="Heading4"/>
      </w:pPr>
      <w:r>
        <w:t>Позиция правительства Мексики</w:t>
      </w:r>
    </w:p>
    <w:p w:rsidR="00000000" w:rsidRDefault="00000000">
      <w:pPr>
        <w:pStyle w:val="BodyText2"/>
        <w:rPr>
          <w:b w:val="0"/>
          <w:caps w:val="0"/>
        </w:rPr>
      </w:pPr>
      <w:r>
        <w:rPr>
          <w:b w:val="0"/>
          <w:caps w:val="0"/>
        </w:rPr>
        <w:t>798.</w:t>
      </w:r>
      <w:r>
        <w:rPr>
          <w:b w:val="0"/>
          <w:caps w:val="0"/>
        </w:rPr>
        <w:tab/>
        <w:t>Несмотря на то что в 1959 году Организация Объединенных Наций приняла Декларацию прав ребенка, в первой главе которой провозглашается необходимость того, чтобы дети пользовались всеми без исключения правами, изложенными в данной Декларации, без различия и дискриминации по расовым, половым, экономическим, религиозным и любым другим признакам, указанное положение не применялось в полной мере.</w:t>
      </w:r>
    </w:p>
    <w:p w:rsidR="00000000" w:rsidRDefault="00000000">
      <w:pPr>
        <w:pStyle w:val="BodyText2"/>
        <w:rPr>
          <w:b w:val="0"/>
          <w:caps w:val="0"/>
        </w:rPr>
      </w:pPr>
      <w:r>
        <w:rPr>
          <w:b w:val="0"/>
          <w:caps w:val="0"/>
        </w:rPr>
        <w:t>799.</w:t>
      </w:r>
      <w:r>
        <w:rPr>
          <w:b w:val="0"/>
          <w:caps w:val="0"/>
        </w:rPr>
        <w:tab/>
        <w:t>Три десятилетия спустя в национальных и иностранных исследованиях, представленных на Международной встрече в защиту детства, было показано, что, несмотря на некоторые успехи, положение детей, особенно в менее развитых странах, остается тревожным.</w:t>
      </w:r>
    </w:p>
    <w:p w:rsidR="00000000" w:rsidRDefault="00000000">
      <w:pPr>
        <w:pStyle w:val="BodyText2"/>
        <w:rPr>
          <w:b w:val="0"/>
          <w:caps w:val="0"/>
        </w:rPr>
      </w:pPr>
      <w:r>
        <w:rPr>
          <w:b w:val="0"/>
          <w:caps w:val="0"/>
        </w:rPr>
        <w:t>800.</w:t>
      </w:r>
      <w:r>
        <w:rPr>
          <w:b w:val="0"/>
          <w:caps w:val="0"/>
        </w:rPr>
        <w:tab/>
        <w:t>В 1989 году в Конвенции о правах ребенка были зафиксированы права, касающиеся здоровья, образования и безопасности. Было вновь заявлено, что ребенку не может быть отказано в осуществлении его прав по расовому или половому признаку. При этом подчеркивалась важность обеспечения защиты несовершеннолетних от любых дискриминационных действий. Мексика подписала Конвенцию в 1990 году, а впоследствии разработала Национальную программу действий в интересах детей на 1995–2000 годы.</w:t>
      </w:r>
    </w:p>
    <w:p w:rsidR="00000000" w:rsidRDefault="00000000">
      <w:pPr>
        <w:pStyle w:val="BodyText2"/>
        <w:rPr>
          <w:b w:val="0"/>
          <w:caps w:val="0"/>
        </w:rPr>
      </w:pPr>
      <w:r>
        <w:rPr>
          <w:b w:val="0"/>
          <w:caps w:val="0"/>
        </w:rPr>
        <w:t>801.</w:t>
      </w:r>
      <w:r>
        <w:rPr>
          <w:b w:val="0"/>
          <w:caps w:val="0"/>
        </w:rPr>
        <w:tab/>
        <w:t>В 1995 году на четвертой Всемирной конференции по положению женщин в Пекине особенно настоятельно была выражена насущная необходимость разработки механизмов предупреждения неравенства мальчиков и девочек, так как неравенство по половому признаку не только ухудшает нынешнюю жизнь девочек, но и обусловливает их будущее. Поэтому после подписания соглашений, вытекающих из Пекинской платформы действий, правительство Мексики присоединилось к государствам, которые взяли на себя обязательство определить политику, планы и программы, направленные на ликвидацию любой формы дискриминации в отношении девочек, укреплять и защищать их права, искоренять насилие в отношении девочек, способствовать их вовлечению в школьное обучение и гарантировать здоровье и медицинскую помощь.</w:t>
      </w:r>
    </w:p>
    <w:p w:rsidR="00000000" w:rsidRDefault="00000000">
      <w:pPr>
        <w:pStyle w:val="BodyText2"/>
        <w:rPr>
          <w:caps w:val="0"/>
        </w:rPr>
      </w:pPr>
      <w:r>
        <w:rPr>
          <w:b w:val="0"/>
          <w:caps w:val="0"/>
        </w:rPr>
        <w:t>802.</w:t>
      </w:r>
      <w:r>
        <w:rPr>
          <w:b w:val="0"/>
          <w:caps w:val="0"/>
        </w:rPr>
        <w:tab/>
      </w:r>
      <w:r>
        <w:rPr>
          <w:i/>
          <w:caps w:val="0"/>
        </w:rPr>
        <w:t>Действия и достижения</w:t>
      </w:r>
    </w:p>
    <w:p w:rsidR="00000000" w:rsidRDefault="00000000">
      <w:pPr>
        <w:pStyle w:val="BodyText2"/>
        <w:rPr>
          <w:b w:val="0"/>
          <w:caps w:val="0"/>
        </w:rPr>
      </w:pPr>
      <w:r>
        <w:rPr>
          <w:b w:val="0"/>
          <w:caps w:val="0"/>
        </w:rPr>
        <w:t>В настоящее время численность жителей Мексики моложе 20 лет достигла максимальной величины за всю историю страны и составляет 43,6 млн. человек. Из них 22,5 процента составляют женщины и 22,1 процента – мужчины.</w:t>
      </w:r>
    </w:p>
    <w:p w:rsidR="00000000" w:rsidRDefault="00000000">
      <w:pPr>
        <w:pStyle w:val="BodyText2"/>
        <w:spacing w:before="120"/>
        <w:rPr>
          <w:caps w:val="0"/>
        </w:rPr>
      </w:pPr>
      <w:r>
        <w:rPr>
          <w:b w:val="0"/>
          <w:caps w:val="0"/>
        </w:rPr>
        <w:t>803.</w:t>
      </w:r>
      <w:r>
        <w:rPr>
          <w:b w:val="0"/>
          <w:caps w:val="0"/>
        </w:rPr>
        <w:tab/>
      </w:r>
      <w:r>
        <w:rPr>
          <w:i/>
          <w:caps w:val="0"/>
        </w:rPr>
        <w:t>Здоровье и питание</w:t>
      </w:r>
    </w:p>
    <w:p w:rsidR="00000000" w:rsidRDefault="00000000">
      <w:pPr>
        <w:pStyle w:val="BodyText2"/>
        <w:tabs>
          <w:tab w:val="left" w:pos="284"/>
        </w:tabs>
        <w:ind w:left="284" w:hanging="284"/>
        <w:rPr>
          <w:b w:val="0"/>
          <w:caps w:val="0"/>
        </w:rPr>
      </w:pPr>
      <w:r>
        <w:rPr>
          <w:b w:val="0"/>
          <w:caps w:val="0"/>
        </w:rPr>
        <w:sym w:font="Symbol" w:char="F0B7"/>
      </w:r>
      <w:r>
        <w:rPr>
          <w:b w:val="0"/>
          <w:caps w:val="0"/>
        </w:rPr>
        <w:tab/>
        <w:t>Снижение смертности детей до пяти лет рассматривается как наиболее важная глобальная задача в области здравоохранения и защиты детства, которая может быть решена на основе социально-экономического развития вообще и в результате осуществления программ в области здравоохранения, образования, гигиены и социальной помощи в частности. Сокращение смертности от желудочно-кишечных заболеваний стало основой устойчивого снижения смертности детей до пяти лет.</w:t>
      </w:r>
    </w:p>
    <w:p w:rsidR="00000000" w:rsidRDefault="00000000">
      <w:pPr>
        <w:pStyle w:val="BodyText2"/>
        <w:tabs>
          <w:tab w:val="left" w:pos="284"/>
        </w:tabs>
        <w:ind w:left="284" w:hanging="284"/>
        <w:rPr>
          <w:b w:val="0"/>
          <w:caps w:val="0"/>
        </w:rPr>
      </w:pPr>
      <w:r>
        <w:rPr>
          <w:b w:val="0"/>
          <w:caps w:val="0"/>
        </w:rPr>
        <w:sym w:font="Symbol" w:char="F0B7"/>
      </w:r>
      <w:r>
        <w:rPr>
          <w:b w:val="0"/>
          <w:caps w:val="0"/>
        </w:rPr>
        <w:tab/>
        <w:t>Все задачи в области вакцинации были выполнены.</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1993 года Национальная система здравоохранения во время Национальных недель здоровья (проводятся два раза в год) обеспечивает миллионами доз витамина А детей до пяти лет, которые проживают в районах, признанных зонами риска.</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1997 года была разработана стратегия предоставления специализированной медицинской помощи женщинам и девочкам. Среди проведенных мероприятий следует выделить массовое распределение "Национальных карт здоровья женщин", внесение изменений в информационную систему программы вакцинации для непрерывной оценки степени охвата девочек вакцинацией, организация наблюдения за качеством питания, а также издание "Руководства по питанию".</w:t>
      </w:r>
    </w:p>
    <w:p w:rsidR="00000000" w:rsidRDefault="00000000">
      <w:pPr>
        <w:pStyle w:val="BodyText2"/>
        <w:tabs>
          <w:tab w:val="left" w:pos="284"/>
        </w:tabs>
        <w:ind w:left="284" w:hanging="284"/>
        <w:rPr>
          <w:b w:val="0"/>
          <w:caps w:val="0"/>
        </w:rPr>
      </w:pPr>
      <w:r>
        <w:rPr>
          <w:b w:val="0"/>
          <w:caps w:val="0"/>
        </w:rPr>
        <w:sym w:font="Symbol" w:char="F0B7"/>
      </w:r>
      <w:r>
        <w:rPr>
          <w:b w:val="0"/>
          <w:caps w:val="0"/>
        </w:rPr>
        <w:tab/>
        <w:t>Институт социального обеспечения и социальных услуг для государственных служащих (ИСССТЭ) участвует в реализации следующих программ детского питания: "Больница – друг матери и ребенка "; наблюдения за качеством питания, ростом и развитием ребенка и подростка; помощи в организации и улучшении питания; "Друзья женщины и семьи"; оказания первичной медицинской помощи в центрах защиты благосостояния и развития ребенка; оказания комплексной медицинской помощи школьникам.</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целях улучшения питания девочек и женщин ССА выполняет Национальную программу грудного вскармливания, направленную на то, чтобы все дети до года получали материнское молоко.</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ПРОГРЕСА предоставляет дополнительное питание, финансовую и продовольственную помощь, а также пакет базовых медицинских услуг семьям, живущим в условиях крайней бедности.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области оказания продовольственной помощи Национальная система комплексного развития семьи (ДИФ) реализует программы, которые включают мероприятия по преодолению трудностей, возникающих в условиях бедности и социальной уязвимости. Важными программами, которые осуществляет ДИФ в этом направлении, являются Программа организации школьных завтраков; Программа социальной помощи семьям (ПАСАФ); Программа развития общественных столовых и органов по предоставлению комплексных услуг (КОПУСИ) и Программа обеспечения молоком.</w:t>
      </w:r>
    </w:p>
    <w:p w:rsidR="00000000" w:rsidRDefault="00000000">
      <w:pPr>
        <w:pStyle w:val="BodyText2"/>
        <w:spacing w:before="120"/>
        <w:rPr>
          <w:b w:val="0"/>
          <w:caps w:val="0"/>
        </w:rPr>
      </w:pPr>
      <w:bookmarkStart w:id="6" w:name="проверено"/>
      <w:bookmarkEnd w:id="6"/>
      <w:r>
        <w:rPr>
          <w:b w:val="0"/>
          <w:caps w:val="0"/>
        </w:rPr>
        <w:t>804.</w:t>
      </w:r>
      <w:r>
        <w:rPr>
          <w:b w:val="0"/>
          <w:caps w:val="0"/>
        </w:rPr>
        <w:tab/>
      </w:r>
      <w:r>
        <w:rPr>
          <w:i/>
          <w:caps w:val="0"/>
        </w:rPr>
        <w:t>Сексуальное и репродуктивное здоровье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1997 году Национальная система комплексного развития семьи (ДИФ) переориентировала свои программы с целью сосредоточить внимание на предупреждении ранней беременности и заболеваний, передаваемых половым путем (ЗППП). В этих целях была разработана Программа предупреждения беременности у подростков и комплексной помощи.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Для того чтобы направить сексуальность подростков в позитивное и ответственное русло, ССА располагает системой специализированных услуг в области сексуального и репродуктивного здоровья, которая начала действовать в 1998 году в рамках медицинских учреждений и органов здравоохранения. Эти услуги включают просвещение в сфере сексуального и репродуктивного здоровья.</w:t>
      </w:r>
    </w:p>
    <w:p w:rsidR="00000000" w:rsidRDefault="00000000">
      <w:pPr>
        <w:pStyle w:val="BodyText2"/>
        <w:tabs>
          <w:tab w:val="left" w:pos="284"/>
        </w:tabs>
        <w:ind w:left="284" w:hanging="284"/>
        <w:rPr>
          <w:b w:val="0"/>
          <w:caps w:val="0"/>
        </w:rPr>
      </w:pPr>
      <w:r>
        <w:rPr>
          <w:b w:val="0"/>
          <w:caps w:val="0"/>
        </w:rPr>
        <w:sym w:font="Symbol" w:char="F0B7"/>
      </w:r>
      <w:r>
        <w:rPr>
          <w:b w:val="0"/>
          <w:caps w:val="0"/>
        </w:rPr>
        <w:tab/>
        <w:t>Различными учреждениями были проведены многочисленные пропагандистские кампании по вопросам здравоохранения, ориентированные на молодых людей и охватывающие разнообразные вопросы, в том числе вопросы репродуктивного здоровья.</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1995 года была усилена работа по защите прав женщин и девочек, в частности права на физическое и психическое здоровье.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Мексиканский институт социального страхования (ИМСС) реализует Координированную программу помощи подросткам, направленную на развитие у подростков чувства самосохранения и самоконтроля в области сексуального и репродуктивного здоровья для предупреждения заболеваний, передаваемых половым путем, ВИЧ/СПИДа и нежелательной беременности.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Программа "Сделай свою жизнь свободной от наркотиков" предназначена для подростков. Она реализуется в школах и общинных центрах с целью вовлечения молодых людей в создание, вместе с взрослыми членами общины, системы профилактических мер.</w:t>
      </w:r>
    </w:p>
    <w:p w:rsidR="00000000" w:rsidRDefault="00000000">
      <w:pPr>
        <w:pStyle w:val="BodyText2"/>
        <w:tabs>
          <w:tab w:val="left" w:pos="284"/>
        </w:tabs>
        <w:ind w:left="284" w:hanging="284"/>
        <w:rPr>
          <w:b w:val="0"/>
          <w:caps w:val="0"/>
        </w:rPr>
      </w:pPr>
      <w:r>
        <w:rPr>
          <w:b w:val="0"/>
          <w:caps w:val="0"/>
        </w:rPr>
        <w:sym w:font="Symbol" w:char="F0B7"/>
      </w:r>
      <w:r>
        <w:rPr>
          <w:b w:val="0"/>
          <w:caps w:val="0"/>
        </w:rPr>
        <w:tab/>
        <w:t>ИСССТЕ осуществляет Программу помощи в укреплении сексуального и репродуктивного здоровья, с помощью которой Институт информирует молодых людей о средствах и мерах по профилактике ЗППП, в том числе ВИЧ/СПИДа.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КОНАПО провело ряд мероприятий, посвященных укреплению сексуального и репродуктивного здоровья подростков, среди которых следует выделить кампанию в средствах массовой информации "Планируй, стоит только захотеть", которая проводится с июня 1995 года и является главным рычагом воздействия со стороны органов здравоохранения.</w:t>
      </w:r>
    </w:p>
    <w:p w:rsidR="00000000" w:rsidRDefault="00000000">
      <w:pPr>
        <w:pStyle w:val="BodyText2"/>
        <w:spacing w:before="120"/>
        <w:rPr>
          <w:caps w:val="0"/>
        </w:rPr>
      </w:pPr>
      <w:r>
        <w:rPr>
          <w:b w:val="0"/>
          <w:caps w:val="0"/>
        </w:rPr>
        <w:t>805.</w:t>
      </w:r>
      <w:r>
        <w:rPr>
          <w:b w:val="0"/>
          <w:caps w:val="0"/>
        </w:rPr>
        <w:tab/>
      </w:r>
      <w:r>
        <w:rPr>
          <w:i/>
          <w:caps w:val="0"/>
        </w:rPr>
        <w:t>Образование и профессиональная подготовка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ПРОГРЕСА помогает детям и молодым людям завершить полный курс базового обучения. В настоящее время эта деятельность ПРОГРЕСА охватывает около 3,3 млн. детей и подростков моложе 18 лет.</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Национальная система комплексного развития семьи (ДИФ) уделяет особое внимание обучению девочек; так, в 1998/99 учебном году из 228 стипендий 51 процент был предназначен для девочек.</w:t>
      </w:r>
    </w:p>
    <w:p w:rsidR="00000000" w:rsidRDefault="00000000">
      <w:pPr>
        <w:pStyle w:val="BodyText2"/>
        <w:tabs>
          <w:tab w:val="left" w:pos="284"/>
        </w:tabs>
        <w:ind w:left="284" w:hanging="284"/>
        <w:rPr>
          <w:b w:val="0"/>
          <w:caps w:val="0"/>
        </w:rPr>
      </w:pPr>
      <w:r>
        <w:rPr>
          <w:b w:val="0"/>
          <w:caps w:val="0"/>
        </w:rPr>
        <w:sym w:font="Symbol" w:char="F0B7"/>
      </w:r>
      <w:r>
        <w:rPr>
          <w:b w:val="0"/>
          <w:caps w:val="0"/>
        </w:rPr>
        <w:tab/>
        <w:t>Существует целый ряд программ, направленных на оказание помощи детям дошкольного возраста работающих и малообеспеченных матерей. Примером могут служить Центры развития и благосостояния ребенка, предназначенные для оказания помощи матерям, работающим в государственном секторе, и детские сады-ясли ИМСС. Кроме того, в рамках Национальной системы комплексного развития семьи (ДИФ) имеются Центры помощи развитию ребенка и общинные центры помощи детям.</w:t>
      </w:r>
    </w:p>
    <w:p w:rsidR="00000000" w:rsidRDefault="00000000">
      <w:pPr>
        <w:pStyle w:val="BodyText2"/>
        <w:spacing w:before="120"/>
        <w:rPr>
          <w:caps w:val="0"/>
        </w:rPr>
      </w:pPr>
      <w:r>
        <w:rPr>
          <w:b w:val="0"/>
          <w:caps w:val="0"/>
        </w:rPr>
        <w:t>806.</w:t>
      </w:r>
      <w:r>
        <w:rPr>
          <w:b w:val="0"/>
          <w:caps w:val="0"/>
        </w:rPr>
        <w:tab/>
      </w:r>
      <w:r>
        <w:rPr>
          <w:i/>
          <w:caps w:val="0"/>
        </w:rPr>
        <w:t>Права детей, девочек и мальчиков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Охрана прав детей возведена правительством Мексики в ранг конституционного закона. Так, был принят специальный закон о защите прав детей и подростков, который согласуется с Конвенцией о правах ребенка и Пекинской платформой действий. Данный закон уделяет особое внимание предупреждению дискриминации и исключения из жизни общества девочек и девушек-подростков, а также воспитанию детей уже в раннем возрасте в духе противостояния стереотипам и предрассудкам о якобы существующем превосходстве одного пола над другим и способствование искоренению этих стереотипов и предрассудков.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1993 году Национальная комиссия по правам человека разработала Программу по проблемам женщин, целью которой является решение вопросов, связанных с нарушением прав женщин, детей и семьи. Вместе с тем до настоящего времени не проводились мероприятия, направленные конкретно на защиту прав девочек. Год спустя эта программа была переименована и получила название "Программа по проблемам женщины, ребенка и семьи". Этот документ содержит рекомендации для тех, кто обращается к проблемам, рассмотрение которых не входит в компетенцию самой Комиссии. В таких случаях консультации предоставляются через сеть организаций помощи женщинам и детям, права которых нарушены. Эта сеть включает 162 организации (96 неправительственных, 44 правительственных и 22 местные комиссии по правам человека).</w:t>
      </w:r>
    </w:p>
    <w:p w:rsidR="00000000" w:rsidRDefault="00000000">
      <w:pPr>
        <w:pStyle w:val="BodyText2"/>
        <w:tabs>
          <w:tab w:val="left" w:pos="284"/>
        </w:tabs>
        <w:ind w:left="284" w:hanging="284"/>
        <w:rPr>
          <w:b w:val="0"/>
          <w:caps w:val="0"/>
        </w:rPr>
      </w:pPr>
      <w:r>
        <w:rPr>
          <w:b w:val="0"/>
          <w:caps w:val="0"/>
        </w:rPr>
        <w:sym w:font="Symbol" w:char="F0B7"/>
      </w:r>
      <w:r>
        <w:rPr>
          <w:b w:val="0"/>
          <w:caps w:val="0"/>
        </w:rPr>
        <w:tab/>
        <w:t>Что касается укрепления и пропаганды прав ребенка, в рамках Программы по проблемам женщины, ребенка и семьи проводятся различные мероприятия, посвященные проблеме равенства и равноправия девочек и мальчиков.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Для оказания помощи уязвимым группам детей, например ВИЧ-инфицированным и больным СПИДом, а также инвалидам Национальная комиссия по правам человека в 1995 году разработала специальную программу.</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рамках различных программ Национальная система комплексного развития семьи организовала и провела ряд мероприятий по пропаганде прав детей, из которых следует выделить национальные дни в защиту прав девочек и мальчиков.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контексте общей программы помощи жертвам насилия в семье и его предупреждения в федеральном округе ДИФ реализует Программу предупреждения насилия в семье и помощи его жертвам. В рамках этой программы следует отметить оказание комплексной помощи в приютах для женщин, ставших жертвами насилия в семье.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была реализована межведомственная Программа действий в защиту прав детей и демократических ценностей 1998: против насилия и жестокого обращения.</w:t>
      </w:r>
    </w:p>
    <w:p w:rsidR="00000000" w:rsidRDefault="00000000">
      <w:pPr>
        <w:pStyle w:val="BodyText2"/>
        <w:spacing w:before="120"/>
        <w:rPr>
          <w:caps w:val="0"/>
        </w:rPr>
      </w:pPr>
      <w:r>
        <w:rPr>
          <w:b w:val="0"/>
          <w:caps w:val="0"/>
        </w:rPr>
        <w:t>807.</w:t>
      </w:r>
      <w:r>
        <w:rPr>
          <w:b w:val="0"/>
          <w:caps w:val="0"/>
        </w:rPr>
        <w:tab/>
      </w:r>
      <w:r>
        <w:rPr>
          <w:i/>
          <w:caps w:val="0"/>
        </w:rPr>
        <w:t>Законодательство по вопросам защиты детей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1999 года в соответствии с полномочиями Законодательной ассамблеи федерального округа в отношении законов и законодательных актов по уголовным вопросам местные депутаты приняли решение о внесении незамедлительных изменений в Уголовный кодекс. Среди запланированных изменений следует отметить разработку новой концепции возмещения ущерба, усиление защиты детства, борьбу с коррупцией в административных органах и предупреждение сексуальных преступлений.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1998 года в целях расширения прав детей в области здравоохранения и уделяя особое внимание охране сексуального и репродуктивного здоровья, Министерство здравоохранения участвует в представлении законодательных предложений в палате депутатов.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1999 году были одобрены изменения в законодательстве, позволяющие ужесточить наказание виновных в растлении несовершеннолетних и наказывать лиц, имевших сексуальные контакты с несовершеннолетними. Кроме того, детская порнография и проституция были квалифицированы как преступление.</w:t>
      </w:r>
    </w:p>
    <w:p w:rsidR="00000000" w:rsidRDefault="00000000">
      <w:pPr>
        <w:pStyle w:val="BodyText2"/>
        <w:spacing w:before="120"/>
        <w:rPr>
          <w:caps w:val="0"/>
        </w:rPr>
      </w:pPr>
      <w:r>
        <w:rPr>
          <w:b w:val="0"/>
          <w:caps w:val="0"/>
        </w:rPr>
        <w:t>808.</w:t>
      </w:r>
      <w:r>
        <w:rPr>
          <w:b w:val="0"/>
          <w:caps w:val="0"/>
        </w:rPr>
        <w:tab/>
      </w:r>
      <w:r>
        <w:rPr>
          <w:i/>
          <w:caps w:val="0"/>
        </w:rPr>
        <w:t>Несовершеннолетние в особо тяжелых обстоятельствах</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Если 1997 году помощь бездомным и беспризорным детям предоставлялась в 80 муниципалитетах, то в </w:t>
      </w:r>
      <w:r>
        <w:rPr>
          <w:b w:val="0"/>
          <w:caps w:val="0"/>
        </w:rPr>
        <w:br/>
        <w:t>1998 году их число составило 604, то есть возросло на 285 процентов.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1996 года Национальная система комплексного развития семьи (ДИФ) предоставляет стипендии бездомным и беспризорным детям, чтобы они имели возможность не наниматься на работу и не подвергаться эксплуатации. В дополнение к указанным мероприятиям ДИФ осуществляет программу "Лагеря отдыха", в рамках которой бездомным и беспризорным и вообще различным группам детей, оказавшихся в неблагоприятной ситуации, предоставляется возможность отдохнуть и приобщиться к спорту и культуре. Эти мероприятия носят образовательный и воспитательный характер, способствуя всестороннему развитию детей.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Министерство труда и социального обеспечения через Главное управление федеральной инспекции по труду и Федеральные делегации во всех штатах Мексиканской Республики контролирует условия труда несовершеннолетних, которые заняты на предприятиях в государственном секторе экономики, действующих в сфере федеральной юрисдикции.</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Учитывая сложность и размах такого явления, как миграция и репатриация несовершеннолетних, в </w:t>
      </w:r>
      <w:r>
        <w:rPr>
          <w:b w:val="0"/>
          <w:caps w:val="0"/>
        </w:rPr>
        <w:br/>
        <w:t>1996 году правительство Мексики приступило к осуществлению межведомственного Проекта помощи несовершеннолетним в приграничных районах, цель которого заключается в оказании им комплексной помощи, если они попадают в рискованные ситуации. Важным достижением стало создание сети приютов для оказания помощи несовершеннолетним. В настоящее время насчитывается 18 таких приютов.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Если в 1997 году ДИФ имела по всей стране 55 центров и 229 реабилитационных баз для оказания помощи несовершеннолетним инвалидам, то в 1998 году их число возросло до 56 и 328, соответственно.</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Программа реабилитации и социальной интеграции предусматривает помощь несовершеннолетним инвалидам как в домашних условиях, так и вне дома.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деятельность ИНИ в интересах детей коренного населения была сконцентрирована на проектах в области здравоохранения, питания, образования и базового оздоровления, среди которых следует выделить: Программу первичной медицинской помощи; Программу "Стипендии-приюты"; Программу прямой продовольственной помощи общинам коренного населения, живущим в условиях крайней бедности; Программу традиционной индейской медицины и Программу помощи на третьем уровне.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1999 году Центры молодежной интеграции провели долгосрочные профилактические мероприятия среди школьников, в рамках которых особое внимание уделялось таким специфическим аспектам, как снижение факторов риска и усиление факторов защиты в связи с потреблением наркотиков.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ПГР была разработана профилактическая программа "Спортивно-развлекательные центры", которая предоставила альтернативные формы проведения досуга в виде занятия спортом потенциальным правонарушителям из числа детей и подростков.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ДИФ также оказывает помощь брошенным детям, полным или частичным сиротам, жертвам жестокого физического и психического обращения. Соответствующая инфраструктура включает два приюта для сирот и два семейных дома. Кроме того, ДИФ ведет постоянную работу по содействию усыновлению несовершеннолетних семьями, которые отвечают минимальным требованиям и способны обеспечить необходимую интеграцию ребенка.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целях предупреждения антиобщественного поведения несовершеннолетних в 1998 году совместно с Национальной торговой палатой в частных средних школах начала осуществляться программа "Модули ориентации и поддержки". В настоящее время в различных штатах страны действует 75 модулей.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течение 1998 года Мексиканская комиссия по оказанию помощи беженцам Министерства внутренних дел оказала значительную поддержку родившимся в Мексике детям беженцев, предоставив их семьям возможность урегулировать свое положение.</w:t>
      </w:r>
    </w:p>
    <w:p w:rsidR="00000000" w:rsidRDefault="00000000">
      <w:pPr>
        <w:pStyle w:val="BodyText2"/>
        <w:spacing w:before="120"/>
        <w:rPr>
          <w:caps w:val="0"/>
        </w:rPr>
      </w:pPr>
      <w:r>
        <w:rPr>
          <w:b w:val="0"/>
          <w:caps w:val="0"/>
        </w:rPr>
        <w:t>809.</w:t>
      </w:r>
      <w:r>
        <w:rPr>
          <w:b w:val="0"/>
          <w:caps w:val="0"/>
        </w:rPr>
        <w:tab/>
      </w:r>
      <w:r>
        <w:rPr>
          <w:i/>
          <w:caps w:val="0"/>
        </w:rPr>
        <w:t>Научно-исследовательские проекты и мероприятия</w:t>
      </w:r>
    </w:p>
    <w:p w:rsidR="00000000" w:rsidRDefault="00000000">
      <w:pPr>
        <w:pStyle w:val="BodyText2"/>
        <w:tabs>
          <w:tab w:val="left" w:pos="284"/>
        </w:tabs>
        <w:ind w:left="284" w:hanging="284"/>
        <w:rPr>
          <w:b w:val="0"/>
          <w:caps w:val="0"/>
        </w:rPr>
      </w:pPr>
      <w:r>
        <w:rPr>
          <w:b w:val="0"/>
          <w:caps w:val="0"/>
        </w:rPr>
        <w:sym w:font="Symbol" w:char="F0B7"/>
      </w:r>
      <w:r>
        <w:rPr>
          <w:b w:val="0"/>
          <w:caps w:val="0"/>
        </w:rPr>
        <w:tab/>
        <w:t>Что касается научных исследований, проведенных с целью изучения положения детей в стране, следует отметить следующие работы: "Девочка сегодня – женщина завтра"; "Положение работающих девочек, мальчиков и подростков в 100 городах"; "Первый опрос по соблюдению прав ребенка и обращению с детьми".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Среди основных мероприятий, которые были проведены с целью анализа и обсуждения положения детей в стране, следует выделить следующие: международный семинар "Наши девочки: право на равенство с самого детства"; Консультативный форум по проблемам детей и подростков; семинар "Сексуальная эксплуатация детей в коммерческих целях: международный опыт и план действий для Мексики"; международный семинар "Подростки в конфликте с законом, гражданская безопасность и основные права"; Третья встреча юристов "Защита прав несовершеннолетних, женщин и семьи"; Второй Национальный конгресс по вопросам жестокого обращения с детьми.</w:t>
      </w:r>
    </w:p>
    <w:p w:rsidR="00000000" w:rsidRDefault="00000000">
      <w:pPr>
        <w:pStyle w:val="BodyText2"/>
        <w:spacing w:before="120"/>
        <w:rPr>
          <w:caps w:val="0"/>
        </w:rPr>
      </w:pPr>
      <w:r>
        <w:rPr>
          <w:b w:val="0"/>
          <w:caps w:val="0"/>
        </w:rPr>
        <w:t>810.</w:t>
      </w:r>
      <w:r>
        <w:rPr>
          <w:b w:val="0"/>
          <w:caps w:val="0"/>
        </w:rPr>
        <w:tab/>
      </w:r>
      <w:r>
        <w:rPr>
          <w:i/>
          <w:caps w:val="0"/>
        </w:rPr>
        <w:t>Задачи и перспективы</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большинстве программ, направленных на защиту детей, отсутствуют дифференцированные действия в отношении мальчиков и девочек. Иными словами, разработанные программы были ориентированы в равной степени на мальчиков и девочек. Правда, в некоторых случаях предпринимались попытки компенсировать существующее между ними неравенство. Вместе с тем необходимо подчеркнуть, что защита девочек не является приоритетной целью этих программ и еще много предстоит сделать для того, чтобы гендерные проблемы учитывались во всех программах.</w:t>
      </w:r>
    </w:p>
    <w:p w:rsidR="00000000" w:rsidRDefault="00000000">
      <w:pPr>
        <w:pStyle w:val="BodyText2"/>
        <w:tabs>
          <w:tab w:val="left" w:pos="284"/>
        </w:tabs>
        <w:ind w:left="284" w:hanging="284"/>
        <w:rPr>
          <w:b w:val="0"/>
          <w:caps w:val="0"/>
        </w:rPr>
      </w:pPr>
      <w:r>
        <w:rPr>
          <w:b w:val="0"/>
          <w:caps w:val="0"/>
        </w:rPr>
        <w:sym w:font="Symbol" w:char="F0B7"/>
      </w:r>
      <w:r>
        <w:rPr>
          <w:b w:val="0"/>
          <w:caps w:val="0"/>
        </w:rPr>
        <w:tab/>
        <w:t>Используя накопленный опыт, необходимо определить шкалу приоритетов в оказании помощи и стремиться к установлению и укреплению координации между государственными учреждениями и общественными организациями, исходя из признания сильных и слабых сторон каждой из них.</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Предпринимаемые усилия концентрируются на таких направлениях, как охрана здоровья и обеспечение питанием, охрана сексуального и репродуктивного здоровья и оказание помощи безнадзорным детям. Охрана сексуального и репродуктивного здоровья стала предметом особого внимания благодаря тому, что многие общественные организации, работающие с женщинами, также занимаются этой проблемой. Однако важно решить, соответствуют ли эти виды деятельности потребностям детей и подростков в каждом регионе.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законодательной сфере наиболее существенным изменениям подверглись положения, связанные с насилием в семье и сексуальными преступлениями. Несмотря на то что не во всех штатах законодательство было соответствующим образом модернизировано, были заложены основы для этого процесса, а в некоторых штатах начался пересмотр законов. В области занятости инициативы и изменения были немногочисленными.</w:t>
      </w:r>
    </w:p>
    <w:p w:rsidR="00000000" w:rsidRDefault="00000000">
      <w:pPr>
        <w:pStyle w:val="BodyText2"/>
        <w:rPr>
          <w:b w:val="0"/>
          <w:caps w:val="0"/>
        </w:rPr>
      </w:pPr>
      <w:r>
        <w:rPr>
          <w:b w:val="0"/>
          <w:caps w:val="0"/>
        </w:rPr>
        <w:t>811.</w:t>
      </w:r>
      <w:r>
        <w:rPr>
          <w:b w:val="0"/>
          <w:caps w:val="0"/>
        </w:rPr>
        <w:tab/>
        <w:t>Учитывая сказанное выше, предлагается:</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отношении несовершеннолетних, оказавшихся в особо сложных условиях, посредством соответствующих нормативных актов строго запретить проституцию несовершеннолетних; запретить труд в тяжелых условиях, которые препятствуют нормальному физическому развитию или задерживают его; углубить изучение миграционных потоков девушек-подростков; разработать политику, направленную на соблюдение правовых норм в области труда и на разработку превентивных мер по защите и охране детей до шести лет, которые сопровождают своих родителей при участии последних в экономической деятельности; уделять повышенное внимание безопасной репатриации детей и беременных женщин для снижения риска, которому они подвергаются; способствовать активному участию девочек-инвалидов в их собственном развитии, а также активизировать участие в этом процессе их семей.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Вести поиск мер, направленных на то, чтобы девочки, обучающиеся на всех уровнях и во всех видах учебных заведений, не оставляли учебу. Это способствует будущему участию девочек в жизни общества, укрепляет их надежды на будущее, их способности и навыки, а также развивает самостоятельность и самоуважение. Кроме того, важно, чтобы различные организации, участвующие в этой работе, искали формы особой профессиональной подготовки для девочек.</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Необходимо продолжать постоянную разъяснительную работу по вопросам прав ребенка, с тем чтобы общество и власти оказывали детям дифференцированную помощь для удовлетворения их потребностей.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Во избежание поверхностных обобщений относительно положения девочек в стране очень важно изучать ситуацию конкретно в каждом регионе.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Необходимо повышать ответственность Национальной системы комплексного развития семьи (ДИФ) за реализацию программ и мероприятий в интересах девочек. Для этого следует, в частности, унифицировать систему информации на национальном уровне, повысить уровень профессиональной подготовки ее работников и обеспечить ее финансирование.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Предлагается создать механизмы координации между правительственными и неправительственными организациями для повышения эффективности и расширения деятельности, направленной на выполнение Пекинской платформы действий.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области охраны сексуального и репродуктивного здоровья необходимо уделять значительно больше внимания не только физиологическому, но и эмоциональному и интеллектуальному аспектам. Для этого следует развивать у молодых людей понимание того, что представляет собой семья и какова ее роль, готовить их для дальнейшей жизни, обучать навыкам поведения, самоуважению и т. п. В любом случае важно особо подчеркивать свободу личности в вопросах планирования семьи при уважении ее сексуальных и репродуктивных прав.</w:t>
      </w:r>
    </w:p>
    <w:p w:rsidR="00000000" w:rsidRDefault="00000000">
      <w:pPr>
        <w:pStyle w:val="Heading9"/>
        <w:spacing w:before="240"/>
      </w:pPr>
      <w:r>
        <w:t>Женщина и охрана окружающей среды</w:t>
      </w:r>
    </w:p>
    <w:p w:rsidR="00000000" w:rsidRDefault="00000000">
      <w:pPr>
        <w:pStyle w:val="Heading4"/>
      </w:pPr>
      <w:r>
        <w:t>Позиция правительства Мексики</w:t>
      </w:r>
    </w:p>
    <w:p w:rsidR="00000000" w:rsidRDefault="00000000">
      <w:pPr>
        <w:pStyle w:val="BodyText2"/>
        <w:rPr>
          <w:b w:val="0"/>
          <w:caps w:val="0"/>
        </w:rPr>
      </w:pPr>
      <w:r>
        <w:rPr>
          <w:b w:val="0"/>
          <w:caps w:val="0"/>
        </w:rPr>
        <w:t>812.</w:t>
      </w:r>
      <w:r>
        <w:rPr>
          <w:b w:val="0"/>
          <w:caps w:val="0"/>
        </w:rPr>
        <w:tab/>
        <w:t>В декабре 1994 года федеральное правительство заявило, что оно твердо намерено учитывать в своей политике перспективы сохранения, восстановления и рационального использования природных ресурсов и окружающей среды и внести соответствующие изменения в характер развития страны.</w:t>
      </w:r>
    </w:p>
    <w:p w:rsidR="00000000" w:rsidRDefault="00000000">
      <w:pPr>
        <w:pStyle w:val="BodyText2"/>
        <w:rPr>
          <w:b w:val="0"/>
          <w:caps w:val="0"/>
        </w:rPr>
      </w:pPr>
      <w:r>
        <w:rPr>
          <w:b w:val="0"/>
          <w:caps w:val="0"/>
        </w:rPr>
        <w:t>813.</w:t>
      </w:r>
      <w:r>
        <w:rPr>
          <w:b w:val="0"/>
          <w:caps w:val="0"/>
        </w:rPr>
        <w:tab/>
        <w:t>Одновременно было создано Министерство окружающей среды, природных ресурсов и рыболовства (СЕМАРНАП), в полномочия которого входят разработка и осуществление политики в области охраны окружающей среды и программ использования лесных, минеральных и рыбных ресурсов.</w:t>
      </w:r>
    </w:p>
    <w:p w:rsidR="00000000" w:rsidRDefault="00000000">
      <w:pPr>
        <w:pStyle w:val="BodyText2"/>
        <w:rPr>
          <w:b w:val="0"/>
          <w:caps w:val="0"/>
        </w:rPr>
      </w:pPr>
      <w:r>
        <w:rPr>
          <w:b w:val="0"/>
          <w:caps w:val="0"/>
        </w:rPr>
        <w:t>814.</w:t>
      </w:r>
      <w:r>
        <w:rPr>
          <w:b w:val="0"/>
          <w:caps w:val="0"/>
        </w:rPr>
        <w:tab/>
        <w:t>Кроме того, через децентрализованные органы, находящиеся в его подчинении, это Министерство отвечает за водопользование, заповедники, сохранение и использование дикой природы; издание государственных нормативных актов по данному вопросу; изучение воздействия на окружающую среду инвестиционных проектов, утилизацию опасных отходов, а также следит за выполнением законодательства и наказывает за его нарушения.</w:t>
      </w:r>
    </w:p>
    <w:p w:rsidR="00000000" w:rsidRDefault="00000000">
      <w:pPr>
        <w:pStyle w:val="BodyText2"/>
        <w:rPr>
          <w:b w:val="0"/>
          <w:caps w:val="0"/>
        </w:rPr>
      </w:pPr>
      <w:r>
        <w:rPr>
          <w:b w:val="0"/>
          <w:caps w:val="0"/>
        </w:rPr>
        <w:t>815.</w:t>
      </w:r>
      <w:r>
        <w:rPr>
          <w:b w:val="0"/>
          <w:caps w:val="0"/>
        </w:rPr>
        <w:tab/>
        <w:t>В той мере, в какой политика в области окружающей среды предполагает отсутствие противоречий между целями экономического развития и общественного благосостояния, с одной стороны, и охраной окружающей среды – с другой, она пользуется пониманием и поддержкой различных групп населения.</w:t>
      </w:r>
    </w:p>
    <w:p w:rsidR="00000000" w:rsidRDefault="00000000">
      <w:pPr>
        <w:pStyle w:val="BodyText2"/>
        <w:rPr>
          <w:b w:val="0"/>
          <w:caps w:val="0"/>
        </w:rPr>
      </w:pPr>
      <w:r>
        <w:rPr>
          <w:b w:val="0"/>
          <w:caps w:val="0"/>
        </w:rPr>
        <w:t>816.</w:t>
      </w:r>
      <w:r>
        <w:rPr>
          <w:b w:val="0"/>
          <w:caps w:val="0"/>
        </w:rPr>
        <w:tab/>
        <w:t>Учитывая вышесказанное и в свете упомянутых целей и стратегий, роль женщин в решении проблем окружающей среды в качестве объекта правительственных программ и соучастника в их разработке и осуществлении является составной частью новых подходов к решению этих проблем. В связи с этим Министерство рассматривает равенство прав, возможностей и обязанностей мужчин и женщин как принципиальное требование и одновременно как стратегическую основу политики в области окружающей среды.</w:t>
      </w:r>
    </w:p>
    <w:p w:rsidR="00000000" w:rsidRDefault="00000000">
      <w:pPr>
        <w:pStyle w:val="Heading3"/>
        <w:spacing w:before="0"/>
      </w:pPr>
      <w:r>
        <w:br w:type="page"/>
        <w:t>Действия и достижения</w:t>
      </w:r>
    </w:p>
    <w:p w:rsidR="00000000" w:rsidRDefault="00000000">
      <w:pPr>
        <w:pStyle w:val="BodyText2"/>
        <w:spacing w:before="120"/>
        <w:rPr>
          <w:caps w:val="0"/>
        </w:rPr>
      </w:pPr>
      <w:r>
        <w:rPr>
          <w:b w:val="0"/>
          <w:caps w:val="0"/>
        </w:rPr>
        <w:t>817.</w:t>
      </w:r>
      <w:r>
        <w:rPr>
          <w:b w:val="0"/>
          <w:caps w:val="0"/>
        </w:rPr>
        <w:tab/>
      </w:r>
      <w:r>
        <w:rPr>
          <w:i/>
          <w:caps w:val="0"/>
        </w:rPr>
        <w:t>Закрепление гендерного равенства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1997 года Министерство окружающей среды, природных ресурсов и рыболовства уделяет повышенное внимание вопросу гендерного равенства. Начиная с этого года Главному управлению планирования было поручено учитывать все проблемы гендерного равенства при разработке и осуществлении политики по проблемам окружающей среды и реализации мероприятий, предложенных Национальной комиссией по делам женщин (НКЖ).</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состоялось первое рабочее совещание по проблеме "Гендерные аспекты и окружающая среда". В 1999 году было проведено второе совещание на тему "Гендерная проблематика в политике охраны окружающей среды".</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1999 году в рамках Главного управления планирования Министерства было учреждено управление, отвечающее за решение вопросов, связанных с проблемой "Гендерные аспекты и окружающая среда".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начале 2000 года с целью координации инициатив, действий и усилий различных подразделений СЕМАРНАП была разработана и одобрена Программа профессиональной подготовки для обеспечения учета проблемы гендерного равенства при разработке и осуществлении политики в отношении окружающей среды.</w:t>
      </w:r>
    </w:p>
    <w:p w:rsidR="00000000" w:rsidRDefault="00000000">
      <w:pPr>
        <w:pStyle w:val="BodyText2"/>
        <w:spacing w:before="120"/>
        <w:rPr>
          <w:caps w:val="0"/>
        </w:rPr>
      </w:pPr>
      <w:r>
        <w:rPr>
          <w:b w:val="0"/>
          <w:caps w:val="0"/>
        </w:rPr>
        <w:t>818.</w:t>
      </w:r>
      <w:r>
        <w:rPr>
          <w:b w:val="0"/>
          <w:caps w:val="0"/>
        </w:rPr>
        <w:tab/>
      </w:r>
      <w:r>
        <w:rPr>
          <w:i/>
          <w:caps w:val="0"/>
        </w:rPr>
        <w:t>Участие женщин в программах Министерства окружающей среды, природных ресурсов и рыболовства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В рамках Национальной программы восстановления лесов женщины участвуют в создании общинных питомников. На 1998 и 1999 годы Программой была поставлена задача выращивать 285 млн. саженцев ежегодно, что потребовало 3 948 193 человеко-дней. Из них 2 124 128 приходилось на долю мужчин </w:t>
      </w:r>
      <w:r>
        <w:rPr>
          <w:b w:val="0"/>
          <w:caps w:val="0"/>
        </w:rPr>
        <w:br/>
        <w:t>(53,8 процента) и 1 824 065 – на долю женщин (46,1 процента). Затраты на выполнение этой задачи составили 47 425 тыс. песо в год. Следует отметить, что женщины участвовали главным образом в работах по выращиванию саженцев и их высадке.</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Работа на коммерческих лесных плантациях дает женщинам среднесрочную перспективу получения доходов и улучшения условий жизни. Эти плантации занимают пустующие или истощенные в результате ведения интенсивного сельского хозяйства земли и используются для получения промышленной древесины, которая идет, в частности, на производство целлюлозы. В 1997 году женщины приняли участие в 11 из </w:t>
      </w:r>
      <w:r>
        <w:rPr>
          <w:b w:val="0"/>
          <w:caps w:val="0"/>
        </w:rPr>
        <w:br/>
        <w:t>12 проектов, субсидированных Программой развития коммерческих лесных плантаций.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1997 году было начато осуществление Программы сохранения и воспроизводства лесных ресурсов в Мексике, одна из целей которой состоит в том, чтобы научить женщин использовать – помимо древесины– различные продукты лесного хозяйства. С этой целью в 1998 году для женщин были организованы курсы по утилизации грибов, аквакультуре и организации общинных предприятий.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Главное управление сохранения и восстановления почв Министерства осуществляет проекты, в которых важную роль играют женщины. Это, например, проекты по восстановлению зеленых насаждений, агролесоводству и органическому сельскому хозяйству.</w:t>
      </w:r>
    </w:p>
    <w:p w:rsidR="00000000" w:rsidRDefault="00000000">
      <w:pPr>
        <w:pStyle w:val="BodyText2"/>
        <w:tabs>
          <w:tab w:val="left" w:pos="284"/>
        </w:tabs>
        <w:ind w:left="284" w:hanging="284"/>
        <w:rPr>
          <w:b w:val="0"/>
          <w:caps w:val="0"/>
        </w:rPr>
      </w:pPr>
      <w:r>
        <w:rPr>
          <w:b w:val="0"/>
          <w:caps w:val="0"/>
        </w:rPr>
        <w:sym w:font="Symbol" w:char="F0B7"/>
      </w:r>
      <w:r>
        <w:rPr>
          <w:b w:val="0"/>
          <w:caps w:val="0"/>
        </w:rPr>
        <w:tab/>
        <w:t>Федеральные представительства Министерства реализуют проекты с участием женщин и предоставляют общинам техническое содействие, проводят профессиональную подготовку, осуществляют мониторинг и оказывают им поддержку в получении средств от других ведомств.</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В течение 1998–1999 годов доля женщин среди получивших юридические права на использование и освоение прибрежных территорий, приливно-отливных зон и территорий, отвоеванных у моря, отражена в количестве поданных заявок. Всего было подано 689 заявлений, из которых 231 приходится на долю предприятий (33 процента), 281 – на долю мужчин (40,2 процента) и 186 – на долю женщин (26,6 процента). Было выдано 244 разрешения, которые распределились следующим образом: 67 – предприятиям </w:t>
      </w:r>
      <w:r>
        <w:rPr>
          <w:b w:val="0"/>
          <w:caps w:val="0"/>
        </w:rPr>
        <w:br/>
        <w:t>(27 процентов), 123 – мужчинам (50,4 процента) и 54 – женщинам (22,6 процента). Вместе с тем до настоящего времени не представляется возможным четко и окончательно определить участие женщин в производственной деятельности и в получении юридических прав на использование федеральных приливно-отливных территорий.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Известно, что женщины участвуют в качестве партнеров в работе рыболовецких кооперативов, однако мы не располагаем информацией с разбивкой по полу. Женщины также работают в административных и контрольных советах кооперативных обществ рыболовства, причем на их долю приходится 4,7 процента мест, особенно в кооперативах, специализирующихся на прибрежном рыболовстве и аквакультуре.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области аквакультуры СЕДЕСОЛ через ФОНАЭС располагает 76 предприятиями, образованными из смешанных групп на период 1992–1999 годов, в которых доля женщин составляет 62,2 процента. Женщины принимают участие в планировании работы ферм по развитию живых морских культур, хотя их активность выше на оперативном этапе и на этапе ухода за разводимыми живыми морскими культурами.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Министерство приступило к реализации Программы устойчивого регионального развития (ПРОДЕРС), в рамках которой с 1997 года существуют группы на местах, работающие с женщинами по проектам Министерства.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целях ликвидации отставания в сфере обеспечения питьевой водой и оздоровления окружающей среды в сельских районах Национальный комитет по водным ресурсам с 1995 года выделяет средства на строительство и восстановление соответствующих систем. За 1995–1999 годы такая работа была проведена в 5181 населенном пункте.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Программа в области дендроэнергетики предусматривает строительство деревенских печей с целью экономии дров и борьбы с обезлесением. Эта программа осуществляется непосредственно в интересах женщин, так как ее реализация позволяет избежать задымления внутренних помещений и затрачивать меньше физических усилий, так как отпадает необходимость в заготовке дров. Кроме того, она позволяет экономить на топливе.</w:t>
      </w:r>
    </w:p>
    <w:p w:rsidR="00000000" w:rsidRDefault="00000000">
      <w:pPr>
        <w:pStyle w:val="BodyText2"/>
        <w:tabs>
          <w:tab w:val="left" w:pos="284"/>
        </w:tabs>
        <w:ind w:left="284" w:hanging="284"/>
        <w:rPr>
          <w:b w:val="0"/>
          <w:caps w:val="0"/>
        </w:rPr>
      </w:pPr>
      <w:r>
        <w:rPr>
          <w:b w:val="0"/>
          <w:caps w:val="0"/>
        </w:rPr>
        <w:sym w:font="Symbol" w:char="F0B7"/>
      </w:r>
      <w:r>
        <w:rPr>
          <w:b w:val="0"/>
          <w:caps w:val="0"/>
        </w:rPr>
        <w:tab/>
        <w:t>Цели программы "Хозяйства, ориентированные на сохранение, управление и устойчивое использование дикой природы" заключаются в том, чтобы обеспечить непрерывность естественных процессов во всех экосистемах, содействовать сохранению дикой природы, уменьшить опасность исчезновения видов, способствовать восстановлению исчезающих видов и использовать возможности биоразнообразия в сельском хозяйстве. В настоящее время в восьми штатах Республики зарегистрирована 151 женщина в качестве владельцев таких хозяйств. Основными видами их деятельности являются охота, экотуризм, использование дикой природы в коммерческих целях и ее сохранение.</w:t>
      </w:r>
    </w:p>
    <w:p w:rsidR="00000000" w:rsidRDefault="00000000">
      <w:pPr>
        <w:pStyle w:val="BodyText2"/>
        <w:rPr>
          <w:b w:val="0"/>
          <w:caps w:val="0"/>
        </w:rPr>
      </w:pPr>
      <w:r>
        <w:rPr>
          <w:b w:val="0"/>
          <w:caps w:val="0"/>
        </w:rPr>
        <w:t>819.</w:t>
      </w:r>
      <w:r>
        <w:rPr>
          <w:b w:val="0"/>
          <w:caps w:val="0"/>
        </w:rPr>
        <w:tab/>
      </w:r>
      <w:r>
        <w:rPr>
          <w:i/>
          <w:caps w:val="0"/>
        </w:rPr>
        <w:t>Деятельность межведомственного характера</w:t>
      </w:r>
      <w:r>
        <w:rPr>
          <w:b w:val="0"/>
          <w:caps w:val="0"/>
        </w:rPr>
        <w:t xml:space="preserve"> </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1999 году Генеральный координационный совет Национальной комиссии по делам женщин и Министерство окружающей среды, природных ресурсов и рыболовства договорились включить в Национальную программу по улучшению положения женщин раздел, касающийся проблематики "Женщины и охрана окружающей среды".</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по просьбе Генерального координационного совета была создана база данных работников среднего и высшего звена Министерства с разбивкой по полу, а также по возрасту, образованию и стажу работы в государственном секторе. Эти данные вошли в брошюру и компакт-диск, изданные Генеральным координационным советом и озаглавленные "Участие женщин в принятии решений. Их работа в федеральных органах государственной власти".</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1999 года в базе данных системы планирования, предназначенной для разработки расходной статьи федерального бюджета на 2000 год, учитывается процентное соотношение женщин и мужчин, получающих прямую помощь в рамках программ и проектов Министерства.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Министерство присоединилось к так называемому Мезоамериканскому проекту с целью разработки механизмов, позволяющих учитывать проблему гендерного равенства при разработке политики по охране окружающей среды.</w:t>
      </w:r>
    </w:p>
    <w:p w:rsidR="00000000" w:rsidRDefault="00000000">
      <w:pPr>
        <w:pStyle w:val="Heading4"/>
      </w:pPr>
      <w:r>
        <w:t>Задачи и перспективы</w:t>
      </w:r>
    </w:p>
    <w:p w:rsidR="00000000" w:rsidRDefault="00000000">
      <w:pPr>
        <w:pStyle w:val="BodyText2"/>
        <w:rPr>
          <w:b w:val="0"/>
          <w:caps w:val="0"/>
        </w:rPr>
      </w:pPr>
      <w:r>
        <w:rPr>
          <w:b w:val="0"/>
          <w:caps w:val="0"/>
        </w:rPr>
        <w:t>820.</w:t>
      </w:r>
      <w:r>
        <w:rPr>
          <w:b w:val="0"/>
          <w:caps w:val="0"/>
        </w:rPr>
        <w:tab/>
        <w:t>Принятие политики в области охраны окружающей среды с учетом гендерного равенства означает расширение социальных рамок устойчивого развития, равное право женщин и мужчин на доступ к природным ресурсам, их использованию, контролю над ними и получению доходов. Для проведения такой политики необходимо широкое согласованное участие подразделений и децентрализованных органов Министерства, других государственных учреждений и общественных организаций. Это обеспечит признание, оценку и укрепление роли женщин в достижении устойчивого развития.</w:t>
      </w:r>
    </w:p>
    <w:p w:rsidR="00000000" w:rsidRDefault="00000000">
      <w:pPr>
        <w:pStyle w:val="BodyText2"/>
        <w:rPr>
          <w:b w:val="0"/>
          <w:caps w:val="0"/>
        </w:rPr>
      </w:pPr>
      <w:r>
        <w:rPr>
          <w:b w:val="0"/>
          <w:caps w:val="0"/>
        </w:rPr>
        <w:t>821.</w:t>
      </w:r>
      <w:r>
        <w:rPr>
          <w:b w:val="0"/>
          <w:caps w:val="0"/>
        </w:rPr>
        <w:tab/>
        <w:t>Несмотря на некоторые успехи, все еще существует сильное сопротивление обеспечению равенства во всех видах человеческих отношений, в частности в отношениях между мужчинами и женщинами.</w:t>
      </w:r>
    </w:p>
    <w:p w:rsidR="00000000" w:rsidRDefault="00000000">
      <w:pPr>
        <w:pStyle w:val="BodyText2"/>
        <w:rPr>
          <w:b w:val="0"/>
          <w:caps w:val="0"/>
        </w:rPr>
      </w:pPr>
      <w:r>
        <w:rPr>
          <w:b w:val="0"/>
          <w:caps w:val="0"/>
        </w:rPr>
        <w:t>822.</w:t>
      </w:r>
      <w:r>
        <w:rPr>
          <w:b w:val="0"/>
          <w:caps w:val="0"/>
        </w:rPr>
        <w:tab/>
        <w:t>На организационном уровне Министерство сталкивается со следующими внутренними трудностями: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Персонал Министерства еще недостаточно учитывает необходимость подхода с позиций гендерного равенства; несмотря на успехи в осуществлении некоторых программ, коренных изменений можно ожидать только в среднесрочной перспективе.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Ощущается нехватка информации с разбивкой по полу, учитывающая различия в разных секторах (охрана окружающей среды, лесоводство, рыболовство, водное хозяйство).</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Принятие гендерного подхода требует создания такой структуры, которая позволит пропагандировать такой подход и поддерживать его в техническом плане в секторах, находящихся в ведении Министерства.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статьях бюджета отсутствует учет ассигнований с разбивкой по полу. Однако в статье расходов на некоторые программы Министерства в 2000 году уже была произведена соответствующая разбивка средств.</w:t>
      </w:r>
    </w:p>
    <w:p w:rsidR="00000000" w:rsidRDefault="00000000">
      <w:pPr>
        <w:pStyle w:val="BodyText2"/>
        <w:tabs>
          <w:tab w:val="left" w:pos="284"/>
        </w:tabs>
        <w:ind w:left="284" w:hanging="284"/>
        <w:rPr>
          <w:b w:val="0"/>
          <w:caps w:val="0"/>
        </w:rPr>
      </w:pPr>
      <w:r>
        <w:rPr>
          <w:b w:val="0"/>
          <w:caps w:val="0"/>
        </w:rPr>
        <w:t>823.</w:t>
      </w:r>
      <w:r>
        <w:rPr>
          <w:b w:val="0"/>
          <w:caps w:val="0"/>
        </w:rPr>
        <w:tab/>
        <w:t>Другие трудности, которые отмечаются при проведении политики по охране окружающей среды:</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Некоторые социальные группы отрицают значение подхода с позиций гендерного равенства, считая его риторикой, а не элементом, необходимым для обеспечения устойчивого развития, что затрудняет выработку направления деятельности.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Документы, удостоверяющие право собственности на землю или на ее использование, обычно выдаются мужчине – отцу или мужу; поэтому внимание государственных органов сосредоточено прежде всего на них.</w:t>
      </w:r>
    </w:p>
    <w:p w:rsidR="00000000" w:rsidRDefault="00000000">
      <w:pPr>
        <w:pStyle w:val="BodyText2"/>
        <w:tabs>
          <w:tab w:val="left" w:pos="284"/>
        </w:tabs>
        <w:ind w:left="284" w:hanging="284"/>
        <w:rPr>
          <w:b w:val="0"/>
          <w:caps w:val="0"/>
        </w:rPr>
      </w:pPr>
      <w:r>
        <w:rPr>
          <w:b w:val="0"/>
          <w:caps w:val="0"/>
        </w:rPr>
        <w:sym w:font="Symbol" w:char="F0B7"/>
      </w:r>
      <w:r>
        <w:rPr>
          <w:b w:val="0"/>
          <w:caps w:val="0"/>
        </w:rPr>
        <w:tab/>
        <w:t>Что касается населения, являющегося объектом помощи, то сопротивление изменениям, высокий уровень неграмотности и низкая профессиональная подготовка женщин затрудняют достижение существенных изменений.</w:t>
      </w:r>
    </w:p>
    <w:p w:rsidR="00000000" w:rsidRDefault="00000000">
      <w:pPr>
        <w:pStyle w:val="BodyText2"/>
        <w:rPr>
          <w:b w:val="0"/>
          <w:caps w:val="0"/>
        </w:rPr>
      </w:pPr>
      <w:r>
        <w:rPr>
          <w:b w:val="0"/>
          <w:caps w:val="0"/>
        </w:rPr>
        <w:t>824.</w:t>
      </w:r>
      <w:r>
        <w:rPr>
          <w:b w:val="0"/>
          <w:caps w:val="0"/>
        </w:rPr>
        <w:tab/>
        <w:t>Основными задачами в краткосрочной перспективе являются:</w:t>
      </w:r>
    </w:p>
    <w:p w:rsidR="00000000" w:rsidRDefault="00000000">
      <w:pPr>
        <w:pStyle w:val="BodyText2"/>
        <w:tabs>
          <w:tab w:val="left" w:pos="284"/>
        </w:tabs>
        <w:ind w:left="284" w:hanging="284"/>
        <w:rPr>
          <w:b w:val="0"/>
          <w:caps w:val="0"/>
        </w:rPr>
      </w:pPr>
      <w:r>
        <w:rPr>
          <w:b w:val="0"/>
          <w:caps w:val="0"/>
        </w:rPr>
        <w:sym w:font="Symbol" w:char="F0B7"/>
      </w:r>
      <w:r>
        <w:rPr>
          <w:b w:val="0"/>
          <w:caps w:val="0"/>
        </w:rPr>
        <w:tab/>
        <w:t>Учитывать проблему гендерного равенства при проведении политики устойчивого развития.</w:t>
      </w:r>
    </w:p>
    <w:p w:rsidR="00000000" w:rsidRDefault="00000000">
      <w:pPr>
        <w:pStyle w:val="BodyText2"/>
        <w:tabs>
          <w:tab w:val="left" w:pos="284"/>
        </w:tabs>
        <w:ind w:left="284" w:hanging="284"/>
        <w:rPr>
          <w:b w:val="0"/>
          <w:caps w:val="0"/>
        </w:rPr>
      </w:pPr>
      <w:r>
        <w:rPr>
          <w:b w:val="0"/>
          <w:caps w:val="0"/>
        </w:rPr>
        <w:sym w:font="Symbol" w:char="F0B7"/>
      </w:r>
      <w:r>
        <w:rPr>
          <w:b w:val="0"/>
          <w:caps w:val="0"/>
        </w:rPr>
        <w:tab/>
        <w:t>Добиться более полного понимания этой проблемы теми, кто принимает решения, реализует программы в национальном масштабе и пользуется услугами и ресурсами.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случае необходимости создавать базы данных по получателям помощи с разбивкой по полу. Одновременно проводить систематические исследования по изучению участия женщин в производственных цепочках и использования ими природных ресурсов.</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Применение подхода с позиций гендерного равенства возможно только в соответствующих законодательных и юридических рамках. Прежде всего необходимо внести изменения в нормативную основу программ и внутренний регламент Министерства, а затем продолжить работу над законами.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Необходимо создавать возможности для принятия решений получателями помощи по мере того, как в программы будет включаться подход с позиций гендерного равенства.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отношении женщин коренного населения, проживающих в сельских районах, необходимо учить их использовать, осваивать и сохранять природные ресурсы, а также предоставлять им соответствующую информацию. Кроме того, необходимо выделять средства на проекты по лесовосстановлению в общинах.</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Необходимо улучшить координацию с другими учреждениями и активизировать диалог с общественными организациями.</w:t>
      </w:r>
    </w:p>
    <w:p w:rsidR="00000000" w:rsidRDefault="00000000">
      <w:pPr>
        <w:pStyle w:val="Heading3"/>
      </w:pPr>
      <w:r>
        <w:t>Участие неправительственных организаций</w:t>
      </w:r>
    </w:p>
    <w:p w:rsidR="00000000" w:rsidRDefault="00000000">
      <w:pPr>
        <w:pStyle w:val="Heading4"/>
      </w:pPr>
      <w:r>
        <w:t>Позиция правительства Мексики</w:t>
      </w:r>
    </w:p>
    <w:p w:rsidR="00000000" w:rsidRDefault="00000000">
      <w:pPr>
        <w:pStyle w:val="BodyText2"/>
        <w:rPr>
          <w:b w:val="0"/>
          <w:caps w:val="0"/>
        </w:rPr>
      </w:pPr>
      <w:r>
        <w:rPr>
          <w:b w:val="0"/>
          <w:caps w:val="0"/>
        </w:rPr>
        <w:t>825.</w:t>
      </w:r>
      <w:r>
        <w:rPr>
          <w:b w:val="0"/>
          <w:caps w:val="0"/>
        </w:rPr>
        <w:tab/>
        <w:t>В Мексике признается, что гарантией достижения целей различных социальных и демографических программ является сочетание усилий правительства, представляющего общие интересы и учитывающего основные потребности населения, и организованного, требовательного и активного гражданского общества.</w:t>
      </w:r>
    </w:p>
    <w:p w:rsidR="00000000" w:rsidRDefault="00000000">
      <w:pPr>
        <w:pStyle w:val="BodyText2"/>
        <w:rPr>
          <w:b w:val="0"/>
          <w:caps w:val="0"/>
        </w:rPr>
      </w:pPr>
      <w:r>
        <w:rPr>
          <w:b w:val="0"/>
          <w:caps w:val="0"/>
        </w:rPr>
        <w:t>826.</w:t>
      </w:r>
      <w:r>
        <w:rPr>
          <w:b w:val="0"/>
          <w:caps w:val="0"/>
        </w:rPr>
        <w:tab/>
        <w:t>В Платформе действий, принятой четвертой Всемирной конференцией по положению женщин, содержится призыв к правительствам тесно сотрудничать с неправительственными организациями, привлекать их к разработке, осуществлению и оценке политики государства и программ, направленных на улучшение положения женщин.</w:t>
      </w:r>
    </w:p>
    <w:p w:rsidR="00000000" w:rsidRDefault="00000000">
      <w:pPr>
        <w:pStyle w:val="BodyText2"/>
        <w:rPr>
          <w:b w:val="0"/>
          <w:caps w:val="0"/>
        </w:rPr>
      </w:pPr>
      <w:r>
        <w:rPr>
          <w:b w:val="0"/>
          <w:caps w:val="0"/>
        </w:rPr>
        <w:t>827.</w:t>
      </w:r>
      <w:r>
        <w:rPr>
          <w:b w:val="0"/>
          <w:caps w:val="0"/>
        </w:rPr>
        <w:tab/>
        <w:t>В связи с этим неправительственным организациям отводится ключевая роль в деле улучшения положения женщин в Мексике. Неправительственные организации уже играют важную роль в разработке политики и программ, направленных на улучшение социального статуса женщин, предоставление услуг, удовлетворяющих их специфические потребности, и укрепление юридической основы их прав. При этом возрастает роль этих организаций в оценке политики и программ мексиканского правительства и в наблюдении за их выполнением. В настоящее время правительственные учреждения и неправительственные организации демонстрируют все большую открытость, что способствует развитию диалога и более плодотворной совместной работе.</w:t>
      </w:r>
    </w:p>
    <w:p w:rsidR="00000000" w:rsidRDefault="00000000">
      <w:pPr>
        <w:pStyle w:val="BodyText2"/>
        <w:spacing w:before="120"/>
        <w:rPr>
          <w:caps w:val="0"/>
        </w:rPr>
      </w:pPr>
      <w:r>
        <w:rPr>
          <w:b w:val="0"/>
          <w:caps w:val="0"/>
        </w:rPr>
        <w:t>828.</w:t>
      </w:r>
      <w:r>
        <w:rPr>
          <w:b w:val="0"/>
          <w:caps w:val="0"/>
        </w:rPr>
        <w:tab/>
      </w:r>
      <w:r>
        <w:rPr>
          <w:i/>
          <w:caps w:val="0"/>
        </w:rPr>
        <w:t>Действия и достижения</w:t>
      </w:r>
    </w:p>
    <w:p w:rsidR="00000000" w:rsidRDefault="00000000">
      <w:pPr>
        <w:pStyle w:val="BodyText2"/>
        <w:rPr>
          <w:b w:val="0"/>
          <w:caps w:val="0"/>
        </w:rPr>
      </w:pPr>
      <w:r>
        <w:rPr>
          <w:b w:val="0"/>
          <w:caps w:val="0"/>
        </w:rPr>
        <w:t>Ниже приводится резюме некоторых успешных примеров диалога и сотрудничества неправительственных организаций и государственных учреждений, направленных на улучшение положения женщин в Мексике.</w:t>
      </w:r>
    </w:p>
    <w:p w:rsidR="00000000" w:rsidRDefault="00000000">
      <w:pPr>
        <w:pStyle w:val="BodyText2"/>
        <w:tabs>
          <w:tab w:val="left" w:pos="284"/>
        </w:tabs>
        <w:ind w:left="284" w:hanging="284"/>
        <w:rPr>
          <w:b w:val="0"/>
          <w:caps w:val="0"/>
        </w:rPr>
      </w:pPr>
      <w:r>
        <w:rPr>
          <w:b w:val="0"/>
          <w:caps w:val="0"/>
        </w:rPr>
        <w:sym w:font="Symbol" w:char="F0B7"/>
      </w:r>
      <w:r>
        <w:rPr>
          <w:b w:val="0"/>
          <w:caps w:val="0"/>
        </w:rPr>
        <w:tab/>
        <w:t>Фонд социальных инвестиций, которым руководит Министерство социального развития (СЕДЕСОЛ), оказывает поддержку общественным организациям, содействуя осуществлению проектов помощи неимущим группам населения. Фонд стремится удовлетворить некоторые потребности женщин и их семей, поддерживая такие организации, как "Матери-воспитательницы и женщины за благосостояние детей"; "Союз женщин Керетаро за лучшее будущее"; "Фонд в защиту женщин федерального округа" и "Женщины в борьбе за демократию".</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проекте "Как быть наставницами, матерями и отцами по-другому" совместно работают Министерство образования и "Группа народного просвещения женщин" (ГЕМ). Целью проекта является развитие новых форм помощи детям и их защиты. Это, например, совместная ответственность различных участников процесса образования, которые стремятся исключить из этого процесса дискриминацию и способствовать развитию взаимной терпимости и уважения мужчин и женщин.</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В проекте КОНОСЕР (Комитет по оказанию коммунальных и социальных услуг Совета по нормализации и аттестации) под руководством СТПС принимают активное участие неправительственные организации (Атабаль, Национальная организация домашних работниц, не получающих зарплату, Биржа труда "Эсперанса" и МУТУАС), правительственные учреждения федерального уровня и на уровне штатов (НКЖ, СЕП, ИНЕГИ, ИМСС) и университеты </w:t>
      </w:r>
      <w:r>
        <w:rPr>
          <w:b w:val="0"/>
          <w:caps w:val="0"/>
          <w:lang w:val="en-US"/>
        </w:rPr>
        <w:t>[</w:t>
      </w:r>
      <w:r>
        <w:rPr>
          <w:b w:val="0"/>
          <w:caps w:val="0"/>
        </w:rPr>
        <w:t>Мексиканский национальный автономный университет (УНАМ), Автономный университет федерального округа – Хочимилко, Университет Гвадалахары, Колледж</w:t>
      </w:r>
      <w:r>
        <w:rPr>
          <w:b w:val="0"/>
          <w:caps w:val="0"/>
          <w:lang w:val="en-US"/>
        </w:rPr>
        <w:t xml:space="preserve"> Мехико]</w:t>
      </w:r>
      <w:r>
        <w:rPr>
          <w:b w:val="0"/>
          <w:caps w:val="0"/>
        </w:rPr>
        <w:t xml:space="preserve"> и другие. Этот проект является составной частью Проекта модернизации технического образования и профессиональной подготовки (ПМЕИТС), являющегося плодом сотрудничества СЕП и СТПС и направленного на удовлетворение самых насущных потребностей в этой области. Его задачей является стандартизация требований и выдача сертификатов лицам, которые не имели возможности получить доступ к образованию, но чья производственная деятельность имеет большое общественное значение.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Общественные организации активно участвовали в разработке политики и программ Министерства здравоохранения, а также в контроле за их исполнением. Участие неправительственных организаций было особенно заметным по следующим направлениям: охрана здоровья матери и ребенка, планирование семьи, предупреждение осложнений при абортах и оказание женщинам соответствующей помощи, профилактика заболеваний, передаваемых половым путем, и ВИЧ/СПИДа, осуществление программ помощи подросткам, сексуальное воспитание, информационная и консультативная деятельность по вопросам репродуктивного здоровья и с недавних пор – профилактика и лечение рака шейки матки и молочной железы.</w:t>
      </w:r>
    </w:p>
    <w:p w:rsidR="00000000" w:rsidRDefault="00000000">
      <w:pPr>
        <w:pStyle w:val="BodyText2"/>
        <w:tabs>
          <w:tab w:val="left" w:pos="284"/>
        </w:tabs>
        <w:ind w:left="284" w:hanging="284"/>
        <w:rPr>
          <w:b w:val="0"/>
          <w:caps w:val="0"/>
        </w:rPr>
      </w:pPr>
      <w:r>
        <w:rPr>
          <w:b w:val="0"/>
          <w:caps w:val="0"/>
        </w:rPr>
        <w:sym w:font="Symbol" w:char="F0B7"/>
      </w:r>
      <w:r>
        <w:rPr>
          <w:b w:val="0"/>
          <w:caps w:val="0"/>
        </w:rPr>
        <w:tab/>
        <w:t>Главное управление репродуктивного здоровья Министерства здравоохранения, Инициативный комитет "За материнство без риска" и другие неправительственные организации провели оперативное исследование с целью снижения заболеваемости и смертности женщин путем своевременного выявления осложнений в период беременности. Для этой цели были созданы медицинские пункты в городских и сельских районах.</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1998 году в "Диарио Офисиаль" были опубликованы "Официальные нормативы профилактики и лечения рака шейки матки". Отвечая на призыв Главного управления репродуктивного здоровья, ряд неправительственных организаций приняли участие в разработке и пересмотре этой нормы.</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Национальная программа борьбы с насилием в семье (ПРОНАВИ) представляет собой межведомственный проект, в котором участвуют следующие организации: АМДХ, гражданская ассоциация "Анонимные приверженцы деструктивных отношений"; КОВАК; АДИВАК; гражданская ассоциация "Приют для одиноких беременных женщин Испапалотель"; ЦИЕС; КОРИАК; ЦНДН; Комитет действий "За материнство без риска в Мексике"; НКЖ; КОНАПО; "Народные защитницы"; КОЛМЕКС; ФЕМУ; МЕКСФАМ; Плюралистическая группа ПРОВИКТИМАС; палата депутатов; ИНЕГИ; ИНСЕН; ИНИ; "Феминистское </w:t>
      </w:r>
      <w:r>
        <w:rPr>
          <w:b w:val="0"/>
          <w:caps w:val="0"/>
          <w:spacing w:val="-2"/>
        </w:rPr>
        <w:t>тысячелетие"; "Женщины в борьбе за демократию"; Организация Объединенных Наций/Межучрежденческая</w:t>
      </w:r>
      <w:r>
        <w:rPr>
          <w:b w:val="0"/>
          <w:caps w:val="0"/>
        </w:rPr>
        <w:t xml:space="preserve"> группа по гендерным вопросам; ОПС; Совет по народонаселению/Региональное бюро по Латинской Америке и Карибскому бассейну; ПГР; ПГИДФ; Программа действий в защиту беспризорных; "Обновление: единство сил – единство усилий"; СЕДЕСОЛ; СЕП; СЕГОГ; СРЕ; ССА; сенат Республики; ДИФ; Мексиканское общество криминологии; УНАМ.</w:t>
      </w:r>
    </w:p>
    <w:p w:rsidR="00000000" w:rsidRDefault="00000000">
      <w:pPr>
        <w:pStyle w:val="BodyText2"/>
        <w:tabs>
          <w:tab w:val="left" w:pos="284"/>
        </w:tabs>
        <w:ind w:left="284" w:hanging="284"/>
        <w:rPr>
          <w:b w:val="0"/>
          <w:caps w:val="0"/>
        </w:rPr>
      </w:pPr>
      <w:r>
        <w:rPr>
          <w:b w:val="0"/>
          <w:caps w:val="0"/>
        </w:rPr>
        <w:sym w:font="Symbol" w:char="F0B7"/>
      </w:r>
      <w:r>
        <w:rPr>
          <w:b w:val="0"/>
          <w:caps w:val="0"/>
        </w:rPr>
        <w:tab/>
        <w:t>Международный отдел по делам женщин Министерства иностранных дел поддерживает тесные связи с неправительственными организациями в сфере обмена информацией и принятия решений, прежде всего по вопросу насилия в отношении женщин.</w:t>
      </w:r>
    </w:p>
    <w:p w:rsidR="00000000" w:rsidRDefault="00000000">
      <w:pPr>
        <w:pStyle w:val="BodyText2"/>
        <w:tabs>
          <w:tab w:val="left" w:pos="284"/>
        </w:tabs>
        <w:ind w:left="284" w:hanging="284"/>
        <w:rPr>
          <w:b w:val="0"/>
          <w:caps w:val="0"/>
        </w:rPr>
      </w:pPr>
      <w:r>
        <w:rPr>
          <w:b w:val="0"/>
          <w:caps w:val="0"/>
        </w:rPr>
        <w:sym w:font="Symbol" w:char="F0B7"/>
      </w:r>
      <w:r>
        <w:rPr>
          <w:b w:val="0"/>
          <w:caps w:val="0"/>
        </w:rPr>
        <w:tab/>
        <w:t>Генеральная прокуратура Федерального округа установила тесные контакты с неправительственными организациями для осуществления и мониторинга программ по "культуре защиты и поддержки потерпевших", а также заключила соглашения о проведении профессиональной подготовки с неправительственными организациями, которые занимаются вопросами насилия, например АДИВАК, КОРИАК, КОВАК.</w:t>
      </w:r>
    </w:p>
    <w:p w:rsidR="00000000" w:rsidRDefault="00000000">
      <w:pPr>
        <w:pStyle w:val="BodyText2"/>
        <w:tabs>
          <w:tab w:val="left" w:pos="284"/>
        </w:tabs>
        <w:ind w:left="284" w:hanging="284"/>
        <w:rPr>
          <w:b w:val="0"/>
          <w:caps w:val="0"/>
        </w:rPr>
      </w:pPr>
      <w:r>
        <w:rPr>
          <w:b w:val="0"/>
          <w:caps w:val="0"/>
        </w:rPr>
        <w:sym w:font="Symbol" w:char="F0B7"/>
      </w:r>
      <w:r>
        <w:rPr>
          <w:b w:val="0"/>
          <w:caps w:val="0"/>
        </w:rPr>
        <w:tab/>
        <w:t xml:space="preserve">ИМСС сотрудничает с "макиладорас" и различными неправительственными организациями. </w:t>
      </w:r>
      <w:r>
        <w:rPr>
          <w:b w:val="0"/>
          <w:caps w:val="0"/>
        </w:rPr>
        <w:br/>
        <w:t>В национальном масштабе следует отметить сотрудничество с Мексиканской ассоциацией "макиладорас" (АМА</w:t>
      </w:r>
      <w:r>
        <w:rPr>
          <w:b w:val="0"/>
          <w:caps w:val="0"/>
          <w:lang w:val="en-US"/>
        </w:rPr>
        <w:t>C</w:t>
      </w:r>
      <w:r>
        <w:rPr>
          <w:b w:val="0"/>
          <w:caps w:val="0"/>
        </w:rPr>
        <w:t>) и Единым национальным движением пенсионеров для оказания всесторонней помощи женщинам, занятым на этих предприятиях.</w:t>
      </w:r>
    </w:p>
    <w:p w:rsidR="00000000" w:rsidRDefault="00000000">
      <w:pPr>
        <w:pStyle w:val="BodyText2"/>
        <w:tabs>
          <w:tab w:val="left" w:pos="284"/>
        </w:tabs>
        <w:ind w:left="284" w:hanging="284"/>
        <w:rPr>
          <w:b w:val="0"/>
          <w:caps w:val="0"/>
        </w:rPr>
      </w:pPr>
      <w:r>
        <w:rPr>
          <w:b w:val="0"/>
          <w:caps w:val="0"/>
        </w:rPr>
        <w:sym w:font="Symbol" w:char="F0B7"/>
      </w:r>
      <w:r>
        <w:rPr>
          <w:b w:val="0"/>
          <w:caps w:val="0"/>
        </w:rPr>
        <w:tab/>
        <w:t>Неправительственные организации играют решающую роль в борьбе за гендерное равенство и большее внимание к гендерным проблемам, способствуя разработке и мониторингу правительственной политики и программ, направленных на улучшение условий жизни и повышение благосостояния женщин. Сотрудничество с НКЖ осуществлялось через представительниц неправительственных организаций, входящих в состав Консультативного совета и Социальной инспекции НКЖ, а также путем непосредственных контактов с этой организацией.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целях защиты прав женщин Национальная комиссия по правам человека провела ряд мероприятий в сотрудничестве с неправительственными организациями, например создание сети организаций "Феминистское тысячелетие" (объединяет около 100 организаций); учреждение Национальной ассамблеи женщин; организация Марша 1000 женщин за мир в Чьяпас (в поддержку женщин из числа коренного населения) и Союза в защиту женщин федерального округа; содействие правовым реформам через Парламент женщин (созданный женщинами – законодателями Республики и неправительственными организациями).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Отвечая на призыв ГЕМ, Международная солидарность, ВИСТА, правительство федерального округа, Министерство труда и социальных вопросов Испании и Общий координационный комитет НКЖ разработали и провели кампанию "…Внимание, женщины!". Как уже отмечалось, цель этого мероприятия заключалась в том, чтобы привлечь внимание населения к дискриминационному отношению к женщинам как к слабому полу, которое проявляется в виде идей и действий, указывающих, какой должна или не должна быть женщина.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Организации гражданского общества активно стремятся совместными усилиями добиться включения гендерной проблематики в деятельность СЕМАРНАП, прежде всего путем разъяснительной работы, консультаций и профессиональной подготовки.</w:t>
      </w:r>
    </w:p>
    <w:p w:rsidR="00000000" w:rsidRDefault="00000000">
      <w:pPr>
        <w:pStyle w:val="BodyText2"/>
        <w:tabs>
          <w:tab w:val="left" w:pos="284"/>
        </w:tabs>
        <w:ind w:left="284" w:hanging="284"/>
        <w:rPr>
          <w:b w:val="0"/>
          <w:caps w:val="0"/>
        </w:rPr>
      </w:pPr>
      <w:r>
        <w:rPr>
          <w:b w:val="0"/>
          <w:caps w:val="0"/>
        </w:rPr>
        <w:sym w:font="Symbol" w:char="F0B7"/>
      </w:r>
      <w:r>
        <w:rPr>
          <w:b w:val="0"/>
          <w:caps w:val="0"/>
        </w:rPr>
        <w:tab/>
        <w:t>С 1995 года началась поэтапная информационная кампания, посвященная потребностям и уязвимому положению девочек и девушек. Усилия неправительственных организаций и государственных учреждений были направлены в первую очередь на привлечение внимания к положению женщин со стороны групп населения и специалистов с целью изучения и осмысления ими этого вопроса, а также для его включения в различные виды профессиональной подготовки.</w:t>
      </w:r>
    </w:p>
    <w:p w:rsidR="00000000" w:rsidRDefault="00000000">
      <w:pPr>
        <w:pStyle w:val="BodyText2"/>
        <w:spacing w:before="120"/>
        <w:rPr>
          <w:caps w:val="0"/>
        </w:rPr>
      </w:pPr>
      <w:r>
        <w:rPr>
          <w:b w:val="0"/>
          <w:caps w:val="0"/>
        </w:rPr>
        <w:t>829</w:t>
      </w:r>
      <w:r>
        <w:rPr>
          <w:caps w:val="0"/>
        </w:rPr>
        <w:t>.</w:t>
      </w:r>
      <w:r>
        <w:rPr>
          <w:caps w:val="0"/>
        </w:rPr>
        <w:tab/>
      </w:r>
      <w:r>
        <w:rPr>
          <w:i/>
          <w:caps w:val="0"/>
        </w:rPr>
        <w:t>Цели</w:t>
      </w:r>
      <w:r>
        <w:rPr>
          <w:b w:val="0"/>
          <w:i/>
          <w:caps w:val="0"/>
        </w:rPr>
        <w:t xml:space="preserve"> </w:t>
      </w:r>
      <w:r>
        <w:rPr>
          <w:i/>
          <w:caps w:val="0"/>
        </w:rPr>
        <w:t>и перспективы</w:t>
      </w:r>
    </w:p>
    <w:p w:rsidR="00000000" w:rsidRDefault="00000000">
      <w:pPr>
        <w:pStyle w:val="BodyText2"/>
        <w:tabs>
          <w:tab w:val="left" w:pos="284"/>
        </w:tabs>
        <w:ind w:left="284" w:hanging="284"/>
        <w:rPr>
          <w:b w:val="0"/>
          <w:caps w:val="0"/>
        </w:rPr>
      </w:pPr>
      <w:r>
        <w:rPr>
          <w:b w:val="0"/>
          <w:caps w:val="0"/>
        </w:rPr>
        <w:sym w:font="Symbol" w:char="F0B7"/>
      </w:r>
      <w:r>
        <w:rPr>
          <w:b w:val="0"/>
          <w:caps w:val="0"/>
        </w:rPr>
        <w:tab/>
        <w:t>Среди основных трудностей, с которыми сталкиваются неправительственные организации при осуществлении программ совместно с правительственными органами, часто упоминаются нехватка средств и способы их расходования. Политическая воля правительственных учреждений и/или государственных служащих, а также обязательства неправительственных организаций перед обществом сами по себе не гарантируют успеха, если они не располагают ресурсами для сотрудничества.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Другой трудностью, которая препятствует совместным действиям неправительственных организаций и правительственных учреждений, является недостаточное знание приоритетов национальных программ, отражающих дух и букву Платформы действий, принятой на четвертой Всемирной конференции по положению женщин. Это обстоятельство не только затрудняет координацию работы, но и отрицательно сказывается на понимании задач по улучшению положения женщин и готовности к их совместному решению.</w:t>
      </w:r>
    </w:p>
    <w:p w:rsidR="00000000" w:rsidRDefault="00000000">
      <w:pPr>
        <w:pStyle w:val="BodyText2"/>
        <w:tabs>
          <w:tab w:val="left" w:pos="284"/>
        </w:tabs>
        <w:ind w:left="284" w:hanging="284"/>
        <w:rPr>
          <w:b w:val="0"/>
          <w:caps w:val="0"/>
        </w:rPr>
      </w:pPr>
      <w:r>
        <w:rPr>
          <w:b w:val="0"/>
          <w:caps w:val="0"/>
        </w:rPr>
        <w:sym w:font="Symbol" w:char="F0B7"/>
      </w:r>
      <w:r>
        <w:rPr>
          <w:b w:val="0"/>
          <w:caps w:val="0"/>
        </w:rPr>
        <w:tab/>
        <w:t>Среди условий, облегчающих сотрудничество, некоторые представители неправительственных организаций указывали на следующие: открытость, полная готовность к работе, сотрудничество и взаимное уважение между неправительственными организациями и правительственными органами, уважение самостоятельности неправительственных организаций, знание положений Национальной программы по улучшению положения женщин, готовность обеих сторон к осуществлению совместных действий.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Кроме того, следует отметить тот факт, что многие задачи неправительственных организаций Мексики аналогичны задачам, стоящим также перед неправительственными организациями других стран. К ним относятся сохранение самостоятельности, достижение финансовой устойчивости, широкомасштабное распространение местного опыта и улучшение условий жизни тех групп населения, которым они оказывают помощь независимо от финансовой поддержки правительства.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В Мексике признают, что, несмотря на успехи, необходимо укреплять сотрудничество между неправительственными организациями и государственными учреждениями. Для этого требуется расширять рамки сотрудничества и создавать более эффективные механизмы, которые помогали бы вести непрерывный и конструктивный диалог в соответствии со степенью ответственности и возможностями каждого участника.</w:t>
      </w:r>
    </w:p>
    <w:p w:rsidR="00000000" w:rsidRDefault="00000000">
      <w:pPr>
        <w:pStyle w:val="Heading3"/>
        <w:spacing w:before="360"/>
        <w:jc w:val="center"/>
      </w:pPr>
      <w:r>
        <w:t xml:space="preserve">РЕКОМЕНДАЦИИ </w:t>
      </w:r>
      <w:r>
        <w:rPr>
          <w:noProof w:val="0"/>
          <w:lang w:val="ru-RU"/>
        </w:rPr>
        <w:t xml:space="preserve">ПО ПРИМЕНЕНИЮ КОНВЕНЦИИ, </w:t>
      </w:r>
      <w:r>
        <w:rPr>
          <w:noProof w:val="0"/>
          <w:lang w:val="ru-RU"/>
        </w:rPr>
        <w:br/>
        <w:t xml:space="preserve">ВНЕСЕННЫЕ </w:t>
      </w:r>
      <w:r>
        <w:t>ГОСУДАРСТВЕННЫ</w:t>
      </w:r>
      <w:r>
        <w:rPr>
          <w:noProof w:val="0"/>
          <w:lang w:val="ru-RU"/>
        </w:rPr>
        <w:t>МИ</w:t>
      </w:r>
      <w:r>
        <w:t xml:space="preserve"> УЧРЕЖДЕНИ</w:t>
      </w:r>
      <w:r>
        <w:rPr>
          <w:noProof w:val="0"/>
          <w:lang w:val="ru-RU"/>
        </w:rPr>
        <w:t>ЯМИ</w:t>
      </w:r>
      <w:r>
        <w:t xml:space="preserve"> </w:t>
      </w:r>
      <w:r>
        <w:br/>
        <w:t>И ОБЩЕСТВЕННЫ</w:t>
      </w:r>
      <w:r>
        <w:rPr>
          <w:noProof w:val="0"/>
          <w:lang w:val="ru-RU"/>
        </w:rPr>
        <w:t>МИ</w:t>
      </w:r>
      <w:r>
        <w:t xml:space="preserve"> ОРГАНИЗАЦИ</w:t>
      </w:r>
      <w:r>
        <w:rPr>
          <w:noProof w:val="0"/>
          <w:lang w:val="ru-RU"/>
        </w:rPr>
        <w:t>ЯМИ</w:t>
      </w:r>
      <w:r>
        <w:t xml:space="preserve"> </w:t>
      </w:r>
    </w:p>
    <w:p w:rsidR="00000000" w:rsidRDefault="00000000">
      <w:pPr>
        <w:pStyle w:val="Heading3"/>
      </w:pPr>
      <w:r>
        <w:t>Отдел по оказанию помощи жертвам преступлений и работе с населением Генеральной прокуратуры федерального округа</w:t>
      </w:r>
    </w:p>
    <w:p w:rsidR="00000000" w:rsidRDefault="00000000">
      <w:pPr>
        <w:pStyle w:val="BodyText2"/>
        <w:rPr>
          <w:b w:val="0"/>
          <w:caps w:val="0"/>
        </w:rPr>
      </w:pPr>
      <w:r>
        <w:rPr>
          <w:b w:val="0"/>
          <w:caps w:val="0"/>
        </w:rPr>
        <w:t>830.</w:t>
      </w:r>
      <w:r>
        <w:rPr>
          <w:b w:val="0"/>
          <w:caps w:val="0"/>
        </w:rPr>
        <w:tab/>
        <w:t>Отдел по оказанию помощи жертвам преступлений и работе с населением Генеральной прокуратуры федерального округа считает, что правительству и различным федеральным учреждениям следует оказать материальную поддержку (оговоренную в соглашениях о сотрудничестве) общественным организациям, участвующим в осуществлении политики, стратегии и программ по оказанию помощи женщинам, в целях повышения эффективности и действенности их работы, изучив при этом предварительно их возможности.</w:t>
      </w:r>
    </w:p>
    <w:p w:rsidR="00000000" w:rsidRDefault="00000000">
      <w:pPr>
        <w:pStyle w:val="BodyText2"/>
        <w:rPr>
          <w:b w:val="0"/>
          <w:caps w:val="0"/>
        </w:rPr>
      </w:pPr>
      <w:r>
        <w:rPr>
          <w:b w:val="0"/>
          <w:caps w:val="0"/>
        </w:rPr>
        <w:t>831.</w:t>
      </w:r>
      <w:r>
        <w:rPr>
          <w:b w:val="0"/>
          <w:caps w:val="0"/>
        </w:rPr>
        <w:tab/>
        <w:t>Кроме того, этот Отдел рекомендует считать уголовным преступлением насилие в семье не только в формально-правовом аспекте, так как в этих случаях трудно определить состав преступления, но и с точки зрения эффективности борьбы с ним, потому что жертвы насилия в семье стараются не подавать жалоб и предпочитают иные пути решения проблемы. Реформа уголовного права не только не решает проблемы, связанные с насилием в семье, а, напротив, обостряет их. По этой причине Отдел полагает, что не следует стремиться к установлению факта уголовного преступления, а решать конфликты, возникающие в результате жестокого обращения, в рамках Гражданского кодекса и дополнений к нему. Кроме того, всем федеральным учреждениям предлагается руководствоваться Законом о предупреждении насилия в семье и об оказании помощи потерпевшим, механизмы действия которого намного более эффективны, успешнее применяются на практике и в большей степени соответствуют международным тенденциям оказания помощи жертвам насилия в семье при ориентации на предупреждение разрушения семей, подверженным конфликтам.</w:t>
      </w:r>
    </w:p>
    <w:p w:rsidR="00000000" w:rsidRDefault="00000000">
      <w:pPr>
        <w:pStyle w:val="BodyText2"/>
        <w:rPr>
          <w:b w:val="0"/>
          <w:caps w:val="0"/>
        </w:rPr>
      </w:pPr>
      <w:r>
        <w:rPr>
          <w:b w:val="0"/>
          <w:caps w:val="0"/>
        </w:rPr>
        <w:t>832.</w:t>
      </w:r>
      <w:r>
        <w:rPr>
          <w:b w:val="0"/>
          <w:caps w:val="0"/>
        </w:rPr>
        <w:tab/>
        <w:t>Отдел по оказанию помощи жертвам преступлений и работе с населением Генеральной прокуратуры федерального округа рекомендует создать специализированные уголовные суды по делам насилия в семье, подобно существующим судам по вопросам гражданских отношений, в компетенцию которых входит рассмотрение семейных дел. Такой шаг мог бы привести к унификации применяемых в этой области критериев на всей территории страны.</w:t>
      </w:r>
    </w:p>
    <w:p w:rsidR="00000000" w:rsidRDefault="00000000">
      <w:pPr>
        <w:pStyle w:val="Heading3"/>
      </w:pPr>
      <w:r>
        <w:br w:type="page"/>
        <w:t>Мексиканская академия прав человека</w:t>
      </w:r>
    </w:p>
    <w:p w:rsidR="00000000" w:rsidRDefault="00000000">
      <w:pPr>
        <w:pStyle w:val="BodyText2"/>
        <w:rPr>
          <w:b w:val="0"/>
          <w:caps w:val="0"/>
        </w:rPr>
      </w:pPr>
      <w:r>
        <w:rPr>
          <w:b w:val="0"/>
          <w:caps w:val="0"/>
        </w:rPr>
        <w:t>833.</w:t>
      </w:r>
      <w:r>
        <w:rPr>
          <w:b w:val="0"/>
          <w:caps w:val="0"/>
        </w:rPr>
        <w:tab/>
        <w:t>В документе, представленном Общим координационным советом Национальной комиссии по делам женщин, отражены позитивные действия, которые были предприняты мексиканским государством для постановки перед обществом проблемы прав женщин и для изменения их юридического, социального, политического и экономического статуса. Этот процесс является выражением силы организаций, борющихся за права человека и права женщин.</w:t>
      </w:r>
    </w:p>
    <w:p w:rsidR="00000000" w:rsidRDefault="00000000">
      <w:pPr>
        <w:pStyle w:val="BodyText2"/>
        <w:rPr>
          <w:b w:val="0"/>
          <w:caps w:val="0"/>
        </w:rPr>
      </w:pPr>
      <w:r>
        <w:rPr>
          <w:b w:val="0"/>
          <w:caps w:val="0"/>
        </w:rPr>
        <w:t>834.</w:t>
      </w:r>
      <w:r>
        <w:rPr>
          <w:b w:val="0"/>
          <w:caps w:val="0"/>
        </w:rPr>
        <w:tab/>
        <w:t>В статье 133 Конституции установлено, что "Конституция, законы и решения Национального конгресса, вытекающие из нее, а также все соответствующие Конституции, ратифицированные, подписанные Президентом Республики и одобренные сенатом договоры, являются высшим законом для всей нации. Судьи каждого штата руководствуются упомянутыми Конституцией, законами и договорами в тех случаях, когда возникают противоречия с конституциями или законами штатов". Однако пока не удалось закрепить положение, когда голос гражданского общества слышен через соответствующие организации.</w:t>
      </w:r>
    </w:p>
    <w:p w:rsidR="00000000" w:rsidRDefault="00000000">
      <w:pPr>
        <w:pStyle w:val="BodyText2"/>
        <w:rPr>
          <w:b w:val="0"/>
          <w:caps w:val="0"/>
        </w:rPr>
      </w:pPr>
      <w:r>
        <w:rPr>
          <w:b w:val="0"/>
          <w:caps w:val="0"/>
        </w:rPr>
        <w:t>835.</w:t>
      </w:r>
      <w:r>
        <w:rPr>
          <w:b w:val="0"/>
          <w:caps w:val="0"/>
        </w:rPr>
        <w:tab/>
        <w:t>Нельзя оправдать, но можно понять подобное отсутствие активности, поскольку большая часть населения Мексики (городского, сельского и коренного) не представляет себе и даже не знает о существовании международных и национальных правовых средств защиты прав человека и прав женщин. Кроме того, к этому следует добавить равнодушие, пренебрежение или безразличие властей, ответственных за отправление правосудия, при рассмотрении жалоб, поданных женщинами.</w:t>
      </w:r>
    </w:p>
    <w:p w:rsidR="00000000" w:rsidRDefault="00000000">
      <w:pPr>
        <w:pStyle w:val="BodyText2"/>
        <w:rPr>
          <w:b w:val="0"/>
          <w:caps w:val="0"/>
        </w:rPr>
      </w:pPr>
      <w:r>
        <w:rPr>
          <w:b w:val="0"/>
          <w:caps w:val="0"/>
        </w:rPr>
        <w:t>836.</w:t>
      </w:r>
      <w:r>
        <w:rPr>
          <w:b w:val="0"/>
          <w:caps w:val="0"/>
        </w:rPr>
        <w:tab/>
        <w:t>Учитывая вышесказанное, можно рекомендовать:</w:t>
      </w:r>
    </w:p>
    <w:p w:rsidR="00000000" w:rsidRDefault="00000000">
      <w:pPr>
        <w:pStyle w:val="BodyText2"/>
        <w:tabs>
          <w:tab w:val="left" w:pos="284"/>
        </w:tabs>
        <w:ind w:left="284" w:hanging="284"/>
        <w:rPr>
          <w:b w:val="0"/>
          <w:caps w:val="0"/>
        </w:rPr>
      </w:pPr>
      <w:r>
        <w:rPr>
          <w:b w:val="0"/>
          <w:caps w:val="0"/>
        </w:rPr>
        <w:sym w:font="Symbol" w:char="F0B7"/>
      </w:r>
      <w:r>
        <w:rPr>
          <w:b w:val="0"/>
          <w:caps w:val="0"/>
        </w:rPr>
        <w:tab/>
        <w:t>рассказывать в средствах массовой информации о национальных и международных правовых средствах защиты прав человека и прав женщин;</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привести в соответствие с международными нормами национальное законодательство по вопросам положения женщин;</w:t>
      </w:r>
    </w:p>
    <w:p w:rsidR="00000000" w:rsidRDefault="00000000">
      <w:pPr>
        <w:pStyle w:val="BodyText2"/>
        <w:tabs>
          <w:tab w:val="left" w:pos="284"/>
        </w:tabs>
        <w:ind w:left="284" w:hanging="284"/>
        <w:rPr>
          <w:b w:val="0"/>
          <w:caps w:val="0"/>
        </w:rPr>
      </w:pPr>
      <w:r>
        <w:rPr>
          <w:b w:val="0"/>
          <w:caps w:val="0"/>
        </w:rPr>
        <w:sym w:font="Symbol" w:char="F0B7"/>
      </w:r>
      <w:r>
        <w:rPr>
          <w:b w:val="0"/>
          <w:caps w:val="0"/>
        </w:rPr>
        <w:tab/>
        <w:t>разъяснять государственным служащим всех уровней важность применения международных инструментов защиты прав женщин, ратифицированных Мексикой;</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применять меры в отношении представителей власти, не соблюдающих положения международных инструментов защиты прав женщин.</w:t>
      </w:r>
    </w:p>
    <w:p w:rsidR="00000000" w:rsidRDefault="00000000">
      <w:pPr>
        <w:pStyle w:val="BodyText2"/>
        <w:rPr>
          <w:b w:val="0"/>
          <w:caps w:val="0"/>
        </w:rPr>
      </w:pPr>
      <w:r>
        <w:rPr>
          <w:b w:val="0"/>
          <w:caps w:val="0"/>
        </w:rPr>
        <w:t>837.</w:t>
      </w:r>
      <w:r>
        <w:rPr>
          <w:b w:val="0"/>
          <w:caps w:val="0"/>
        </w:rPr>
        <w:tab/>
        <w:t>Комитет КЛДЖ рекомендует правительству рассмотреть возможность снятия запрета на аборты и разрешения контрацептива RU486. В связи с этим можно сослаться на пункт е) статьи 16 Конвенции о ликвидации всех форм дискриминации в отношении женщин, которая провозглашает свободу женщин в принятии решения о числе детей, которых она хочет иметь. Согласно этой статье фундаментальное право женщин распоряжаться своим физическим телом должно подкрепляться следующими мерами:</w:t>
      </w:r>
    </w:p>
    <w:p w:rsidR="00000000" w:rsidRDefault="00000000">
      <w:pPr>
        <w:pStyle w:val="BodyText2"/>
        <w:tabs>
          <w:tab w:val="left" w:pos="284"/>
        </w:tabs>
        <w:ind w:left="284" w:hanging="284"/>
        <w:rPr>
          <w:b w:val="0"/>
          <w:caps w:val="0"/>
        </w:rPr>
      </w:pPr>
      <w:r>
        <w:rPr>
          <w:b w:val="0"/>
          <w:caps w:val="0"/>
        </w:rPr>
        <w:sym w:font="Symbol" w:char="F0B7"/>
      </w:r>
      <w:r>
        <w:rPr>
          <w:b w:val="0"/>
          <w:caps w:val="0"/>
        </w:rPr>
        <w:tab/>
        <w:t>созданием на всей территории Республики медицинских центров, предоставляющих всем желающим консультации и оказывающих помощь по вопросам сексуального здоровья;</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признанием на национальном уровне, что насилие является преступлением против человечества;</w:t>
      </w:r>
    </w:p>
    <w:p w:rsidR="00000000" w:rsidRDefault="00000000">
      <w:pPr>
        <w:pStyle w:val="BodyText2"/>
        <w:tabs>
          <w:tab w:val="left" w:pos="284"/>
        </w:tabs>
        <w:ind w:left="284" w:hanging="284"/>
        <w:rPr>
          <w:b w:val="0"/>
          <w:caps w:val="0"/>
        </w:rPr>
      </w:pPr>
      <w:r>
        <w:rPr>
          <w:b w:val="0"/>
          <w:caps w:val="0"/>
        </w:rPr>
        <w:sym w:font="Symbol" w:char="F0B7"/>
      </w:r>
      <w:r>
        <w:rPr>
          <w:b w:val="0"/>
          <w:caps w:val="0"/>
        </w:rPr>
        <w:tab/>
        <w:t>разработкой нарушений конкретных обязательств, вытекающих из Конвенции;</w:t>
      </w:r>
    </w:p>
    <w:p w:rsidR="00000000" w:rsidRDefault="00000000">
      <w:pPr>
        <w:pStyle w:val="BodyText2"/>
        <w:tabs>
          <w:tab w:val="left" w:pos="284"/>
        </w:tabs>
        <w:ind w:left="284" w:hanging="284"/>
        <w:rPr>
          <w:b w:val="0"/>
          <w:caps w:val="0"/>
        </w:rPr>
      </w:pPr>
      <w:r>
        <w:rPr>
          <w:b w:val="0"/>
          <w:caps w:val="0"/>
        </w:rPr>
        <w:sym w:font="Symbol" w:char="F0B7"/>
      </w:r>
      <w:r>
        <w:rPr>
          <w:b w:val="0"/>
          <w:caps w:val="0"/>
        </w:rPr>
        <w:tab/>
        <w:t>оказанием поддержки в разработке национальных стандартов применения Конвенции со стороны Мексики в соответствии с критериями КЛДЖ и с учетом стандартов в других странах.</w:t>
      </w:r>
    </w:p>
    <w:p w:rsidR="00000000" w:rsidRDefault="00000000">
      <w:pPr>
        <w:pStyle w:val="BodyText2"/>
        <w:rPr>
          <w:caps w:val="0"/>
        </w:rPr>
      </w:pPr>
      <w:r>
        <w:rPr>
          <w:caps w:val="0"/>
        </w:rPr>
        <w:br w:type="page"/>
        <w:t>2.</w:t>
      </w:r>
      <w:r>
        <w:rPr>
          <w:caps w:val="0"/>
        </w:rPr>
        <w:tab/>
        <w:t>Политика в области труда</w:t>
      </w:r>
    </w:p>
    <w:p w:rsidR="00000000" w:rsidRDefault="00000000">
      <w:pPr>
        <w:pStyle w:val="BodyText2"/>
        <w:rPr>
          <w:b w:val="0"/>
          <w:caps w:val="0"/>
        </w:rPr>
      </w:pPr>
      <w:r>
        <w:rPr>
          <w:b w:val="0"/>
          <w:caps w:val="0"/>
        </w:rPr>
        <w:t>838.</w:t>
      </w:r>
      <w:r>
        <w:rPr>
          <w:b w:val="0"/>
          <w:caps w:val="0"/>
        </w:rPr>
        <w:tab/>
        <w:t>Всемирная торговая организация (ВТО) обвинила Мексику в социальном демпинге. Это связано с тем, что не было достигнуто соглашение о реструктуризации внешнего долга. При этом следует учитывать следующее:</w:t>
      </w:r>
    </w:p>
    <w:p w:rsidR="00000000" w:rsidRDefault="00000000">
      <w:pPr>
        <w:pStyle w:val="BodyText2"/>
        <w:tabs>
          <w:tab w:val="left" w:pos="284"/>
        </w:tabs>
        <w:ind w:left="284" w:hanging="284"/>
        <w:rPr>
          <w:b w:val="0"/>
          <w:caps w:val="0"/>
        </w:rPr>
      </w:pPr>
      <w:r>
        <w:rPr>
          <w:b w:val="0"/>
          <w:caps w:val="0"/>
        </w:rPr>
        <w:sym w:font="Symbol" w:char="F0B7"/>
      </w:r>
      <w:r>
        <w:rPr>
          <w:b w:val="0"/>
          <w:caps w:val="0"/>
        </w:rPr>
        <w:tab/>
        <w:t>Природные ресурсы Мексики обеспечивают правительству возможность успешно вести переговоры с международными финансовыми организациями и транснациональными корпорациями о разработке инвестиционной политики, опирающейся на постоянное финансирование, которое может стать краеугольным камнем возрождения национального производственного аппарата. Это привело бы к устойчивому экономическому росту и увеличению использования женской рабочей силы. Кроме того, в политике в области труда это позволило бы обязать национальных и международных предпринимателей уважать право женщин на равное с мужчинами распределение конечных доходов, то есть заработной платы и выплат, а также на равный с мужчинами доступ к директивным должностям.</w:t>
      </w:r>
    </w:p>
    <w:p w:rsidR="00000000" w:rsidRDefault="00000000">
      <w:pPr>
        <w:pStyle w:val="Heading3"/>
      </w:pPr>
      <w:r>
        <w:t>3.</w:t>
      </w:r>
      <w:r>
        <w:tab/>
        <w:t>Политика в области охраны окружающей среды</w:t>
      </w:r>
    </w:p>
    <w:p w:rsidR="00000000" w:rsidRDefault="00000000">
      <w:pPr>
        <w:pStyle w:val="BodyText2"/>
        <w:rPr>
          <w:b w:val="0"/>
          <w:caps w:val="0"/>
        </w:rPr>
      </w:pPr>
      <w:r>
        <w:rPr>
          <w:b w:val="0"/>
          <w:caps w:val="0"/>
        </w:rPr>
        <w:t>839.</w:t>
      </w:r>
      <w:r>
        <w:rPr>
          <w:b w:val="0"/>
          <w:caps w:val="0"/>
        </w:rPr>
        <w:tab/>
        <w:t>В соответствии с положениями статьи 25 Конституции необходимо требовать, чтобы все национальные и транснациональные компании не использовали технологии, опасные для жизни и здоровья женщин; проводили обучение и профессиональную подготовку по вопросам рационального использования природных ресурсов и сохранения окружающей среды; учитывали вклад и потребности женщин; в своей производственной деятельности использовали необходимые фильтры. С этой целью необходимы кодексы поведения в области охраны окружающей среды.</w:t>
      </w:r>
    </w:p>
    <w:p w:rsidR="00000000" w:rsidRDefault="00000000">
      <w:pPr>
        <w:pStyle w:val="a"/>
        <w:sectPr w:rsidR="00000000">
          <w:footerReference w:type="default" r:id="rId27"/>
          <w:footnotePr>
            <w:numStart w:val="4"/>
          </w:footnotePr>
          <w:pgSz w:w="12242" w:h="15842" w:code="1"/>
          <w:pgMar w:top="1247" w:right="1298" w:bottom="1531" w:left="1298" w:header="720" w:footer="851" w:gutter="0"/>
          <w:cols w:space="720"/>
        </w:sectPr>
      </w:pPr>
    </w:p>
    <w:p w:rsidR="00000000" w:rsidRDefault="00000000">
      <w:pPr>
        <w:pStyle w:val="a"/>
      </w:pPr>
      <w:r>
        <w:t>Приложение</w:t>
      </w:r>
    </w:p>
    <w:p w:rsidR="00000000" w:rsidRDefault="00000000">
      <w:pPr>
        <w:pStyle w:val="a"/>
      </w:pPr>
    </w:p>
    <w:p w:rsidR="00000000" w:rsidRDefault="00000000">
      <w:pPr>
        <w:pStyle w:val="a"/>
      </w:pPr>
      <w:r>
        <w:t>Миграция женщин в Соединенные Штаты Америки,</w:t>
      </w:r>
      <w:r>
        <w:br/>
        <w:t>1998–2000 годы</w:t>
      </w:r>
    </w:p>
    <w:p w:rsidR="00000000" w:rsidRDefault="00000000">
      <w:pPr>
        <w:pStyle w:val="BodyText2"/>
        <w:rPr>
          <w:lang w:val="en-US"/>
        </w:rPr>
      </w:pPr>
    </w:p>
    <w:p w:rsidR="00000000" w:rsidRDefault="00000000">
      <w:pPr>
        <w:pStyle w:val="Heading2"/>
      </w:pPr>
      <w:r>
        <w:t>Миграция женщин в Соединенные Штаты Америки, 1998–2000 годы</w:t>
      </w:r>
    </w:p>
    <w:p w:rsidR="00000000" w:rsidRDefault="00000000">
      <w:pPr>
        <w:pStyle w:val="BodyText2"/>
        <w:spacing w:after="0"/>
        <w:jc w:val="right"/>
        <w:rPr>
          <w:b w:val="0"/>
          <w:caps w:val="0"/>
        </w:rPr>
      </w:pPr>
      <w:r>
        <w:rPr>
          <w:b w:val="0"/>
          <w:caps w:val="0"/>
        </w:rPr>
        <w:t>Национальный совет по народонаселению</w:t>
      </w:r>
    </w:p>
    <w:p w:rsidR="00000000" w:rsidRDefault="00000000">
      <w:pPr>
        <w:pStyle w:val="BodyText2"/>
        <w:jc w:val="right"/>
        <w:rPr>
          <w:b w:val="0"/>
          <w:caps w:val="0"/>
        </w:rPr>
      </w:pPr>
      <w:r>
        <w:rPr>
          <w:b w:val="0"/>
          <w:caps w:val="0"/>
        </w:rPr>
        <w:t>Август 2000 года</w:t>
      </w:r>
    </w:p>
    <w:p w:rsidR="00000000" w:rsidRDefault="00000000">
      <w:pPr>
        <w:pStyle w:val="BodyText2"/>
        <w:rPr>
          <w:b w:val="0"/>
          <w:caps w:val="0"/>
        </w:rPr>
      </w:pPr>
      <w:r>
        <w:rPr>
          <w:b w:val="0"/>
          <w:caps w:val="0"/>
        </w:rPr>
        <w:t>840.</w:t>
      </w:r>
      <w:r>
        <w:rPr>
          <w:b w:val="0"/>
          <w:caps w:val="0"/>
        </w:rPr>
        <w:tab/>
        <w:t xml:space="preserve">Миграция между Мексикой и США имеет глубокие исторические корни. За последние десятилетия ее размеры и характеристики претерпели значительные изменения. В отношении миграции мексиканских женщин следует прежде всего отметить изменение традиционной модели, когда перемещение женщин было связано главным образом с эмиграцией родителей, братьев или мужа (для воссоединения семьи в соседней стране). </w:t>
      </w:r>
      <w:r>
        <w:rPr>
          <w:b w:val="0"/>
          <w:caps w:val="0"/>
        </w:rPr>
        <w:br/>
        <w:t>В настоящее время все более активную роль играют молодые незамужние женщины, уровень образования которых выше, чем у мужчин, и которые мигрируют в поисках работы.</w:t>
      </w:r>
    </w:p>
    <w:p w:rsidR="00000000" w:rsidRDefault="00000000">
      <w:pPr>
        <w:pStyle w:val="Heading4"/>
      </w:pPr>
      <w:r>
        <w:t>Женщины, временно работающие в США</w:t>
      </w:r>
    </w:p>
    <w:p w:rsidR="00000000" w:rsidRDefault="00000000">
      <w:pPr>
        <w:pStyle w:val="BodyText2"/>
        <w:rPr>
          <w:b w:val="0"/>
          <w:caps w:val="0"/>
        </w:rPr>
      </w:pPr>
      <w:r>
        <w:rPr>
          <w:b w:val="0"/>
          <w:caps w:val="0"/>
        </w:rPr>
        <w:t>841.</w:t>
      </w:r>
      <w:r>
        <w:rPr>
          <w:b w:val="0"/>
          <w:caps w:val="0"/>
        </w:rPr>
        <w:tab/>
        <w:t xml:space="preserve">Несмотря на то что основной приток временной рабочей силы в США составляют мужчины, доля женщин в нем также значительна. В 1997 году в Мексике проживало 304 тыс. женщин, которые когда-либо ездили работать в эту страну, что составляет 13,8 процента общего числа граждан, имеющих опыт рабочей эмиграции в США. В среднем на каждую женщину приходится 1,8 поездки, а на каждого мужчину – </w:t>
      </w:r>
      <w:r>
        <w:rPr>
          <w:b w:val="0"/>
          <w:caps w:val="0"/>
          <w:lang w:val="en-US"/>
        </w:rPr>
        <w:br/>
      </w:r>
      <w:r>
        <w:rPr>
          <w:b w:val="0"/>
          <w:caps w:val="0"/>
        </w:rPr>
        <w:t>2,6. Средний возраст женщин, на который приходится последняя по времени поездка в США, составляет 28 лет, а средний возраст мужчин – 30 лет.</w:t>
      </w:r>
    </w:p>
    <w:p w:rsidR="00000000" w:rsidRDefault="00000000">
      <w:pPr>
        <w:pStyle w:val="BodyText2"/>
        <w:rPr>
          <w:b w:val="0"/>
          <w:caps w:val="0"/>
        </w:rPr>
      </w:pPr>
      <w:r>
        <w:rPr>
          <w:b w:val="0"/>
          <w:caps w:val="0"/>
        </w:rPr>
        <w:t>842.</w:t>
      </w:r>
      <w:r>
        <w:rPr>
          <w:b w:val="0"/>
          <w:caps w:val="0"/>
        </w:rPr>
        <w:tab/>
        <w:t>В последнее время выезжают на работу в США и возвращаются в Мексику в среднем около 21 тыс. женщин в год, то есть 6,4 процента общего миграционного потока, зарегистрированного при Опросе по проблемам миграции на северной границе Мексики (ЭМИФ)</w:t>
      </w:r>
      <w:r>
        <w:rPr>
          <w:rStyle w:val="FootnoteReference"/>
          <w:b w:val="0"/>
          <w:caps w:val="0"/>
        </w:rPr>
        <w:footnoteReference w:id="6"/>
      </w:r>
      <w:r>
        <w:rPr>
          <w:b w:val="0"/>
          <w:caps w:val="0"/>
        </w:rPr>
        <w:t xml:space="preserve"> в 1998–2000 годах. В таблице 1 показано, что данный показатель на 3,5 процента выше, чем в 1993–1997 годах, и что в последние годы</w:t>
      </w:r>
      <w:r>
        <w:rPr>
          <w:rStyle w:val="FootnoteReference"/>
          <w:b w:val="0"/>
          <w:caps w:val="0"/>
        </w:rPr>
        <w:footnoteReference w:id="7"/>
      </w:r>
      <w:r>
        <w:rPr>
          <w:b w:val="0"/>
          <w:caps w:val="0"/>
        </w:rPr>
        <w:t xml:space="preserve"> миграционный поток женщин демонстрирует относительную стабильность на фоне снижения временной миграции мужчин.</w:t>
      </w:r>
    </w:p>
    <w:p w:rsidR="00000000" w:rsidRDefault="00000000">
      <w:pPr>
        <w:pStyle w:val="BodyText2"/>
        <w:rPr>
          <w:b w:val="0"/>
          <w:caps w:val="0"/>
        </w:rPr>
      </w:pPr>
      <w:r>
        <w:rPr>
          <w:b w:val="0"/>
          <w:caps w:val="0"/>
        </w:rPr>
        <w:t>843.</w:t>
      </w:r>
      <w:r>
        <w:rPr>
          <w:b w:val="0"/>
          <w:caps w:val="0"/>
        </w:rPr>
        <w:tab/>
        <w:t>В таблице 2 показаны социально-демографические характеристики женщин-мигрантов, которые возвращаются из США, проработав там некоторое время. Следует отметить, что средний возраст женщин-мигрантов составляет 31 год; их уровень образования находится на отметке семи полных классов. В то же время у мужчин средний возраст на два года больше, а уровень образования ниже. Заметим, что возрастной состав миграционных потоков показывает, что среди женщин преобладают лица от 12 до 24 лет (41 процент), а среди мужчин – 35 лет и старше. Следует отметить, что 57 процентов женщин-мигрантов, по крайней мере, один год учились в средней школе. В то же время необходимо подчеркнуть, что 56 процентов женщин-мигрантов не состоят в браке, а 60 процентов не считают себя главой семьи. Обратная картина наблюдается среди мужчин, у которых в браке не состоит 31 процент и 26 процентов не считают себя главой семьи.</w:t>
      </w:r>
    </w:p>
    <w:p w:rsidR="00000000" w:rsidRDefault="00000000">
      <w:pPr>
        <w:pStyle w:val="BodyText2"/>
        <w:spacing w:before="120" w:after="0"/>
        <w:jc w:val="center"/>
        <w:rPr>
          <w:caps w:val="0"/>
        </w:rPr>
      </w:pPr>
      <w:r>
        <w:rPr>
          <w:caps w:val="0"/>
        </w:rPr>
        <w:t>Таблица 1</w:t>
      </w:r>
    </w:p>
    <w:p w:rsidR="00000000" w:rsidRDefault="00000000">
      <w:pPr>
        <w:pStyle w:val="BodyText2"/>
        <w:spacing w:after="0"/>
        <w:jc w:val="center"/>
        <w:rPr>
          <w:caps w:val="0"/>
        </w:rPr>
      </w:pPr>
      <w:r>
        <w:rPr>
          <w:caps w:val="0"/>
        </w:rPr>
        <w:t>Среднегодовые показатели временной миграции в США по периодам</w:t>
      </w:r>
    </w:p>
    <w:p w:rsidR="00000000" w:rsidRDefault="00000000">
      <w:pPr>
        <w:pStyle w:val="BodyText2"/>
        <w:rPr>
          <w:caps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2552"/>
        <w:gridCol w:w="1814"/>
        <w:gridCol w:w="1474"/>
        <w:gridCol w:w="1474"/>
      </w:tblGrid>
      <w:tr w:rsidR="00000000">
        <w:tblPrEx>
          <w:tblCellMar>
            <w:top w:w="0" w:type="dxa"/>
            <w:bottom w:w="0" w:type="dxa"/>
          </w:tblCellMar>
        </w:tblPrEx>
        <w:trPr>
          <w:jc w:val="center"/>
        </w:trPr>
        <w:tc>
          <w:tcPr>
            <w:tcW w:w="2552" w:type="dxa"/>
            <w:tcBorders>
              <w:bottom w:val="single" w:sz="4" w:space="0" w:color="auto"/>
              <w:right w:val="nil"/>
            </w:tcBorders>
          </w:tcPr>
          <w:p w:rsidR="00000000" w:rsidRDefault="00000000">
            <w:pPr>
              <w:pStyle w:val="BodyText2"/>
              <w:spacing w:before="60" w:after="60"/>
              <w:jc w:val="center"/>
              <w:rPr>
                <w:caps w:val="0"/>
              </w:rPr>
            </w:pPr>
            <w:r>
              <w:rPr>
                <w:caps w:val="0"/>
              </w:rPr>
              <w:t>Период</w:t>
            </w:r>
          </w:p>
        </w:tc>
        <w:tc>
          <w:tcPr>
            <w:tcW w:w="1814" w:type="dxa"/>
            <w:tcBorders>
              <w:left w:val="nil"/>
              <w:bottom w:val="single" w:sz="4" w:space="0" w:color="auto"/>
              <w:right w:val="nil"/>
            </w:tcBorders>
          </w:tcPr>
          <w:p w:rsidR="00000000" w:rsidRDefault="00000000">
            <w:pPr>
              <w:pStyle w:val="BodyText2"/>
              <w:spacing w:before="60" w:after="60"/>
              <w:jc w:val="center"/>
              <w:rPr>
                <w:caps w:val="0"/>
              </w:rPr>
            </w:pPr>
            <w:r>
              <w:rPr>
                <w:caps w:val="0"/>
              </w:rPr>
              <w:t>Всего мигрантов</w:t>
            </w:r>
          </w:p>
        </w:tc>
        <w:tc>
          <w:tcPr>
            <w:tcW w:w="1474" w:type="dxa"/>
            <w:tcBorders>
              <w:left w:val="nil"/>
              <w:bottom w:val="single" w:sz="4" w:space="0" w:color="auto"/>
              <w:right w:val="nil"/>
            </w:tcBorders>
          </w:tcPr>
          <w:p w:rsidR="00000000" w:rsidRDefault="00000000">
            <w:pPr>
              <w:pStyle w:val="BodyText2"/>
              <w:spacing w:before="60" w:after="60"/>
              <w:jc w:val="center"/>
              <w:rPr>
                <w:caps w:val="0"/>
              </w:rPr>
            </w:pPr>
            <w:r>
              <w:rPr>
                <w:caps w:val="0"/>
              </w:rPr>
              <w:t>Мужчины</w:t>
            </w:r>
          </w:p>
        </w:tc>
        <w:tc>
          <w:tcPr>
            <w:tcW w:w="1474" w:type="dxa"/>
            <w:tcBorders>
              <w:left w:val="nil"/>
              <w:bottom w:val="single" w:sz="4" w:space="0" w:color="auto"/>
            </w:tcBorders>
          </w:tcPr>
          <w:p w:rsidR="00000000" w:rsidRDefault="00000000">
            <w:pPr>
              <w:pStyle w:val="BodyText2"/>
              <w:spacing w:before="60" w:after="60"/>
              <w:jc w:val="center"/>
              <w:rPr>
                <w:caps w:val="0"/>
              </w:rPr>
            </w:pPr>
            <w:r>
              <w:rPr>
                <w:caps w:val="0"/>
              </w:rPr>
              <w:t>Женщины</w:t>
            </w:r>
          </w:p>
        </w:tc>
      </w:tr>
      <w:tr w:rsidR="00000000">
        <w:tblPrEx>
          <w:tblCellMar>
            <w:top w:w="0" w:type="dxa"/>
            <w:bottom w:w="0" w:type="dxa"/>
          </w:tblCellMar>
        </w:tblPrEx>
        <w:trPr>
          <w:jc w:val="center"/>
        </w:trPr>
        <w:tc>
          <w:tcPr>
            <w:tcW w:w="2552" w:type="dxa"/>
            <w:tcBorders>
              <w:top w:val="nil"/>
              <w:bottom w:val="nil"/>
              <w:right w:val="nil"/>
            </w:tcBorders>
          </w:tcPr>
          <w:p w:rsidR="00000000" w:rsidRDefault="00000000">
            <w:pPr>
              <w:pStyle w:val="BodyText2"/>
              <w:spacing w:before="60" w:after="60"/>
              <w:rPr>
                <w:b w:val="0"/>
                <w:i/>
                <w:caps w:val="0"/>
              </w:rPr>
            </w:pPr>
            <w:r>
              <w:rPr>
                <w:b w:val="0"/>
                <w:i/>
                <w:caps w:val="0"/>
              </w:rPr>
              <w:t>Всего</w:t>
            </w:r>
          </w:p>
        </w:tc>
        <w:tc>
          <w:tcPr>
            <w:tcW w:w="1814" w:type="dxa"/>
            <w:tcBorders>
              <w:top w:val="nil"/>
              <w:left w:val="nil"/>
              <w:bottom w:val="nil"/>
              <w:right w:val="nil"/>
            </w:tcBorders>
          </w:tcPr>
          <w:p w:rsidR="00000000" w:rsidRDefault="00000000">
            <w:pPr>
              <w:pStyle w:val="BodyText2"/>
              <w:spacing w:before="60" w:after="60"/>
              <w:rPr>
                <w:b w:val="0"/>
                <w:caps w:val="0"/>
              </w:rPr>
            </w:pPr>
          </w:p>
        </w:tc>
        <w:tc>
          <w:tcPr>
            <w:tcW w:w="1474" w:type="dxa"/>
            <w:tcBorders>
              <w:top w:val="nil"/>
              <w:left w:val="nil"/>
              <w:bottom w:val="nil"/>
              <w:right w:val="nil"/>
            </w:tcBorders>
          </w:tcPr>
          <w:p w:rsidR="00000000" w:rsidRDefault="00000000">
            <w:pPr>
              <w:pStyle w:val="BodyText2"/>
              <w:spacing w:before="60" w:after="60"/>
              <w:rPr>
                <w:b w:val="0"/>
                <w:caps w:val="0"/>
              </w:rPr>
            </w:pPr>
          </w:p>
        </w:tc>
        <w:tc>
          <w:tcPr>
            <w:tcW w:w="1474" w:type="dxa"/>
            <w:tcBorders>
              <w:top w:val="nil"/>
              <w:left w:val="nil"/>
              <w:bottom w:val="nil"/>
            </w:tcBorders>
          </w:tcPr>
          <w:p w:rsidR="00000000" w:rsidRDefault="00000000">
            <w:pPr>
              <w:pStyle w:val="BodyText2"/>
              <w:spacing w:before="60" w:after="60"/>
              <w:rPr>
                <w:b w:val="0"/>
                <w:caps w:val="0"/>
              </w:rPr>
            </w:pPr>
          </w:p>
        </w:tc>
      </w:tr>
      <w:tr w:rsidR="00000000">
        <w:tblPrEx>
          <w:tblCellMar>
            <w:top w:w="0" w:type="dxa"/>
            <w:bottom w:w="0" w:type="dxa"/>
          </w:tblCellMar>
        </w:tblPrEx>
        <w:trPr>
          <w:jc w:val="center"/>
        </w:trPr>
        <w:tc>
          <w:tcPr>
            <w:tcW w:w="2552" w:type="dxa"/>
            <w:tcBorders>
              <w:top w:val="nil"/>
              <w:bottom w:val="nil"/>
              <w:right w:val="nil"/>
            </w:tcBorders>
          </w:tcPr>
          <w:p w:rsidR="00000000" w:rsidRDefault="00000000">
            <w:pPr>
              <w:pStyle w:val="BodyText2"/>
              <w:spacing w:before="60" w:after="60"/>
              <w:rPr>
                <w:b w:val="0"/>
                <w:caps w:val="0"/>
              </w:rPr>
            </w:pPr>
            <w:r>
              <w:rPr>
                <w:b w:val="0"/>
                <w:caps w:val="0"/>
              </w:rPr>
              <w:t>1993–1997 годы</w:t>
            </w:r>
            <w:r>
              <w:rPr>
                <w:b w:val="0"/>
                <w:caps w:val="0"/>
                <w:vertAlign w:val="superscript"/>
              </w:rPr>
              <w:t>1</w:t>
            </w:r>
          </w:p>
        </w:tc>
        <w:tc>
          <w:tcPr>
            <w:tcW w:w="1814" w:type="dxa"/>
            <w:tcBorders>
              <w:top w:val="nil"/>
              <w:left w:val="nil"/>
              <w:bottom w:val="nil"/>
              <w:right w:val="nil"/>
            </w:tcBorders>
          </w:tcPr>
          <w:p w:rsidR="00000000" w:rsidRDefault="00000000">
            <w:pPr>
              <w:pStyle w:val="BodyText2"/>
              <w:spacing w:before="60" w:after="60"/>
              <w:ind w:right="510"/>
              <w:jc w:val="right"/>
              <w:rPr>
                <w:b w:val="0"/>
                <w:caps w:val="0"/>
              </w:rPr>
            </w:pPr>
            <w:r>
              <w:rPr>
                <w:b w:val="0"/>
                <w:caps w:val="0"/>
              </w:rPr>
              <w:t>464 432</w:t>
            </w:r>
          </w:p>
        </w:tc>
        <w:tc>
          <w:tcPr>
            <w:tcW w:w="1474" w:type="dxa"/>
            <w:tcBorders>
              <w:top w:val="nil"/>
              <w:left w:val="nil"/>
              <w:bottom w:val="nil"/>
              <w:right w:val="nil"/>
            </w:tcBorders>
          </w:tcPr>
          <w:p w:rsidR="00000000" w:rsidRDefault="00000000">
            <w:pPr>
              <w:pStyle w:val="BodyText2"/>
              <w:spacing w:before="60" w:after="60"/>
              <w:ind w:right="284"/>
              <w:jc w:val="right"/>
              <w:rPr>
                <w:b w:val="0"/>
                <w:caps w:val="0"/>
              </w:rPr>
            </w:pPr>
            <w:r>
              <w:rPr>
                <w:b w:val="0"/>
                <w:caps w:val="0"/>
              </w:rPr>
              <w:t>448 214</w:t>
            </w:r>
          </w:p>
        </w:tc>
        <w:tc>
          <w:tcPr>
            <w:tcW w:w="1474" w:type="dxa"/>
            <w:tcBorders>
              <w:top w:val="nil"/>
              <w:left w:val="nil"/>
              <w:bottom w:val="nil"/>
            </w:tcBorders>
          </w:tcPr>
          <w:p w:rsidR="00000000" w:rsidRDefault="00000000">
            <w:pPr>
              <w:pStyle w:val="BodyText2"/>
              <w:spacing w:before="60" w:after="60"/>
              <w:ind w:right="284"/>
              <w:jc w:val="right"/>
              <w:rPr>
                <w:b w:val="0"/>
                <w:caps w:val="0"/>
              </w:rPr>
            </w:pPr>
            <w:r>
              <w:rPr>
                <w:b w:val="0"/>
                <w:caps w:val="0"/>
              </w:rPr>
              <w:t>16 217</w:t>
            </w:r>
          </w:p>
        </w:tc>
      </w:tr>
      <w:tr w:rsidR="00000000">
        <w:tblPrEx>
          <w:tblCellMar>
            <w:top w:w="0" w:type="dxa"/>
            <w:bottom w:w="0" w:type="dxa"/>
          </w:tblCellMar>
        </w:tblPrEx>
        <w:trPr>
          <w:jc w:val="center"/>
        </w:trPr>
        <w:tc>
          <w:tcPr>
            <w:tcW w:w="2552" w:type="dxa"/>
            <w:tcBorders>
              <w:top w:val="nil"/>
              <w:bottom w:val="nil"/>
              <w:right w:val="nil"/>
            </w:tcBorders>
          </w:tcPr>
          <w:p w:rsidR="00000000" w:rsidRDefault="00000000">
            <w:pPr>
              <w:pStyle w:val="BodyText2"/>
              <w:spacing w:before="60" w:after="60"/>
              <w:rPr>
                <w:b w:val="0"/>
                <w:caps w:val="0"/>
              </w:rPr>
            </w:pPr>
            <w:r>
              <w:rPr>
                <w:b w:val="0"/>
                <w:caps w:val="0"/>
              </w:rPr>
              <w:t>1998–2000 годы</w:t>
            </w:r>
            <w:r>
              <w:rPr>
                <w:b w:val="0"/>
                <w:caps w:val="0"/>
                <w:vertAlign w:val="superscript"/>
              </w:rPr>
              <w:t>2</w:t>
            </w:r>
          </w:p>
        </w:tc>
        <w:tc>
          <w:tcPr>
            <w:tcW w:w="1814" w:type="dxa"/>
            <w:tcBorders>
              <w:top w:val="nil"/>
              <w:left w:val="nil"/>
              <w:bottom w:val="nil"/>
              <w:right w:val="nil"/>
            </w:tcBorders>
          </w:tcPr>
          <w:p w:rsidR="00000000" w:rsidRDefault="00000000">
            <w:pPr>
              <w:pStyle w:val="BodyText2"/>
              <w:spacing w:before="60" w:after="60"/>
              <w:ind w:right="510"/>
              <w:jc w:val="right"/>
              <w:rPr>
                <w:b w:val="0"/>
                <w:caps w:val="0"/>
              </w:rPr>
            </w:pPr>
            <w:r>
              <w:rPr>
                <w:b w:val="0"/>
                <w:caps w:val="0"/>
              </w:rPr>
              <w:t>331 334</w:t>
            </w:r>
          </w:p>
        </w:tc>
        <w:tc>
          <w:tcPr>
            <w:tcW w:w="1474" w:type="dxa"/>
            <w:tcBorders>
              <w:top w:val="nil"/>
              <w:left w:val="nil"/>
              <w:bottom w:val="nil"/>
              <w:right w:val="nil"/>
            </w:tcBorders>
          </w:tcPr>
          <w:p w:rsidR="00000000" w:rsidRDefault="00000000">
            <w:pPr>
              <w:pStyle w:val="BodyText2"/>
              <w:spacing w:before="60" w:after="60"/>
              <w:ind w:right="284"/>
              <w:jc w:val="right"/>
              <w:rPr>
                <w:b w:val="0"/>
                <w:caps w:val="0"/>
              </w:rPr>
            </w:pPr>
            <w:r>
              <w:rPr>
                <w:b w:val="0"/>
                <w:caps w:val="0"/>
              </w:rPr>
              <w:t>310 226</w:t>
            </w:r>
          </w:p>
        </w:tc>
        <w:tc>
          <w:tcPr>
            <w:tcW w:w="1474" w:type="dxa"/>
            <w:tcBorders>
              <w:top w:val="nil"/>
              <w:left w:val="nil"/>
              <w:bottom w:val="nil"/>
            </w:tcBorders>
          </w:tcPr>
          <w:p w:rsidR="00000000" w:rsidRDefault="00000000">
            <w:pPr>
              <w:pStyle w:val="BodyText2"/>
              <w:spacing w:before="60" w:after="60"/>
              <w:ind w:right="284"/>
              <w:jc w:val="right"/>
              <w:rPr>
                <w:b w:val="0"/>
                <w:caps w:val="0"/>
              </w:rPr>
            </w:pPr>
            <w:r>
              <w:rPr>
                <w:b w:val="0"/>
                <w:caps w:val="0"/>
              </w:rPr>
              <w:t>21 108</w:t>
            </w:r>
          </w:p>
        </w:tc>
      </w:tr>
      <w:tr w:rsidR="00000000">
        <w:tblPrEx>
          <w:tblCellMar>
            <w:top w:w="0" w:type="dxa"/>
            <w:bottom w:w="0" w:type="dxa"/>
          </w:tblCellMar>
        </w:tblPrEx>
        <w:trPr>
          <w:jc w:val="center"/>
        </w:trPr>
        <w:tc>
          <w:tcPr>
            <w:tcW w:w="2552" w:type="dxa"/>
            <w:tcBorders>
              <w:top w:val="nil"/>
              <w:bottom w:val="nil"/>
              <w:right w:val="nil"/>
            </w:tcBorders>
          </w:tcPr>
          <w:p w:rsidR="00000000" w:rsidRDefault="00000000">
            <w:pPr>
              <w:pStyle w:val="BodyText2"/>
              <w:spacing w:before="60" w:after="60"/>
              <w:rPr>
                <w:b w:val="0"/>
                <w:i/>
                <w:caps w:val="0"/>
              </w:rPr>
            </w:pPr>
            <w:r>
              <w:rPr>
                <w:b w:val="0"/>
                <w:i/>
                <w:caps w:val="0"/>
              </w:rPr>
              <w:t>В процентах</w:t>
            </w:r>
          </w:p>
        </w:tc>
        <w:tc>
          <w:tcPr>
            <w:tcW w:w="1814" w:type="dxa"/>
            <w:tcBorders>
              <w:top w:val="nil"/>
              <w:left w:val="nil"/>
              <w:bottom w:val="nil"/>
              <w:right w:val="nil"/>
            </w:tcBorders>
          </w:tcPr>
          <w:p w:rsidR="00000000" w:rsidRDefault="00000000">
            <w:pPr>
              <w:pStyle w:val="BodyText2"/>
              <w:spacing w:before="60" w:after="60"/>
              <w:ind w:right="510"/>
              <w:jc w:val="right"/>
              <w:rPr>
                <w:b w:val="0"/>
                <w:caps w:val="0"/>
              </w:rPr>
            </w:pPr>
          </w:p>
        </w:tc>
        <w:tc>
          <w:tcPr>
            <w:tcW w:w="1474" w:type="dxa"/>
            <w:tcBorders>
              <w:top w:val="nil"/>
              <w:left w:val="nil"/>
              <w:bottom w:val="nil"/>
              <w:right w:val="nil"/>
            </w:tcBorders>
          </w:tcPr>
          <w:p w:rsidR="00000000" w:rsidRDefault="00000000">
            <w:pPr>
              <w:pStyle w:val="BodyText2"/>
              <w:spacing w:before="60" w:after="60"/>
              <w:ind w:right="284"/>
              <w:jc w:val="right"/>
              <w:rPr>
                <w:b w:val="0"/>
                <w:caps w:val="0"/>
              </w:rPr>
            </w:pPr>
          </w:p>
        </w:tc>
        <w:tc>
          <w:tcPr>
            <w:tcW w:w="1474" w:type="dxa"/>
            <w:tcBorders>
              <w:top w:val="nil"/>
              <w:left w:val="nil"/>
              <w:bottom w:val="nil"/>
            </w:tcBorders>
          </w:tcPr>
          <w:p w:rsidR="00000000" w:rsidRDefault="00000000">
            <w:pPr>
              <w:pStyle w:val="BodyText2"/>
              <w:spacing w:before="60" w:after="60"/>
              <w:ind w:right="284"/>
              <w:jc w:val="right"/>
              <w:rPr>
                <w:b w:val="0"/>
                <w:caps w:val="0"/>
              </w:rPr>
            </w:pPr>
          </w:p>
        </w:tc>
      </w:tr>
      <w:tr w:rsidR="00000000">
        <w:tblPrEx>
          <w:tblCellMar>
            <w:top w:w="0" w:type="dxa"/>
            <w:bottom w:w="0" w:type="dxa"/>
          </w:tblCellMar>
        </w:tblPrEx>
        <w:trPr>
          <w:jc w:val="center"/>
        </w:trPr>
        <w:tc>
          <w:tcPr>
            <w:tcW w:w="2552" w:type="dxa"/>
            <w:tcBorders>
              <w:top w:val="nil"/>
              <w:bottom w:val="nil"/>
              <w:right w:val="nil"/>
            </w:tcBorders>
          </w:tcPr>
          <w:p w:rsidR="00000000" w:rsidRDefault="00000000">
            <w:pPr>
              <w:pStyle w:val="BodyText2"/>
              <w:spacing w:before="60" w:after="60"/>
              <w:rPr>
                <w:b w:val="0"/>
                <w:caps w:val="0"/>
              </w:rPr>
            </w:pPr>
            <w:r>
              <w:rPr>
                <w:b w:val="0"/>
                <w:caps w:val="0"/>
              </w:rPr>
              <w:t>1993–1997 годы</w:t>
            </w:r>
            <w:r>
              <w:rPr>
                <w:b w:val="0"/>
                <w:caps w:val="0"/>
                <w:vertAlign w:val="superscript"/>
              </w:rPr>
              <w:t>1</w:t>
            </w:r>
          </w:p>
        </w:tc>
        <w:tc>
          <w:tcPr>
            <w:tcW w:w="1814" w:type="dxa"/>
            <w:tcBorders>
              <w:top w:val="nil"/>
              <w:left w:val="nil"/>
              <w:bottom w:val="nil"/>
              <w:right w:val="nil"/>
            </w:tcBorders>
          </w:tcPr>
          <w:p w:rsidR="00000000" w:rsidRDefault="00000000">
            <w:pPr>
              <w:pStyle w:val="BodyText2"/>
              <w:spacing w:before="60" w:after="60"/>
              <w:ind w:right="510"/>
              <w:jc w:val="right"/>
              <w:rPr>
                <w:b w:val="0"/>
                <w:caps w:val="0"/>
              </w:rPr>
            </w:pPr>
            <w:r>
              <w:rPr>
                <w:b w:val="0"/>
                <w:caps w:val="0"/>
              </w:rPr>
              <w:t>100,0</w:t>
            </w:r>
          </w:p>
        </w:tc>
        <w:tc>
          <w:tcPr>
            <w:tcW w:w="1474" w:type="dxa"/>
            <w:tcBorders>
              <w:top w:val="nil"/>
              <w:left w:val="nil"/>
              <w:bottom w:val="nil"/>
              <w:right w:val="nil"/>
            </w:tcBorders>
          </w:tcPr>
          <w:p w:rsidR="00000000" w:rsidRDefault="00000000">
            <w:pPr>
              <w:pStyle w:val="BodyText2"/>
              <w:spacing w:before="60" w:after="60"/>
              <w:ind w:right="284"/>
              <w:jc w:val="right"/>
              <w:rPr>
                <w:b w:val="0"/>
                <w:caps w:val="0"/>
              </w:rPr>
            </w:pPr>
            <w:r>
              <w:rPr>
                <w:b w:val="0"/>
                <w:caps w:val="0"/>
              </w:rPr>
              <w:t>96,5</w:t>
            </w:r>
          </w:p>
        </w:tc>
        <w:tc>
          <w:tcPr>
            <w:tcW w:w="1474" w:type="dxa"/>
            <w:tcBorders>
              <w:top w:val="nil"/>
              <w:left w:val="nil"/>
              <w:bottom w:val="nil"/>
            </w:tcBorders>
          </w:tcPr>
          <w:p w:rsidR="00000000" w:rsidRDefault="00000000">
            <w:pPr>
              <w:pStyle w:val="BodyText2"/>
              <w:spacing w:before="60" w:after="60"/>
              <w:ind w:right="284"/>
              <w:jc w:val="right"/>
              <w:rPr>
                <w:b w:val="0"/>
                <w:caps w:val="0"/>
              </w:rPr>
            </w:pPr>
            <w:r>
              <w:rPr>
                <w:b w:val="0"/>
                <w:caps w:val="0"/>
              </w:rPr>
              <w:t>3,5</w:t>
            </w:r>
          </w:p>
        </w:tc>
      </w:tr>
      <w:tr w:rsidR="00000000">
        <w:tblPrEx>
          <w:tblCellMar>
            <w:top w:w="0" w:type="dxa"/>
            <w:bottom w:w="0" w:type="dxa"/>
          </w:tblCellMar>
        </w:tblPrEx>
        <w:trPr>
          <w:jc w:val="center"/>
        </w:trPr>
        <w:tc>
          <w:tcPr>
            <w:tcW w:w="2552" w:type="dxa"/>
            <w:tcBorders>
              <w:top w:val="nil"/>
              <w:right w:val="nil"/>
            </w:tcBorders>
          </w:tcPr>
          <w:p w:rsidR="00000000" w:rsidRDefault="00000000">
            <w:pPr>
              <w:pStyle w:val="BodyText2"/>
              <w:spacing w:before="60" w:after="60"/>
              <w:rPr>
                <w:b w:val="0"/>
                <w:caps w:val="0"/>
              </w:rPr>
            </w:pPr>
            <w:r>
              <w:rPr>
                <w:b w:val="0"/>
                <w:caps w:val="0"/>
              </w:rPr>
              <w:t>1998–2000 годы</w:t>
            </w:r>
            <w:r>
              <w:rPr>
                <w:b w:val="0"/>
                <w:caps w:val="0"/>
                <w:vertAlign w:val="superscript"/>
              </w:rPr>
              <w:t>2</w:t>
            </w:r>
          </w:p>
        </w:tc>
        <w:tc>
          <w:tcPr>
            <w:tcW w:w="1814" w:type="dxa"/>
            <w:tcBorders>
              <w:top w:val="nil"/>
              <w:left w:val="nil"/>
              <w:right w:val="nil"/>
            </w:tcBorders>
          </w:tcPr>
          <w:p w:rsidR="00000000" w:rsidRDefault="00000000">
            <w:pPr>
              <w:pStyle w:val="BodyText2"/>
              <w:spacing w:before="60" w:after="60"/>
              <w:ind w:right="510"/>
              <w:jc w:val="right"/>
              <w:rPr>
                <w:b w:val="0"/>
                <w:caps w:val="0"/>
              </w:rPr>
            </w:pPr>
            <w:r>
              <w:rPr>
                <w:b w:val="0"/>
                <w:caps w:val="0"/>
              </w:rPr>
              <w:t>100,0</w:t>
            </w:r>
          </w:p>
        </w:tc>
        <w:tc>
          <w:tcPr>
            <w:tcW w:w="1474" w:type="dxa"/>
            <w:tcBorders>
              <w:top w:val="nil"/>
              <w:left w:val="nil"/>
              <w:right w:val="nil"/>
            </w:tcBorders>
          </w:tcPr>
          <w:p w:rsidR="00000000" w:rsidRDefault="00000000">
            <w:pPr>
              <w:pStyle w:val="BodyText2"/>
              <w:spacing w:before="60" w:after="60"/>
              <w:ind w:right="284"/>
              <w:jc w:val="right"/>
              <w:rPr>
                <w:b w:val="0"/>
                <w:caps w:val="0"/>
              </w:rPr>
            </w:pPr>
            <w:r>
              <w:rPr>
                <w:b w:val="0"/>
                <w:caps w:val="0"/>
              </w:rPr>
              <w:t>93,6</w:t>
            </w:r>
          </w:p>
        </w:tc>
        <w:tc>
          <w:tcPr>
            <w:tcW w:w="1474" w:type="dxa"/>
            <w:tcBorders>
              <w:top w:val="nil"/>
              <w:left w:val="nil"/>
            </w:tcBorders>
          </w:tcPr>
          <w:p w:rsidR="00000000" w:rsidRDefault="00000000">
            <w:pPr>
              <w:pStyle w:val="BodyText2"/>
              <w:spacing w:before="60" w:after="60"/>
              <w:ind w:right="284"/>
              <w:jc w:val="right"/>
              <w:rPr>
                <w:b w:val="0"/>
                <w:caps w:val="0"/>
              </w:rPr>
            </w:pPr>
            <w:r>
              <w:rPr>
                <w:b w:val="0"/>
                <w:caps w:val="0"/>
              </w:rPr>
              <w:t>6,4</w:t>
            </w:r>
          </w:p>
        </w:tc>
      </w:tr>
    </w:tbl>
    <w:p w:rsidR="00000000" w:rsidRDefault="00000000">
      <w:pPr>
        <w:pStyle w:val="a2"/>
        <w:spacing w:before="120" w:after="0"/>
        <w:ind w:left="1134" w:right="1140"/>
      </w:pPr>
      <w:r>
        <w:t>Примечания:</w:t>
      </w:r>
    </w:p>
    <w:p w:rsidR="00000000" w:rsidRDefault="00000000">
      <w:pPr>
        <w:pStyle w:val="a2"/>
        <w:spacing w:before="120" w:after="0"/>
        <w:ind w:left="1134" w:right="1140"/>
      </w:pPr>
      <w:r>
        <w:rPr>
          <w:vertAlign w:val="superscript"/>
        </w:rPr>
        <w:t xml:space="preserve">1  </w:t>
      </w:r>
      <w:r>
        <w:t>Включает первую фазу с 28 марта 1993 года по 27 марта 1994 года, вторую фазу с 14 декабря 1994 года по 13 декабря 1995 года и третью фазу с 11 июля 1996 года по 10 июля 1997 года.</w:t>
      </w:r>
    </w:p>
    <w:p w:rsidR="00000000" w:rsidRDefault="00000000">
      <w:pPr>
        <w:pStyle w:val="a2"/>
        <w:spacing w:before="120" w:after="0"/>
        <w:ind w:left="1134" w:right="1140"/>
      </w:pPr>
      <w:r>
        <w:rPr>
          <w:vertAlign w:val="superscript"/>
        </w:rPr>
        <w:t xml:space="preserve">2  </w:t>
      </w:r>
      <w:r>
        <w:t>Включает четвертую фазу с 11 июля 1998 года по 10 июля 1999 года и пятую фазу с 11 июля 1999 года по 10 апреля 2000 года.</w:t>
      </w:r>
    </w:p>
    <w:p w:rsidR="00000000" w:rsidRDefault="00000000">
      <w:pPr>
        <w:pStyle w:val="a2"/>
        <w:spacing w:before="120" w:after="0"/>
        <w:ind w:left="1134" w:right="1140"/>
        <w:rPr>
          <w:lang w:val="en-US"/>
        </w:rPr>
      </w:pPr>
      <w:r>
        <w:t>Источник</w:t>
      </w:r>
      <w:r>
        <w:rPr>
          <w:lang w:val="en-US"/>
        </w:rPr>
        <w:t>: Оценка КОНАПО.</w:t>
      </w:r>
    </w:p>
    <w:p w:rsidR="00000000" w:rsidRDefault="00000000">
      <w:pPr>
        <w:pStyle w:val="BodyText2"/>
        <w:rPr>
          <w:b w:val="0"/>
          <w:caps w:val="0"/>
          <w:lang w:val="en-US"/>
        </w:rPr>
      </w:pPr>
    </w:p>
    <w:p w:rsidR="00000000" w:rsidRDefault="00000000">
      <w:pPr>
        <w:pStyle w:val="BodyText2"/>
        <w:rPr>
          <w:b w:val="0"/>
          <w:caps w:val="0"/>
        </w:rPr>
      </w:pPr>
      <w:r>
        <w:rPr>
          <w:b w:val="0"/>
          <w:caps w:val="0"/>
        </w:rPr>
        <w:t>844.</w:t>
      </w:r>
      <w:r>
        <w:rPr>
          <w:b w:val="0"/>
          <w:caps w:val="0"/>
        </w:rPr>
        <w:tab/>
        <w:t>Самый высокий показатель миграции женщин в США приходится на проживающих в северном регионе и традиционном регионе миграции (49 и 38 процентов, соответственно). На втором месте со значительным отрывом находятся женщины из региона Центр–Юг (13 процентов). Кроме того, следует отметить, что большинство женщин-мигрантов проживают в городах (72 процента). Важен также и тот факт, что три четверти женщин-мигрантов не имеют соответствующего опыта, 45 процентов не имеют документов для въезда в США, а 79 процентов не имеют документов, дающих право работать в США.</w:t>
      </w:r>
    </w:p>
    <w:p w:rsidR="00000000" w:rsidRDefault="00000000">
      <w:pPr>
        <w:pStyle w:val="BodyText2"/>
        <w:rPr>
          <w:b w:val="0"/>
          <w:caps w:val="0"/>
        </w:rPr>
      </w:pPr>
      <w:r>
        <w:rPr>
          <w:b w:val="0"/>
          <w:caps w:val="0"/>
        </w:rPr>
        <w:t>845.</w:t>
      </w:r>
      <w:r>
        <w:rPr>
          <w:b w:val="0"/>
          <w:caps w:val="0"/>
        </w:rPr>
        <w:tab/>
        <w:t xml:space="preserve">Что касается сроков пребывания в США, следует отметить, что женщины находятся в этой стране более продолжительное время, чем мужчины. Обращает на себя внимание тот факт, что 73 процента женщин-мигрантов направлялись в штаты Калифорния и Техас, 12 процентов – в остальные приграничные штаты и </w:t>
      </w:r>
      <w:r>
        <w:rPr>
          <w:b w:val="0"/>
          <w:caps w:val="0"/>
        </w:rPr>
        <w:br/>
        <w:t xml:space="preserve">15 процентов – в глубь территории США. Особенно важно, что как у мужчин, так и у женщин растет число конечных пунктов миграции. Несмотря на указанную тенденцию к рассредоточению во внутренних регионах США, женщины получают поддержку общественных организаций, созданных со временем мигрантами, а </w:t>
      </w:r>
      <w:r>
        <w:rPr>
          <w:b w:val="0"/>
          <w:caps w:val="0"/>
        </w:rPr>
        <w:br/>
        <w:t>95 процентов женщин получают помощь от родственников или друзей (по сравнению с 79 процентами мужчин).</w:t>
      </w:r>
    </w:p>
    <w:p w:rsidR="00000000" w:rsidRDefault="00000000">
      <w:pPr>
        <w:pStyle w:val="BodyText2"/>
        <w:jc w:val="center"/>
        <w:rPr>
          <w:caps w:val="0"/>
        </w:rPr>
      </w:pPr>
      <w:r>
        <w:rPr>
          <w:caps w:val="0"/>
        </w:rPr>
        <w:br w:type="page"/>
        <w:t>Таблица 2</w:t>
      </w:r>
    </w:p>
    <w:p w:rsidR="00000000" w:rsidRDefault="00000000">
      <w:pPr>
        <w:pStyle w:val="BodyText2"/>
        <w:spacing w:after="360"/>
        <w:jc w:val="center"/>
        <w:rPr>
          <w:b w:val="0"/>
          <w:caps w:val="0"/>
          <w:vertAlign w:val="superscript"/>
          <w:lang w:val="en-US"/>
        </w:rPr>
      </w:pPr>
      <w:r>
        <w:rPr>
          <w:caps w:val="0"/>
        </w:rPr>
        <w:t xml:space="preserve">Характеристика временных мигрантов, возвращающихся из США </w:t>
      </w:r>
      <w:r>
        <w:rPr>
          <w:caps w:val="0"/>
          <w:lang w:val="en-US"/>
        </w:rPr>
        <w:br/>
      </w:r>
      <w:r>
        <w:rPr>
          <w:caps w:val="0"/>
        </w:rPr>
        <w:t xml:space="preserve">(в процентах, с разбивкой по полу, 1998– 2001 годы) </w:t>
      </w:r>
      <w:r>
        <w:rPr>
          <w:b w:val="0"/>
          <w:caps w:val="0"/>
          <w:vertAlign w:val="superscript"/>
        </w:rPr>
        <w:t>1</w:t>
      </w:r>
    </w:p>
    <w:p w:rsidR="00000000" w:rsidRDefault="00000000">
      <w:pPr>
        <w:pStyle w:val="BodyText2"/>
        <w:spacing w:after="360"/>
        <w:ind w:right="567"/>
        <w:jc w:val="right"/>
        <w:rPr>
          <w:caps w:val="0"/>
          <w:vertAlign w:val="superscript"/>
          <w:lang w:val="en-US"/>
        </w:rPr>
        <w:sectPr w:rsidR="00000000">
          <w:footnotePr>
            <w:numStart w:val="4"/>
          </w:footnotePr>
          <w:pgSz w:w="12242" w:h="15842" w:code="1"/>
          <w:pgMar w:top="1247" w:right="1298" w:bottom="1531" w:left="1298" w:header="720" w:footer="851" w:gutter="0"/>
          <w:cols w:space="720"/>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tcPr>
          <w:p w:rsidR="00000000" w:rsidRDefault="00000000">
            <w:pPr>
              <w:pStyle w:val="BodyText2"/>
              <w:spacing w:before="20" w:after="20" w:line="216" w:lineRule="auto"/>
              <w:ind w:left="57"/>
              <w:jc w:val="center"/>
              <w:rPr>
                <w:caps w:val="0"/>
                <w:sz w:val="16"/>
              </w:rPr>
            </w:pPr>
            <w:r>
              <w:rPr>
                <w:caps w:val="0"/>
                <w:sz w:val="16"/>
              </w:rPr>
              <w:t>Характеристики</w:t>
            </w:r>
          </w:p>
        </w:tc>
        <w:tc>
          <w:tcPr>
            <w:tcW w:w="737" w:type="dxa"/>
            <w:tcBorders>
              <w:top w:val="single" w:sz="4" w:space="0" w:color="auto"/>
              <w:left w:val="nil"/>
              <w:bottom w:val="single" w:sz="4" w:space="0" w:color="auto"/>
            </w:tcBorders>
          </w:tcPr>
          <w:p w:rsidR="00000000" w:rsidRDefault="00000000">
            <w:pPr>
              <w:pStyle w:val="BodyText2"/>
              <w:spacing w:before="20" w:after="20" w:line="216" w:lineRule="auto"/>
              <w:jc w:val="center"/>
              <w:rPr>
                <w:caps w:val="0"/>
                <w:sz w:val="16"/>
              </w:rPr>
            </w:pPr>
            <w:r>
              <w:rPr>
                <w:caps w:val="0"/>
                <w:sz w:val="16"/>
              </w:rPr>
              <w:t>Всего</w:t>
            </w:r>
          </w:p>
        </w:tc>
        <w:tc>
          <w:tcPr>
            <w:tcW w:w="907" w:type="dxa"/>
            <w:tcBorders>
              <w:top w:val="single" w:sz="4" w:space="0" w:color="auto"/>
              <w:bottom w:val="single" w:sz="4" w:space="0" w:color="auto"/>
            </w:tcBorders>
          </w:tcPr>
          <w:p w:rsidR="00000000" w:rsidRDefault="00000000">
            <w:pPr>
              <w:pStyle w:val="BodyText2"/>
              <w:spacing w:before="20" w:after="20" w:line="216" w:lineRule="auto"/>
              <w:jc w:val="center"/>
              <w:rPr>
                <w:caps w:val="0"/>
                <w:sz w:val="16"/>
              </w:rPr>
            </w:pPr>
            <w:r>
              <w:rPr>
                <w:caps w:val="0"/>
                <w:sz w:val="16"/>
              </w:rPr>
              <w:t>Мужчины</w:t>
            </w:r>
          </w:p>
        </w:tc>
        <w:tc>
          <w:tcPr>
            <w:tcW w:w="907" w:type="dxa"/>
            <w:tcBorders>
              <w:top w:val="single" w:sz="4" w:space="0" w:color="auto"/>
              <w:bottom w:val="single" w:sz="4" w:space="0" w:color="auto"/>
            </w:tcBorders>
          </w:tcPr>
          <w:p w:rsidR="00000000" w:rsidRDefault="00000000">
            <w:pPr>
              <w:pStyle w:val="BodyText2"/>
              <w:spacing w:before="20" w:after="20" w:line="216" w:lineRule="auto"/>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Всего</w:t>
            </w:r>
          </w:p>
        </w:tc>
        <w:tc>
          <w:tcPr>
            <w:tcW w:w="737" w:type="dxa"/>
            <w:tcBorders>
              <w:top w:val="nil"/>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93,6</w:t>
            </w:r>
          </w:p>
        </w:tc>
        <w:tc>
          <w:tcPr>
            <w:tcW w:w="907" w:type="dxa"/>
            <w:tcBorders>
              <w:top w:val="nil"/>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6,4</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Средний возраст (в годах)</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32,8</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33,0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30,8</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Возрастные группы</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12–24 года</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23,6</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22,4</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40,5</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25–34 года</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36,7</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37,1</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30,5</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Старше 35 лет</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39,7</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40,5</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29,0</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Образование</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Неполное начальное</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26,9</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27,3</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21,5</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Полное начальное</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27,3</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27,7</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21,5</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Среднее и выше</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45,8</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45,0</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57,0</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Средний уровень образования (полных классов)</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6,7</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6,6</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7,4</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Семейное положение</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Имеют партнера</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67,5</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69,1</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44,0</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имеют партнера</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32,5</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30,9</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56,0</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Статус главы семьи</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Глава семьи</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71,5</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73,7</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39,7</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глава семьи</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28,5</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26,3</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60,3</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 xml:space="preserve">Владение языками коренного населения </w:t>
            </w:r>
            <w:r>
              <w:rPr>
                <w:b w:val="0"/>
                <w:caps w:val="0"/>
                <w:sz w:val="18"/>
                <w:vertAlign w:val="superscript"/>
              </w:rPr>
              <w:t>2</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Владеют</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5,8</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5,8</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5,2</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владеют</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94,2</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94,2</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94,8</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Район проживания</w:t>
            </w:r>
            <w:r>
              <w:rPr>
                <w:b w:val="0"/>
                <w:caps w:val="0"/>
                <w:sz w:val="18"/>
                <w:vertAlign w:val="superscript"/>
              </w:rPr>
              <w:t>3</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Традиционный</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51,5</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52,5</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37,6</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Север</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22,7</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20,9</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49,3</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Центр и Юг – Юго-Восток</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25,8</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26,6</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13,1</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Вид населенного пункта</w:t>
            </w:r>
            <w:r>
              <w:rPr>
                <w:b w:val="0"/>
                <w:caps w:val="0"/>
                <w:sz w:val="18"/>
                <w:vertAlign w:val="superscript"/>
              </w:rPr>
              <w:t>4</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Город</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62,8</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62,1</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72,2</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город</w:t>
            </w:r>
          </w:p>
        </w:tc>
        <w:tc>
          <w:tcPr>
            <w:tcW w:w="737" w:type="dxa"/>
            <w:tcBorders>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37,2</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37,9</w:t>
            </w:r>
          </w:p>
        </w:tc>
        <w:tc>
          <w:tcPr>
            <w:tcW w:w="907" w:type="dxa"/>
            <w:tcBorders>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27,8</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Предшествующий опыт миграции</w:t>
            </w:r>
            <w:r>
              <w:rPr>
                <w:b w:val="0"/>
                <w:caps w:val="0"/>
                <w:sz w:val="18"/>
                <w:vertAlign w:val="superscript"/>
              </w:rPr>
              <w:t>5</w:t>
            </w:r>
          </w:p>
        </w:tc>
        <w:tc>
          <w:tcPr>
            <w:tcW w:w="737" w:type="dxa"/>
            <w:tcBorders>
              <w:top w:val="single" w:sz="4" w:space="0" w:color="auto"/>
              <w:left w:val="nil"/>
              <w:bottom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Имеют опыт</w:t>
            </w:r>
          </w:p>
        </w:tc>
        <w:tc>
          <w:tcPr>
            <w:tcW w:w="737" w:type="dxa"/>
            <w:tcBorders>
              <w:top w:val="nil"/>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47,7</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49,1</w:t>
            </w:r>
          </w:p>
        </w:tc>
        <w:tc>
          <w:tcPr>
            <w:tcW w:w="907" w:type="dxa"/>
            <w:tcBorders>
              <w:top w:val="nil"/>
            </w:tcBorders>
            <w:vAlign w:val="bottom"/>
          </w:tcPr>
          <w:p w:rsidR="00000000" w:rsidRDefault="00000000">
            <w:pPr>
              <w:pStyle w:val="BodyText2"/>
              <w:spacing w:before="20" w:after="20" w:line="216" w:lineRule="auto"/>
              <w:ind w:right="227"/>
              <w:jc w:val="right"/>
              <w:rPr>
                <w:b w:val="0"/>
                <w:caps w:val="0"/>
                <w:sz w:val="18"/>
              </w:rPr>
            </w:pPr>
            <w:r>
              <w:rPr>
                <w:b w:val="0"/>
                <w:caps w:val="0"/>
                <w:sz w:val="18"/>
              </w:rPr>
              <w:t>27,4</w:t>
            </w:r>
          </w:p>
        </w:tc>
      </w:tr>
      <w:tr w:rsidR="00000000">
        <w:tblPrEx>
          <w:tblCellMar>
            <w:top w:w="0" w:type="dxa"/>
            <w:left w:w="0" w:type="dxa"/>
            <w:bottom w:w="0" w:type="dxa"/>
            <w:right w:w="0" w:type="dxa"/>
          </w:tblCellMar>
        </w:tblPrEx>
        <w:tc>
          <w:tcPr>
            <w:tcW w:w="2268" w:type="dxa"/>
            <w:tcBorders>
              <w:bottom w:val="single" w:sz="4" w:space="0" w:color="auto"/>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имеют опыта</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52,3</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50,9</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72,6</w:t>
            </w:r>
          </w:p>
        </w:tc>
      </w:tr>
    </w:tbl>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tcPr>
          <w:p w:rsidR="00000000" w:rsidRDefault="00000000">
            <w:pPr>
              <w:pStyle w:val="BodyText2"/>
              <w:spacing w:before="20" w:after="20" w:line="216" w:lineRule="auto"/>
              <w:ind w:left="57"/>
              <w:jc w:val="center"/>
              <w:rPr>
                <w:caps w:val="0"/>
                <w:sz w:val="16"/>
              </w:rPr>
            </w:pPr>
            <w:r>
              <w:rPr>
                <w:caps w:val="0"/>
                <w:sz w:val="16"/>
              </w:rPr>
              <w:t>Характеристики</w:t>
            </w:r>
          </w:p>
        </w:tc>
        <w:tc>
          <w:tcPr>
            <w:tcW w:w="737" w:type="dxa"/>
            <w:tcBorders>
              <w:top w:val="single" w:sz="4" w:space="0" w:color="auto"/>
              <w:left w:val="nil"/>
              <w:bottom w:val="single" w:sz="4" w:space="0" w:color="auto"/>
            </w:tcBorders>
          </w:tcPr>
          <w:p w:rsidR="00000000" w:rsidRDefault="00000000">
            <w:pPr>
              <w:pStyle w:val="BodyText2"/>
              <w:spacing w:before="20" w:after="20" w:line="216" w:lineRule="auto"/>
              <w:jc w:val="center"/>
              <w:rPr>
                <w:caps w:val="0"/>
                <w:sz w:val="16"/>
              </w:rPr>
            </w:pPr>
            <w:r>
              <w:rPr>
                <w:caps w:val="0"/>
                <w:sz w:val="16"/>
              </w:rPr>
              <w:t>Всего</w:t>
            </w:r>
          </w:p>
        </w:tc>
        <w:tc>
          <w:tcPr>
            <w:tcW w:w="907" w:type="dxa"/>
            <w:tcBorders>
              <w:top w:val="single" w:sz="4" w:space="0" w:color="auto"/>
              <w:bottom w:val="single" w:sz="4" w:space="0" w:color="auto"/>
            </w:tcBorders>
          </w:tcPr>
          <w:p w:rsidR="00000000" w:rsidRDefault="00000000">
            <w:pPr>
              <w:pStyle w:val="BodyText2"/>
              <w:spacing w:before="20" w:after="20" w:line="216" w:lineRule="auto"/>
              <w:jc w:val="center"/>
              <w:rPr>
                <w:caps w:val="0"/>
                <w:sz w:val="16"/>
              </w:rPr>
            </w:pPr>
            <w:r>
              <w:rPr>
                <w:caps w:val="0"/>
                <w:sz w:val="16"/>
              </w:rPr>
              <w:t>Мужчины</w:t>
            </w:r>
          </w:p>
        </w:tc>
        <w:tc>
          <w:tcPr>
            <w:tcW w:w="907" w:type="dxa"/>
            <w:tcBorders>
              <w:top w:val="single" w:sz="4" w:space="0" w:color="auto"/>
              <w:bottom w:val="single" w:sz="4" w:space="0" w:color="auto"/>
              <w:right w:val="single" w:sz="4" w:space="0" w:color="auto"/>
            </w:tcBorders>
          </w:tcPr>
          <w:p w:rsidR="00000000" w:rsidRDefault="00000000">
            <w:pPr>
              <w:pStyle w:val="BodyText2"/>
              <w:spacing w:before="20" w:after="20" w:line="216" w:lineRule="auto"/>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Наличие разрешения на въезд в США</w:t>
            </w:r>
            <w:r>
              <w:rPr>
                <w:b w:val="0"/>
                <w:caps w:val="0"/>
                <w:sz w:val="18"/>
                <w:vertAlign w:val="superscript"/>
              </w:rPr>
              <w:t>6</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Наличие разрешения</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43,6</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42,8</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55,0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Отсутствие разрешения</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56,4</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57,2</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45,0</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Наличие разрешения на работу в США</w:t>
            </w:r>
            <w:r>
              <w:rPr>
                <w:b w:val="0"/>
                <w:caps w:val="0"/>
                <w:sz w:val="18"/>
                <w:vertAlign w:val="superscript"/>
              </w:rPr>
              <w:t>7</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Наличие разрешения</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33,9</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34,8</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20,6</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Отсутствие разрешения</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66,1</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65,2</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79,4</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Средняя продолжи</w:t>
            </w:r>
            <w:r>
              <w:rPr>
                <w:caps w:val="0"/>
                <w:sz w:val="18"/>
                <w:lang w:val="en-US"/>
              </w:rPr>
              <w:t>-</w:t>
            </w:r>
            <w:r>
              <w:rPr>
                <w:caps w:val="0"/>
                <w:sz w:val="18"/>
                <w:lang w:val="en-US"/>
              </w:rPr>
              <w:br/>
            </w:r>
            <w:r>
              <w:rPr>
                <w:caps w:val="0"/>
                <w:sz w:val="18"/>
              </w:rPr>
              <w:t xml:space="preserve">тельность пребывания </w:t>
            </w:r>
            <w:r>
              <w:rPr>
                <w:caps w:val="0"/>
                <w:sz w:val="18"/>
                <w:lang w:val="en-US"/>
              </w:rPr>
              <w:br/>
            </w:r>
            <w:r>
              <w:rPr>
                <w:caps w:val="0"/>
                <w:sz w:val="18"/>
              </w:rPr>
              <w:t>в США (в месяцах)</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6,2</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6,1</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7,7</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Штат наиболее длительного пребывания</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Калифорния</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35,5</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35,8</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31,6</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Техас</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34,7</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34,3</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41,6</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Другие штаты по южной границе</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10,5</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10,4</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11,7</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Прочие</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19,2</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19,5</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15,2</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Помощь со стороны организаций в США</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Получал помощь</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80,5</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79,4</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95,2</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получал помощь</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19,5</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20,6</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4,8</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Занятость в США</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Занятые</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86,0</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85,4</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94,7</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Незанятые</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14,0</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14,6</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5,3</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20" w:after="20" w:line="216" w:lineRule="auto"/>
              <w:ind w:left="57"/>
              <w:rPr>
                <w:caps w:val="0"/>
                <w:sz w:val="18"/>
              </w:rPr>
            </w:pPr>
            <w:r>
              <w:rPr>
                <w:caps w:val="0"/>
                <w:sz w:val="18"/>
              </w:rPr>
              <w:t>Сектор трудовой деятельности в США</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Первичный и вторичный</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64,8</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65,0</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60,9</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Третичный</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35,2</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35,0</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39,1</w:t>
            </w:r>
          </w:p>
        </w:tc>
      </w:tr>
      <w:tr w:rsidR="00000000">
        <w:tblPrEx>
          <w:tblCellMar>
            <w:top w:w="0" w:type="dxa"/>
            <w:left w:w="0" w:type="dxa"/>
            <w:bottom w:w="0" w:type="dxa"/>
            <w:right w:w="0" w:type="dxa"/>
          </w:tblCellMar>
        </w:tblPrEx>
        <w:tc>
          <w:tcPr>
            <w:tcW w:w="2268" w:type="dxa"/>
            <w:tcBorders>
              <w:top w:val="single" w:sz="4" w:space="0" w:color="auto"/>
              <w:right w:val="single" w:sz="4" w:space="0" w:color="auto"/>
            </w:tcBorders>
            <w:vAlign w:val="bottom"/>
          </w:tcPr>
          <w:p w:rsidR="00000000" w:rsidRDefault="00000000">
            <w:pPr>
              <w:pStyle w:val="BodyText2"/>
              <w:spacing w:before="40" w:after="20" w:line="216" w:lineRule="auto"/>
              <w:ind w:left="57"/>
              <w:rPr>
                <w:caps w:val="0"/>
                <w:sz w:val="18"/>
              </w:rPr>
            </w:pPr>
            <w:r>
              <w:rPr>
                <w:caps w:val="0"/>
                <w:sz w:val="18"/>
              </w:rPr>
              <w:t>Перевод денег</w:t>
            </w:r>
          </w:p>
        </w:tc>
        <w:tc>
          <w:tcPr>
            <w:tcW w:w="737" w:type="dxa"/>
            <w:tcBorders>
              <w:top w:val="single" w:sz="4" w:space="0" w:color="auto"/>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100,0</w:t>
            </w:r>
          </w:p>
        </w:tc>
        <w:tc>
          <w:tcPr>
            <w:tcW w:w="907" w:type="dxa"/>
            <w:tcBorders>
              <w:top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c>
          <w:tcPr>
            <w:tcW w:w="907" w:type="dxa"/>
            <w:tcBorders>
              <w:top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Переводят</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58,7</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59,9</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42,5</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line="216" w:lineRule="auto"/>
              <w:ind w:left="57"/>
              <w:rPr>
                <w:b w:val="0"/>
                <w:caps w:val="0"/>
                <w:sz w:val="18"/>
              </w:rPr>
            </w:pPr>
            <w:r>
              <w:rPr>
                <w:b w:val="0"/>
                <w:caps w:val="0"/>
                <w:sz w:val="18"/>
              </w:rPr>
              <w:t>Не переводят</w:t>
            </w:r>
          </w:p>
        </w:tc>
        <w:tc>
          <w:tcPr>
            <w:tcW w:w="737" w:type="dxa"/>
            <w:tcBorders>
              <w:left w:val="nil"/>
            </w:tcBorders>
            <w:vAlign w:val="bottom"/>
          </w:tcPr>
          <w:p w:rsidR="00000000" w:rsidRDefault="00000000">
            <w:pPr>
              <w:pStyle w:val="BodyText2"/>
              <w:spacing w:before="20" w:after="20" w:line="216" w:lineRule="auto"/>
              <w:ind w:right="170"/>
              <w:jc w:val="right"/>
              <w:rPr>
                <w:b w:val="0"/>
                <w:caps w:val="0"/>
                <w:sz w:val="18"/>
              </w:rPr>
            </w:pPr>
            <w:r>
              <w:rPr>
                <w:b w:val="0"/>
                <w:caps w:val="0"/>
                <w:sz w:val="18"/>
              </w:rPr>
              <w:t>41,3</w:t>
            </w:r>
          </w:p>
        </w:tc>
        <w:tc>
          <w:tcPr>
            <w:tcW w:w="907" w:type="dxa"/>
            <w:vAlign w:val="bottom"/>
          </w:tcPr>
          <w:p w:rsidR="00000000" w:rsidRDefault="00000000">
            <w:pPr>
              <w:pStyle w:val="BodyText2"/>
              <w:spacing w:before="20" w:after="20" w:line="216" w:lineRule="auto"/>
              <w:ind w:right="227"/>
              <w:jc w:val="right"/>
              <w:rPr>
                <w:b w:val="0"/>
                <w:caps w:val="0"/>
                <w:sz w:val="18"/>
              </w:rPr>
            </w:pPr>
            <w:r>
              <w:rPr>
                <w:b w:val="0"/>
                <w:caps w:val="0"/>
                <w:sz w:val="18"/>
              </w:rPr>
              <w:t>40,1</w:t>
            </w:r>
          </w:p>
        </w:tc>
        <w:tc>
          <w:tcPr>
            <w:tcW w:w="907" w:type="dxa"/>
            <w:tcBorders>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57,5</w:t>
            </w:r>
          </w:p>
        </w:tc>
      </w:tr>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vAlign w:val="bottom"/>
          </w:tcPr>
          <w:p w:rsidR="00000000" w:rsidRDefault="00000000">
            <w:pPr>
              <w:pStyle w:val="BodyText2"/>
              <w:spacing w:before="30" w:after="20" w:line="216" w:lineRule="auto"/>
              <w:ind w:left="57"/>
              <w:rPr>
                <w:caps w:val="0"/>
                <w:sz w:val="18"/>
              </w:rPr>
            </w:pPr>
            <w:r>
              <w:rPr>
                <w:caps w:val="0"/>
                <w:sz w:val="18"/>
              </w:rPr>
              <w:t>Средний доход за послед-</w:t>
            </w:r>
            <w:r>
              <w:rPr>
                <w:caps w:val="0"/>
                <w:sz w:val="18"/>
              </w:rPr>
              <w:br/>
              <w:t>ний месяц работы в США (в долл. США)</w:t>
            </w:r>
          </w:p>
        </w:tc>
        <w:tc>
          <w:tcPr>
            <w:tcW w:w="737" w:type="dxa"/>
            <w:tcBorders>
              <w:top w:val="single" w:sz="4" w:space="0" w:color="auto"/>
              <w:left w:val="nil"/>
              <w:bottom w:val="single" w:sz="4" w:space="0" w:color="auto"/>
            </w:tcBorders>
            <w:vAlign w:val="bottom"/>
          </w:tcPr>
          <w:p w:rsidR="00000000" w:rsidRDefault="00000000">
            <w:pPr>
              <w:pStyle w:val="BodyText2"/>
              <w:spacing w:before="20" w:after="20" w:line="216" w:lineRule="auto"/>
              <w:ind w:right="170"/>
              <w:jc w:val="right"/>
              <w:rPr>
                <w:b w:val="0"/>
                <w:caps w:val="0"/>
                <w:sz w:val="18"/>
              </w:rPr>
            </w:pPr>
            <w:r>
              <w:rPr>
                <w:b w:val="0"/>
                <w:caps w:val="0"/>
                <w:sz w:val="18"/>
              </w:rPr>
              <w:t>1 075</w:t>
            </w:r>
          </w:p>
        </w:tc>
        <w:tc>
          <w:tcPr>
            <w:tcW w:w="907" w:type="dxa"/>
            <w:tcBorders>
              <w:top w:val="single" w:sz="4" w:space="0" w:color="auto"/>
              <w:bottom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1 078</w:t>
            </w:r>
          </w:p>
        </w:tc>
        <w:tc>
          <w:tcPr>
            <w:tcW w:w="907" w:type="dxa"/>
            <w:tcBorders>
              <w:top w:val="single" w:sz="4" w:space="0" w:color="auto"/>
              <w:bottom w:val="single" w:sz="4" w:space="0" w:color="auto"/>
              <w:right w:val="single" w:sz="4" w:space="0" w:color="auto"/>
            </w:tcBorders>
            <w:vAlign w:val="bottom"/>
          </w:tcPr>
          <w:p w:rsidR="00000000" w:rsidRDefault="00000000">
            <w:pPr>
              <w:pStyle w:val="BodyText2"/>
              <w:spacing w:before="20" w:after="20" w:line="216" w:lineRule="auto"/>
              <w:ind w:right="227"/>
              <w:jc w:val="right"/>
              <w:rPr>
                <w:b w:val="0"/>
                <w:caps w:val="0"/>
                <w:sz w:val="18"/>
              </w:rPr>
            </w:pPr>
            <w:r>
              <w:rPr>
                <w:b w:val="0"/>
                <w:caps w:val="0"/>
                <w:sz w:val="18"/>
              </w:rPr>
              <w:t>1 024</w:t>
            </w:r>
          </w:p>
        </w:tc>
      </w:tr>
    </w:tbl>
    <w:p w:rsidR="00000000" w:rsidRDefault="00000000">
      <w:pPr>
        <w:pStyle w:val="BodyText2"/>
        <w:spacing w:after="0"/>
        <w:rPr>
          <w:b w:val="0"/>
          <w:caps w:val="0"/>
        </w:rPr>
        <w:sectPr w:rsidR="00000000">
          <w:footnotePr>
            <w:numStart w:val="4"/>
          </w:footnotePr>
          <w:type w:val="continuous"/>
          <w:pgSz w:w="12242" w:h="15842" w:code="1"/>
          <w:pgMar w:top="1247" w:right="1298" w:bottom="1531" w:left="1298" w:header="720" w:footer="851" w:gutter="0"/>
          <w:cols w:num="2" w:space="0"/>
        </w:sectPr>
      </w:pPr>
    </w:p>
    <w:p w:rsidR="00000000" w:rsidRDefault="00000000">
      <w:pPr>
        <w:pStyle w:val="a2"/>
        <w:spacing w:after="0"/>
      </w:pPr>
      <w:r>
        <w:t>Примечания:</w:t>
      </w:r>
    </w:p>
    <w:p w:rsidR="00000000" w:rsidRDefault="00000000">
      <w:pPr>
        <w:pStyle w:val="a2"/>
        <w:spacing w:after="0"/>
      </w:pPr>
      <w:r>
        <w:rPr>
          <w:vertAlign w:val="superscript"/>
        </w:rPr>
        <w:t xml:space="preserve">1  </w:t>
      </w:r>
      <w:r>
        <w:t xml:space="preserve">Включает четвертую фазу с 11 июля 1998 года по 10 июля 1999 года и пятую фазу с 11 июля 1999 года по 10 апреля </w:t>
      </w:r>
      <w:r>
        <w:br/>
        <w:t>2000 года.</w:t>
      </w:r>
    </w:p>
    <w:p w:rsidR="00000000" w:rsidRDefault="00000000">
      <w:pPr>
        <w:pStyle w:val="a2"/>
        <w:spacing w:after="0"/>
      </w:pPr>
      <w:r>
        <w:rPr>
          <w:vertAlign w:val="superscript"/>
        </w:rPr>
        <w:t xml:space="preserve">2  </w:t>
      </w:r>
      <w:r>
        <w:t>Эта характеристика была введена начиная с четвертой фазы.</w:t>
      </w:r>
    </w:p>
    <w:p w:rsidR="00000000" w:rsidRDefault="00000000">
      <w:pPr>
        <w:pStyle w:val="a2"/>
        <w:spacing w:after="0"/>
      </w:pPr>
      <w:r>
        <w:rPr>
          <w:vertAlign w:val="superscript"/>
        </w:rPr>
        <w:t xml:space="preserve">3  </w:t>
      </w:r>
      <w:r>
        <w:t>Традиционный регион включает штаты Агуаскальентес, Колима, Дуранго, Гуанахуато, Халиско, Мичоакан, Наярит, Сан-Луис-Потоси и Сакатекас; Северный регион: Нижняя Калифорния Северная, Нижняя Калифорния Южная, Коауила, Чиуауа, Нуэво-Леон, Синалоа, Сонора, и Тамаулипас; Центр: федеральный округ, Идальго, Мехико, Морелос, Пуэбла, Керетаро и Тлакскала; Юг – Юго-Восток: Кампече, Чьяпас, Герреро, Оахака, Кинтана-Роо, Табаско, Веракрус и Юкатан.</w:t>
      </w:r>
    </w:p>
    <w:p w:rsidR="00000000" w:rsidRDefault="00000000">
      <w:pPr>
        <w:pStyle w:val="a2"/>
        <w:spacing w:after="0"/>
      </w:pPr>
      <w:r>
        <w:rPr>
          <w:vertAlign w:val="superscript"/>
        </w:rPr>
        <w:t xml:space="preserve">4  </w:t>
      </w:r>
      <w:r>
        <w:t>Городскими считаются населенные пункты, которые во время переписи населения 1990 года насчитывали 15 тыс. и более жителей.</w:t>
      </w:r>
    </w:p>
    <w:p w:rsidR="00000000" w:rsidRDefault="00000000">
      <w:pPr>
        <w:pStyle w:val="a2"/>
        <w:spacing w:after="0"/>
      </w:pPr>
      <w:r>
        <w:rPr>
          <w:vertAlign w:val="superscript"/>
        </w:rPr>
        <w:t xml:space="preserve">5  </w:t>
      </w:r>
      <w:r>
        <w:t>Наличие предшествующего опыта миграции относится к мигрантам, для которых данная поездка в США была как минимум второй. Соответственно, мигрантами без предшествующего опыта миграции являются те, которые возвращаются из своей первой поездки в США для работы или для поиска работы.</w:t>
      </w:r>
    </w:p>
    <w:p w:rsidR="00000000" w:rsidRDefault="00000000">
      <w:pPr>
        <w:pStyle w:val="a2"/>
        <w:spacing w:after="0"/>
      </w:pPr>
      <w:r>
        <w:rPr>
          <w:vertAlign w:val="superscript"/>
        </w:rPr>
        <w:t xml:space="preserve">6  </w:t>
      </w:r>
      <w:r>
        <w:t>Имеется в виду наличие или отсутствие документов, необходимых для въезда в США.</w:t>
      </w:r>
    </w:p>
    <w:p w:rsidR="00000000" w:rsidRDefault="00000000">
      <w:pPr>
        <w:pStyle w:val="a2"/>
        <w:spacing w:after="0"/>
      </w:pPr>
      <w:r>
        <w:rPr>
          <w:vertAlign w:val="superscript"/>
        </w:rPr>
        <w:t xml:space="preserve">7  </w:t>
      </w:r>
      <w:r>
        <w:t>Имеется в виду наличие или отсутствие документов, необходимых для работы в США.</w:t>
      </w:r>
    </w:p>
    <w:p w:rsidR="00000000" w:rsidRDefault="00000000">
      <w:pPr>
        <w:pStyle w:val="a2"/>
        <w:spacing w:after="0"/>
        <w:rPr>
          <w:lang w:val="en-US"/>
        </w:rPr>
      </w:pPr>
      <w:r>
        <w:t>Источник</w:t>
      </w:r>
      <w:r>
        <w:rPr>
          <w:lang w:val="en-US"/>
        </w:rPr>
        <w:t xml:space="preserve">: </w:t>
      </w:r>
      <w:r>
        <w:rPr>
          <w:lang w:val="es-ES"/>
        </w:rPr>
        <w:t>Estimaciones de CONAPO con base en STy</w:t>
      </w:r>
      <w:r>
        <w:t>Р</w:t>
      </w:r>
      <w:r>
        <w:rPr>
          <w:lang w:val="es-ES"/>
        </w:rPr>
        <w:t>S, INM y EL COLEF, Encuesta sobre Migración en la Frontera Norte de México (EMIF), 1998-1999 y 1999-2000.</w:t>
      </w:r>
    </w:p>
    <w:p w:rsidR="00000000" w:rsidRDefault="00000000">
      <w:pPr>
        <w:pStyle w:val="BodyText2"/>
        <w:rPr>
          <w:b w:val="0"/>
          <w:caps w:val="0"/>
        </w:rPr>
      </w:pPr>
      <w:r>
        <w:rPr>
          <w:b w:val="0"/>
          <w:caps w:val="0"/>
        </w:rPr>
        <w:t>846.</w:t>
      </w:r>
      <w:r>
        <w:rPr>
          <w:b w:val="0"/>
          <w:caps w:val="0"/>
        </w:rPr>
        <w:tab/>
        <w:t>В отношении вовлечения женщин в рынок труда США следует отметить, что 95 процентов женщин находят работу, из которых 61 процент – в сельском хозяйстве и промышленности и 39 процентов – в секторе услуг. Средний заработок женщин, временно работающих в США, составляет 1000 долл. США в месяц, две из каждых пяти женщин посылают деньги своим семьям в Мексику.</w:t>
      </w:r>
    </w:p>
    <w:p w:rsidR="00000000" w:rsidRDefault="00000000">
      <w:pPr>
        <w:pStyle w:val="Heading4"/>
      </w:pPr>
      <w:r>
        <w:t>Женщины, высланные пограничными патрулями</w:t>
      </w:r>
    </w:p>
    <w:p w:rsidR="00000000" w:rsidRDefault="00000000">
      <w:pPr>
        <w:pStyle w:val="BodyText2"/>
        <w:rPr>
          <w:b w:val="0"/>
          <w:caps w:val="0"/>
        </w:rPr>
      </w:pPr>
      <w:r>
        <w:rPr>
          <w:b w:val="0"/>
          <w:caps w:val="0"/>
        </w:rPr>
        <w:t>847.</w:t>
      </w:r>
      <w:r>
        <w:rPr>
          <w:b w:val="0"/>
          <w:caps w:val="0"/>
        </w:rPr>
        <w:tab/>
        <w:t>Среди различных вопросов, связанных с нелегальной миграцией в США, возврат соотечественников представляет одну из наиболее деликатных проблем в отношениях с соседней страной. Его динамика сложна и изменчива, причем возврат женщин является одним из наиболее острых и сложных аспектов этой проблемы. Опрос по проблемам миграции на северной границе Мексики (ЭМИФ) – это единственный источник информации на национальном уровне, позволяющий изучить качественную эволюцию этого явления, социально-демографические и экономические характеристики возвращенных соотечественников, их маршруты миграции и некоторые противоречивые свойства этого явления. Ниже мы остановимся на некоторых важных характеристиках женщин, задержанных пограничными патрулями в 1998–2000 годах.</w:t>
      </w:r>
    </w:p>
    <w:p w:rsidR="00000000" w:rsidRDefault="00000000">
      <w:pPr>
        <w:pStyle w:val="BodyText2"/>
        <w:rPr>
          <w:b w:val="0"/>
          <w:caps w:val="0"/>
        </w:rPr>
      </w:pPr>
      <w:r>
        <w:rPr>
          <w:b w:val="0"/>
          <w:caps w:val="0"/>
        </w:rPr>
        <w:t>848.</w:t>
      </w:r>
      <w:r>
        <w:rPr>
          <w:b w:val="0"/>
          <w:caps w:val="0"/>
        </w:rPr>
        <w:tab/>
        <w:t>Как явствует из таблицы 3, число задержанных женщин постепенно растет. Если в 1993–1997 годах было задержано в среднем 99 тыс. женщин в год, то в 1998–2000 годах этот показатель достиг 112 тыс. Кроме того, следует отметить, что 87 процентов задержанных женщин моложе 35 лет (54 процента имеют от 12 до 24 лет) и 80 процентов женщин получили, по крайней мере, полное начальное образование.</w:t>
      </w:r>
    </w:p>
    <w:p w:rsidR="00000000" w:rsidRDefault="00000000">
      <w:pPr>
        <w:pStyle w:val="BodyText2"/>
        <w:rPr>
          <w:b w:val="0"/>
          <w:caps w:val="0"/>
        </w:rPr>
      </w:pPr>
      <w:r>
        <w:rPr>
          <w:b w:val="0"/>
          <w:caps w:val="0"/>
        </w:rPr>
        <w:t>849.</w:t>
      </w:r>
      <w:r>
        <w:rPr>
          <w:b w:val="0"/>
          <w:caps w:val="0"/>
        </w:rPr>
        <w:tab/>
        <w:t xml:space="preserve">Две трети женщин, задержанных пограничными патрулями, являются уроженками северного и традиционного регионов миграции, хотя не следует упускать из виду тот факт, что 15 процентов женщин живут в приграничных населенных пунктах. Этот показатель схож с процентом задержанных женщин, проживающих в центральном, южном и юго-восточном регионах. Эти женщины проживают в городах, причем только </w:t>
      </w:r>
      <w:r>
        <w:rPr>
          <w:b w:val="0"/>
          <w:caps w:val="0"/>
        </w:rPr>
        <w:br/>
        <w:t>30 процентов имели работу за 30 дней до переезда на границу с США, а 60 процентов не были экономически активными.</w:t>
      </w:r>
    </w:p>
    <w:p w:rsidR="00000000" w:rsidRDefault="00000000">
      <w:pPr>
        <w:pStyle w:val="BodyText2"/>
        <w:rPr>
          <w:b w:val="0"/>
          <w:caps w:val="0"/>
        </w:rPr>
      </w:pPr>
      <w:r>
        <w:rPr>
          <w:b w:val="0"/>
          <w:caps w:val="0"/>
        </w:rPr>
        <w:t>850.</w:t>
      </w:r>
      <w:r>
        <w:rPr>
          <w:b w:val="0"/>
          <w:caps w:val="0"/>
        </w:rPr>
        <w:tab/>
        <w:t xml:space="preserve">Большинство женщин (63 процента), возвращенных пограничными патрулями, не замужем, только </w:t>
      </w:r>
      <w:r>
        <w:rPr>
          <w:b w:val="0"/>
          <w:caps w:val="0"/>
        </w:rPr>
        <w:br/>
        <w:t xml:space="preserve">20 процентов признают себя главой семьи. Три четверти женщин заявляют, что они пытались перейти границу США в целях поиска работы, две трети предприняли поездку совместно с другими лицами и 18 процентов имели на своем попечении детей. Почти три четверти задержанных женщин пытались пересечь границу, не оплачивая "помощь" проводников, а 80 процентов не имели опыта миграции в целях заработка. Вероятно, тактикой пограничных патрулей можно объяснить тот факт, что возрастает число женщин, возвращенных в иной населенный пункт, чем тот, где они переходили границу (с 9 процентов в 1993–1997 годах до </w:t>
      </w:r>
      <w:r>
        <w:rPr>
          <w:b w:val="0"/>
          <w:caps w:val="0"/>
        </w:rPr>
        <w:br/>
        <w:t>17 процентов в 1998–2000 годах).</w:t>
      </w:r>
    </w:p>
    <w:p w:rsidR="00000000" w:rsidRDefault="00000000">
      <w:pPr>
        <w:pStyle w:val="BodyText2"/>
        <w:rPr>
          <w:b w:val="0"/>
          <w:caps w:val="0"/>
        </w:rPr>
      </w:pPr>
      <w:r>
        <w:rPr>
          <w:b w:val="0"/>
          <w:caps w:val="0"/>
        </w:rPr>
        <w:t>851.</w:t>
      </w:r>
      <w:r>
        <w:rPr>
          <w:b w:val="0"/>
          <w:caps w:val="0"/>
        </w:rPr>
        <w:tab/>
        <w:t xml:space="preserve">Для ознакомления с территорией перед попыткой перехода женщины проводят на границе в среднем четыре дня; 45 процентов останавливаются в гостиницах, 15 процентов– у друзей и родственников и </w:t>
      </w:r>
      <w:r>
        <w:rPr>
          <w:b w:val="0"/>
          <w:caps w:val="0"/>
        </w:rPr>
        <w:br/>
        <w:t>15 процентов проводят это время на автобусных станциях или на улице. Около 80 процентов женщин были задержаны при переходе границы или в непосредственной близости от нее, то есть на улице или на шоссе. Большая часть этих женщин пытается перейти границу еще два раза, а если им не удается проникнуть в США, обычно они возвращаются в места проживания (только 22 процента женщин, отказывающихся от следующей попытки, остаются в пограничной зоне).</w:t>
      </w:r>
    </w:p>
    <w:p w:rsidR="00000000" w:rsidRDefault="00000000">
      <w:pPr>
        <w:pStyle w:val="BodyText2"/>
        <w:rPr>
          <w:caps w:val="0"/>
        </w:rPr>
      </w:pPr>
    </w:p>
    <w:p w:rsidR="00000000" w:rsidRDefault="00000000">
      <w:pPr>
        <w:pStyle w:val="BodyText2"/>
        <w:spacing w:after="0"/>
        <w:jc w:val="center"/>
        <w:rPr>
          <w:caps w:val="0"/>
        </w:rPr>
      </w:pPr>
      <w:r>
        <w:rPr>
          <w:caps w:val="0"/>
        </w:rPr>
        <w:br w:type="page"/>
        <w:t>Таблица 3</w:t>
      </w:r>
    </w:p>
    <w:p w:rsidR="00000000" w:rsidRDefault="00000000">
      <w:pPr>
        <w:pStyle w:val="BodyText2"/>
        <w:spacing w:after="0"/>
        <w:jc w:val="center"/>
        <w:rPr>
          <w:caps w:val="0"/>
          <w:vertAlign w:val="superscript"/>
        </w:rPr>
      </w:pPr>
      <w:r>
        <w:rPr>
          <w:caps w:val="0"/>
        </w:rPr>
        <w:t xml:space="preserve">Население, задержанное пограничными патрулями </w:t>
      </w:r>
      <w:r>
        <w:rPr>
          <w:caps w:val="0"/>
          <w:lang w:val="en-US"/>
        </w:rPr>
        <w:br/>
      </w:r>
      <w:r>
        <w:rPr>
          <w:caps w:val="0"/>
        </w:rPr>
        <w:t>(в процентах, с разбивкой по полу), 1998–2001 годы</w:t>
      </w:r>
      <w:r>
        <w:rPr>
          <w:caps w:val="0"/>
          <w:vertAlign w:val="superscript"/>
        </w:rPr>
        <w:t>1</w:t>
      </w:r>
    </w:p>
    <w:p w:rsidR="00000000" w:rsidRDefault="00000000">
      <w:pPr>
        <w:pStyle w:val="BodyText2"/>
        <w:rPr>
          <w:caps w:val="0"/>
        </w:rPr>
      </w:pPr>
    </w:p>
    <w:p w:rsidR="00000000" w:rsidRDefault="00000000">
      <w:pPr>
        <w:pStyle w:val="BodyText2"/>
        <w:spacing w:before="20" w:after="20"/>
        <w:jc w:val="center"/>
        <w:rPr>
          <w:caps w:val="0"/>
          <w:sz w:val="16"/>
        </w:rPr>
        <w:sectPr w:rsidR="00000000">
          <w:footnotePr>
            <w:numStart w:val="4"/>
          </w:footnotePr>
          <w:type w:val="continuous"/>
          <w:pgSz w:w="12242" w:h="15842" w:code="1"/>
          <w:pgMar w:top="1247" w:right="1298" w:bottom="1531" w:left="1298" w:header="720" w:footer="851" w:gutter="0"/>
          <w:cols w:space="720"/>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vAlign w:val="bottom"/>
          </w:tcPr>
          <w:p w:rsidR="00000000" w:rsidRDefault="00000000">
            <w:pPr>
              <w:pStyle w:val="BodyText2"/>
              <w:spacing w:before="20" w:after="20"/>
              <w:jc w:val="center"/>
              <w:rPr>
                <w:caps w:val="0"/>
                <w:sz w:val="16"/>
              </w:rPr>
            </w:pPr>
            <w:r>
              <w:rPr>
                <w:caps w:val="0"/>
                <w:sz w:val="16"/>
              </w:rPr>
              <w:t>Характеристики</w:t>
            </w:r>
          </w:p>
        </w:tc>
        <w:tc>
          <w:tcPr>
            <w:tcW w:w="737" w:type="dxa"/>
            <w:tcBorders>
              <w:top w:val="single" w:sz="4" w:space="0" w:color="auto"/>
              <w:left w:val="nil"/>
              <w:bottom w:val="single" w:sz="4" w:space="0" w:color="auto"/>
            </w:tcBorders>
            <w:vAlign w:val="bottom"/>
          </w:tcPr>
          <w:p w:rsidR="00000000" w:rsidRDefault="00000000">
            <w:pPr>
              <w:pStyle w:val="BodyText2"/>
              <w:spacing w:before="20" w:after="20"/>
              <w:jc w:val="center"/>
              <w:rPr>
                <w:caps w:val="0"/>
                <w:sz w:val="16"/>
              </w:rPr>
            </w:pPr>
            <w:r>
              <w:rPr>
                <w:caps w:val="0"/>
                <w:sz w:val="16"/>
              </w:rPr>
              <w:t>Всего</w:t>
            </w:r>
          </w:p>
        </w:tc>
        <w:tc>
          <w:tcPr>
            <w:tcW w:w="907" w:type="dxa"/>
            <w:tcBorders>
              <w:top w:val="single" w:sz="4" w:space="0" w:color="auto"/>
              <w:bottom w:val="single" w:sz="4" w:space="0" w:color="auto"/>
            </w:tcBorders>
            <w:vAlign w:val="bottom"/>
          </w:tcPr>
          <w:p w:rsidR="00000000" w:rsidRDefault="00000000">
            <w:pPr>
              <w:pStyle w:val="BodyText2"/>
              <w:spacing w:before="20" w:after="20"/>
              <w:jc w:val="center"/>
              <w:rPr>
                <w:caps w:val="0"/>
                <w:sz w:val="16"/>
              </w:rPr>
            </w:pPr>
            <w:r>
              <w:rPr>
                <w:caps w:val="0"/>
                <w:sz w:val="16"/>
              </w:rPr>
              <w:t>Мужчины</w:t>
            </w:r>
          </w:p>
        </w:tc>
        <w:tc>
          <w:tcPr>
            <w:tcW w:w="907" w:type="dxa"/>
            <w:tcBorders>
              <w:top w:val="single" w:sz="4" w:space="0" w:color="auto"/>
              <w:bottom w:val="single" w:sz="4" w:space="0" w:color="auto"/>
            </w:tcBorders>
            <w:vAlign w:val="bottom"/>
          </w:tcPr>
          <w:p w:rsidR="00000000" w:rsidRDefault="00000000">
            <w:pPr>
              <w:pStyle w:val="BodyText2"/>
              <w:spacing w:before="20" w:after="20"/>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В среднем за год</w:t>
            </w:r>
          </w:p>
        </w:tc>
        <w:tc>
          <w:tcPr>
            <w:tcW w:w="737" w:type="dxa"/>
            <w:tcBorders>
              <w:top w:val="nil"/>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639 459</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526 757</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112 702</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Всего (в процентах)</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82,4</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17,6</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Возрастные группы</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12–24 года</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45,5</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43,7</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53,7</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25–34 года</w:t>
            </w:r>
          </w:p>
        </w:tc>
        <w:tc>
          <w:tcPr>
            <w:tcW w:w="737" w:type="dxa"/>
            <w:tcBorders>
              <w:left w:val="nil"/>
            </w:tcBorders>
            <w:vAlign w:val="bottom"/>
          </w:tcPr>
          <w:p w:rsidR="00000000" w:rsidRDefault="00000000">
            <w:pPr>
              <w:pStyle w:val="BodyText2"/>
              <w:spacing w:before="30" w:after="30"/>
              <w:ind w:right="57"/>
              <w:jc w:val="right"/>
              <w:rPr>
                <w:b w:val="0"/>
                <w:caps w:val="0"/>
                <w:sz w:val="18"/>
              </w:rPr>
            </w:pPr>
            <w:r>
              <w:rPr>
                <w:b w:val="0"/>
                <w:caps w:val="0"/>
                <w:sz w:val="18"/>
              </w:rPr>
              <w:t>36,0</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36,6</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33,4</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35–44 года</w:t>
            </w:r>
          </w:p>
        </w:tc>
        <w:tc>
          <w:tcPr>
            <w:tcW w:w="737" w:type="dxa"/>
            <w:tcBorders>
              <w:left w:val="nil"/>
            </w:tcBorders>
            <w:vAlign w:val="bottom"/>
          </w:tcPr>
          <w:p w:rsidR="00000000" w:rsidRDefault="00000000">
            <w:pPr>
              <w:pStyle w:val="BodyText2"/>
              <w:spacing w:before="30" w:after="30"/>
              <w:ind w:right="57"/>
              <w:jc w:val="right"/>
              <w:rPr>
                <w:b w:val="0"/>
                <w:caps w:val="0"/>
                <w:sz w:val="18"/>
              </w:rPr>
            </w:pPr>
            <w:r>
              <w:rPr>
                <w:b w:val="0"/>
                <w:caps w:val="0"/>
                <w:sz w:val="18"/>
              </w:rPr>
              <w:t>14,7</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15,4</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11,0</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от 45 лет</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3,8</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4,2</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2,0</w:t>
            </w:r>
          </w:p>
        </w:tc>
      </w:tr>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vAlign w:val="bottom"/>
          </w:tcPr>
          <w:p w:rsidR="00000000" w:rsidRDefault="00000000">
            <w:pPr>
              <w:pStyle w:val="BodyText2"/>
              <w:spacing w:before="30" w:after="30"/>
              <w:ind w:left="57"/>
              <w:rPr>
                <w:caps w:val="0"/>
                <w:sz w:val="18"/>
              </w:rPr>
            </w:pPr>
            <w:r>
              <w:rPr>
                <w:caps w:val="0"/>
                <w:sz w:val="18"/>
              </w:rPr>
              <w:t>Средний возраст (в годах)</w:t>
            </w:r>
          </w:p>
        </w:tc>
        <w:tc>
          <w:tcPr>
            <w:tcW w:w="737" w:type="dxa"/>
            <w:tcBorders>
              <w:top w:val="single" w:sz="4" w:space="0" w:color="auto"/>
              <w:left w:val="nil"/>
              <w:bottom w:val="single" w:sz="4" w:space="0" w:color="auto"/>
            </w:tcBorders>
            <w:vAlign w:val="bottom"/>
          </w:tcPr>
          <w:p w:rsidR="00000000" w:rsidRDefault="00000000">
            <w:pPr>
              <w:pStyle w:val="BodyText2"/>
              <w:spacing w:before="30" w:after="30"/>
              <w:ind w:right="57"/>
              <w:jc w:val="right"/>
              <w:rPr>
                <w:b w:val="0"/>
                <w:caps w:val="0"/>
                <w:sz w:val="18"/>
              </w:rPr>
            </w:pPr>
            <w:r>
              <w:rPr>
                <w:b w:val="0"/>
                <w:caps w:val="0"/>
                <w:sz w:val="18"/>
              </w:rPr>
              <w:t>27,1</w:t>
            </w:r>
          </w:p>
        </w:tc>
        <w:tc>
          <w:tcPr>
            <w:tcW w:w="907" w:type="dxa"/>
            <w:tcBorders>
              <w:top w:val="single" w:sz="4" w:space="0" w:color="auto"/>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27,4</w:t>
            </w:r>
          </w:p>
        </w:tc>
        <w:tc>
          <w:tcPr>
            <w:tcW w:w="907" w:type="dxa"/>
            <w:tcBorders>
              <w:top w:val="single" w:sz="4" w:space="0" w:color="auto"/>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25,5</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Грамотность</w:t>
            </w:r>
          </w:p>
        </w:tc>
        <w:tc>
          <w:tcPr>
            <w:tcW w:w="737" w:type="dxa"/>
            <w:tcBorders>
              <w:top w:val="nil"/>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Грамотные</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94,2</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94,0</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95,0</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Неграмотные</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5,9</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6,0</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5,0</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Образование</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Без образования</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6,0</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6,4</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4,2</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Неполное начальное</w:t>
            </w:r>
          </w:p>
        </w:tc>
        <w:tc>
          <w:tcPr>
            <w:tcW w:w="737" w:type="dxa"/>
            <w:tcBorders>
              <w:left w:val="nil"/>
            </w:tcBorders>
            <w:vAlign w:val="bottom"/>
          </w:tcPr>
          <w:p w:rsidR="00000000" w:rsidRDefault="00000000">
            <w:pPr>
              <w:pStyle w:val="BodyText2"/>
              <w:spacing w:before="30" w:after="30"/>
              <w:ind w:right="57"/>
              <w:jc w:val="right"/>
              <w:rPr>
                <w:b w:val="0"/>
                <w:caps w:val="0"/>
                <w:sz w:val="18"/>
              </w:rPr>
            </w:pPr>
            <w:r>
              <w:rPr>
                <w:b w:val="0"/>
                <w:caps w:val="0"/>
                <w:sz w:val="18"/>
              </w:rPr>
              <w:t>19,4</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20,3</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15,4</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Полное начальное</w:t>
            </w:r>
          </w:p>
        </w:tc>
        <w:tc>
          <w:tcPr>
            <w:tcW w:w="737" w:type="dxa"/>
            <w:tcBorders>
              <w:left w:val="nil"/>
            </w:tcBorders>
            <w:vAlign w:val="bottom"/>
          </w:tcPr>
          <w:p w:rsidR="00000000" w:rsidRDefault="00000000">
            <w:pPr>
              <w:pStyle w:val="BodyText2"/>
              <w:spacing w:before="30" w:after="30"/>
              <w:ind w:right="57"/>
              <w:jc w:val="right"/>
              <w:rPr>
                <w:b w:val="0"/>
                <w:caps w:val="0"/>
                <w:sz w:val="18"/>
              </w:rPr>
            </w:pPr>
            <w:r>
              <w:rPr>
                <w:b w:val="0"/>
                <w:caps w:val="0"/>
                <w:sz w:val="18"/>
              </w:rPr>
              <w:t>27,3</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27,5</w:t>
            </w:r>
          </w:p>
        </w:tc>
        <w:tc>
          <w:tcPr>
            <w:tcW w:w="907" w:type="dxa"/>
            <w:vAlign w:val="bottom"/>
          </w:tcPr>
          <w:p w:rsidR="00000000" w:rsidRDefault="00000000">
            <w:pPr>
              <w:pStyle w:val="BodyText2"/>
              <w:spacing w:before="30" w:after="30"/>
              <w:ind w:right="227"/>
              <w:jc w:val="right"/>
              <w:rPr>
                <w:b w:val="0"/>
                <w:caps w:val="0"/>
                <w:sz w:val="18"/>
              </w:rPr>
            </w:pPr>
            <w:r>
              <w:rPr>
                <w:b w:val="0"/>
                <w:caps w:val="0"/>
                <w:sz w:val="18"/>
              </w:rPr>
              <w:t>26,6</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Среднее и выше</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47,2</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45,8</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53,9</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Средний уровень образования (полных классов)</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6,8</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6,6</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7,2</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Семейное положение</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Состоят в браке</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48,7</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51,2</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37,0</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 состоят в браке</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51,3</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48,8</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63,0</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Статус главы семьи</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Глава семьи</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50,3</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56,6</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20,8</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 глава семьи</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49,7</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43,4</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79,2</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30" w:after="30"/>
              <w:ind w:left="57"/>
              <w:rPr>
                <w:caps w:val="0"/>
                <w:sz w:val="18"/>
              </w:rPr>
            </w:pPr>
            <w:r>
              <w:rPr>
                <w:caps w:val="0"/>
                <w:sz w:val="18"/>
              </w:rPr>
              <w:t>Занятость в месте проживания</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Занятые</w:t>
            </w:r>
          </w:p>
        </w:tc>
        <w:tc>
          <w:tcPr>
            <w:tcW w:w="737" w:type="dxa"/>
            <w:tcBorders>
              <w:top w:val="nil"/>
              <w:left w:val="nil"/>
            </w:tcBorders>
            <w:vAlign w:val="bottom"/>
          </w:tcPr>
          <w:p w:rsidR="00000000" w:rsidRDefault="00000000">
            <w:pPr>
              <w:pStyle w:val="BodyText2"/>
              <w:spacing w:before="30" w:after="30"/>
              <w:ind w:right="57"/>
              <w:jc w:val="right"/>
              <w:rPr>
                <w:b w:val="0"/>
                <w:caps w:val="0"/>
                <w:sz w:val="18"/>
              </w:rPr>
            </w:pPr>
            <w:r>
              <w:rPr>
                <w:b w:val="0"/>
                <w:caps w:val="0"/>
                <w:sz w:val="18"/>
              </w:rPr>
              <w:t>59,0</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65,1</w:t>
            </w:r>
          </w:p>
        </w:tc>
        <w:tc>
          <w:tcPr>
            <w:tcW w:w="907" w:type="dxa"/>
            <w:tcBorders>
              <w:top w:val="nil"/>
            </w:tcBorders>
            <w:vAlign w:val="bottom"/>
          </w:tcPr>
          <w:p w:rsidR="00000000" w:rsidRDefault="00000000">
            <w:pPr>
              <w:pStyle w:val="BodyText2"/>
              <w:spacing w:before="30" w:after="30"/>
              <w:ind w:right="227"/>
              <w:jc w:val="right"/>
              <w:rPr>
                <w:b w:val="0"/>
                <w:caps w:val="0"/>
                <w:sz w:val="18"/>
              </w:rPr>
            </w:pPr>
            <w:r>
              <w:rPr>
                <w:b w:val="0"/>
                <w:caps w:val="0"/>
                <w:sz w:val="18"/>
              </w:rPr>
              <w:t>30,4</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Незанятые</w:t>
            </w:r>
          </w:p>
        </w:tc>
        <w:tc>
          <w:tcPr>
            <w:tcW w:w="737" w:type="dxa"/>
            <w:tcBorders>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17,4</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19,2</w:t>
            </w:r>
          </w:p>
        </w:tc>
        <w:tc>
          <w:tcPr>
            <w:tcW w:w="907" w:type="dxa"/>
            <w:tcBorders>
              <w:bottom w:val="nil"/>
            </w:tcBorders>
            <w:vAlign w:val="bottom"/>
          </w:tcPr>
          <w:p w:rsidR="00000000" w:rsidRDefault="00000000">
            <w:pPr>
              <w:pStyle w:val="BodyText2"/>
              <w:spacing w:before="30" w:after="30"/>
              <w:ind w:right="227"/>
              <w:jc w:val="right"/>
              <w:rPr>
                <w:b w:val="0"/>
                <w:caps w:val="0"/>
                <w:sz w:val="18"/>
              </w:rPr>
            </w:pPr>
            <w:r>
              <w:rPr>
                <w:b w:val="0"/>
                <w:caps w:val="0"/>
                <w:sz w:val="18"/>
              </w:rPr>
              <w:t>9,3</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Неактивные</w:t>
            </w:r>
          </w:p>
        </w:tc>
        <w:tc>
          <w:tcPr>
            <w:tcW w:w="737" w:type="dxa"/>
            <w:tcBorders>
              <w:top w:val="nil"/>
              <w:left w:val="nil"/>
              <w:bottom w:val="single" w:sz="4" w:space="0" w:color="auto"/>
            </w:tcBorders>
            <w:vAlign w:val="bottom"/>
          </w:tcPr>
          <w:p w:rsidR="00000000" w:rsidRDefault="00000000">
            <w:pPr>
              <w:pStyle w:val="BodyText2"/>
              <w:spacing w:before="30" w:after="30"/>
              <w:ind w:right="57"/>
              <w:jc w:val="right"/>
              <w:rPr>
                <w:b w:val="0"/>
                <w:caps w:val="0"/>
                <w:sz w:val="18"/>
              </w:rPr>
            </w:pPr>
            <w:r>
              <w:rPr>
                <w:b w:val="0"/>
                <w:caps w:val="0"/>
                <w:sz w:val="18"/>
              </w:rPr>
              <w:t>23,6</w:t>
            </w:r>
          </w:p>
        </w:tc>
        <w:tc>
          <w:tcPr>
            <w:tcW w:w="907" w:type="dxa"/>
            <w:tcBorders>
              <w:top w:val="nil"/>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15,7</w:t>
            </w:r>
          </w:p>
        </w:tc>
        <w:tc>
          <w:tcPr>
            <w:tcW w:w="907" w:type="dxa"/>
            <w:tcBorders>
              <w:top w:val="nil"/>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60,3</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40" w:after="30"/>
              <w:ind w:left="57"/>
              <w:rPr>
                <w:caps w:val="0"/>
                <w:sz w:val="18"/>
              </w:rPr>
            </w:pPr>
            <w:r>
              <w:br w:type="column"/>
            </w:r>
            <w:r>
              <w:br w:type="column"/>
            </w:r>
            <w:r>
              <w:br w:type="column"/>
            </w:r>
            <w:r>
              <w:rPr>
                <w:caps w:val="0"/>
                <w:sz w:val="18"/>
              </w:rPr>
              <w:t xml:space="preserve">Владение языками коренного населения </w:t>
            </w:r>
            <w:r>
              <w:rPr>
                <w:b w:val="0"/>
                <w:caps w:val="0"/>
                <w:sz w:val="18"/>
                <w:vertAlign w:val="superscript"/>
              </w:rPr>
              <w:t>6</w:t>
            </w:r>
          </w:p>
        </w:tc>
        <w:tc>
          <w:tcPr>
            <w:tcW w:w="737" w:type="dxa"/>
            <w:tcBorders>
              <w:top w:val="single" w:sz="4" w:space="0" w:color="auto"/>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30" w:after="3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Владеют</w:t>
            </w:r>
          </w:p>
        </w:tc>
        <w:tc>
          <w:tcPr>
            <w:tcW w:w="737" w:type="dxa"/>
            <w:tcBorders>
              <w:top w:val="nil"/>
              <w:left w:val="nil"/>
              <w:bottom w:val="nil"/>
            </w:tcBorders>
            <w:vAlign w:val="bottom"/>
          </w:tcPr>
          <w:p w:rsidR="00000000" w:rsidRDefault="00000000">
            <w:pPr>
              <w:pStyle w:val="BodyText2"/>
              <w:spacing w:before="30" w:after="30"/>
              <w:ind w:right="57"/>
              <w:jc w:val="right"/>
              <w:rPr>
                <w:b w:val="0"/>
                <w:caps w:val="0"/>
                <w:sz w:val="18"/>
              </w:rPr>
            </w:pPr>
            <w:r>
              <w:rPr>
                <w:b w:val="0"/>
                <w:caps w:val="0"/>
                <w:sz w:val="18"/>
              </w:rPr>
              <w:t>6,2</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6,3</w:t>
            </w:r>
          </w:p>
        </w:tc>
        <w:tc>
          <w:tcPr>
            <w:tcW w:w="907" w:type="dxa"/>
            <w:tcBorders>
              <w:top w:val="nil"/>
              <w:bottom w:val="nil"/>
            </w:tcBorders>
            <w:vAlign w:val="bottom"/>
          </w:tcPr>
          <w:p w:rsidR="00000000" w:rsidRDefault="00000000">
            <w:pPr>
              <w:pStyle w:val="BodyText2"/>
              <w:spacing w:before="30" w:after="30"/>
              <w:ind w:right="227"/>
              <w:jc w:val="right"/>
              <w:rPr>
                <w:b w:val="0"/>
                <w:caps w:val="0"/>
                <w:sz w:val="18"/>
              </w:rPr>
            </w:pPr>
            <w:r>
              <w:rPr>
                <w:b w:val="0"/>
                <w:caps w:val="0"/>
                <w:sz w:val="18"/>
              </w:rPr>
              <w:t>6,1</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30" w:after="30"/>
              <w:ind w:left="57"/>
              <w:rPr>
                <w:b w:val="0"/>
                <w:caps w:val="0"/>
                <w:sz w:val="18"/>
              </w:rPr>
            </w:pPr>
            <w:r>
              <w:rPr>
                <w:b w:val="0"/>
                <w:caps w:val="0"/>
                <w:sz w:val="18"/>
              </w:rPr>
              <w:t>Не владеют</w:t>
            </w:r>
          </w:p>
        </w:tc>
        <w:tc>
          <w:tcPr>
            <w:tcW w:w="737" w:type="dxa"/>
            <w:tcBorders>
              <w:top w:val="nil"/>
              <w:left w:val="nil"/>
              <w:bottom w:val="single" w:sz="4" w:space="0" w:color="auto"/>
            </w:tcBorders>
            <w:vAlign w:val="bottom"/>
          </w:tcPr>
          <w:p w:rsidR="00000000" w:rsidRDefault="00000000">
            <w:pPr>
              <w:pStyle w:val="BodyText2"/>
              <w:spacing w:before="30" w:after="30"/>
              <w:ind w:right="57"/>
              <w:jc w:val="right"/>
              <w:rPr>
                <w:b w:val="0"/>
                <w:caps w:val="0"/>
                <w:sz w:val="18"/>
              </w:rPr>
            </w:pPr>
            <w:r>
              <w:rPr>
                <w:b w:val="0"/>
                <w:caps w:val="0"/>
                <w:sz w:val="18"/>
              </w:rPr>
              <w:t>93,8</w:t>
            </w:r>
          </w:p>
        </w:tc>
        <w:tc>
          <w:tcPr>
            <w:tcW w:w="907" w:type="dxa"/>
            <w:tcBorders>
              <w:top w:val="nil"/>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93,7</w:t>
            </w:r>
          </w:p>
        </w:tc>
        <w:tc>
          <w:tcPr>
            <w:tcW w:w="907" w:type="dxa"/>
            <w:tcBorders>
              <w:top w:val="nil"/>
              <w:bottom w:val="single" w:sz="4" w:space="0" w:color="auto"/>
            </w:tcBorders>
            <w:vAlign w:val="bottom"/>
          </w:tcPr>
          <w:p w:rsidR="00000000" w:rsidRDefault="00000000">
            <w:pPr>
              <w:pStyle w:val="BodyText2"/>
              <w:spacing w:before="30" w:after="30"/>
              <w:ind w:right="227"/>
              <w:jc w:val="right"/>
              <w:rPr>
                <w:b w:val="0"/>
                <w:caps w:val="0"/>
                <w:sz w:val="18"/>
              </w:rPr>
            </w:pPr>
            <w:r>
              <w:rPr>
                <w:b w:val="0"/>
                <w:caps w:val="0"/>
                <w:sz w:val="18"/>
              </w:rPr>
              <w:t>93,9</w:t>
            </w:r>
          </w:p>
        </w:tc>
      </w:tr>
    </w:tbl>
    <w:p w:rsidR="00000000" w:rsidRDefault="00000000">
      <w:pPr>
        <w:spacing w:after="0"/>
        <w:rPr>
          <w:lang w:val="en-US"/>
        </w:rPr>
      </w:pPr>
    </w:p>
    <w:p w:rsidR="00000000" w:rsidRDefault="00000000">
      <w:pPr>
        <w:pStyle w:val="Header"/>
        <w:tabs>
          <w:tab w:val="clear" w:pos="4677"/>
          <w:tab w:val="clear" w:pos="9355"/>
        </w:tabs>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jc w:val="center"/>
              <w:rPr>
                <w:caps w:val="0"/>
                <w:sz w:val="16"/>
              </w:rPr>
            </w:pPr>
            <w:r>
              <w:rPr>
                <w:caps w:val="0"/>
                <w:sz w:val="16"/>
              </w:rPr>
              <w:t>Характеристики</w:t>
            </w:r>
          </w:p>
        </w:tc>
        <w:tc>
          <w:tcPr>
            <w:tcW w:w="737" w:type="dxa"/>
            <w:tcBorders>
              <w:top w:val="single" w:sz="4" w:space="0" w:color="auto"/>
              <w:left w:val="nil"/>
              <w:bottom w:val="nil"/>
            </w:tcBorders>
            <w:vAlign w:val="bottom"/>
          </w:tcPr>
          <w:p w:rsidR="00000000" w:rsidRDefault="00000000">
            <w:pPr>
              <w:pStyle w:val="BodyText2"/>
              <w:spacing w:before="20" w:after="20"/>
              <w:jc w:val="center"/>
              <w:rPr>
                <w:caps w:val="0"/>
                <w:sz w:val="16"/>
              </w:rPr>
            </w:pPr>
            <w:r>
              <w:rPr>
                <w:caps w:val="0"/>
                <w:sz w:val="16"/>
              </w:rPr>
              <w:t>Всего</w:t>
            </w:r>
          </w:p>
        </w:tc>
        <w:tc>
          <w:tcPr>
            <w:tcW w:w="907" w:type="dxa"/>
            <w:tcBorders>
              <w:top w:val="single" w:sz="4" w:space="0" w:color="auto"/>
              <w:bottom w:val="nil"/>
            </w:tcBorders>
            <w:vAlign w:val="bottom"/>
          </w:tcPr>
          <w:p w:rsidR="00000000" w:rsidRDefault="00000000">
            <w:pPr>
              <w:pStyle w:val="BodyText2"/>
              <w:spacing w:before="20" w:after="20"/>
              <w:jc w:val="center"/>
              <w:rPr>
                <w:caps w:val="0"/>
                <w:sz w:val="16"/>
              </w:rPr>
            </w:pPr>
            <w:r>
              <w:rPr>
                <w:caps w:val="0"/>
                <w:sz w:val="16"/>
              </w:rPr>
              <w:t>Мужчины</w:t>
            </w:r>
          </w:p>
        </w:tc>
        <w:tc>
          <w:tcPr>
            <w:tcW w:w="907" w:type="dxa"/>
            <w:tcBorders>
              <w:top w:val="single" w:sz="4" w:space="0" w:color="auto"/>
              <w:bottom w:val="nil"/>
            </w:tcBorders>
            <w:vAlign w:val="bottom"/>
          </w:tcPr>
          <w:p w:rsidR="00000000" w:rsidRDefault="00000000">
            <w:pPr>
              <w:pStyle w:val="BodyText2"/>
              <w:spacing w:before="20" w:after="20"/>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Коллективное/одиночное проникновение в США</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Коллективное</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57,0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54,7</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67,8</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Одиночное</w:t>
            </w:r>
          </w:p>
        </w:tc>
        <w:tc>
          <w:tcPr>
            <w:tcW w:w="737" w:type="dxa"/>
            <w:tcBorders>
              <w:top w:val="nil"/>
              <w:left w:val="nil"/>
              <w:bottom w:val="single" w:sz="4" w:space="0" w:color="auto"/>
            </w:tcBorders>
            <w:vAlign w:val="bottom"/>
          </w:tcPr>
          <w:p w:rsidR="00000000" w:rsidRDefault="00000000">
            <w:pPr>
              <w:pStyle w:val="BodyText2"/>
              <w:spacing w:before="20" w:after="20"/>
              <w:ind w:right="170"/>
              <w:jc w:val="right"/>
              <w:rPr>
                <w:b w:val="0"/>
                <w:caps w:val="0"/>
                <w:sz w:val="18"/>
              </w:rPr>
            </w:pPr>
            <w:r>
              <w:rPr>
                <w:b w:val="0"/>
                <w:caps w:val="0"/>
                <w:sz w:val="18"/>
              </w:rPr>
              <w:t>43,0</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45,3</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32,2</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caps w:val="0"/>
                <w:sz w:val="18"/>
              </w:rPr>
            </w:pPr>
            <w:r>
              <w:rPr>
                <w:caps w:val="0"/>
                <w:sz w:val="18"/>
              </w:rPr>
              <w:t>Участие членов семьи</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С родственниками</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34,7</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27,8</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60,8</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Без родственников</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65,3</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72,2</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39,4</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Участие лиц до 12 лет</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Участвуют</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10,5</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8,4</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18,2</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Не участвуют</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89,5</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91,6</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81,8</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Получение платной "помощи" за переход границы</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С "помощью"</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18,3</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16,6</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26,3</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Без "помощи"</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81,7</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83,4</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73,7</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 xml:space="preserve">Опыт миграции </w:t>
            </w:r>
            <w:r>
              <w:rPr>
                <w:b w:val="0"/>
                <w:caps w:val="0"/>
                <w:sz w:val="18"/>
                <w:vertAlign w:val="superscript"/>
              </w:rPr>
              <w:t>7</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Имеют опыт</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37,9</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41,7</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19,7</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Не имеют опыта</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62,1</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58,3</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80,3</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Число попыток перехода границы</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Одна</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17,5</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16,4</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23,0</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Две</w:t>
            </w:r>
          </w:p>
        </w:tc>
        <w:tc>
          <w:tcPr>
            <w:tcW w:w="737" w:type="dxa"/>
            <w:tcBorders>
              <w:left w:val="nil"/>
            </w:tcBorders>
            <w:vAlign w:val="bottom"/>
          </w:tcPr>
          <w:p w:rsidR="00000000" w:rsidRDefault="00000000">
            <w:pPr>
              <w:pStyle w:val="BodyText2"/>
              <w:spacing w:before="20" w:after="20"/>
              <w:ind w:right="170"/>
              <w:jc w:val="right"/>
              <w:rPr>
                <w:b w:val="0"/>
                <w:caps w:val="0"/>
                <w:sz w:val="18"/>
              </w:rPr>
            </w:pPr>
            <w:r>
              <w:rPr>
                <w:b w:val="0"/>
                <w:caps w:val="0"/>
                <w:sz w:val="18"/>
              </w:rPr>
              <w:t>49,8</w:t>
            </w:r>
          </w:p>
        </w:tc>
        <w:tc>
          <w:tcPr>
            <w:tcW w:w="907" w:type="dxa"/>
            <w:vAlign w:val="bottom"/>
          </w:tcPr>
          <w:p w:rsidR="00000000" w:rsidRDefault="00000000">
            <w:pPr>
              <w:pStyle w:val="BodyText2"/>
              <w:spacing w:before="20" w:after="20"/>
              <w:ind w:right="227"/>
              <w:jc w:val="right"/>
              <w:rPr>
                <w:b w:val="0"/>
                <w:caps w:val="0"/>
                <w:sz w:val="18"/>
              </w:rPr>
            </w:pPr>
            <w:r>
              <w:rPr>
                <w:b w:val="0"/>
                <w:caps w:val="0"/>
                <w:sz w:val="18"/>
              </w:rPr>
              <w:t>49,0</w:t>
            </w:r>
          </w:p>
        </w:tc>
        <w:tc>
          <w:tcPr>
            <w:tcW w:w="907" w:type="dxa"/>
            <w:vAlign w:val="bottom"/>
          </w:tcPr>
          <w:p w:rsidR="00000000" w:rsidRDefault="00000000">
            <w:pPr>
              <w:pStyle w:val="BodyText2"/>
              <w:spacing w:before="20" w:after="20"/>
              <w:ind w:right="227"/>
              <w:jc w:val="right"/>
              <w:rPr>
                <w:b w:val="0"/>
                <w:caps w:val="0"/>
                <w:sz w:val="18"/>
              </w:rPr>
            </w:pPr>
            <w:r>
              <w:rPr>
                <w:b w:val="0"/>
                <w:caps w:val="0"/>
                <w:sz w:val="18"/>
              </w:rPr>
              <w:t>53,6</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Три</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16,6</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17,1</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14,1</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Четыре и более</w:t>
            </w:r>
          </w:p>
        </w:tc>
        <w:tc>
          <w:tcPr>
            <w:tcW w:w="737" w:type="dxa"/>
            <w:tcBorders>
              <w:top w:val="nil"/>
              <w:left w:val="nil"/>
              <w:bottom w:val="single" w:sz="4" w:space="0" w:color="auto"/>
            </w:tcBorders>
            <w:vAlign w:val="bottom"/>
          </w:tcPr>
          <w:p w:rsidR="00000000" w:rsidRDefault="00000000">
            <w:pPr>
              <w:pStyle w:val="BodyText2"/>
              <w:spacing w:before="20" w:after="20"/>
              <w:ind w:right="170"/>
              <w:jc w:val="right"/>
              <w:rPr>
                <w:b w:val="0"/>
                <w:caps w:val="0"/>
                <w:sz w:val="18"/>
              </w:rPr>
            </w:pPr>
            <w:r>
              <w:rPr>
                <w:b w:val="0"/>
                <w:caps w:val="0"/>
                <w:sz w:val="18"/>
              </w:rPr>
              <w:t>16,0</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17,5</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9,3</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Место задержания пограничным патрулем</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При пересечении границы</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40,5</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40,4</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40,7</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На улице или шоссе</w:t>
            </w:r>
          </w:p>
        </w:tc>
        <w:tc>
          <w:tcPr>
            <w:tcW w:w="737" w:type="dxa"/>
            <w:tcBorders>
              <w:left w:val="nil"/>
            </w:tcBorders>
            <w:vAlign w:val="bottom"/>
          </w:tcPr>
          <w:p w:rsidR="00000000" w:rsidRDefault="00000000">
            <w:pPr>
              <w:pStyle w:val="BodyText2"/>
              <w:spacing w:before="20" w:after="20"/>
              <w:ind w:right="170"/>
              <w:jc w:val="right"/>
              <w:rPr>
                <w:b w:val="0"/>
                <w:caps w:val="0"/>
                <w:sz w:val="18"/>
              </w:rPr>
            </w:pPr>
            <w:r>
              <w:rPr>
                <w:b w:val="0"/>
                <w:caps w:val="0"/>
                <w:sz w:val="18"/>
              </w:rPr>
              <w:t>48,7</w:t>
            </w:r>
          </w:p>
        </w:tc>
        <w:tc>
          <w:tcPr>
            <w:tcW w:w="907" w:type="dxa"/>
            <w:vAlign w:val="bottom"/>
          </w:tcPr>
          <w:p w:rsidR="00000000" w:rsidRDefault="00000000">
            <w:pPr>
              <w:pStyle w:val="BodyText2"/>
              <w:spacing w:before="20" w:after="20"/>
              <w:ind w:right="227"/>
              <w:jc w:val="right"/>
              <w:rPr>
                <w:b w:val="0"/>
                <w:caps w:val="0"/>
                <w:sz w:val="18"/>
              </w:rPr>
            </w:pPr>
            <w:r>
              <w:rPr>
                <w:b w:val="0"/>
                <w:caps w:val="0"/>
                <w:sz w:val="18"/>
              </w:rPr>
              <w:t>48,9</w:t>
            </w:r>
          </w:p>
        </w:tc>
        <w:tc>
          <w:tcPr>
            <w:tcW w:w="907" w:type="dxa"/>
            <w:vAlign w:val="bottom"/>
          </w:tcPr>
          <w:p w:rsidR="00000000" w:rsidRDefault="00000000">
            <w:pPr>
              <w:pStyle w:val="BodyText2"/>
              <w:spacing w:before="20" w:after="20"/>
              <w:ind w:right="227"/>
              <w:jc w:val="right"/>
              <w:rPr>
                <w:b w:val="0"/>
                <w:caps w:val="0"/>
                <w:sz w:val="18"/>
              </w:rPr>
            </w:pPr>
            <w:r>
              <w:rPr>
                <w:b w:val="0"/>
                <w:caps w:val="0"/>
                <w:sz w:val="18"/>
              </w:rPr>
              <w:t>47,4</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Иные</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10,8</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10,6</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11,8</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 xml:space="preserve">Тип населенного пункта проживания </w:t>
            </w:r>
            <w:r>
              <w:rPr>
                <w:b w:val="0"/>
                <w:caps w:val="0"/>
                <w:sz w:val="18"/>
                <w:vertAlign w:val="superscript"/>
              </w:rPr>
              <w:t>2</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Город</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62,4</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61,7</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65,6</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Не город</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37,6</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38,3</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34,4</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 xml:space="preserve">Муниципалитет проживания </w:t>
            </w:r>
            <w:r>
              <w:rPr>
                <w:b w:val="0"/>
                <w:caps w:val="0"/>
                <w:sz w:val="18"/>
                <w:vertAlign w:val="superscript"/>
              </w:rPr>
              <w:t>3</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Приграничный</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10,5</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9,6</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14,6</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Не приграничный</w:t>
            </w:r>
          </w:p>
        </w:tc>
        <w:tc>
          <w:tcPr>
            <w:tcW w:w="737" w:type="dxa"/>
            <w:tcBorders>
              <w:top w:val="nil"/>
              <w:left w:val="nil"/>
              <w:bottom w:val="single" w:sz="4" w:space="0" w:color="auto"/>
            </w:tcBorders>
            <w:vAlign w:val="bottom"/>
          </w:tcPr>
          <w:p w:rsidR="00000000" w:rsidRDefault="00000000">
            <w:pPr>
              <w:pStyle w:val="BodyText2"/>
              <w:spacing w:before="20" w:after="20"/>
              <w:ind w:right="170"/>
              <w:jc w:val="right"/>
              <w:rPr>
                <w:b w:val="0"/>
                <w:caps w:val="0"/>
                <w:sz w:val="18"/>
              </w:rPr>
            </w:pPr>
            <w:r>
              <w:rPr>
                <w:b w:val="0"/>
                <w:caps w:val="0"/>
                <w:sz w:val="18"/>
              </w:rPr>
              <w:t>89,5</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90,4</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85,4</w:t>
            </w:r>
          </w:p>
        </w:tc>
      </w:tr>
      <w:tr w:rsidR="00000000">
        <w:tblPrEx>
          <w:tblCellMar>
            <w:top w:w="0" w:type="dxa"/>
            <w:left w:w="0" w:type="dxa"/>
            <w:bottom w:w="0" w:type="dxa"/>
            <w:right w:w="0" w:type="dxa"/>
          </w:tblCellMar>
        </w:tblPrEx>
        <w:tc>
          <w:tcPr>
            <w:tcW w:w="2268" w:type="dxa"/>
            <w:tcBorders>
              <w:top w:val="nil"/>
              <w:left w:val="nil"/>
              <w:bottom w:val="nil"/>
              <w:right w:val="nil"/>
            </w:tcBorders>
            <w:vAlign w:val="bottom"/>
          </w:tcPr>
          <w:p w:rsidR="00000000" w:rsidRDefault="00000000">
            <w:pPr>
              <w:pStyle w:val="BodyText2"/>
              <w:spacing w:before="20" w:after="20"/>
              <w:rPr>
                <w:caps w:val="0"/>
                <w:sz w:val="18"/>
              </w:rPr>
            </w:pPr>
          </w:p>
        </w:tc>
        <w:tc>
          <w:tcPr>
            <w:tcW w:w="73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r>
      <w:tr w:rsidR="00000000">
        <w:tblPrEx>
          <w:tblCellMar>
            <w:top w:w="0" w:type="dxa"/>
            <w:left w:w="0" w:type="dxa"/>
            <w:bottom w:w="0" w:type="dxa"/>
            <w:right w:w="0" w:type="dxa"/>
          </w:tblCellMar>
        </w:tblPrEx>
        <w:tc>
          <w:tcPr>
            <w:tcW w:w="2268" w:type="dxa"/>
            <w:tcBorders>
              <w:top w:val="nil"/>
              <w:left w:val="nil"/>
              <w:bottom w:val="nil"/>
              <w:right w:val="nil"/>
            </w:tcBorders>
            <w:vAlign w:val="bottom"/>
          </w:tcPr>
          <w:p w:rsidR="00000000" w:rsidRDefault="00000000">
            <w:pPr>
              <w:pStyle w:val="BodyText2"/>
              <w:spacing w:before="20" w:after="20"/>
              <w:rPr>
                <w:b w:val="0"/>
                <w:caps w:val="0"/>
                <w:sz w:val="18"/>
              </w:rPr>
            </w:pPr>
          </w:p>
        </w:tc>
        <w:tc>
          <w:tcPr>
            <w:tcW w:w="73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r>
      <w:tr w:rsidR="00000000">
        <w:tblPrEx>
          <w:tblCellMar>
            <w:top w:w="0" w:type="dxa"/>
            <w:left w:w="0" w:type="dxa"/>
            <w:bottom w:w="0" w:type="dxa"/>
            <w:right w:w="0" w:type="dxa"/>
          </w:tblCellMar>
        </w:tblPrEx>
        <w:tc>
          <w:tcPr>
            <w:tcW w:w="2268" w:type="dxa"/>
            <w:tcBorders>
              <w:top w:val="nil"/>
              <w:left w:val="nil"/>
              <w:bottom w:val="nil"/>
              <w:right w:val="nil"/>
            </w:tcBorders>
            <w:vAlign w:val="bottom"/>
          </w:tcPr>
          <w:p w:rsidR="00000000" w:rsidRDefault="00000000">
            <w:pPr>
              <w:pStyle w:val="BodyText2"/>
              <w:spacing w:before="20" w:after="20"/>
              <w:rPr>
                <w:b w:val="0"/>
                <w:caps w:val="0"/>
                <w:sz w:val="18"/>
              </w:rPr>
            </w:pPr>
          </w:p>
        </w:tc>
        <w:tc>
          <w:tcPr>
            <w:tcW w:w="73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r>
      <w:tr w:rsidR="00000000">
        <w:tblPrEx>
          <w:tblCellMar>
            <w:top w:w="0" w:type="dxa"/>
            <w:left w:w="0" w:type="dxa"/>
            <w:bottom w:w="0" w:type="dxa"/>
            <w:right w:w="0" w:type="dxa"/>
          </w:tblCellMar>
        </w:tblPrEx>
        <w:tc>
          <w:tcPr>
            <w:tcW w:w="2268" w:type="dxa"/>
            <w:tcBorders>
              <w:top w:val="nil"/>
              <w:left w:val="nil"/>
              <w:bottom w:val="nil"/>
              <w:right w:val="nil"/>
            </w:tcBorders>
            <w:vAlign w:val="bottom"/>
          </w:tcPr>
          <w:p w:rsidR="00000000" w:rsidRDefault="00000000">
            <w:pPr>
              <w:pStyle w:val="BodyText2"/>
              <w:spacing w:before="20" w:after="20"/>
              <w:rPr>
                <w:b w:val="0"/>
                <w:caps w:val="0"/>
                <w:sz w:val="18"/>
              </w:rPr>
            </w:pPr>
          </w:p>
        </w:tc>
        <w:tc>
          <w:tcPr>
            <w:tcW w:w="73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r>
      <w:tr w:rsidR="00000000">
        <w:tblPrEx>
          <w:tblCellMar>
            <w:top w:w="0" w:type="dxa"/>
            <w:left w:w="0" w:type="dxa"/>
            <w:bottom w:w="0" w:type="dxa"/>
            <w:right w:w="0" w:type="dxa"/>
          </w:tblCellMar>
        </w:tblPrEx>
        <w:tc>
          <w:tcPr>
            <w:tcW w:w="2268" w:type="dxa"/>
            <w:tcBorders>
              <w:top w:val="nil"/>
              <w:left w:val="nil"/>
              <w:bottom w:val="nil"/>
              <w:right w:val="nil"/>
            </w:tcBorders>
            <w:vAlign w:val="bottom"/>
          </w:tcPr>
          <w:p w:rsidR="00000000" w:rsidRDefault="00000000">
            <w:pPr>
              <w:pStyle w:val="BodyText2"/>
              <w:spacing w:before="20" w:after="20"/>
              <w:rPr>
                <w:b w:val="0"/>
                <w:caps w:val="0"/>
                <w:sz w:val="18"/>
              </w:rPr>
            </w:pPr>
          </w:p>
        </w:tc>
        <w:tc>
          <w:tcPr>
            <w:tcW w:w="73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c>
          <w:tcPr>
            <w:tcW w:w="907" w:type="dxa"/>
            <w:tcBorders>
              <w:top w:val="nil"/>
              <w:left w:val="nil"/>
              <w:bottom w:val="nil"/>
              <w:right w:val="nil"/>
            </w:tcBorders>
            <w:vAlign w:val="bottom"/>
          </w:tcPr>
          <w:p w:rsidR="00000000" w:rsidRDefault="00000000">
            <w:pPr>
              <w:pStyle w:val="BodyText2"/>
              <w:spacing w:before="20" w:after="20"/>
              <w:ind w:right="57"/>
              <w:jc w:val="right"/>
              <w:rPr>
                <w:b w:val="0"/>
                <w:caps w:val="0"/>
                <w:sz w:val="18"/>
              </w:rPr>
            </w:pPr>
          </w:p>
        </w:tc>
      </w:tr>
    </w:tbl>
    <w:p w:rsidR="00000000" w:rsidRDefault="00000000">
      <w:pPr>
        <w:spacing w:after="0"/>
        <w:rPr>
          <w:lang w:val="en-US"/>
        </w:rPr>
      </w:pPr>
    </w:p>
    <w:p w:rsidR="00000000" w:rsidRDefault="00000000">
      <w:pPr>
        <w:spacing w:after="0"/>
        <w:rPr>
          <w:lang w:val="en-US"/>
        </w:rPr>
      </w:pPr>
    </w:p>
    <w:p w:rsidR="00000000" w:rsidRDefault="00000000">
      <w:pPr>
        <w:spacing w:after="0"/>
        <w:rPr>
          <w:lang w:val="en-US"/>
        </w:rPr>
      </w:pPr>
    </w:p>
    <w:p w:rsidR="00000000" w:rsidRDefault="00000000">
      <w:pPr>
        <w:spacing w:after="0"/>
        <w:rPr>
          <w:lang w:val="en-US"/>
        </w:rPr>
        <w:sectPr w:rsidR="00000000">
          <w:footnotePr>
            <w:numStart w:val="4"/>
          </w:footnotePr>
          <w:type w:val="continuous"/>
          <w:pgSz w:w="12242" w:h="15842" w:code="1"/>
          <w:pgMar w:top="1247" w:right="1298" w:bottom="1531" w:left="1298" w:header="720" w:footer="851" w:gutter="0"/>
          <w:cols w:num="2" w:space="0"/>
        </w:sectPr>
      </w:pPr>
    </w:p>
    <w:p w:rsidR="00000000" w:rsidRDefault="00000000">
      <w:pPr>
        <w:spacing w:after="0"/>
        <w:jc w:val="center"/>
        <w:rPr>
          <w:b/>
          <w:lang w:val="en-US"/>
        </w:rPr>
      </w:pPr>
      <w:r>
        <w:rPr>
          <w:lang w:val="en-US"/>
        </w:rPr>
        <w:br w:type="page"/>
      </w:r>
      <w:r>
        <w:rPr>
          <w:b/>
        </w:rPr>
        <w:t>Таблица 3</w:t>
      </w:r>
      <w:r>
        <w:rPr>
          <w:b/>
          <w:lang w:val="en-US"/>
        </w:rPr>
        <w:t xml:space="preserve"> (окончание)</w:t>
      </w:r>
    </w:p>
    <w:p w:rsidR="00000000" w:rsidRDefault="00000000">
      <w:pPr>
        <w:pStyle w:val="BodyText2"/>
        <w:spacing w:after="0"/>
        <w:jc w:val="center"/>
        <w:rPr>
          <w:caps w:val="0"/>
          <w:vertAlign w:val="superscript"/>
        </w:rPr>
      </w:pPr>
      <w:r>
        <w:rPr>
          <w:caps w:val="0"/>
        </w:rPr>
        <w:t xml:space="preserve">Население, задержанное пограничными патрулями </w:t>
      </w:r>
      <w:r>
        <w:rPr>
          <w:caps w:val="0"/>
          <w:lang w:val="en-US"/>
        </w:rPr>
        <w:br/>
      </w:r>
      <w:r>
        <w:rPr>
          <w:caps w:val="0"/>
        </w:rPr>
        <w:t>(в процентах, с разбивкой по полу), 1998–2001 годы</w:t>
      </w:r>
      <w:r>
        <w:rPr>
          <w:caps w:val="0"/>
          <w:vertAlign w:val="superscript"/>
        </w:rPr>
        <w:t>1/</w:t>
      </w:r>
    </w:p>
    <w:p w:rsidR="00000000" w:rsidRDefault="00000000">
      <w:pPr>
        <w:pStyle w:val="Header"/>
        <w:tabs>
          <w:tab w:val="clear" w:pos="4677"/>
          <w:tab w:val="clear" w:pos="9355"/>
        </w:tabs>
        <w:spacing w:after="0"/>
        <w:rPr>
          <w:lang w:val="en-US"/>
        </w:rPr>
      </w:pPr>
    </w:p>
    <w:p w:rsidR="00000000" w:rsidRDefault="00000000">
      <w:pPr>
        <w:spacing w:after="0"/>
        <w:rPr>
          <w:lang w:val="en-US"/>
        </w:rPr>
      </w:pPr>
    </w:p>
    <w:p w:rsidR="00000000" w:rsidRDefault="00000000">
      <w:pPr>
        <w:spacing w:after="0"/>
        <w:rPr>
          <w:lang w:val="en-US"/>
        </w:rPr>
        <w:sectPr w:rsidR="00000000">
          <w:footnotePr>
            <w:numStart w:val="4"/>
          </w:footnotePr>
          <w:type w:val="continuous"/>
          <w:pgSz w:w="12242" w:h="15842" w:code="1"/>
          <w:pgMar w:top="1247" w:right="1298" w:bottom="1531" w:left="1298" w:header="720" w:footer="851" w:gutter="0"/>
          <w:cols w:space="0" w:equalWidth="0">
            <w:col w:w="9646"/>
          </w:cols>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jc w:val="center"/>
              <w:rPr>
                <w:caps w:val="0"/>
                <w:sz w:val="16"/>
              </w:rPr>
            </w:pPr>
            <w:r>
              <w:rPr>
                <w:caps w:val="0"/>
                <w:sz w:val="16"/>
              </w:rPr>
              <w:t>Характеристики</w:t>
            </w:r>
          </w:p>
        </w:tc>
        <w:tc>
          <w:tcPr>
            <w:tcW w:w="737" w:type="dxa"/>
            <w:tcBorders>
              <w:top w:val="single" w:sz="4" w:space="0" w:color="auto"/>
              <w:left w:val="nil"/>
              <w:bottom w:val="nil"/>
            </w:tcBorders>
            <w:vAlign w:val="bottom"/>
          </w:tcPr>
          <w:p w:rsidR="00000000" w:rsidRDefault="00000000">
            <w:pPr>
              <w:pStyle w:val="BodyText2"/>
              <w:spacing w:before="20" w:after="20"/>
              <w:jc w:val="center"/>
              <w:rPr>
                <w:caps w:val="0"/>
                <w:sz w:val="16"/>
              </w:rPr>
            </w:pPr>
            <w:r>
              <w:rPr>
                <w:caps w:val="0"/>
                <w:sz w:val="16"/>
              </w:rPr>
              <w:t>Всего</w:t>
            </w:r>
          </w:p>
        </w:tc>
        <w:tc>
          <w:tcPr>
            <w:tcW w:w="907" w:type="dxa"/>
            <w:tcBorders>
              <w:top w:val="single" w:sz="4" w:space="0" w:color="auto"/>
              <w:bottom w:val="nil"/>
            </w:tcBorders>
            <w:vAlign w:val="bottom"/>
          </w:tcPr>
          <w:p w:rsidR="00000000" w:rsidRDefault="00000000">
            <w:pPr>
              <w:pStyle w:val="BodyText2"/>
              <w:spacing w:before="20" w:after="20"/>
              <w:jc w:val="center"/>
              <w:rPr>
                <w:caps w:val="0"/>
                <w:sz w:val="16"/>
              </w:rPr>
            </w:pPr>
            <w:r>
              <w:rPr>
                <w:caps w:val="0"/>
                <w:sz w:val="16"/>
              </w:rPr>
              <w:t>Мужчины</w:t>
            </w:r>
          </w:p>
        </w:tc>
        <w:tc>
          <w:tcPr>
            <w:tcW w:w="907" w:type="dxa"/>
            <w:tcBorders>
              <w:top w:val="single" w:sz="4" w:space="0" w:color="auto"/>
              <w:bottom w:val="nil"/>
            </w:tcBorders>
            <w:vAlign w:val="bottom"/>
          </w:tcPr>
          <w:p w:rsidR="00000000" w:rsidRDefault="00000000">
            <w:pPr>
              <w:pStyle w:val="BodyText2"/>
              <w:spacing w:before="20" w:after="20"/>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after="20"/>
              <w:ind w:left="57"/>
              <w:rPr>
                <w:caps w:val="0"/>
                <w:sz w:val="18"/>
              </w:rPr>
            </w:pPr>
            <w:r>
              <w:rPr>
                <w:caps w:val="0"/>
                <w:sz w:val="18"/>
              </w:rPr>
              <w:t>Район проживания</w:t>
            </w:r>
            <w:r>
              <w:rPr>
                <w:b w:val="0"/>
                <w:caps w:val="0"/>
                <w:sz w:val="18"/>
                <w:vertAlign w:val="superscript"/>
              </w:rPr>
              <w:t>4</w:t>
            </w:r>
            <w:r>
              <w:rPr>
                <w:b w:val="0"/>
                <w:caps w:val="0"/>
                <w:position w:val="2"/>
                <w:sz w:val="18"/>
              </w:rPr>
              <w:t>*</w:t>
            </w:r>
          </w:p>
        </w:tc>
        <w:tc>
          <w:tcPr>
            <w:tcW w:w="737" w:type="dxa"/>
            <w:tcBorders>
              <w:top w:val="single" w:sz="4" w:space="0" w:color="auto"/>
              <w:left w:val="nil"/>
              <w:bottom w:val="nil"/>
            </w:tcBorders>
            <w:vAlign w:val="bottom"/>
          </w:tcPr>
          <w:p w:rsidR="00000000" w:rsidRDefault="00000000">
            <w:pPr>
              <w:pStyle w:val="BodyText2"/>
              <w:spacing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Традиционный</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37,0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37,6</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34,0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Север</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25,7</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24,4</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31,6</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 xml:space="preserve">Центр </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18,1</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18,3</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17,1</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Юг – Юго-Восток</w:t>
            </w:r>
          </w:p>
        </w:tc>
        <w:tc>
          <w:tcPr>
            <w:tcW w:w="737" w:type="dxa"/>
            <w:tcBorders>
              <w:top w:val="nil"/>
              <w:left w:val="nil"/>
              <w:bottom w:val="single" w:sz="4" w:space="0" w:color="auto"/>
            </w:tcBorders>
            <w:vAlign w:val="bottom"/>
          </w:tcPr>
          <w:p w:rsidR="00000000" w:rsidRDefault="00000000">
            <w:pPr>
              <w:pStyle w:val="BodyText2"/>
              <w:spacing w:before="20" w:after="20"/>
              <w:ind w:right="170"/>
              <w:jc w:val="right"/>
              <w:rPr>
                <w:b w:val="0"/>
                <w:caps w:val="0"/>
                <w:sz w:val="18"/>
              </w:rPr>
            </w:pPr>
            <w:r>
              <w:rPr>
                <w:b w:val="0"/>
                <w:caps w:val="0"/>
                <w:sz w:val="18"/>
              </w:rPr>
              <w:t>19,2</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19,6</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17,2</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Причины перехода границы</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Для работы или поиска работы</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90,9</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94,2</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75,4</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 xml:space="preserve">Иная </w:t>
            </w:r>
            <w:r>
              <w:rPr>
                <w:b w:val="0"/>
                <w:caps w:val="0"/>
                <w:sz w:val="18"/>
                <w:vertAlign w:val="superscript"/>
              </w:rPr>
              <w:t>5</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9,1</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5,8</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24,6</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Отношение к новой попытке перейти границу</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Сделают новую попытку</w:t>
            </w:r>
          </w:p>
        </w:tc>
        <w:tc>
          <w:tcPr>
            <w:tcW w:w="737" w:type="dxa"/>
            <w:tcBorders>
              <w:top w:val="nil"/>
              <w:left w:val="nil"/>
            </w:tcBorders>
            <w:vAlign w:val="bottom"/>
          </w:tcPr>
          <w:p w:rsidR="00000000" w:rsidRDefault="00000000">
            <w:pPr>
              <w:pStyle w:val="BodyText2"/>
              <w:spacing w:before="20" w:after="20"/>
              <w:ind w:right="170"/>
              <w:jc w:val="right"/>
              <w:rPr>
                <w:b w:val="0"/>
                <w:caps w:val="0"/>
                <w:sz w:val="18"/>
              </w:rPr>
            </w:pPr>
            <w:r>
              <w:rPr>
                <w:b w:val="0"/>
                <w:caps w:val="0"/>
                <w:sz w:val="18"/>
              </w:rPr>
              <w:t>71,5</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74,0</w:t>
            </w:r>
          </w:p>
        </w:tc>
        <w:tc>
          <w:tcPr>
            <w:tcW w:w="907" w:type="dxa"/>
            <w:tcBorders>
              <w:top w:val="nil"/>
            </w:tcBorders>
            <w:vAlign w:val="bottom"/>
          </w:tcPr>
          <w:p w:rsidR="00000000" w:rsidRDefault="00000000">
            <w:pPr>
              <w:pStyle w:val="BodyText2"/>
              <w:spacing w:before="20" w:after="20"/>
              <w:ind w:right="227"/>
              <w:jc w:val="right"/>
              <w:rPr>
                <w:b w:val="0"/>
                <w:caps w:val="0"/>
                <w:sz w:val="18"/>
              </w:rPr>
            </w:pPr>
            <w:r>
              <w:rPr>
                <w:b w:val="0"/>
                <w:caps w:val="0"/>
                <w:sz w:val="18"/>
              </w:rPr>
              <w:t>59,6</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 xml:space="preserve">Не сделают </w:t>
            </w:r>
          </w:p>
        </w:tc>
        <w:tc>
          <w:tcPr>
            <w:tcW w:w="737" w:type="dxa"/>
            <w:tcBorders>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28,5</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26,0</w:t>
            </w:r>
          </w:p>
        </w:tc>
        <w:tc>
          <w:tcPr>
            <w:tcW w:w="907" w:type="dxa"/>
            <w:tcBorders>
              <w:bottom w:val="nil"/>
            </w:tcBorders>
            <w:vAlign w:val="bottom"/>
          </w:tcPr>
          <w:p w:rsidR="00000000" w:rsidRDefault="00000000">
            <w:pPr>
              <w:pStyle w:val="BodyText2"/>
              <w:spacing w:before="20" w:after="20"/>
              <w:ind w:right="227"/>
              <w:jc w:val="right"/>
              <w:rPr>
                <w:b w:val="0"/>
                <w:caps w:val="0"/>
                <w:sz w:val="18"/>
              </w:rPr>
            </w:pPr>
            <w:r>
              <w:rPr>
                <w:b w:val="0"/>
                <w:caps w:val="0"/>
                <w:sz w:val="18"/>
              </w:rPr>
              <w:t>40,4</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0" w:after="20"/>
              <w:ind w:left="57"/>
              <w:rPr>
                <w:caps w:val="0"/>
                <w:sz w:val="18"/>
              </w:rPr>
            </w:pPr>
            <w:r>
              <w:rPr>
                <w:caps w:val="0"/>
                <w:sz w:val="18"/>
              </w:rPr>
              <w:t>Действия после отказа от новой попытки перейти границу</w:t>
            </w:r>
          </w:p>
        </w:tc>
        <w:tc>
          <w:tcPr>
            <w:tcW w:w="737" w:type="dxa"/>
            <w:tcBorders>
              <w:top w:val="single" w:sz="4" w:space="0" w:color="auto"/>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0" w:after="20"/>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bottom w:val="nil"/>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Вернутся домой</w:t>
            </w:r>
          </w:p>
        </w:tc>
        <w:tc>
          <w:tcPr>
            <w:tcW w:w="737" w:type="dxa"/>
            <w:tcBorders>
              <w:top w:val="nil"/>
              <w:left w:val="nil"/>
              <w:bottom w:val="nil"/>
            </w:tcBorders>
            <w:vAlign w:val="bottom"/>
          </w:tcPr>
          <w:p w:rsidR="00000000" w:rsidRDefault="00000000">
            <w:pPr>
              <w:pStyle w:val="BodyText2"/>
              <w:spacing w:before="20" w:after="20"/>
              <w:ind w:right="170"/>
              <w:jc w:val="right"/>
              <w:rPr>
                <w:b w:val="0"/>
                <w:caps w:val="0"/>
                <w:sz w:val="18"/>
              </w:rPr>
            </w:pPr>
            <w:r>
              <w:rPr>
                <w:b w:val="0"/>
                <w:caps w:val="0"/>
                <w:sz w:val="18"/>
              </w:rPr>
              <w:t>80,2</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80,7</w:t>
            </w:r>
          </w:p>
        </w:tc>
        <w:tc>
          <w:tcPr>
            <w:tcW w:w="907" w:type="dxa"/>
            <w:tcBorders>
              <w:top w:val="nil"/>
              <w:bottom w:val="nil"/>
            </w:tcBorders>
            <w:vAlign w:val="bottom"/>
          </w:tcPr>
          <w:p w:rsidR="00000000" w:rsidRDefault="00000000">
            <w:pPr>
              <w:pStyle w:val="BodyText2"/>
              <w:spacing w:before="20" w:after="20"/>
              <w:ind w:right="227"/>
              <w:jc w:val="right"/>
              <w:rPr>
                <w:b w:val="0"/>
                <w:caps w:val="0"/>
                <w:sz w:val="18"/>
              </w:rPr>
            </w:pPr>
            <w:r>
              <w:rPr>
                <w:b w:val="0"/>
                <w:caps w:val="0"/>
                <w:sz w:val="18"/>
              </w:rPr>
              <w:t>78,5</w:t>
            </w:r>
          </w:p>
        </w:tc>
      </w:tr>
      <w:tr w:rsidR="00000000">
        <w:tblPrEx>
          <w:tblCellMar>
            <w:top w:w="0" w:type="dxa"/>
            <w:left w:w="0" w:type="dxa"/>
            <w:bottom w:w="0" w:type="dxa"/>
            <w:right w:w="0" w:type="dxa"/>
          </w:tblCellMar>
        </w:tblPrEx>
        <w:tc>
          <w:tcPr>
            <w:tcW w:w="2268" w:type="dxa"/>
            <w:tcBorders>
              <w:top w:val="nil"/>
              <w:bottom w:val="single" w:sz="4" w:space="0" w:color="auto"/>
              <w:right w:val="single" w:sz="4" w:space="0" w:color="auto"/>
            </w:tcBorders>
            <w:vAlign w:val="bottom"/>
          </w:tcPr>
          <w:p w:rsidR="00000000" w:rsidRDefault="00000000">
            <w:pPr>
              <w:pStyle w:val="BodyText2"/>
              <w:spacing w:before="20" w:after="20"/>
              <w:ind w:left="57"/>
              <w:rPr>
                <w:b w:val="0"/>
                <w:caps w:val="0"/>
                <w:sz w:val="18"/>
              </w:rPr>
            </w:pPr>
            <w:r>
              <w:rPr>
                <w:b w:val="0"/>
                <w:caps w:val="0"/>
                <w:sz w:val="18"/>
              </w:rPr>
              <w:t>Останутся на границе</w:t>
            </w:r>
          </w:p>
        </w:tc>
        <w:tc>
          <w:tcPr>
            <w:tcW w:w="737" w:type="dxa"/>
            <w:tcBorders>
              <w:top w:val="nil"/>
              <w:left w:val="nil"/>
              <w:bottom w:val="single" w:sz="4" w:space="0" w:color="auto"/>
            </w:tcBorders>
            <w:vAlign w:val="bottom"/>
          </w:tcPr>
          <w:p w:rsidR="00000000" w:rsidRDefault="00000000">
            <w:pPr>
              <w:pStyle w:val="BodyText2"/>
              <w:spacing w:before="20" w:after="20"/>
              <w:ind w:right="170"/>
              <w:jc w:val="right"/>
              <w:rPr>
                <w:b w:val="0"/>
                <w:caps w:val="0"/>
                <w:sz w:val="18"/>
              </w:rPr>
            </w:pPr>
            <w:r>
              <w:rPr>
                <w:b w:val="0"/>
                <w:caps w:val="0"/>
                <w:sz w:val="18"/>
              </w:rPr>
              <w:t>19,8</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19,3</w:t>
            </w:r>
          </w:p>
        </w:tc>
        <w:tc>
          <w:tcPr>
            <w:tcW w:w="907" w:type="dxa"/>
            <w:tcBorders>
              <w:top w:val="nil"/>
              <w:bottom w:val="single" w:sz="4" w:space="0" w:color="auto"/>
            </w:tcBorders>
            <w:vAlign w:val="bottom"/>
          </w:tcPr>
          <w:p w:rsidR="00000000" w:rsidRDefault="00000000">
            <w:pPr>
              <w:pStyle w:val="BodyText2"/>
              <w:spacing w:before="20" w:after="20"/>
              <w:ind w:right="227"/>
              <w:jc w:val="right"/>
              <w:rPr>
                <w:b w:val="0"/>
                <w:caps w:val="0"/>
                <w:sz w:val="18"/>
              </w:rPr>
            </w:pPr>
            <w:r>
              <w:rPr>
                <w:b w:val="0"/>
                <w:caps w:val="0"/>
                <w:sz w:val="18"/>
              </w:rPr>
              <w:t>21,5</w:t>
            </w:r>
          </w:p>
        </w:tc>
      </w:tr>
    </w:tbl>
    <w:p w:rsidR="00000000" w:rsidRDefault="00000000"/>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2268"/>
        <w:gridCol w:w="737"/>
        <w:gridCol w:w="907"/>
        <w:gridCol w:w="907"/>
      </w:tblGrid>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vAlign w:val="bottom"/>
          </w:tcPr>
          <w:p w:rsidR="00000000" w:rsidRDefault="00000000">
            <w:pPr>
              <w:pStyle w:val="BodyText2"/>
              <w:spacing w:before="20" w:after="20"/>
              <w:jc w:val="center"/>
              <w:rPr>
                <w:caps w:val="0"/>
                <w:sz w:val="16"/>
              </w:rPr>
            </w:pPr>
            <w:r>
              <w:rPr>
                <w:caps w:val="0"/>
                <w:sz w:val="16"/>
              </w:rPr>
              <w:t>Характеристики</w:t>
            </w:r>
          </w:p>
        </w:tc>
        <w:tc>
          <w:tcPr>
            <w:tcW w:w="737" w:type="dxa"/>
            <w:tcBorders>
              <w:top w:val="single" w:sz="4" w:space="0" w:color="auto"/>
              <w:left w:val="nil"/>
              <w:bottom w:val="single" w:sz="4" w:space="0" w:color="auto"/>
            </w:tcBorders>
            <w:vAlign w:val="bottom"/>
          </w:tcPr>
          <w:p w:rsidR="00000000" w:rsidRDefault="00000000">
            <w:pPr>
              <w:pStyle w:val="BodyText2"/>
              <w:spacing w:before="20" w:after="20"/>
              <w:jc w:val="center"/>
              <w:rPr>
                <w:caps w:val="0"/>
                <w:sz w:val="16"/>
              </w:rPr>
            </w:pPr>
            <w:r>
              <w:rPr>
                <w:caps w:val="0"/>
                <w:sz w:val="16"/>
              </w:rPr>
              <w:t>Всего</w:t>
            </w:r>
          </w:p>
        </w:tc>
        <w:tc>
          <w:tcPr>
            <w:tcW w:w="907" w:type="dxa"/>
            <w:tcBorders>
              <w:top w:val="single" w:sz="4" w:space="0" w:color="auto"/>
              <w:bottom w:val="single" w:sz="4" w:space="0" w:color="auto"/>
            </w:tcBorders>
            <w:vAlign w:val="bottom"/>
          </w:tcPr>
          <w:p w:rsidR="00000000" w:rsidRDefault="00000000">
            <w:pPr>
              <w:pStyle w:val="BodyText2"/>
              <w:spacing w:before="20" w:after="20"/>
              <w:jc w:val="center"/>
              <w:rPr>
                <w:caps w:val="0"/>
                <w:sz w:val="16"/>
              </w:rPr>
            </w:pPr>
            <w:r>
              <w:rPr>
                <w:caps w:val="0"/>
                <w:sz w:val="16"/>
              </w:rPr>
              <w:t>Мужчины</w:t>
            </w:r>
          </w:p>
        </w:tc>
        <w:tc>
          <w:tcPr>
            <w:tcW w:w="907" w:type="dxa"/>
            <w:tcBorders>
              <w:top w:val="single" w:sz="4" w:space="0" w:color="auto"/>
              <w:bottom w:val="single" w:sz="4" w:space="0" w:color="auto"/>
            </w:tcBorders>
            <w:vAlign w:val="bottom"/>
          </w:tcPr>
          <w:p w:rsidR="00000000" w:rsidRDefault="00000000">
            <w:pPr>
              <w:pStyle w:val="BodyText2"/>
              <w:spacing w:before="20" w:after="20"/>
              <w:jc w:val="center"/>
              <w:rPr>
                <w:caps w:val="0"/>
                <w:sz w:val="16"/>
              </w:rPr>
            </w:pPr>
            <w:r>
              <w:rPr>
                <w:caps w:val="0"/>
                <w:sz w:val="16"/>
              </w:rPr>
              <w:t>Женщины</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6" w:after="26"/>
              <w:ind w:left="57"/>
              <w:rPr>
                <w:caps w:val="0"/>
                <w:sz w:val="18"/>
              </w:rPr>
            </w:pPr>
            <w:r>
              <w:rPr>
                <w:caps w:val="0"/>
                <w:sz w:val="18"/>
              </w:rPr>
              <w:t>Место, где была проведена ночь накануне перехода границы *</w:t>
            </w:r>
          </w:p>
        </w:tc>
        <w:tc>
          <w:tcPr>
            <w:tcW w:w="737" w:type="dxa"/>
            <w:tcBorders>
              <w:top w:val="single" w:sz="4" w:space="0" w:color="auto"/>
              <w:left w:val="nil"/>
              <w:bottom w:val="nil"/>
            </w:tcBorders>
            <w:vAlign w:val="bottom"/>
          </w:tcPr>
          <w:p w:rsidR="00000000" w:rsidRDefault="00000000">
            <w:pPr>
              <w:pStyle w:val="BodyText2"/>
              <w:spacing w:before="26" w:after="26"/>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6" w:after="26"/>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6" w:after="26"/>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Не проводили ночь</w:t>
            </w:r>
          </w:p>
        </w:tc>
        <w:tc>
          <w:tcPr>
            <w:tcW w:w="737" w:type="dxa"/>
            <w:tcBorders>
              <w:top w:val="nil"/>
              <w:left w:val="nil"/>
            </w:tcBorders>
            <w:vAlign w:val="bottom"/>
          </w:tcPr>
          <w:p w:rsidR="00000000" w:rsidRDefault="00000000">
            <w:pPr>
              <w:pStyle w:val="BodyText2"/>
              <w:spacing w:before="26" w:after="26"/>
              <w:ind w:right="170"/>
              <w:jc w:val="right"/>
              <w:rPr>
                <w:b w:val="0"/>
                <w:caps w:val="0"/>
                <w:sz w:val="18"/>
              </w:rPr>
            </w:pPr>
            <w:r>
              <w:rPr>
                <w:b w:val="0"/>
                <w:caps w:val="0"/>
                <w:sz w:val="18"/>
              </w:rPr>
              <w:t>12,9</w:t>
            </w:r>
          </w:p>
        </w:tc>
        <w:tc>
          <w:tcPr>
            <w:tcW w:w="907" w:type="dxa"/>
            <w:tcBorders>
              <w:top w:val="nil"/>
            </w:tcBorders>
            <w:vAlign w:val="bottom"/>
          </w:tcPr>
          <w:p w:rsidR="00000000" w:rsidRDefault="00000000">
            <w:pPr>
              <w:pStyle w:val="BodyText2"/>
              <w:spacing w:before="26" w:after="26"/>
              <w:ind w:right="227"/>
              <w:jc w:val="right"/>
              <w:rPr>
                <w:b w:val="0"/>
                <w:caps w:val="0"/>
                <w:sz w:val="18"/>
              </w:rPr>
            </w:pPr>
            <w:r>
              <w:rPr>
                <w:b w:val="0"/>
                <w:caps w:val="0"/>
                <w:sz w:val="18"/>
              </w:rPr>
              <w:t>11,7</w:t>
            </w:r>
          </w:p>
        </w:tc>
        <w:tc>
          <w:tcPr>
            <w:tcW w:w="907" w:type="dxa"/>
            <w:tcBorders>
              <w:top w:val="nil"/>
            </w:tcBorders>
            <w:vAlign w:val="bottom"/>
          </w:tcPr>
          <w:p w:rsidR="00000000" w:rsidRDefault="00000000">
            <w:pPr>
              <w:pStyle w:val="BodyText2"/>
              <w:spacing w:before="26" w:after="26"/>
              <w:ind w:right="227"/>
              <w:jc w:val="right"/>
              <w:rPr>
                <w:b w:val="0"/>
                <w:caps w:val="0"/>
                <w:sz w:val="18"/>
              </w:rPr>
            </w:pPr>
            <w:r>
              <w:rPr>
                <w:b w:val="0"/>
                <w:caps w:val="0"/>
                <w:sz w:val="18"/>
              </w:rPr>
              <w:t>18,9</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В гостинице</w:t>
            </w:r>
          </w:p>
        </w:tc>
        <w:tc>
          <w:tcPr>
            <w:tcW w:w="737" w:type="dxa"/>
            <w:tcBorders>
              <w:left w:val="nil"/>
            </w:tcBorders>
            <w:vAlign w:val="bottom"/>
          </w:tcPr>
          <w:p w:rsidR="00000000" w:rsidRDefault="00000000">
            <w:pPr>
              <w:pStyle w:val="BodyText2"/>
              <w:spacing w:before="26" w:after="26"/>
              <w:ind w:right="170"/>
              <w:jc w:val="right"/>
              <w:rPr>
                <w:b w:val="0"/>
                <w:caps w:val="0"/>
                <w:sz w:val="18"/>
              </w:rPr>
            </w:pPr>
            <w:r>
              <w:rPr>
                <w:b w:val="0"/>
                <w:caps w:val="0"/>
                <w:sz w:val="18"/>
              </w:rPr>
              <w:t>37,9</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36,5</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44,9</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6" w:after="26"/>
              <w:ind w:left="57"/>
              <w:rPr>
                <w:b w:val="0"/>
                <w:caps w:val="0"/>
                <w:spacing w:val="-2"/>
                <w:sz w:val="18"/>
              </w:rPr>
            </w:pPr>
            <w:r>
              <w:rPr>
                <w:b w:val="0"/>
                <w:caps w:val="0"/>
                <w:spacing w:val="-2"/>
                <w:sz w:val="18"/>
              </w:rPr>
              <w:t>У родственников или друзей</w:t>
            </w:r>
          </w:p>
        </w:tc>
        <w:tc>
          <w:tcPr>
            <w:tcW w:w="737" w:type="dxa"/>
            <w:tcBorders>
              <w:left w:val="nil"/>
            </w:tcBorders>
            <w:vAlign w:val="bottom"/>
          </w:tcPr>
          <w:p w:rsidR="00000000" w:rsidRDefault="00000000">
            <w:pPr>
              <w:pStyle w:val="BodyText2"/>
              <w:spacing w:before="26" w:after="26"/>
              <w:ind w:right="170"/>
              <w:jc w:val="right"/>
              <w:rPr>
                <w:b w:val="0"/>
                <w:caps w:val="0"/>
                <w:sz w:val="18"/>
              </w:rPr>
            </w:pPr>
            <w:r>
              <w:rPr>
                <w:b w:val="0"/>
                <w:caps w:val="0"/>
                <w:sz w:val="18"/>
              </w:rPr>
              <w:t>13,0</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12,6</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15,2</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На автобусной станции или на улице</w:t>
            </w:r>
          </w:p>
        </w:tc>
        <w:tc>
          <w:tcPr>
            <w:tcW w:w="737" w:type="dxa"/>
            <w:tcBorders>
              <w:left w:val="nil"/>
            </w:tcBorders>
            <w:vAlign w:val="bottom"/>
          </w:tcPr>
          <w:p w:rsidR="00000000" w:rsidRDefault="00000000">
            <w:pPr>
              <w:pStyle w:val="BodyText2"/>
              <w:spacing w:before="26" w:after="26"/>
              <w:ind w:right="170"/>
              <w:jc w:val="right"/>
              <w:rPr>
                <w:b w:val="0"/>
                <w:caps w:val="0"/>
                <w:sz w:val="18"/>
              </w:rPr>
            </w:pPr>
            <w:r>
              <w:rPr>
                <w:b w:val="0"/>
                <w:caps w:val="0"/>
                <w:sz w:val="18"/>
              </w:rPr>
              <w:t>26,4</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28,5</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15,7</w:t>
            </w:r>
          </w:p>
        </w:tc>
      </w:tr>
      <w:tr w:rsidR="00000000">
        <w:tblPrEx>
          <w:tblCellMar>
            <w:top w:w="0" w:type="dxa"/>
            <w:left w:w="0" w:type="dxa"/>
            <w:bottom w:w="0" w:type="dxa"/>
            <w:right w:w="0" w:type="dxa"/>
          </w:tblCellMar>
        </w:tblPrEx>
        <w:tc>
          <w:tcPr>
            <w:tcW w:w="2268" w:type="dxa"/>
            <w:tcBorders>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На границе или на мосту</w:t>
            </w:r>
          </w:p>
        </w:tc>
        <w:tc>
          <w:tcPr>
            <w:tcW w:w="737" w:type="dxa"/>
            <w:tcBorders>
              <w:left w:val="nil"/>
            </w:tcBorders>
            <w:vAlign w:val="bottom"/>
          </w:tcPr>
          <w:p w:rsidR="00000000" w:rsidRDefault="00000000">
            <w:pPr>
              <w:pStyle w:val="BodyText2"/>
              <w:spacing w:before="26" w:after="26"/>
              <w:ind w:right="170"/>
              <w:jc w:val="right"/>
              <w:rPr>
                <w:b w:val="0"/>
                <w:caps w:val="0"/>
                <w:sz w:val="18"/>
              </w:rPr>
            </w:pPr>
            <w:r>
              <w:rPr>
                <w:b w:val="0"/>
                <w:caps w:val="0"/>
                <w:sz w:val="18"/>
              </w:rPr>
              <w:t>6,8</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7,6</w:t>
            </w:r>
          </w:p>
        </w:tc>
        <w:tc>
          <w:tcPr>
            <w:tcW w:w="907" w:type="dxa"/>
            <w:vAlign w:val="bottom"/>
          </w:tcPr>
          <w:p w:rsidR="00000000" w:rsidRDefault="00000000">
            <w:pPr>
              <w:pStyle w:val="BodyText2"/>
              <w:spacing w:before="26" w:after="26"/>
              <w:ind w:right="227"/>
              <w:jc w:val="right"/>
              <w:rPr>
                <w:b w:val="0"/>
                <w:caps w:val="0"/>
                <w:sz w:val="18"/>
              </w:rPr>
            </w:pPr>
            <w:r>
              <w:rPr>
                <w:b w:val="0"/>
                <w:caps w:val="0"/>
                <w:sz w:val="18"/>
              </w:rPr>
              <w:t>2,5</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Иное</w:t>
            </w:r>
          </w:p>
        </w:tc>
        <w:tc>
          <w:tcPr>
            <w:tcW w:w="737" w:type="dxa"/>
            <w:tcBorders>
              <w:left w:val="nil"/>
              <w:bottom w:val="nil"/>
            </w:tcBorders>
            <w:vAlign w:val="bottom"/>
          </w:tcPr>
          <w:p w:rsidR="00000000" w:rsidRDefault="00000000">
            <w:pPr>
              <w:pStyle w:val="BodyText2"/>
              <w:spacing w:before="26" w:after="26"/>
              <w:ind w:right="170"/>
              <w:jc w:val="right"/>
              <w:rPr>
                <w:b w:val="0"/>
                <w:caps w:val="0"/>
                <w:sz w:val="18"/>
              </w:rPr>
            </w:pPr>
            <w:r>
              <w:rPr>
                <w:b w:val="0"/>
                <w:caps w:val="0"/>
                <w:sz w:val="18"/>
              </w:rPr>
              <w:t>3,1</w:t>
            </w:r>
          </w:p>
        </w:tc>
        <w:tc>
          <w:tcPr>
            <w:tcW w:w="907" w:type="dxa"/>
            <w:tcBorders>
              <w:bottom w:val="nil"/>
            </w:tcBorders>
            <w:vAlign w:val="bottom"/>
          </w:tcPr>
          <w:p w:rsidR="00000000" w:rsidRDefault="00000000">
            <w:pPr>
              <w:pStyle w:val="BodyText2"/>
              <w:spacing w:before="26" w:after="26"/>
              <w:ind w:right="227"/>
              <w:jc w:val="right"/>
              <w:rPr>
                <w:b w:val="0"/>
                <w:caps w:val="0"/>
                <w:sz w:val="18"/>
              </w:rPr>
            </w:pPr>
            <w:r>
              <w:rPr>
                <w:b w:val="0"/>
                <w:caps w:val="0"/>
                <w:sz w:val="18"/>
              </w:rPr>
              <w:t>3,1</w:t>
            </w:r>
          </w:p>
        </w:tc>
        <w:tc>
          <w:tcPr>
            <w:tcW w:w="907" w:type="dxa"/>
            <w:tcBorders>
              <w:bottom w:val="nil"/>
            </w:tcBorders>
            <w:vAlign w:val="bottom"/>
          </w:tcPr>
          <w:p w:rsidR="00000000" w:rsidRDefault="00000000">
            <w:pPr>
              <w:pStyle w:val="BodyText2"/>
              <w:spacing w:before="26" w:after="26"/>
              <w:ind w:right="227"/>
              <w:jc w:val="right"/>
              <w:rPr>
                <w:b w:val="0"/>
                <w:caps w:val="0"/>
                <w:sz w:val="18"/>
              </w:rPr>
            </w:pPr>
            <w:r>
              <w:rPr>
                <w:b w:val="0"/>
                <w:caps w:val="0"/>
                <w:sz w:val="18"/>
              </w:rPr>
              <w:t>2,9</w:t>
            </w:r>
          </w:p>
        </w:tc>
      </w:tr>
      <w:tr w:rsidR="00000000">
        <w:tblPrEx>
          <w:tblCellMar>
            <w:top w:w="0" w:type="dxa"/>
            <w:left w:w="0" w:type="dxa"/>
            <w:bottom w:w="0" w:type="dxa"/>
            <w:right w:w="0" w:type="dxa"/>
          </w:tblCellMar>
        </w:tblPrEx>
        <w:tc>
          <w:tcPr>
            <w:tcW w:w="2268" w:type="dxa"/>
            <w:tcBorders>
              <w:top w:val="single" w:sz="4" w:space="0" w:color="auto"/>
              <w:bottom w:val="nil"/>
              <w:right w:val="single" w:sz="4" w:space="0" w:color="auto"/>
            </w:tcBorders>
            <w:vAlign w:val="bottom"/>
          </w:tcPr>
          <w:p w:rsidR="00000000" w:rsidRDefault="00000000">
            <w:pPr>
              <w:pStyle w:val="BodyText2"/>
              <w:spacing w:before="26" w:after="26"/>
              <w:ind w:left="57"/>
              <w:rPr>
                <w:caps w:val="0"/>
                <w:sz w:val="18"/>
              </w:rPr>
            </w:pPr>
            <w:r>
              <w:rPr>
                <w:caps w:val="0"/>
                <w:sz w:val="18"/>
              </w:rPr>
              <w:t>Куда были возвращены и где переходили границу*</w:t>
            </w:r>
          </w:p>
        </w:tc>
        <w:tc>
          <w:tcPr>
            <w:tcW w:w="737" w:type="dxa"/>
            <w:tcBorders>
              <w:top w:val="single" w:sz="4" w:space="0" w:color="auto"/>
              <w:left w:val="nil"/>
              <w:bottom w:val="nil"/>
            </w:tcBorders>
            <w:vAlign w:val="bottom"/>
          </w:tcPr>
          <w:p w:rsidR="00000000" w:rsidRDefault="00000000">
            <w:pPr>
              <w:pStyle w:val="BodyText2"/>
              <w:spacing w:before="26" w:after="26"/>
              <w:ind w:right="170"/>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6" w:after="26"/>
              <w:ind w:right="227"/>
              <w:jc w:val="right"/>
              <w:rPr>
                <w:b w:val="0"/>
                <w:caps w:val="0"/>
                <w:sz w:val="18"/>
              </w:rPr>
            </w:pPr>
            <w:r>
              <w:rPr>
                <w:b w:val="0"/>
                <w:caps w:val="0"/>
                <w:sz w:val="18"/>
              </w:rPr>
              <w:t>100,0</w:t>
            </w:r>
          </w:p>
        </w:tc>
        <w:tc>
          <w:tcPr>
            <w:tcW w:w="907" w:type="dxa"/>
            <w:tcBorders>
              <w:top w:val="single" w:sz="4" w:space="0" w:color="auto"/>
              <w:bottom w:val="nil"/>
            </w:tcBorders>
            <w:vAlign w:val="bottom"/>
          </w:tcPr>
          <w:p w:rsidR="00000000" w:rsidRDefault="00000000">
            <w:pPr>
              <w:pStyle w:val="BodyText2"/>
              <w:spacing w:before="26" w:after="26"/>
              <w:ind w:right="227"/>
              <w:jc w:val="right"/>
              <w:rPr>
                <w:b w:val="0"/>
                <w:caps w:val="0"/>
                <w:sz w:val="18"/>
              </w:rPr>
            </w:pPr>
            <w:r>
              <w:rPr>
                <w:b w:val="0"/>
                <w:caps w:val="0"/>
                <w:sz w:val="18"/>
              </w:rPr>
              <w:t>100,0</w:t>
            </w:r>
          </w:p>
        </w:tc>
      </w:tr>
      <w:tr w:rsidR="00000000">
        <w:tblPrEx>
          <w:tblCellMar>
            <w:top w:w="0" w:type="dxa"/>
            <w:left w:w="0" w:type="dxa"/>
            <w:bottom w:w="0" w:type="dxa"/>
            <w:right w:w="0" w:type="dxa"/>
          </w:tblCellMar>
        </w:tblPrEx>
        <w:tc>
          <w:tcPr>
            <w:tcW w:w="2268" w:type="dxa"/>
            <w:tcBorders>
              <w:top w:val="nil"/>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 xml:space="preserve">Там же </w:t>
            </w:r>
          </w:p>
        </w:tc>
        <w:tc>
          <w:tcPr>
            <w:tcW w:w="737" w:type="dxa"/>
            <w:tcBorders>
              <w:top w:val="nil"/>
              <w:left w:val="nil"/>
            </w:tcBorders>
            <w:vAlign w:val="bottom"/>
          </w:tcPr>
          <w:p w:rsidR="00000000" w:rsidRDefault="00000000">
            <w:pPr>
              <w:pStyle w:val="BodyText2"/>
              <w:spacing w:before="26" w:after="26"/>
              <w:ind w:right="170"/>
              <w:jc w:val="right"/>
              <w:rPr>
                <w:b w:val="0"/>
                <w:caps w:val="0"/>
                <w:sz w:val="18"/>
              </w:rPr>
            </w:pPr>
            <w:r>
              <w:rPr>
                <w:b w:val="0"/>
                <w:caps w:val="0"/>
                <w:sz w:val="18"/>
              </w:rPr>
              <w:t>77,5</w:t>
            </w:r>
          </w:p>
        </w:tc>
        <w:tc>
          <w:tcPr>
            <w:tcW w:w="907" w:type="dxa"/>
            <w:tcBorders>
              <w:top w:val="nil"/>
            </w:tcBorders>
            <w:vAlign w:val="bottom"/>
          </w:tcPr>
          <w:p w:rsidR="00000000" w:rsidRDefault="00000000">
            <w:pPr>
              <w:pStyle w:val="BodyText2"/>
              <w:spacing w:before="26" w:after="26"/>
              <w:ind w:right="227"/>
              <w:jc w:val="right"/>
              <w:rPr>
                <w:b w:val="0"/>
                <w:caps w:val="0"/>
                <w:sz w:val="18"/>
              </w:rPr>
            </w:pPr>
            <w:r>
              <w:rPr>
                <w:b w:val="0"/>
                <w:caps w:val="0"/>
                <w:sz w:val="18"/>
              </w:rPr>
              <w:t>76,5</w:t>
            </w:r>
          </w:p>
        </w:tc>
        <w:tc>
          <w:tcPr>
            <w:tcW w:w="907" w:type="dxa"/>
            <w:tcBorders>
              <w:top w:val="nil"/>
            </w:tcBorders>
            <w:vAlign w:val="bottom"/>
          </w:tcPr>
          <w:p w:rsidR="00000000" w:rsidRDefault="00000000">
            <w:pPr>
              <w:pStyle w:val="BodyText2"/>
              <w:spacing w:before="26" w:after="26"/>
              <w:ind w:right="227"/>
              <w:jc w:val="right"/>
              <w:rPr>
                <w:b w:val="0"/>
                <w:caps w:val="0"/>
                <w:sz w:val="18"/>
              </w:rPr>
            </w:pPr>
            <w:r>
              <w:rPr>
                <w:b w:val="0"/>
                <w:caps w:val="0"/>
                <w:sz w:val="18"/>
              </w:rPr>
              <w:t>82,6</w:t>
            </w:r>
          </w:p>
        </w:tc>
      </w:tr>
      <w:tr w:rsidR="00000000">
        <w:tblPrEx>
          <w:tblCellMar>
            <w:top w:w="0" w:type="dxa"/>
            <w:left w:w="0" w:type="dxa"/>
            <w:bottom w:w="0" w:type="dxa"/>
            <w:right w:w="0" w:type="dxa"/>
          </w:tblCellMar>
        </w:tblPrEx>
        <w:tc>
          <w:tcPr>
            <w:tcW w:w="2268" w:type="dxa"/>
            <w:tcBorders>
              <w:bottom w:val="nil"/>
              <w:right w:val="single" w:sz="4" w:space="0" w:color="auto"/>
            </w:tcBorders>
            <w:vAlign w:val="bottom"/>
          </w:tcPr>
          <w:p w:rsidR="00000000" w:rsidRDefault="00000000">
            <w:pPr>
              <w:pStyle w:val="BodyText2"/>
              <w:spacing w:before="26" w:after="26"/>
              <w:ind w:left="57"/>
              <w:rPr>
                <w:b w:val="0"/>
                <w:caps w:val="0"/>
                <w:sz w:val="18"/>
              </w:rPr>
            </w:pPr>
            <w:r>
              <w:rPr>
                <w:b w:val="0"/>
                <w:caps w:val="0"/>
                <w:sz w:val="18"/>
              </w:rPr>
              <w:t>В ином месте</w:t>
            </w:r>
          </w:p>
        </w:tc>
        <w:tc>
          <w:tcPr>
            <w:tcW w:w="737" w:type="dxa"/>
            <w:tcBorders>
              <w:left w:val="nil"/>
              <w:bottom w:val="nil"/>
            </w:tcBorders>
            <w:vAlign w:val="bottom"/>
          </w:tcPr>
          <w:p w:rsidR="00000000" w:rsidRDefault="00000000">
            <w:pPr>
              <w:pStyle w:val="BodyText2"/>
              <w:spacing w:before="26" w:after="26"/>
              <w:ind w:right="170"/>
              <w:jc w:val="right"/>
              <w:rPr>
                <w:b w:val="0"/>
                <w:caps w:val="0"/>
                <w:sz w:val="18"/>
              </w:rPr>
            </w:pPr>
            <w:r>
              <w:rPr>
                <w:b w:val="0"/>
                <w:caps w:val="0"/>
                <w:sz w:val="18"/>
              </w:rPr>
              <w:t>22,5</w:t>
            </w:r>
          </w:p>
        </w:tc>
        <w:tc>
          <w:tcPr>
            <w:tcW w:w="907" w:type="dxa"/>
            <w:tcBorders>
              <w:bottom w:val="nil"/>
            </w:tcBorders>
            <w:vAlign w:val="bottom"/>
          </w:tcPr>
          <w:p w:rsidR="00000000" w:rsidRDefault="00000000">
            <w:pPr>
              <w:pStyle w:val="BodyText2"/>
              <w:spacing w:before="26" w:after="26"/>
              <w:ind w:right="227"/>
              <w:jc w:val="right"/>
              <w:rPr>
                <w:b w:val="0"/>
                <w:caps w:val="0"/>
                <w:sz w:val="18"/>
              </w:rPr>
            </w:pPr>
            <w:r>
              <w:rPr>
                <w:b w:val="0"/>
                <w:caps w:val="0"/>
                <w:sz w:val="18"/>
              </w:rPr>
              <w:t>23,5</w:t>
            </w:r>
          </w:p>
        </w:tc>
        <w:tc>
          <w:tcPr>
            <w:tcW w:w="907" w:type="dxa"/>
            <w:tcBorders>
              <w:bottom w:val="nil"/>
            </w:tcBorders>
            <w:vAlign w:val="bottom"/>
          </w:tcPr>
          <w:p w:rsidR="00000000" w:rsidRDefault="00000000">
            <w:pPr>
              <w:pStyle w:val="BodyText2"/>
              <w:spacing w:before="26" w:after="26"/>
              <w:ind w:right="227"/>
              <w:jc w:val="right"/>
              <w:rPr>
                <w:b w:val="0"/>
                <w:caps w:val="0"/>
                <w:sz w:val="18"/>
              </w:rPr>
            </w:pPr>
            <w:r>
              <w:rPr>
                <w:b w:val="0"/>
                <w:caps w:val="0"/>
                <w:sz w:val="18"/>
              </w:rPr>
              <w:t>17,4</w:t>
            </w:r>
          </w:p>
        </w:tc>
      </w:tr>
      <w:tr w:rsidR="00000000">
        <w:tblPrEx>
          <w:tblCellMar>
            <w:top w:w="0" w:type="dxa"/>
            <w:left w:w="0" w:type="dxa"/>
            <w:bottom w:w="0" w:type="dxa"/>
            <w:right w:w="0" w:type="dxa"/>
          </w:tblCellMar>
        </w:tblPrEx>
        <w:tc>
          <w:tcPr>
            <w:tcW w:w="2268" w:type="dxa"/>
            <w:tcBorders>
              <w:top w:val="single" w:sz="4" w:space="0" w:color="auto"/>
              <w:bottom w:val="single" w:sz="4" w:space="0" w:color="auto"/>
              <w:right w:val="single" w:sz="4" w:space="0" w:color="auto"/>
            </w:tcBorders>
            <w:vAlign w:val="bottom"/>
          </w:tcPr>
          <w:p w:rsidR="00000000" w:rsidRDefault="00000000">
            <w:pPr>
              <w:pStyle w:val="BodyText2"/>
              <w:spacing w:before="24" w:after="24"/>
              <w:ind w:left="57"/>
              <w:rPr>
                <w:caps w:val="0"/>
                <w:sz w:val="18"/>
              </w:rPr>
            </w:pPr>
            <w:r>
              <w:rPr>
                <w:caps w:val="0"/>
                <w:sz w:val="18"/>
              </w:rPr>
              <w:t>Средняя продолжи-</w:t>
            </w:r>
            <w:r>
              <w:rPr>
                <w:caps w:val="0"/>
                <w:sz w:val="18"/>
              </w:rPr>
              <w:br/>
              <w:t xml:space="preserve">тельность пребывания </w:t>
            </w:r>
            <w:r>
              <w:rPr>
                <w:caps w:val="0"/>
                <w:sz w:val="18"/>
              </w:rPr>
              <w:br/>
              <w:t>в пограничном городе перед переходом границы (в днях)</w:t>
            </w:r>
          </w:p>
        </w:tc>
        <w:tc>
          <w:tcPr>
            <w:tcW w:w="737" w:type="dxa"/>
            <w:tcBorders>
              <w:top w:val="single" w:sz="4" w:space="0" w:color="auto"/>
              <w:left w:val="nil"/>
              <w:bottom w:val="single" w:sz="4" w:space="0" w:color="auto"/>
            </w:tcBorders>
            <w:vAlign w:val="bottom"/>
          </w:tcPr>
          <w:p w:rsidR="00000000" w:rsidRDefault="00000000">
            <w:pPr>
              <w:pStyle w:val="BodyText2"/>
              <w:spacing w:before="24" w:after="24"/>
              <w:ind w:right="170"/>
              <w:jc w:val="right"/>
              <w:rPr>
                <w:b w:val="0"/>
                <w:caps w:val="0"/>
                <w:sz w:val="18"/>
              </w:rPr>
            </w:pPr>
            <w:r>
              <w:rPr>
                <w:b w:val="0"/>
                <w:caps w:val="0"/>
                <w:sz w:val="18"/>
              </w:rPr>
              <w:t>3,7</w:t>
            </w:r>
          </w:p>
        </w:tc>
        <w:tc>
          <w:tcPr>
            <w:tcW w:w="907" w:type="dxa"/>
            <w:tcBorders>
              <w:top w:val="single" w:sz="4" w:space="0" w:color="auto"/>
              <w:bottom w:val="single" w:sz="4" w:space="0" w:color="auto"/>
            </w:tcBorders>
            <w:vAlign w:val="bottom"/>
          </w:tcPr>
          <w:p w:rsidR="00000000" w:rsidRDefault="00000000">
            <w:pPr>
              <w:pStyle w:val="BodyText2"/>
              <w:spacing w:before="24" w:after="24"/>
              <w:ind w:right="227"/>
              <w:jc w:val="right"/>
              <w:rPr>
                <w:b w:val="0"/>
                <w:caps w:val="0"/>
                <w:sz w:val="18"/>
              </w:rPr>
            </w:pPr>
            <w:r>
              <w:rPr>
                <w:b w:val="0"/>
                <w:caps w:val="0"/>
                <w:sz w:val="18"/>
              </w:rPr>
              <w:t>3,7</w:t>
            </w:r>
          </w:p>
        </w:tc>
        <w:tc>
          <w:tcPr>
            <w:tcW w:w="907" w:type="dxa"/>
            <w:tcBorders>
              <w:top w:val="single" w:sz="4" w:space="0" w:color="auto"/>
              <w:bottom w:val="single" w:sz="4" w:space="0" w:color="auto"/>
            </w:tcBorders>
            <w:vAlign w:val="bottom"/>
          </w:tcPr>
          <w:p w:rsidR="00000000" w:rsidRDefault="00000000">
            <w:pPr>
              <w:pStyle w:val="BodyText2"/>
              <w:spacing w:before="24" w:after="24"/>
              <w:ind w:right="227"/>
              <w:jc w:val="right"/>
              <w:rPr>
                <w:b w:val="0"/>
                <w:caps w:val="0"/>
                <w:sz w:val="18"/>
              </w:rPr>
            </w:pPr>
            <w:r>
              <w:rPr>
                <w:b w:val="0"/>
                <w:caps w:val="0"/>
                <w:sz w:val="18"/>
              </w:rPr>
              <w:t>3,8</w:t>
            </w:r>
          </w:p>
        </w:tc>
      </w:tr>
    </w:tbl>
    <w:p w:rsidR="00000000" w:rsidRDefault="00000000">
      <w:pPr>
        <w:pStyle w:val="BodyText2"/>
        <w:rPr>
          <w:b w:val="0"/>
          <w:caps w:val="0"/>
        </w:rPr>
        <w:sectPr w:rsidR="00000000">
          <w:footnotePr>
            <w:numStart w:val="4"/>
          </w:footnotePr>
          <w:type w:val="continuous"/>
          <w:pgSz w:w="12242" w:h="15842" w:code="1"/>
          <w:pgMar w:top="1247" w:right="1298" w:bottom="1531" w:left="1298" w:header="720" w:footer="851" w:gutter="0"/>
          <w:cols w:num="2" w:space="0"/>
        </w:sectPr>
      </w:pPr>
    </w:p>
    <w:p w:rsidR="00000000" w:rsidRDefault="00000000">
      <w:pPr>
        <w:pStyle w:val="a2"/>
      </w:pPr>
      <w:r>
        <w:t>Примечания:</w:t>
      </w:r>
    </w:p>
    <w:p w:rsidR="00000000" w:rsidRDefault="00000000">
      <w:pPr>
        <w:pStyle w:val="a2"/>
      </w:pPr>
      <w:r>
        <w:rPr>
          <w:vertAlign w:val="superscript"/>
        </w:rPr>
        <w:t xml:space="preserve">1  </w:t>
      </w:r>
      <w:r>
        <w:t xml:space="preserve">Включает четвертую фазу с 11 июля 1998 года по 10 июля 1999 года и пятую фазу с 11 июля 1999 года по 10 апреля </w:t>
      </w:r>
      <w:r>
        <w:br/>
        <w:t>2000 года.</w:t>
      </w:r>
    </w:p>
    <w:p w:rsidR="00000000" w:rsidRDefault="00000000">
      <w:pPr>
        <w:pStyle w:val="a2"/>
      </w:pPr>
      <w:r>
        <w:rPr>
          <w:vertAlign w:val="superscript"/>
        </w:rPr>
        <w:t xml:space="preserve">2  </w:t>
      </w:r>
      <w:r>
        <w:t>Городскими считаются населенные пункты, которые во время переписи населения 1990 года насчитывали 15 тыс. и более жителей.</w:t>
      </w:r>
    </w:p>
    <w:p w:rsidR="00000000" w:rsidRDefault="00000000">
      <w:pPr>
        <w:pStyle w:val="a2"/>
      </w:pPr>
      <w:r>
        <w:rPr>
          <w:vertAlign w:val="superscript"/>
        </w:rPr>
        <w:t xml:space="preserve">3  </w:t>
      </w:r>
      <w:r>
        <w:t>Приграничными муниципалитетами являются те, которые граничат с США.</w:t>
      </w:r>
    </w:p>
    <w:p w:rsidR="00000000" w:rsidRDefault="00000000">
      <w:pPr>
        <w:pStyle w:val="a2"/>
      </w:pPr>
      <w:r>
        <w:rPr>
          <w:vertAlign w:val="superscript"/>
        </w:rPr>
        <w:t xml:space="preserve">4  </w:t>
      </w:r>
      <w:r>
        <w:t>Традиционный регион включает штаты Агуаскальентес, Колима, Дуранго, Гуанахуато, Халиско, Мичоакан, Наярит, Сан-Луис-Потоси и Сакатекас; Север: Нижняя Калифорния Северная, Нижняя Калифорния Южная, Коауила, Чиуауа, Нуэво-Леон, Синалоа, Сонора и Тамаулипас; Центр: федеральный округ, Идальго, Мехико, Морелос, Пуэбла, Керетаро и Тласкала; Юг – Юго-Восток: Кампече, Чьяпас, Герреро, Оахака, Кинтана-Роо, Табаско, Веракрус и Юкатан.</w:t>
      </w:r>
    </w:p>
    <w:p w:rsidR="00000000" w:rsidRDefault="00000000">
      <w:pPr>
        <w:pStyle w:val="a2"/>
      </w:pPr>
      <w:r>
        <w:rPr>
          <w:vertAlign w:val="superscript"/>
        </w:rPr>
        <w:t xml:space="preserve">5   </w:t>
      </w:r>
      <w:r>
        <w:t xml:space="preserve">Включает встречи с членами семьи и друзьями, отдых, покупки и т. п. </w:t>
      </w:r>
    </w:p>
    <w:p w:rsidR="00000000" w:rsidRDefault="00000000">
      <w:pPr>
        <w:pStyle w:val="a2"/>
      </w:pPr>
      <w:r>
        <w:rPr>
          <w:vertAlign w:val="superscript"/>
        </w:rPr>
        <w:t xml:space="preserve">6  </w:t>
      </w:r>
      <w:r>
        <w:t>Эта характеристика была введена с четвертой фазы.</w:t>
      </w:r>
    </w:p>
    <w:p w:rsidR="00000000" w:rsidRDefault="00000000">
      <w:pPr>
        <w:pStyle w:val="a2"/>
      </w:pPr>
      <w:r>
        <w:rPr>
          <w:vertAlign w:val="superscript"/>
        </w:rPr>
        <w:t xml:space="preserve">7  </w:t>
      </w:r>
      <w:r>
        <w:t>Наличие предшествующего опыта миграции относится к мигрантам, для которых данная поездка в США была как минимум второй. Соответственно, лицами без предшествующего опыта миграции являются те, кто никогда не пересекал границу для работы или для поиска работы в США.</w:t>
      </w:r>
    </w:p>
    <w:p w:rsidR="00000000" w:rsidRDefault="00000000">
      <w:pPr>
        <w:pStyle w:val="a2"/>
      </w:pPr>
      <w:r>
        <w:t>*</w:t>
      </w:r>
      <w:r>
        <w:rPr>
          <w:vertAlign w:val="superscript"/>
        </w:rPr>
        <w:t xml:space="preserve">  </w:t>
      </w:r>
      <w:r>
        <w:t>Эта информация относится только к лицам, проживающим в неприграничных муниципалитетах.</w:t>
      </w:r>
    </w:p>
    <w:p w:rsidR="00000000" w:rsidRDefault="00000000">
      <w:pPr>
        <w:pStyle w:val="a2"/>
        <w:rPr>
          <w:lang w:val="es-ES"/>
        </w:rPr>
      </w:pPr>
      <w:r>
        <w:t>Источник</w:t>
      </w:r>
      <w:r>
        <w:rPr>
          <w:lang w:val="en-US"/>
        </w:rPr>
        <w:t xml:space="preserve">: </w:t>
      </w:r>
      <w:r>
        <w:rPr>
          <w:lang w:val="es-ES"/>
        </w:rPr>
        <w:t>Estimaciones de CONAPO con base en STyPS, INM y EL COLEF, Encuesta sobre Migración en la Frontera Norte de México (EMIF), 1998-1999 y 1999-2000.</w:t>
      </w:r>
    </w:p>
    <w:p w:rsidR="00000000" w:rsidRDefault="00000000">
      <w:pPr>
        <w:pStyle w:val="BodyText2"/>
        <w:rPr>
          <w:b w:val="0"/>
          <w:caps w:val="0"/>
        </w:rPr>
      </w:pPr>
    </w:p>
    <w:p w:rsidR="00000000" w:rsidRDefault="00000000">
      <w:pPr>
        <w:pStyle w:val="BodyText2"/>
        <w:rPr>
          <w:b w:val="0"/>
          <w:caps w:val="0"/>
        </w:rPr>
      </w:pPr>
      <w:r>
        <w:rPr>
          <w:b w:val="0"/>
          <w:caps w:val="0"/>
        </w:rPr>
        <w:t>852.</w:t>
      </w:r>
      <w:r>
        <w:rPr>
          <w:b w:val="0"/>
          <w:caps w:val="0"/>
        </w:rPr>
        <w:tab/>
        <w:t>Как можно заметить, задержанные женщины представляют одну из наиболее уязвимых групп в миграционном потоке в США. Большей частью речь идет о молодых незамужних женщинах с полным базовым образованием, проживающих в традиционном и северном регионах миграции; они предпринимают поездку с семьей или друзьями и намерены работать в соседней стране. Они осуществляют незаконный переход границы в сопровождении других лиц, не прибегают к "помощи" проводников и делают до двух попыток перехода, а в случае неудачи возвращаются в место постоянного проживания.</w:t>
      </w:r>
    </w:p>
    <w:p w:rsidR="00000000" w:rsidRDefault="00000000">
      <w:pPr>
        <w:pStyle w:val="Heading4"/>
        <w:rPr>
          <w:b w:val="0"/>
        </w:rPr>
      </w:pPr>
      <w:r>
        <w:t>Мексиканки, проживающие в США</w:t>
      </w:r>
    </w:p>
    <w:p w:rsidR="00000000" w:rsidRDefault="00000000">
      <w:pPr>
        <w:pStyle w:val="BodyText2"/>
        <w:rPr>
          <w:b w:val="0"/>
          <w:caps w:val="0"/>
        </w:rPr>
      </w:pPr>
      <w:r>
        <w:rPr>
          <w:b w:val="0"/>
          <w:caps w:val="0"/>
        </w:rPr>
        <w:t>853.</w:t>
      </w:r>
      <w:r>
        <w:rPr>
          <w:b w:val="0"/>
          <w:caps w:val="0"/>
        </w:rPr>
        <w:tab/>
        <w:t>В 1999 году в США проживали около 8 млн. мексиканцев, из них 3,6 млн. – женщины. Как можно видеть в таблице 4, возрастной состав этих мексиканцев свидетельствует о том, что они находятся в средней фазе жизненного цикла. Иначе говоря, большая часть населения находится в продуктивном возрасте. Это обстоятельство объясняется прежде всего тем, что мигрируют в основном молодые люди. Почти половина мексиканцев, живущих в США, переселились туда после 1985 года. Вместе с тем только 25 процентов мексиканских женщин получили американское гражданство, причем этот показатель даже немного выше, чем у мужчин (21 процент).</w:t>
      </w:r>
    </w:p>
    <w:p w:rsidR="00000000" w:rsidRDefault="00000000">
      <w:pPr>
        <w:pStyle w:val="BodyText2"/>
        <w:spacing w:after="0"/>
        <w:jc w:val="center"/>
        <w:rPr>
          <w:caps w:val="0"/>
        </w:rPr>
      </w:pPr>
      <w:r>
        <w:rPr>
          <w:caps w:val="0"/>
        </w:rPr>
        <w:t>Таблица 4</w:t>
      </w:r>
    </w:p>
    <w:p w:rsidR="00000000" w:rsidRDefault="00000000">
      <w:pPr>
        <w:pStyle w:val="BodyText2"/>
        <w:spacing w:after="0"/>
        <w:jc w:val="center"/>
        <w:rPr>
          <w:caps w:val="0"/>
        </w:rPr>
      </w:pPr>
      <w:r>
        <w:rPr>
          <w:caps w:val="0"/>
        </w:rPr>
        <w:t>Мексиканцы, проживающие в США (1999 год, проценты)</w:t>
      </w:r>
    </w:p>
    <w:p w:rsidR="00000000" w:rsidRDefault="00000000">
      <w:pPr>
        <w:pStyle w:val="BodyText2"/>
        <w:spacing w:after="0"/>
        <w:jc w:val="center"/>
        <w:rPr>
          <w:caps w:val="0"/>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649"/>
        <w:gridCol w:w="1134"/>
        <w:gridCol w:w="1361"/>
        <w:gridCol w:w="1361"/>
      </w:tblGrid>
      <w:tr w:rsidR="00000000">
        <w:tblPrEx>
          <w:tblCellMar>
            <w:top w:w="0" w:type="dxa"/>
            <w:bottom w:w="0" w:type="dxa"/>
          </w:tblCellMar>
        </w:tblPrEx>
        <w:trPr>
          <w:jc w:val="center"/>
        </w:trPr>
        <w:tc>
          <w:tcPr>
            <w:tcW w:w="4649" w:type="dxa"/>
            <w:tcBorders>
              <w:top w:val="single" w:sz="4" w:space="0" w:color="auto"/>
              <w:bottom w:val="single" w:sz="4" w:space="0" w:color="auto"/>
            </w:tcBorders>
          </w:tcPr>
          <w:p w:rsidR="00000000" w:rsidRDefault="00000000">
            <w:pPr>
              <w:pStyle w:val="BodyText2"/>
              <w:spacing w:before="60" w:after="60"/>
              <w:jc w:val="center"/>
              <w:rPr>
                <w:caps w:val="0"/>
              </w:rPr>
            </w:pPr>
            <w:r>
              <w:rPr>
                <w:caps w:val="0"/>
              </w:rPr>
              <w:t>Характеристики</w:t>
            </w:r>
          </w:p>
        </w:tc>
        <w:tc>
          <w:tcPr>
            <w:tcW w:w="1134" w:type="dxa"/>
            <w:tcBorders>
              <w:top w:val="single" w:sz="4" w:space="0" w:color="auto"/>
              <w:bottom w:val="single" w:sz="4" w:space="0" w:color="auto"/>
            </w:tcBorders>
          </w:tcPr>
          <w:p w:rsidR="00000000" w:rsidRDefault="00000000">
            <w:pPr>
              <w:pStyle w:val="BodyText2"/>
              <w:spacing w:before="60" w:after="60"/>
              <w:jc w:val="center"/>
              <w:rPr>
                <w:caps w:val="0"/>
              </w:rPr>
            </w:pPr>
            <w:r>
              <w:rPr>
                <w:caps w:val="0"/>
              </w:rPr>
              <w:t>Всего</w:t>
            </w:r>
          </w:p>
        </w:tc>
        <w:tc>
          <w:tcPr>
            <w:tcW w:w="1361" w:type="dxa"/>
            <w:tcBorders>
              <w:top w:val="single" w:sz="4" w:space="0" w:color="auto"/>
              <w:bottom w:val="single" w:sz="4" w:space="0" w:color="auto"/>
            </w:tcBorders>
          </w:tcPr>
          <w:p w:rsidR="00000000" w:rsidRDefault="00000000">
            <w:pPr>
              <w:pStyle w:val="BodyText2"/>
              <w:spacing w:before="60" w:after="60"/>
              <w:jc w:val="center"/>
              <w:rPr>
                <w:caps w:val="0"/>
              </w:rPr>
            </w:pPr>
            <w:r>
              <w:rPr>
                <w:caps w:val="0"/>
              </w:rPr>
              <w:t>Мужчины</w:t>
            </w:r>
          </w:p>
        </w:tc>
        <w:tc>
          <w:tcPr>
            <w:tcW w:w="1361" w:type="dxa"/>
            <w:tcBorders>
              <w:top w:val="single" w:sz="4" w:space="0" w:color="auto"/>
              <w:bottom w:val="single" w:sz="4" w:space="0" w:color="auto"/>
            </w:tcBorders>
          </w:tcPr>
          <w:p w:rsidR="00000000" w:rsidRDefault="00000000">
            <w:pPr>
              <w:pStyle w:val="BodyText2"/>
              <w:spacing w:before="60" w:after="60"/>
              <w:jc w:val="center"/>
              <w:rPr>
                <w:caps w:val="0"/>
              </w:rPr>
            </w:pPr>
            <w:r>
              <w:rPr>
                <w:caps w:val="0"/>
              </w:rPr>
              <w:t>Женщины</w:t>
            </w:r>
          </w:p>
        </w:tc>
      </w:tr>
      <w:tr w:rsidR="00000000">
        <w:tblPrEx>
          <w:tblCellMar>
            <w:top w:w="0" w:type="dxa"/>
            <w:bottom w:w="0" w:type="dxa"/>
          </w:tblCellMar>
        </w:tblPrEx>
        <w:trPr>
          <w:jc w:val="center"/>
        </w:trPr>
        <w:tc>
          <w:tcPr>
            <w:tcW w:w="4649" w:type="dxa"/>
            <w:tcBorders>
              <w:top w:val="nil"/>
              <w:bottom w:val="nil"/>
            </w:tcBorders>
          </w:tcPr>
          <w:p w:rsidR="00000000" w:rsidRDefault="00000000">
            <w:pPr>
              <w:pStyle w:val="BodyText2"/>
              <w:spacing w:before="60" w:after="0"/>
              <w:rPr>
                <w:caps w:val="0"/>
              </w:rPr>
            </w:pPr>
            <w:r>
              <w:rPr>
                <w:caps w:val="0"/>
              </w:rPr>
              <w:t>Всего</w:t>
            </w:r>
          </w:p>
        </w:tc>
        <w:tc>
          <w:tcPr>
            <w:tcW w:w="1134" w:type="dxa"/>
            <w:tcBorders>
              <w:top w:val="nil"/>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nil"/>
              <w:bottom w:val="nil"/>
            </w:tcBorders>
          </w:tcPr>
          <w:p w:rsidR="00000000" w:rsidRDefault="00000000">
            <w:pPr>
              <w:pStyle w:val="BodyText2"/>
              <w:spacing w:before="60" w:after="0"/>
              <w:ind w:right="397"/>
              <w:jc w:val="right"/>
              <w:rPr>
                <w:b w:val="0"/>
                <w:caps w:val="0"/>
              </w:rPr>
            </w:pPr>
            <w:r>
              <w:rPr>
                <w:b w:val="0"/>
                <w:caps w:val="0"/>
              </w:rPr>
              <w:t>54,4</w:t>
            </w:r>
          </w:p>
        </w:tc>
        <w:tc>
          <w:tcPr>
            <w:tcW w:w="1361" w:type="dxa"/>
            <w:tcBorders>
              <w:top w:val="nil"/>
              <w:bottom w:val="nil"/>
            </w:tcBorders>
          </w:tcPr>
          <w:p w:rsidR="00000000" w:rsidRDefault="00000000">
            <w:pPr>
              <w:pStyle w:val="BodyText2"/>
              <w:spacing w:before="60" w:after="0"/>
              <w:ind w:right="397"/>
              <w:jc w:val="right"/>
              <w:rPr>
                <w:b w:val="0"/>
                <w:caps w:val="0"/>
              </w:rPr>
            </w:pPr>
            <w:r>
              <w:rPr>
                <w:b w:val="0"/>
                <w:caps w:val="0"/>
              </w:rPr>
              <w:t>45,6</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Возрастные группы</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0–14 лет</w:t>
            </w:r>
          </w:p>
        </w:tc>
        <w:tc>
          <w:tcPr>
            <w:tcW w:w="1134" w:type="dxa"/>
            <w:tcBorders>
              <w:top w:val="nil"/>
            </w:tcBorders>
          </w:tcPr>
          <w:p w:rsidR="00000000" w:rsidRDefault="00000000">
            <w:pPr>
              <w:pStyle w:val="BodyText2"/>
              <w:spacing w:after="0"/>
              <w:ind w:right="227"/>
              <w:jc w:val="right"/>
              <w:rPr>
                <w:b w:val="0"/>
                <w:caps w:val="0"/>
              </w:rPr>
            </w:pPr>
            <w:r>
              <w:rPr>
                <w:b w:val="0"/>
                <w:caps w:val="0"/>
              </w:rPr>
              <w:t>8,0</w:t>
            </w:r>
          </w:p>
        </w:tc>
        <w:tc>
          <w:tcPr>
            <w:tcW w:w="1361" w:type="dxa"/>
            <w:tcBorders>
              <w:top w:val="nil"/>
            </w:tcBorders>
          </w:tcPr>
          <w:p w:rsidR="00000000" w:rsidRDefault="00000000">
            <w:pPr>
              <w:pStyle w:val="BodyText2"/>
              <w:spacing w:after="0"/>
              <w:ind w:right="397"/>
              <w:jc w:val="right"/>
              <w:rPr>
                <w:b w:val="0"/>
                <w:caps w:val="0"/>
              </w:rPr>
            </w:pPr>
            <w:r>
              <w:rPr>
                <w:b w:val="0"/>
                <w:caps w:val="0"/>
              </w:rPr>
              <w:t>8,1</w:t>
            </w:r>
          </w:p>
        </w:tc>
        <w:tc>
          <w:tcPr>
            <w:tcW w:w="1361" w:type="dxa"/>
            <w:tcBorders>
              <w:top w:val="nil"/>
            </w:tcBorders>
          </w:tcPr>
          <w:p w:rsidR="00000000" w:rsidRDefault="00000000">
            <w:pPr>
              <w:pStyle w:val="BodyText2"/>
              <w:spacing w:after="0"/>
              <w:ind w:right="397"/>
              <w:jc w:val="right"/>
              <w:rPr>
                <w:b w:val="0"/>
                <w:caps w:val="0"/>
              </w:rPr>
            </w:pPr>
            <w:r>
              <w:rPr>
                <w:b w:val="0"/>
                <w:caps w:val="0"/>
              </w:rPr>
              <w:t>7,9</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15–64 года</w:t>
            </w:r>
          </w:p>
        </w:tc>
        <w:tc>
          <w:tcPr>
            <w:tcW w:w="1134" w:type="dxa"/>
          </w:tcPr>
          <w:p w:rsidR="00000000" w:rsidRDefault="00000000">
            <w:pPr>
              <w:pStyle w:val="BodyText2"/>
              <w:spacing w:after="0"/>
              <w:ind w:right="227"/>
              <w:jc w:val="right"/>
              <w:rPr>
                <w:b w:val="0"/>
                <w:caps w:val="0"/>
              </w:rPr>
            </w:pPr>
            <w:r>
              <w:rPr>
                <w:b w:val="0"/>
                <w:caps w:val="0"/>
              </w:rPr>
              <w:t>86,7</w:t>
            </w:r>
          </w:p>
        </w:tc>
        <w:tc>
          <w:tcPr>
            <w:tcW w:w="1361" w:type="dxa"/>
          </w:tcPr>
          <w:p w:rsidR="00000000" w:rsidRDefault="00000000">
            <w:pPr>
              <w:pStyle w:val="BodyText2"/>
              <w:spacing w:after="0"/>
              <w:ind w:right="397"/>
              <w:jc w:val="right"/>
              <w:rPr>
                <w:b w:val="0"/>
                <w:caps w:val="0"/>
              </w:rPr>
            </w:pPr>
            <w:r>
              <w:rPr>
                <w:b w:val="0"/>
                <w:caps w:val="0"/>
              </w:rPr>
              <w:t>87,5</w:t>
            </w:r>
          </w:p>
        </w:tc>
        <w:tc>
          <w:tcPr>
            <w:tcW w:w="1361" w:type="dxa"/>
          </w:tcPr>
          <w:p w:rsidR="00000000" w:rsidRDefault="00000000">
            <w:pPr>
              <w:pStyle w:val="BodyText2"/>
              <w:spacing w:after="0"/>
              <w:ind w:right="397"/>
              <w:jc w:val="right"/>
              <w:rPr>
                <w:b w:val="0"/>
                <w:caps w:val="0"/>
              </w:rPr>
            </w:pPr>
            <w:r>
              <w:rPr>
                <w:b w:val="0"/>
                <w:caps w:val="0"/>
              </w:rPr>
              <w:t>85,8</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65 лет и старше</w:t>
            </w:r>
          </w:p>
        </w:tc>
        <w:tc>
          <w:tcPr>
            <w:tcW w:w="1134" w:type="dxa"/>
            <w:tcBorders>
              <w:bottom w:val="nil"/>
            </w:tcBorders>
          </w:tcPr>
          <w:p w:rsidR="00000000" w:rsidRDefault="00000000">
            <w:pPr>
              <w:pStyle w:val="BodyText2"/>
              <w:spacing w:after="0"/>
              <w:ind w:right="227"/>
              <w:jc w:val="right"/>
              <w:rPr>
                <w:b w:val="0"/>
                <w:caps w:val="0"/>
              </w:rPr>
            </w:pPr>
            <w:r>
              <w:rPr>
                <w:b w:val="0"/>
                <w:caps w:val="0"/>
              </w:rPr>
              <w:t>5,3</w:t>
            </w:r>
          </w:p>
        </w:tc>
        <w:tc>
          <w:tcPr>
            <w:tcW w:w="1361" w:type="dxa"/>
            <w:tcBorders>
              <w:bottom w:val="nil"/>
            </w:tcBorders>
          </w:tcPr>
          <w:p w:rsidR="00000000" w:rsidRDefault="00000000">
            <w:pPr>
              <w:pStyle w:val="BodyText2"/>
              <w:spacing w:after="0"/>
              <w:ind w:right="397"/>
              <w:jc w:val="right"/>
              <w:rPr>
                <w:b w:val="0"/>
                <w:caps w:val="0"/>
              </w:rPr>
            </w:pPr>
            <w:r>
              <w:rPr>
                <w:b w:val="0"/>
                <w:caps w:val="0"/>
              </w:rPr>
              <w:t>4,5</w:t>
            </w:r>
          </w:p>
        </w:tc>
        <w:tc>
          <w:tcPr>
            <w:tcW w:w="1361" w:type="dxa"/>
            <w:tcBorders>
              <w:bottom w:val="nil"/>
            </w:tcBorders>
          </w:tcPr>
          <w:p w:rsidR="00000000" w:rsidRDefault="00000000">
            <w:pPr>
              <w:pStyle w:val="BodyText2"/>
              <w:spacing w:after="0"/>
              <w:ind w:right="397"/>
              <w:jc w:val="right"/>
              <w:rPr>
                <w:b w:val="0"/>
                <w:caps w:val="0"/>
              </w:rPr>
            </w:pPr>
            <w:r>
              <w:rPr>
                <w:b w:val="0"/>
                <w:caps w:val="0"/>
              </w:rPr>
              <w:t>6,2</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Семейное положение</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Состоят в браке</w:t>
            </w:r>
          </w:p>
        </w:tc>
        <w:tc>
          <w:tcPr>
            <w:tcW w:w="1134" w:type="dxa"/>
            <w:tcBorders>
              <w:top w:val="nil"/>
            </w:tcBorders>
          </w:tcPr>
          <w:p w:rsidR="00000000" w:rsidRDefault="00000000">
            <w:pPr>
              <w:pStyle w:val="BodyText2"/>
              <w:spacing w:after="0"/>
              <w:ind w:right="227"/>
              <w:jc w:val="right"/>
              <w:rPr>
                <w:b w:val="0"/>
                <w:caps w:val="0"/>
              </w:rPr>
            </w:pPr>
            <w:r>
              <w:rPr>
                <w:b w:val="0"/>
                <w:caps w:val="0"/>
              </w:rPr>
              <w:t>62,1</w:t>
            </w:r>
          </w:p>
        </w:tc>
        <w:tc>
          <w:tcPr>
            <w:tcW w:w="1361" w:type="dxa"/>
            <w:tcBorders>
              <w:top w:val="nil"/>
            </w:tcBorders>
          </w:tcPr>
          <w:p w:rsidR="00000000" w:rsidRDefault="00000000">
            <w:pPr>
              <w:pStyle w:val="BodyText2"/>
              <w:spacing w:after="0"/>
              <w:ind w:right="397"/>
              <w:jc w:val="right"/>
              <w:rPr>
                <w:b w:val="0"/>
                <w:caps w:val="0"/>
              </w:rPr>
            </w:pPr>
            <w:r>
              <w:rPr>
                <w:b w:val="0"/>
                <w:caps w:val="0"/>
              </w:rPr>
              <w:t>61,6</w:t>
            </w:r>
          </w:p>
        </w:tc>
        <w:tc>
          <w:tcPr>
            <w:tcW w:w="1361" w:type="dxa"/>
            <w:tcBorders>
              <w:top w:val="nil"/>
            </w:tcBorders>
          </w:tcPr>
          <w:p w:rsidR="00000000" w:rsidRDefault="00000000">
            <w:pPr>
              <w:pStyle w:val="BodyText2"/>
              <w:spacing w:after="0"/>
              <w:ind w:right="397"/>
              <w:jc w:val="right"/>
              <w:rPr>
                <w:b w:val="0"/>
                <w:caps w:val="0"/>
              </w:rPr>
            </w:pPr>
            <w:r>
              <w:rPr>
                <w:b w:val="0"/>
                <w:caps w:val="0"/>
              </w:rPr>
              <w:t>62,7</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Не состоят в браке</w:t>
            </w:r>
          </w:p>
        </w:tc>
        <w:tc>
          <w:tcPr>
            <w:tcW w:w="1134" w:type="dxa"/>
            <w:tcBorders>
              <w:bottom w:val="nil"/>
            </w:tcBorders>
          </w:tcPr>
          <w:p w:rsidR="00000000" w:rsidRDefault="00000000">
            <w:pPr>
              <w:pStyle w:val="BodyText2"/>
              <w:spacing w:after="0"/>
              <w:ind w:right="227"/>
              <w:jc w:val="right"/>
              <w:rPr>
                <w:b w:val="0"/>
                <w:caps w:val="0"/>
              </w:rPr>
            </w:pPr>
            <w:r>
              <w:rPr>
                <w:b w:val="0"/>
                <w:caps w:val="0"/>
              </w:rPr>
              <w:t>37,9</w:t>
            </w:r>
          </w:p>
        </w:tc>
        <w:tc>
          <w:tcPr>
            <w:tcW w:w="1361" w:type="dxa"/>
            <w:tcBorders>
              <w:bottom w:val="nil"/>
            </w:tcBorders>
          </w:tcPr>
          <w:p w:rsidR="00000000" w:rsidRDefault="00000000">
            <w:pPr>
              <w:pStyle w:val="BodyText2"/>
              <w:spacing w:after="0"/>
              <w:ind w:right="397"/>
              <w:jc w:val="right"/>
              <w:rPr>
                <w:b w:val="0"/>
                <w:caps w:val="0"/>
              </w:rPr>
            </w:pPr>
            <w:r>
              <w:rPr>
                <w:b w:val="0"/>
                <w:caps w:val="0"/>
              </w:rPr>
              <w:t>38,4</w:t>
            </w:r>
          </w:p>
        </w:tc>
        <w:tc>
          <w:tcPr>
            <w:tcW w:w="1361" w:type="dxa"/>
            <w:tcBorders>
              <w:bottom w:val="nil"/>
            </w:tcBorders>
          </w:tcPr>
          <w:p w:rsidR="00000000" w:rsidRDefault="00000000">
            <w:pPr>
              <w:pStyle w:val="BodyText2"/>
              <w:spacing w:after="0"/>
              <w:ind w:right="397"/>
              <w:jc w:val="right"/>
              <w:rPr>
                <w:b w:val="0"/>
                <w:caps w:val="0"/>
              </w:rPr>
            </w:pPr>
            <w:r>
              <w:rPr>
                <w:b w:val="0"/>
                <w:caps w:val="0"/>
              </w:rPr>
              <w:t>37,3</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Уровень образования лиц 15 лет и старше</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До четырех классов</w:t>
            </w:r>
          </w:p>
        </w:tc>
        <w:tc>
          <w:tcPr>
            <w:tcW w:w="1134" w:type="dxa"/>
            <w:tcBorders>
              <w:top w:val="nil"/>
            </w:tcBorders>
          </w:tcPr>
          <w:p w:rsidR="00000000" w:rsidRDefault="00000000">
            <w:pPr>
              <w:pStyle w:val="BodyText2"/>
              <w:spacing w:after="0"/>
              <w:ind w:right="227"/>
              <w:jc w:val="right"/>
              <w:rPr>
                <w:b w:val="0"/>
                <w:caps w:val="0"/>
              </w:rPr>
            </w:pPr>
            <w:r>
              <w:rPr>
                <w:b w:val="0"/>
                <w:caps w:val="0"/>
              </w:rPr>
              <w:t>13,9</w:t>
            </w:r>
          </w:p>
        </w:tc>
        <w:tc>
          <w:tcPr>
            <w:tcW w:w="1361" w:type="dxa"/>
            <w:tcBorders>
              <w:top w:val="nil"/>
            </w:tcBorders>
          </w:tcPr>
          <w:p w:rsidR="00000000" w:rsidRDefault="00000000">
            <w:pPr>
              <w:pStyle w:val="BodyText2"/>
              <w:spacing w:after="0"/>
              <w:ind w:right="397"/>
              <w:jc w:val="right"/>
              <w:rPr>
                <w:b w:val="0"/>
                <w:caps w:val="0"/>
              </w:rPr>
            </w:pPr>
            <w:r>
              <w:rPr>
                <w:b w:val="0"/>
                <w:caps w:val="0"/>
              </w:rPr>
              <w:t>13,8</w:t>
            </w:r>
          </w:p>
        </w:tc>
        <w:tc>
          <w:tcPr>
            <w:tcW w:w="1361" w:type="dxa"/>
            <w:tcBorders>
              <w:top w:val="nil"/>
            </w:tcBorders>
          </w:tcPr>
          <w:p w:rsidR="00000000" w:rsidRDefault="00000000">
            <w:pPr>
              <w:pStyle w:val="BodyText2"/>
              <w:spacing w:after="0"/>
              <w:ind w:right="397"/>
              <w:jc w:val="right"/>
              <w:rPr>
                <w:b w:val="0"/>
                <w:caps w:val="0"/>
              </w:rPr>
            </w:pPr>
            <w:r>
              <w:rPr>
                <w:b w:val="0"/>
                <w:caps w:val="0"/>
              </w:rPr>
              <w:t>14,1</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5–8 классов</w:t>
            </w:r>
          </w:p>
        </w:tc>
        <w:tc>
          <w:tcPr>
            <w:tcW w:w="1134" w:type="dxa"/>
          </w:tcPr>
          <w:p w:rsidR="00000000" w:rsidRDefault="00000000">
            <w:pPr>
              <w:pStyle w:val="BodyText2"/>
              <w:spacing w:after="0"/>
              <w:ind w:right="227"/>
              <w:jc w:val="right"/>
              <w:rPr>
                <w:b w:val="0"/>
                <w:caps w:val="0"/>
              </w:rPr>
            </w:pPr>
            <w:r>
              <w:rPr>
                <w:b w:val="0"/>
                <w:caps w:val="0"/>
              </w:rPr>
              <w:t>30,0</w:t>
            </w:r>
          </w:p>
        </w:tc>
        <w:tc>
          <w:tcPr>
            <w:tcW w:w="1361" w:type="dxa"/>
          </w:tcPr>
          <w:p w:rsidR="00000000" w:rsidRDefault="00000000">
            <w:pPr>
              <w:pStyle w:val="BodyText2"/>
              <w:spacing w:after="0"/>
              <w:ind w:right="397"/>
              <w:jc w:val="right"/>
              <w:rPr>
                <w:b w:val="0"/>
                <w:caps w:val="0"/>
              </w:rPr>
            </w:pPr>
            <w:r>
              <w:rPr>
                <w:b w:val="0"/>
                <w:caps w:val="0"/>
              </w:rPr>
              <w:t>30,0</w:t>
            </w:r>
          </w:p>
        </w:tc>
        <w:tc>
          <w:tcPr>
            <w:tcW w:w="1361" w:type="dxa"/>
          </w:tcPr>
          <w:p w:rsidR="00000000" w:rsidRDefault="00000000">
            <w:pPr>
              <w:pStyle w:val="BodyText2"/>
              <w:spacing w:after="0"/>
              <w:ind w:right="397"/>
              <w:jc w:val="right"/>
              <w:rPr>
                <w:b w:val="0"/>
                <w:caps w:val="0"/>
              </w:rPr>
            </w:pPr>
            <w:r>
              <w:rPr>
                <w:b w:val="0"/>
                <w:caps w:val="0"/>
              </w:rPr>
              <w:t>29,9</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9–11 классов</w:t>
            </w:r>
          </w:p>
        </w:tc>
        <w:tc>
          <w:tcPr>
            <w:tcW w:w="1134" w:type="dxa"/>
          </w:tcPr>
          <w:p w:rsidR="00000000" w:rsidRDefault="00000000">
            <w:pPr>
              <w:pStyle w:val="BodyText2"/>
              <w:spacing w:after="0"/>
              <w:ind w:right="227"/>
              <w:jc w:val="right"/>
              <w:rPr>
                <w:b w:val="0"/>
                <w:caps w:val="0"/>
              </w:rPr>
            </w:pPr>
            <w:r>
              <w:rPr>
                <w:b w:val="0"/>
                <w:caps w:val="0"/>
              </w:rPr>
              <w:t>19,1</w:t>
            </w:r>
          </w:p>
        </w:tc>
        <w:tc>
          <w:tcPr>
            <w:tcW w:w="1361" w:type="dxa"/>
          </w:tcPr>
          <w:p w:rsidR="00000000" w:rsidRDefault="00000000">
            <w:pPr>
              <w:pStyle w:val="BodyText2"/>
              <w:spacing w:after="0"/>
              <w:ind w:right="397"/>
              <w:jc w:val="right"/>
              <w:rPr>
                <w:b w:val="0"/>
                <w:caps w:val="0"/>
              </w:rPr>
            </w:pPr>
            <w:r>
              <w:rPr>
                <w:b w:val="0"/>
                <w:caps w:val="0"/>
              </w:rPr>
              <w:t>19,0</w:t>
            </w:r>
          </w:p>
        </w:tc>
        <w:tc>
          <w:tcPr>
            <w:tcW w:w="1361" w:type="dxa"/>
          </w:tcPr>
          <w:p w:rsidR="00000000" w:rsidRDefault="00000000">
            <w:pPr>
              <w:pStyle w:val="BodyText2"/>
              <w:spacing w:after="0"/>
              <w:ind w:right="397"/>
              <w:jc w:val="right"/>
              <w:rPr>
                <w:b w:val="0"/>
                <w:caps w:val="0"/>
              </w:rPr>
            </w:pPr>
            <w:r>
              <w:rPr>
                <w:b w:val="0"/>
                <w:caps w:val="0"/>
              </w:rPr>
              <w:t>19,2</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12 классов и выше</w:t>
            </w:r>
          </w:p>
        </w:tc>
        <w:tc>
          <w:tcPr>
            <w:tcW w:w="1134" w:type="dxa"/>
            <w:tcBorders>
              <w:bottom w:val="nil"/>
            </w:tcBorders>
          </w:tcPr>
          <w:p w:rsidR="00000000" w:rsidRDefault="00000000">
            <w:pPr>
              <w:pStyle w:val="BodyText2"/>
              <w:spacing w:after="0"/>
              <w:ind w:right="227"/>
              <w:jc w:val="right"/>
              <w:rPr>
                <w:b w:val="0"/>
                <w:caps w:val="0"/>
              </w:rPr>
            </w:pPr>
            <w:r>
              <w:rPr>
                <w:b w:val="0"/>
                <w:caps w:val="0"/>
              </w:rPr>
              <w:t>37,0</w:t>
            </w:r>
          </w:p>
        </w:tc>
        <w:tc>
          <w:tcPr>
            <w:tcW w:w="1361" w:type="dxa"/>
            <w:tcBorders>
              <w:bottom w:val="nil"/>
            </w:tcBorders>
          </w:tcPr>
          <w:p w:rsidR="00000000" w:rsidRDefault="00000000">
            <w:pPr>
              <w:pStyle w:val="BodyText2"/>
              <w:spacing w:after="0"/>
              <w:ind w:right="397"/>
              <w:jc w:val="right"/>
              <w:rPr>
                <w:b w:val="0"/>
                <w:caps w:val="0"/>
              </w:rPr>
            </w:pPr>
            <w:r>
              <w:rPr>
                <w:b w:val="0"/>
                <w:caps w:val="0"/>
              </w:rPr>
              <w:t>37,2</w:t>
            </w:r>
          </w:p>
        </w:tc>
        <w:tc>
          <w:tcPr>
            <w:tcW w:w="1361" w:type="dxa"/>
            <w:tcBorders>
              <w:bottom w:val="nil"/>
            </w:tcBorders>
          </w:tcPr>
          <w:p w:rsidR="00000000" w:rsidRDefault="00000000">
            <w:pPr>
              <w:pStyle w:val="BodyText2"/>
              <w:spacing w:after="0"/>
              <w:ind w:right="397"/>
              <w:jc w:val="right"/>
              <w:rPr>
                <w:b w:val="0"/>
                <w:caps w:val="0"/>
              </w:rPr>
            </w:pPr>
            <w:r>
              <w:rPr>
                <w:b w:val="0"/>
                <w:caps w:val="0"/>
              </w:rPr>
              <w:t>36,7</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Размеры семьи</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1–3 человека</w:t>
            </w:r>
          </w:p>
        </w:tc>
        <w:tc>
          <w:tcPr>
            <w:tcW w:w="1134" w:type="dxa"/>
            <w:tcBorders>
              <w:top w:val="nil"/>
            </w:tcBorders>
          </w:tcPr>
          <w:p w:rsidR="00000000" w:rsidRDefault="00000000">
            <w:pPr>
              <w:pStyle w:val="BodyText2"/>
              <w:spacing w:after="0"/>
              <w:ind w:right="227"/>
              <w:jc w:val="right"/>
              <w:rPr>
                <w:b w:val="0"/>
                <w:caps w:val="0"/>
              </w:rPr>
            </w:pPr>
            <w:r>
              <w:rPr>
                <w:b w:val="0"/>
                <w:caps w:val="0"/>
              </w:rPr>
              <w:t>29,8</w:t>
            </w:r>
          </w:p>
        </w:tc>
        <w:tc>
          <w:tcPr>
            <w:tcW w:w="1361" w:type="dxa"/>
            <w:tcBorders>
              <w:top w:val="nil"/>
            </w:tcBorders>
          </w:tcPr>
          <w:p w:rsidR="00000000" w:rsidRDefault="00000000">
            <w:pPr>
              <w:pStyle w:val="BodyText2"/>
              <w:spacing w:after="0"/>
              <w:ind w:right="397"/>
              <w:jc w:val="right"/>
              <w:rPr>
                <w:b w:val="0"/>
                <w:caps w:val="0"/>
              </w:rPr>
            </w:pPr>
            <w:r>
              <w:rPr>
                <w:b w:val="0"/>
                <w:caps w:val="0"/>
              </w:rPr>
              <w:t>29,6</w:t>
            </w:r>
          </w:p>
        </w:tc>
        <w:tc>
          <w:tcPr>
            <w:tcW w:w="1361" w:type="dxa"/>
            <w:tcBorders>
              <w:top w:val="nil"/>
            </w:tcBorders>
          </w:tcPr>
          <w:p w:rsidR="00000000" w:rsidRDefault="00000000">
            <w:pPr>
              <w:pStyle w:val="BodyText2"/>
              <w:spacing w:after="0"/>
              <w:ind w:right="397"/>
              <w:jc w:val="right"/>
              <w:rPr>
                <w:b w:val="0"/>
                <w:caps w:val="0"/>
              </w:rPr>
            </w:pPr>
            <w:r>
              <w:rPr>
                <w:b w:val="0"/>
                <w:caps w:val="0"/>
              </w:rPr>
              <w:t>30,0</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4–6 человек</w:t>
            </w:r>
          </w:p>
        </w:tc>
        <w:tc>
          <w:tcPr>
            <w:tcW w:w="1134" w:type="dxa"/>
          </w:tcPr>
          <w:p w:rsidR="00000000" w:rsidRDefault="00000000">
            <w:pPr>
              <w:pStyle w:val="BodyText2"/>
              <w:spacing w:after="0"/>
              <w:ind w:right="227"/>
              <w:jc w:val="right"/>
              <w:rPr>
                <w:b w:val="0"/>
                <w:caps w:val="0"/>
              </w:rPr>
            </w:pPr>
            <w:r>
              <w:rPr>
                <w:b w:val="0"/>
                <w:caps w:val="0"/>
              </w:rPr>
              <w:t>56,9</w:t>
            </w:r>
          </w:p>
        </w:tc>
        <w:tc>
          <w:tcPr>
            <w:tcW w:w="1361" w:type="dxa"/>
          </w:tcPr>
          <w:p w:rsidR="00000000" w:rsidRDefault="00000000">
            <w:pPr>
              <w:pStyle w:val="BodyText2"/>
              <w:spacing w:after="0"/>
              <w:ind w:right="397"/>
              <w:jc w:val="right"/>
              <w:rPr>
                <w:b w:val="0"/>
                <w:caps w:val="0"/>
              </w:rPr>
            </w:pPr>
            <w:r>
              <w:rPr>
                <w:b w:val="0"/>
                <w:caps w:val="0"/>
              </w:rPr>
              <w:t>57,4</w:t>
            </w:r>
          </w:p>
        </w:tc>
        <w:tc>
          <w:tcPr>
            <w:tcW w:w="1361" w:type="dxa"/>
          </w:tcPr>
          <w:p w:rsidR="00000000" w:rsidRDefault="00000000">
            <w:pPr>
              <w:pStyle w:val="BodyText2"/>
              <w:spacing w:after="0"/>
              <w:ind w:right="397"/>
              <w:jc w:val="right"/>
              <w:rPr>
                <w:b w:val="0"/>
                <w:caps w:val="0"/>
              </w:rPr>
            </w:pPr>
            <w:r>
              <w:rPr>
                <w:b w:val="0"/>
                <w:caps w:val="0"/>
              </w:rPr>
              <w:t>56,3</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7 и более</w:t>
            </w:r>
          </w:p>
        </w:tc>
        <w:tc>
          <w:tcPr>
            <w:tcW w:w="1134" w:type="dxa"/>
            <w:tcBorders>
              <w:bottom w:val="nil"/>
            </w:tcBorders>
          </w:tcPr>
          <w:p w:rsidR="00000000" w:rsidRDefault="00000000">
            <w:pPr>
              <w:pStyle w:val="BodyText2"/>
              <w:spacing w:after="0"/>
              <w:ind w:right="227"/>
              <w:jc w:val="right"/>
              <w:rPr>
                <w:b w:val="0"/>
                <w:caps w:val="0"/>
              </w:rPr>
            </w:pPr>
            <w:r>
              <w:rPr>
                <w:b w:val="0"/>
                <w:caps w:val="0"/>
              </w:rPr>
              <w:t>13,3</w:t>
            </w:r>
          </w:p>
        </w:tc>
        <w:tc>
          <w:tcPr>
            <w:tcW w:w="1361" w:type="dxa"/>
            <w:tcBorders>
              <w:bottom w:val="nil"/>
            </w:tcBorders>
          </w:tcPr>
          <w:p w:rsidR="00000000" w:rsidRDefault="00000000">
            <w:pPr>
              <w:pStyle w:val="BodyText2"/>
              <w:spacing w:after="0"/>
              <w:ind w:right="397"/>
              <w:jc w:val="right"/>
              <w:rPr>
                <w:b w:val="0"/>
                <w:caps w:val="0"/>
              </w:rPr>
            </w:pPr>
            <w:r>
              <w:rPr>
                <w:b w:val="0"/>
                <w:caps w:val="0"/>
              </w:rPr>
              <w:t>13,0</w:t>
            </w:r>
          </w:p>
        </w:tc>
        <w:tc>
          <w:tcPr>
            <w:tcW w:w="1361" w:type="dxa"/>
            <w:tcBorders>
              <w:bottom w:val="nil"/>
            </w:tcBorders>
          </w:tcPr>
          <w:p w:rsidR="00000000" w:rsidRDefault="00000000">
            <w:pPr>
              <w:pStyle w:val="BodyText2"/>
              <w:spacing w:after="0"/>
              <w:ind w:right="397"/>
              <w:jc w:val="right"/>
              <w:rPr>
                <w:b w:val="0"/>
                <w:caps w:val="0"/>
              </w:rPr>
            </w:pPr>
            <w:r>
              <w:rPr>
                <w:b w:val="0"/>
                <w:caps w:val="0"/>
              </w:rPr>
              <w:t>13,6</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Год приезда в США</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До 1975</w:t>
            </w:r>
          </w:p>
        </w:tc>
        <w:tc>
          <w:tcPr>
            <w:tcW w:w="1134" w:type="dxa"/>
            <w:tcBorders>
              <w:top w:val="nil"/>
            </w:tcBorders>
          </w:tcPr>
          <w:p w:rsidR="00000000" w:rsidRDefault="00000000">
            <w:pPr>
              <w:pStyle w:val="BodyText2"/>
              <w:spacing w:after="0"/>
              <w:ind w:right="227"/>
              <w:jc w:val="right"/>
              <w:rPr>
                <w:b w:val="0"/>
                <w:caps w:val="0"/>
              </w:rPr>
            </w:pPr>
            <w:r>
              <w:rPr>
                <w:b w:val="0"/>
                <w:caps w:val="0"/>
              </w:rPr>
              <w:t>19,9</w:t>
            </w:r>
          </w:p>
        </w:tc>
        <w:tc>
          <w:tcPr>
            <w:tcW w:w="1361" w:type="dxa"/>
            <w:tcBorders>
              <w:top w:val="nil"/>
            </w:tcBorders>
          </w:tcPr>
          <w:p w:rsidR="00000000" w:rsidRDefault="00000000">
            <w:pPr>
              <w:pStyle w:val="BodyText2"/>
              <w:spacing w:after="0"/>
              <w:ind w:right="397"/>
              <w:jc w:val="right"/>
              <w:rPr>
                <w:b w:val="0"/>
                <w:caps w:val="0"/>
              </w:rPr>
            </w:pPr>
            <w:r>
              <w:rPr>
                <w:b w:val="0"/>
                <w:caps w:val="0"/>
              </w:rPr>
              <w:t>18,4</w:t>
            </w:r>
          </w:p>
        </w:tc>
        <w:tc>
          <w:tcPr>
            <w:tcW w:w="1361" w:type="dxa"/>
            <w:tcBorders>
              <w:top w:val="nil"/>
            </w:tcBorders>
          </w:tcPr>
          <w:p w:rsidR="00000000" w:rsidRDefault="00000000">
            <w:pPr>
              <w:pStyle w:val="BodyText2"/>
              <w:spacing w:after="0"/>
              <w:ind w:right="397"/>
              <w:jc w:val="right"/>
              <w:rPr>
                <w:b w:val="0"/>
                <w:caps w:val="0"/>
              </w:rPr>
            </w:pPr>
            <w:r>
              <w:rPr>
                <w:b w:val="0"/>
                <w:caps w:val="0"/>
              </w:rPr>
              <w:t>21,7</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1975–1985</w:t>
            </w:r>
          </w:p>
        </w:tc>
        <w:tc>
          <w:tcPr>
            <w:tcW w:w="1134" w:type="dxa"/>
          </w:tcPr>
          <w:p w:rsidR="00000000" w:rsidRDefault="00000000">
            <w:pPr>
              <w:pStyle w:val="BodyText2"/>
              <w:spacing w:after="0"/>
              <w:ind w:right="227"/>
              <w:jc w:val="right"/>
              <w:rPr>
                <w:b w:val="0"/>
                <w:caps w:val="0"/>
              </w:rPr>
            </w:pPr>
            <w:r>
              <w:rPr>
                <w:b w:val="0"/>
                <w:caps w:val="0"/>
              </w:rPr>
              <w:t>28,1</w:t>
            </w:r>
          </w:p>
        </w:tc>
        <w:tc>
          <w:tcPr>
            <w:tcW w:w="1361" w:type="dxa"/>
          </w:tcPr>
          <w:p w:rsidR="00000000" w:rsidRDefault="00000000">
            <w:pPr>
              <w:pStyle w:val="BodyText2"/>
              <w:spacing w:after="0"/>
              <w:ind w:right="397"/>
              <w:jc w:val="right"/>
              <w:rPr>
                <w:b w:val="0"/>
                <w:caps w:val="0"/>
              </w:rPr>
            </w:pPr>
            <w:r>
              <w:rPr>
                <w:b w:val="0"/>
                <w:caps w:val="0"/>
              </w:rPr>
              <w:t>28,7</w:t>
            </w:r>
          </w:p>
        </w:tc>
        <w:tc>
          <w:tcPr>
            <w:tcW w:w="1361" w:type="dxa"/>
          </w:tcPr>
          <w:p w:rsidR="00000000" w:rsidRDefault="00000000">
            <w:pPr>
              <w:pStyle w:val="BodyText2"/>
              <w:spacing w:after="0"/>
              <w:ind w:right="397"/>
              <w:jc w:val="right"/>
              <w:rPr>
                <w:b w:val="0"/>
                <w:caps w:val="0"/>
              </w:rPr>
            </w:pPr>
            <w:r>
              <w:rPr>
                <w:b w:val="0"/>
                <w:caps w:val="0"/>
              </w:rPr>
              <w:t>27,4</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1986–1993</w:t>
            </w:r>
          </w:p>
        </w:tc>
        <w:tc>
          <w:tcPr>
            <w:tcW w:w="1134" w:type="dxa"/>
          </w:tcPr>
          <w:p w:rsidR="00000000" w:rsidRDefault="00000000">
            <w:pPr>
              <w:pStyle w:val="BodyText2"/>
              <w:spacing w:after="0"/>
              <w:ind w:right="227"/>
              <w:jc w:val="right"/>
              <w:rPr>
                <w:b w:val="0"/>
                <w:caps w:val="0"/>
              </w:rPr>
            </w:pPr>
            <w:r>
              <w:rPr>
                <w:b w:val="0"/>
                <w:caps w:val="0"/>
              </w:rPr>
              <w:t>31,6</w:t>
            </w:r>
          </w:p>
        </w:tc>
        <w:tc>
          <w:tcPr>
            <w:tcW w:w="1361" w:type="dxa"/>
          </w:tcPr>
          <w:p w:rsidR="00000000" w:rsidRDefault="00000000">
            <w:pPr>
              <w:pStyle w:val="BodyText2"/>
              <w:spacing w:after="0"/>
              <w:ind w:right="397"/>
              <w:jc w:val="right"/>
              <w:rPr>
                <w:b w:val="0"/>
                <w:caps w:val="0"/>
              </w:rPr>
            </w:pPr>
            <w:r>
              <w:rPr>
                <w:b w:val="0"/>
                <w:caps w:val="0"/>
              </w:rPr>
              <w:t>30,6</w:t>
            </w:r>
          </w:p>
        </w:tc>
        <w:tc>
          <w:tcPr>
            <w:tcW w:w="1361" w:type="dxa"/>
          </w:tcPr>
          <w:p w:rsidR="00000000" w:rsidRDefault="00000000">
            <w:pPr>
              <w:pStyle w:val="BodyText2"/>
              <w:spacing w:after="0"/>
              <w:ind w:right="397"/>
              <w:jc w:val="right"/>
              <w:rPr>
                <w:b w:val="0"/>
                <w:caps w:val="0"/>
              </w:rPr>
            </w:pPr>
            <w:r>
              <w:rPr>
                <w:b w:val="0"/>
                <w:caps w:val="0"/>
              </w:rPr>
              <w:t>32,8</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1994–1999</w:t>
            </w:r>
          </w:p>
        </w:tc>
        <w:tc>
          <w:tcPr>
            <w:tcW w:w="1134" w:type="dxa"/>
            <w:tcBorders>
              <w:bottom w:val="nil"/>
            </w:tcBorders>
          </w:tcPr>
          <w:p w:rsidR="00000000" w:rsidRDefault="00000000">
            <w:pPr>
              <w:pStyle w:val="BodyText2"/>
              <w:spacing w:after="0"/>
              <w:ind w:right="227"/>
              <w:jc w:val="right"/>
              <w:rPr>
                <w:b w:val="0"/>
                <w:caps w:val="0"/>
              </w:rPr>
            </w:pPr>
            <w:r>
              <w:rPr>
                <w:b w:val="0"/>
                <w:caps w:val="0"/>
              </w:rPr>
              <w:t>20,4</w:t>
            </w:r>
          </w:p>
        </w:tc>
        <w:tc>
          <w:tcPr>
            <w:tcW w:w="1361" w:type="dxa"/>
            <w:tcBorders>
              <w:bottom w:val="nil"/>
            </w:tcBorders>
          </w:tcPr>
          <w:p w:rsidR="00000000" w:rsidRDefault="00000000">
            <w:pPr>
              <w:pStyle w:val="BodyText2"/>
              <w:spacing w:after="0"/>
              <w:ind w:right="397"/>
              <w:jc w:val="right"/>
              <w:rPr>
                <w:b w:val="0"/>
                <w:caps w:val="0"/>
              </w:rPr>
            </w:pPr>
            <w:r>
              <w:rPr>
                <w:b w:val="0"/>
                <w:caps w:val="0"/>
              </w:rPr>
              <w:t>22,3</w:t>
            </w:r>
          </w:p>
        </w:tc>
        <w:tc>
          <w:tcPr>
            <w:tcW w:w="1361" w:type="dxa"/>
            <w:tcBorders>
              <w:bottom w:val="nil"/>
            </w:tcBorders>
          </w:tcPr>
          <w:p w:rsidR="00000000" w:rsidRDefault="00000000">
            <w:pPr>
              <w:pStyle w:val="BodyText2"/>
              <w:spacing w:after="0"/>
              <w:ind w:right="397"/>
              <w:jc w:val="right"/>
              <w:rPr>
                <w:b w:val="0"/>
                <w:caps w:val="0"/>
              </w:rPr>
            </w:pPr>
            <w:r>
              <w:rPr>
                <w:b w:val="0"/>
                <w:caps w:val="0"/>
              </w:rPr>
              <w:t>18,1</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Гражданство</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Граждане США</w:t>
            </w:r>
          </w:p>
        </w:tc>
        <w:tc>
          <w:tcPr>
            <w:tcW w:w="1134" w:type="dxa"/>
            <w:tcBorders>
              <w:top w:val="nil"/>
            </w:tcBorders>
          </w:tcPr>
          <w:p w:rsidR="00000000" w:rsidRDefault="00000000">
            <w:pPr>
              <w:pStyle w:val="BodyText2"/>
              <w:spacing w:after="0"/>
              <w:ind w:right="227"/>
              <w:jc w:val="right"/>
              <w:rPr>
                <w:b w:val="0"/>
                <w:caps w:val="0"/>
              </w:rPr>
            </w:pPr>
            <w:r>
              <w:rPr>
                <w:b w:val="0"/>
                <w:caps w:val="0"/>
              </w:rPr>
              <w:t>22,7</w:t>
            </w:r>
          </w:p>
        </w:tc>
        <w:tc>
          <w:tcPr>
            <w:tcW w:w="1361" w:type="dxa"/>
            <w:tcBorders>
              <w:top w:val="nil"/>
            </w:tcBorders>
          </w:tcPr>
          <w:p w:rsidR="00000000" w:rsidRDefault="00000000">
            <w:pPr>
              <w:pStyle w:val="BodyText2"/>
              <w:spacing w:after="0"/>
              <w:ind w:right="397"/>
              <w:jc w:val="right"/>
              <w:rPr>
                <w:b w:val="0"/>
                <w:caps w:val="0"/>
              </w:rPr>
            </w:pPr>
            <w:r>
              <w:rPr>
                <w:b w:val="0"/>
                <w:caps w:val="0"/>
              </w:rPr>
              <w:t>21,2</w:t>
            </w:r>
          </w:p>
        </w:tc>
        <w:tc>
          <w:tcPr>
            <w:tcW w:w="1361" w:type="dxa"/>
            <w:tcBorders>
              <w:top w:val="nil"/>
            </w:tcBorders>
          </w:tcPr>
          <w:p w:rsidR="00000000" w:rsidRDefault="00000000">
            <w:pPr>
              <w:pStyle w:val="BodyText2"/>
              <w:spacing w:after="0"/>
              <w:ind w:right="397"/>
              <w:jc w:val="right"/>
              <w:rPr>
                <w:b w:val="0"/>
                <w:caps w:val="0"/>
              </w:rPr>
            </w:pPr>
            <w:r>
              <w:rPr>
                <w:b w:val="0"/>
                <w:caps w:val="0"/>
              </w:rPr>
              <w:t>24,5</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 xml:space="preserve">Не граждане США </w:t>
            </w:r>
          </w:p>
        </w:tc>
        <w:tc>
          <w:tcPr>
            <w:tcW w:w="1134" w:type="dxa"/>
            <w:tcBorders>
              <w:bottom w:val="nil"/>
            </w:tcBorders>
          </w:tcPr>
          <w:p w:rsidR="00000000" w:rsidRDefault="00000000">
            <w:pPr>
              <w:pStyle w:val="BodyText2"/>
              <w:spacing w:after="0"/>
              <w:ind w:right="227"/>
              <w:jc w:val="right"/>
              <w:rPr>
                <w:b w:val="0"/>
                <w:caps w:val="0"/>
              </w:rPr>
            </w:pPr>
            <w:r>
              <w:rPr>
                <w:b w:val="0"/>
                <w:caps w:val="0"/>
              </w:rPr>
              <w:t>77,3</w:t>
            </w:r>
          </w:p>
        </w:tc>
        <w:tc>
          <w:tcPr>
            <w:tcW w:w="1361" w:type="dxa"/>
            <w:tcBorders>
              <w:bottom w:val="nil"/>
            </w:tcBorders>
          </w:tcPr>
          <w:p w:rsidR="00000000" w:rsidRDefault="00000000">
            <w:pPr>
              <w:pStyle w:val="BodyText2"/>
              <w:spacing w:after="0"/>
              <w:ind w:right="397"/>
              <w:jc w:val="right"/>
              <w:rPr>
                <w:b w:val="0"/>
                <w:caps w:val="0"/>
              </w:rPr>
            </w:pPr>
            <w:r>
              <w:rPr>
                <w:b w:val="0"/>
                <w:caps w:val="0"/>
              </w:rPr>
              <w:t>78,8</w:t>
            </w:r>
          </w:p>
        </w:tc>
        <w:tc>
          <w:tcPr>
            <w:tcW w:w="1361" w:type="dxa"/>
            <w:tcBorders>
              <w:bottom w:val="nil"/>
            </w:tcBorders>
          </w:tcPr>
          <w:p w:rsidR="00000000" w:rsidRDefault="00000000">
            <w:pPr>
              <w:pStyle w:val="BodyText2"/>
              <w:spacing w:after="0"/>
              <w:ind w:right="397"/>
              <w:jc w:val="right"/>
              <w:rPr>
                <w:b w:val="0"/>
                <w:caps w:val="0"/>
              </w:rPr>
            </w:pPr>
            <w:r>
              <w:rPr>
                <w:b w:val="0"/>
                <w:caps w:val="0"/>
              </w:rPr>
              <w:t>75,5</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Миграционный статус за последний год</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Не мигранты</w:t>
            </w:r>
          </w:p>
        </w:tc>
        <w:tc>
          <w:tcPr>
            <w:tcW w:w="1134" w:type="dxa"/>
            <w:tcBorders>
              <w:top w:val="nil"/>
            </w:tcBorders>
          </w:tcPr>
          <w:p w:rsidR="00000000" w:rsidRDefault="00000000">
            <w:pPr>
              <w:pStyle w:val="BodyText2"/>
              <w:spacing w:after="0"/>
              <w:ind w:right="227"/>
              <w:jc w:val="right"/>
              <w:rPr>
                <w:b w:val="0"/>
                <w:caps w:val="0"/>
              </w:rPr>
            </w:pPr>
            <w:r>
              <w:rPr>
                <w:b w:val="0"/>
                <w:caps w:val="0"/>
              </w:rPr>
              <w:t>92,0</w:t>
            </w:r>
          </w:p>
        </w:tc>
        <w:tc>
          <w:tcPr>
            <w:tcW w:w="1361" w:type="dxa"/>
            <w:tcBorders>
              <w:top w:val="nil"/>
            </w:tcBorders>
          </w:tcPr>
          <w:p w:rsidR="00000000" w:rsidRDefault="00000000">
            <w:pPr>
              <w:pStyle w:val="BodyText2"/>
              <w:spacing w:after="0"/>
              <w:ind w:right="397"/>
              <w:jc w:val="right"/>
              <w:rPr>
                <w:b w:val="0"/>
                <w:caps w:val="0"/>
              </w:rPr>
            </w:pPr>
            <w:r>
              <w:rPr>
                <w:b w:val="0"/>
                <w:caps w:val="0"/>
              </w:rPr>
              <w:t>90,3</w:t>
            </w:r>
          </w:p>
        </w:tc>
        <w:tc>
          <w:tcPr>
            <w:tcW w:w="1361" w:type="dxa"/>
            <w:tcBorders>
              <w:top w:val="nil"/>
            </w:tcBorders>
          </w:tcPr>
          <w:p w:rsidR="00000000" w:rsidRDefault="00000000">
            <w:pPr>
              <w:pStyle w:val="BodyText2"/>
              <w:spacing w:after="0"/>
              <w:ind w:right="397"/>
              <w:jc w:val="right"/>
              <w:rPr>
                <w:b w:val="0"/>
                <w:caps w:val="0"/>
              </w:rPr>
            </w:pPr>
            <w:r>
              <w:rPr>
                <w:b w:val="0"/>
                <w:caps w:val="0"/>
              </w:rPr>
              <w:t>94,2</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 xml:space="preserve">Внутренние мигранты </w:t>
            </w:r>
            <w:r>
              <w:rPr>
                <w:b w:val="0"/>
                <w:caps w:val="0"/>
                <w:vertAlign w:val="superscript"/>
              </w:rPr>
              <w:t>1</w:t>
            </w:r>
          </w:p>
        </w:tc>
        <w:tc>
          <w:tcPr>
            <w:tcW w:w="1134" w:type="dxa"/>
          </w:tcPr>
          <w:p w:rsidR="00000000" w:rsidRDefault="00000000">
            <w:pPr>
              <w:pStyle w:val="BodyText2"/>
              <w:spacing w:after="0"/>
              <w:ind w:right="227"/>
              <w:jc w:val="right"/>
              <w:rPr>
                <w:b w:val="0"/>
                <w:caps w:val="0"/>
              </w:rPr>
            </w:pPr>
            <w:r>
              <w:rPr>
                <w:b w:val="0"/>
                <w:caps w:val="0"/>
              </w:rPr>
              <w:t>4,2</w:t>
            </w:r>
          </w:p>
        </w:tc>
        <w:tc>
          <w:tcPr>
            <w:tcW w:w="1361" w:type="dxa"/>
          </w:tcPr>
          <w:p w:rsidR="00000000" w:rsidRDefault="00000000">
            <w:pPr>
              <w:pStyle w:val="BodyText2"/>
              <w:spacing w:after="0"/>
              <w:ind w:right="397"/>
              <w:jc w:val="right"/>
              <w:rPr>
                <w:b w:val="0"/>
                <w:caps w:val="0"/>
              </w:rPr>
            </w:pPr>
            <w:r>
              <w:rPr>
                <w:b w:val="0"/>
                <w:caps w:val="0"/>
              </w:rPr>
              <w:t>4,6</w:t>
            </w:r>
          </w:p>
        </w:tc>
        <w:tc>
          <w:tcPr>
            <w:tcW w:w="1361" w:type="dxa"/>
          </w:tcPr>
          <w:p w:rsidR="00000000" w:rsidRDefault="00000000">
            <w:pPr>
              <w:pStyle w:val="BodyText2"/>
              <w:spacing w:after="0"/>
              <w:ind w:right="397"/>
              <w:jc w:val="right"/>
              <w:rPr>
                <w:b w:val="0"/>
                <w:caps w:val="0"/>
              </w:rPr>
            </w:pPr>
            <w:r>
              <w:rPr>
                <w:b w:val="0"/>
                <w:caps w:val="0"/>
              </w:rPr>
              <w:t>3,6</w:t>
            </w:r>
          </w:p>
        </w:tc>
      </w:tr>
      <w:tr w:rsidR="00000000">
        <w:tblPrEx>
          <w:tblCellMar>
            <w:top w:w="0" w:type="dxa"/>
            <w:bottom w:w="0" w:type="dxa"/>
          </w:tblCellMar>
        </w:tblPrEx>
        <w:trPr>
          <w:jc w:val="center"/>
        </w:trPr>
        <w:tc>
          <w:tcPr>
            <w:tcW w:w="4649" w:type="dxa"/>
            <w:tcBorders>
              <w:bottom w:val="nil"/>
            </w:tcBorders>
          </w:tcPr>
          <w:p w:rsidR="00000000" w:rsidRDefault="00000000">
            <w:pPr>
              <w:pStyle w:val="BodyText2"/>
              <w:spacing w:after="0"/>
              <w:rPr>
                <w:b w:val="0"/>
                <w:caps w:val="0"/>
              </w:rPr>
            </w:pPr>
            <w:r>
              <w:rPr>
                <w:b w:val="0"/>
                <w:caps w:val="0"/>
              </w:rPr>
              <w:t xml:space="preserve">Международные мигранты </w:t>
            </w:r>
            <w:r>
              <w:rPr>
                <w:b w:val="0"/>
                <w:caps w:val="0"/>
                <w:vertAlign w:val="superscript"/>
              </w:rPr>
              <w:t>2</w:t>
            </w:r>
          </w:p>
        </w:tc>
        <w:tc>
          <w:tcPr>
            <w:tcW w:w="1134" w:type="dxa"/>
            <w:tcBorders>
              <w:bottom w:val="nil"/>
            </w:tcBorders>
          </w:tcPr>
          <w:p w:rsidR="00000000" w:rsidRDefault="00000000">
            <w:pPr>
              <w:pStyle w:val="BodyText2"/>
              <w:spacing w:after="0"/>
              <w:ind w:right="227"/>
              <w:jc w:val="right"/>
              <w:rPr>
                <w:b w:val="0"/>
                <w:caps w:val="0"/>
              </w:rPr>
            </w:pPr>
            <w:r>
              <w:rPr>
                <w:b w:val="0"/>
                <w:caps w:val="0"/>
              </w:rPr>
              <w:t>3,8</w:t>
            </w:r>
          </w:p>
        </w:tc>
        <w:tc>
          <w:tcPr>
            <w:tcW w:w="1361" w:type="dxa"/>
            <w:tcBorders>
              <w:bottom w:val="nil"/>
            </w:tcBorders>
          </w:tcPr>
          <w:p w:rsidR="00000000" w:rsidRDefault="00000000">
            <w:pPr>
              <w:pStyle w:val="BodyText2"/>
              <w:spacing w:after="0"/>
              <w:ind w:right="397"/>
              <w:jc w:val="right"/>
              <w:rPr>
                <w:b w:val="0"/>
                <w:caps w:val="0"/>
              </w:rPr>
            </w:pPr>
            <w:r>
              <w:rPr>
                <w:b w:val="0"/>
                <w:caps w:val="0"/>
              </w:rPr>
              <w:t>5,1</w:t>
            </w:r>
          </w:p>
        </w:tc>
        <w:tc>
          <w:tcPr>
            <w:tcW w:w="1361" w:type="dxa"/>
            <w:tcBorders>
              <w:bottom w:val="nil"/>
            </w:tcBorders>
          </w:tcPr>
          <w:p w:rsidR="00000000" w:rsidRDefault="00000000">
            <w:pPr>
              <w:pStyle w:val="BodyText2"/>
              <w:spacing w:after="0"/>
              <w:ind w:right="397"/>
              <w:jc w:val="right"/>
              <w:rPr>
                <w:b w:val="0"/>
                <w:caps w:val="0"/>
              </w:rPr>
            </w:pPr>
            <w:r>
              <w:rPr>
                <w:b w:val="0"/>
                <w:caps w:val="0"/>
              </w:rPr>
              <w:t>2,2</w:t>
            </w:r>
          </w:p>
        </w:tc>
      </w:tr>
      <w:tr w:rsidR="00000000">
        <w:tblPrEx>
          <w:tblCellMar>
            <w:top w:w="0" w:type="dxa"/>
            <w:bottom w:w="0" w:type="dxa"/>
          </w:tblCellMar>
        </w:tblPrEx>
        <w:trPr>
          <w:jc w:val="center"/>
        </w:trPr>
        <w:tc>
          <w:tcPr>
            <w:tcW w:w="4649" w:type="dxa"/>
            <w:tcBorders>
              <w:top w:val="single" w:sz="4" w:space="0" w:color="auto"/>
              <w:bottom w:val="nil"/>
            </w:tcBorders>
          </w:tcPr>
          <w:p w:rsidR="00000000" w:rsidRDefault="00000000">
            <w:pPr>
              <w:pStyle w:val="BodyText2"/>
              <w:spacing w:before="60" w:after="0"/>
              <w:rPr>
                <w:caps w:val="0"/>
              </w:rPr>
            </w:pPr>
            <w:r>
              <w:rPr>
                <w:caps w:val="0"/>
              </w:rPr>
              <w:t>Материальное положение</w:t>
            </w:r>
          </w:p>
        </w:tc>
        <w:tc>
          <w:tcPr>
            <w:tcW w:w="1134" w:type="dxa"/>
            <w:tcBorders>
              <w:top w:val="single" w:sz="4" w:space="0" w:color="auto"/>
              <w:bottom w:val="nil"/>
            </w:tcBorders>
          </w:tcPr>
          <w:p w:rsidR="00000000" w:rsidRDefault="00000000">
            <w:pPr>
              <w:pStyle w:val="BodyText2"/>
              <w:spacing w:before="60" w:after="0"/>
              <w:ind w:right="22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c>
          <w:tcPr>
            <w:tcW w:w="1361" w:type="dxa"/>
            <w:tcBorders>
              <w:top w:val="single" w:sz="4" w:space="0" w:color="auto"/>
              <w:bottom w:val="nil"/>
            </w:tcBorders>
          </w:tcPr>
          <w:p w:rsidR="00000000" w:rsidRDefault="00000000">
            <w:pPr>
              <w:pStyle w:val="BodyText2"/>
              <w:spacing w:before="60" w:after="0"/>
              <w:ind w:right="397"/>
              <w:jc w:val="right"/>
              <w:rPr>
                <w:b w:val="0"/>
                <w:caps w:val="0"/>
              </w:rPr>
            </w:pPr>
            <w:r>
              <w:rPr>
                <w:b w:val="0"/>
                <w:caps w:val="0"/>
              </w:rPr>
              <w:t>100,0</w:t>
            </w:r>
          </w:p>
        </w:tc>
      </w:tr>
      <w:tr w:rsidR="00000000">
        <w:tblPrEx>
          <w:tblCellMar>
            <w:top w:w="0" w:type="dxa"/>
            <w:bottom w:w="0" w:type="dxa"/>
          </w:tblCellMar>
        </w:tblPrEx>
        <w:trPr>
          <w:jc w:val="center"/>
        </w:trPr>
        <w:tc>
          <w:tcPr>
            <w:tcW w:w="4649" w:type="dxa"/>
            <w:tcBorders>
              <w:top w:val="nil"/>
            </w:tcBorders>
          </w:tcPr>
          <w:p w:rsidR="00000000" w:rsidRDefault="00000000">
            <w:pPr>
              <w:pStyle w:val="BodyText2"/>
              <w:spacing w:after="0"/>
              <w:rPr>
                <w:b w:val="0"/>
                <w:caps w:val="0"/>
              </w:rPr>
            </w:pPr>
            <w:r>
              <w:rPr>
                <w:b w:val="0"/>
                <w:caps w:val="0"/>
              </w:rPr>
              <w:t>Бедные</w:t>
            </w:r>
          </w:p>
        </w:tc>
        <w:tc>
          <w:tcPr>
            <w:tcW w:w="1134" w:type="dxa"/>
            <w:tcBorders>
              <w:top w:val="nil"/>
            </w:tcBorders>
          </w:tcPr>
          <w:p w:rsidR="00000000" w:rsidRDefault="00000000">
            <w:pPr>
              <w:pStyle w:val="BodyText2"/>
              <w:spacing w:after="0"/>
              <w:ind w:right="227"/>
              <w:jc w:val="right"/>
              <w:rPr>
                <w:b w:val="0"/>
                <w:caps w:val="0"/>
              </w:rPr>
            </w:pPr>
            <w:r>
              <w:rPr>
                <w:b w:val="0"/>
                <w:caps w:val="0"/>
              </w:rPr>
              <w:t>28,3</w:t>
            </w:r>
          </w:p>
        </w:tc>
        <w:tc>
          <w:tcPr>
            <w:tcW w:w="1361" w:type="dxa"/>
            <w:tcBorders>
              <w:top w:val="nil"/>
            </w:tcBorders>
          </w:tcPr>
          <w:p w:rsidR="00000000" w:rsidRDefault="00000000">
            <w:pPr>
              <w:pStyle w:val="BodyText2"/>
              <w:spacing w:after="0"/>
              <w:ind w:right="397"/>
              <w:jc w:val="right"/>
              <w:rPr>
                <w:b w:val="0"/>
                <w:caps w:val="0"/>
              </w:rPr>
            </w:pPr>
            <w:r>
              <w:rPr>
                <w:b w:val="0"/>
                <w:caps w:val="0"/>
              </w:rPr>
              <w:t>25,8</w:t>
            </w:r>
          </w:p>
        </w:tc>
        <w:tc>
          <w:tcPr>
            <w:tcW w:w="1361" w:type="dxa"/>
            <w:tcBorders>
              <w:top w:val="nil"/>
            </w:tcBorders>
          </w:tcPr>
          <w:p w:rsidR="00000000" w:rsidRDefault="00000000">
            <w:pPr>
              <w:pStyle w:val="BodyText2"/>
              <w:spacing w:after="0"/>
              <w:ind w:right="397"/>
              <w:jc w:val="right"/>
              <w:rPr>
                <w:b w:val="0"/>
                <w:caps w:val="0"/>
              </w:rPr>
            </w:pPr>
            <w:r>
              <w:rPr>
                <w:b w:val="0"/>
                <w:caps w:val="0"/>
              </w:rPr>
              <w:t>31,3</w:t>
            </w:r>
          </w:p>
        </w:tc>
      </w:tr>
      <w:tr w:rsidR="00000000">
        <w:tblPrEx>
          <w:tblCellMar>
            <w:top w:w="0" w:type="dxa"/>
            <w:bottom w:w="0" w:type="dxa"/>
          </w:tblCellMar>
        </w:tblPrEx>
        <w:trPr>
          <w:jc w:val="center"/>
        </w:trPr>
        <w:tc>
          <w:tcPr>
            <w:tcW w:w="4649" w:type="dxa"/>
          </w:tcPr>
          <w:p w:rsidR="00000000" w:rsidRDefault="00000000">
            <w:pPr>
              <w:pStyle w:val="BodyText2"/>
              <w:spacing w:after="0"/>
              <w:rPr>
                <w:b w:val="0"/>
                <w:caps w:val="0"/>
              </w:rPr>
            </w:pPr>
            <w:r>
              <w:rPr>
                <w:b w:val="0"/>
                <w:caps w:val="0"/>
              </w:rPr>
              <w:t>Не бедные</w:t>
            </w:r>
          </w:p>
        </w:tc>
        <w:tc>
          <w:tcPr>
            <w:tcW w:w="1134" w:type="dxa"/>
          </w:tcPr>
          <w:p w:rsidR="00000000" w:rsidRDefault="00000000">
            <w:pPr>
              <w:pStyle w:val="BodyText2"/>
              <w:spacing w:after="0"/>
              <w:ind w:right="227"/>
              <w:jc w:val="right"/>
              <w:rPr>
                <w:b w:val="0"/>
                <w:caps w:val="0"/>
              </w:rPr>
            </w:pPr>
            <w:r>
              <w:rPr>
                <w:b w:val="0"/>
                <w:caps w:val="0"/>
              </w:rPr>
              <w:t>71,7</w:t>
            </w:r>
          </w:p>
        </w:tc>
        <w:tc>
          <w:tcPr>
            <w:tcW w:w="1361" w:type="dxa"/>
          </w:tcPr>
          <w:p w:rsidR="00000000" w:rsidRDefault="00000000">
            <w:pPr>
              <w:pStyle w:val="BodyText2"/>
              <w:spacing w:after="0"/>
              <w:ind w:right="397"/>
              <w:jc w:val="right"/>
              <w:rPr>
                <w:b w:val="0"/>
                <w:caps w:val="0"/>
              </w:rPr>
            </w:pPr>
            <w:r>
              <w:rPr>
                <w:b w:val="0"/>
                <w:caps w:val="0"/>
              </w:rPr>
              <w:t>74,2</w:t>
            </w:r>
          </w:p>
        </w:tc>
        <w:tc>
          <w:tcPr>
            <w:tcW w:w="1361" w:type="dxa"/>
          </w:tcPr>
          <w:p w:rsidR="00000000" w:rsidRDefault="00000000">
            <w:pPr>
              <w:pStyle w:val="BodyText2"/>
              <w:spacing w:after="0"/>
              <w:ind w:right="397"/>
              <w:jc w:val="right"/>
              <w:rPr>
                <w:b w:val="0"/>
                <w:caps w:val="0"/>
              </w:rPr>
            </w:pPr>
            <w:r>
              <w:rPr>
                <w:b w:val="0"/>
                <w:caps w:val="0"/>
              </w:rPr>
              <w:t>68,7</w:t>
            </w:r>
          </w:p>
        </w:tc>
      </w:tr>
    </w:tbl>
    <w:p w:rsidR="00000000" w:rsidRDefault="00000000">
      <w:pPr>
        <w:pStyle w:val="a2"/>
        <w:spacing w:before="120"/>
        <w:ind w:left="567"/>
      </w:pPr>
      <w:r>
        <w:t>Примечания:</w:t>
      </w:r>
    </w:p>
    <w:p w:rsidR="00000000" w:rsidRDefault="00000000">
      <w:pPr>
        <w:pStyle w:val="a2"/>
        <w:ind w:left="567"/>
      </w:pPr>
      <w:r>
        <w:rPr>
          <w:vertAlign w:val="superscript"/>
        </w:rPr>
        <w:t xml:space="preserve">1  </w:t>
      </w:r>
      <w:r>
        <w:t>Относятся к лицам, которые в год, предшествующий опросу, жили в другом графстве.</w:t>
      </w:r>
    </w:p>
    <w:p w:rsidR="00000000" w:rsidRDefault="00000000">
      <w:pPr>
        <w:pStyle w:val="a2"/>
        <w:ind w:left="567"/>
      </w:pPr>
      <w:r>
        <w:rPr>
          <w:vertAlign w:val="superscript"/>
        </w:rPr>
        <w:t xml:space="preserve">2 </w:t>
      </w:r>
      <w:r>
        <w:t xml:space="preserve"> Относятся к лицам, которые в год, предшествующий опросу, жили в Мексике.</w:t>
      </w:r>
    </w:p>
    <w:p w:rsidR="00000000" w:rsidRDefault="00000000">
      <w:pPr>
        <w:pStyle w:val="a2"/>
        <w:ind w:left="567"/>
        <w:rPr>
          <w:lang w:val="en-US"/>
        </w:rPr>
      </w:pPr>
      <w:r>
        <w:t>Источник</w:t>
      </w:r>
      <w:r>
        <w:rPr>
          <w:lang w:val="en-US"/>
        </w:rPr>
        <w:t xml:space="preserve">: </w:t>
      </w:r>
      <w:r>
        <w:rPr>
          <w:lang w:val="es-ES"/>
        </w:rPr>
        <w:t>Estimaciones de CONAPO con base en Bureau of Census, Current Population Survey (CPS), marzo de 1999.</w:t>
      </w:r>
    </w:p>
    <w:p w:rsidR="00000000" w:rsidRDefault="00000000">
      <w:pPr>
        <w:pStyle w:val="BodyText2"/>
        <w:rPr>
          <w:b w:val="0"/>
          <w:caps w:val="0"/>
        </w:rPr>
      </w:pPr>
      <w:r>
        <w:rPr>
          <w:b w:val="0"/>
          <w:caps w:val="0"/>
        </w:rPr>
        <w:t>854.</w:t>
      </w:r>
      <w:r>
        <w:rPr>
          <w:b w:val="0"/>
          <w:caps w:val="0"/>
        </w:rPr>
        <w:tab/>
        <w:t>Как видно из таблицы 4, речь идет прежде всего о молодых и замужних женщинах. В отличие от женщин, работающих в США временно, 46 процентов женщин, которые проживают в этой стране, имеют образование выше среднего (фактически треть окончила, по крайней мере, 12 классов средней школы).</w:t>
      </w:r>
    </w:p>
    <w:p w:rsidR="00000000" w:rsidRDefault="00000000">
      <w:pPr>
        <w:pStyle w:val="BodyText2"/>
        <w:rPr>
          <w:b w:val="0"/>
          <w:caps w:val="0"/>
        </w:rPr>
      </w:pPr>
      <w:r>
        <w:rPr>
          <w:b w:val="0"/>
          <w:caps w:val="0"/>
        </w:rPr>
        <w:t>855.</w:t>
      </w:r>
      <w:r>
        <w:rPr>
          <w:b w:val="0"/>
          <w:caps w:val="0"/>
        </w:rPr>
        <w:tab/>
        <w:t>Более половины семей мексиканских женщин, живущих в США, имеют от 4 до 6 членов, однако следует заметить, что 30 процентов семей имеют не более трех членов.</w:t>
      </w:r>
    </w:p>
    <w:p w:rsidR="00000000" w:rsidRDefault="00000000">
      <w:pPr>
        <w:pStyle w:val="BodyText2"/>
        <w:rPr>
          <w:caps w:val="0"/>
        </w:rPr>
      </w:pPr>
      <w:r>
        <w:rPr>
          <w:caps w:val="0"/>
        </w:rPr>
        <w:t>Таблица 5</w:t>
      </w:r>
    </w:p>
    <w:p w:rsidR="00000000" w:rsidRDefault="00000000">
      <w:pPr>
        <w:pStyle w:val="BodyText2"/>
        <w:rPr>
          <w:caps w:val="0"/>
        </w:rPr>
      </w:pPr>
      <w:r>
        <w:rPr>
          <w:caps w:val="0"/>
        </w:rPr>
        <w:t>Мексиканки, проживающие в США</w:t>
      </w:r>
    </w:p>
    <w:p w:rsidR="00000000" w:rsidRDefault="00000000">
      <w:pPr>
        <w:pStyle w:val="BodyText2"/>
        <w:rPr>
          <w:caps w:val="0"/>
        </w:rPr>
      </w:pPr>
      <w:r>
        <w:rPr>
          <w:caps w:val="0"/>
        </w:rPr>
        <w:t xml:space="preserve">(год въезда, место проживания, в процентах)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098"/>
        <w:gridCol w:w="1134"/>
        <w:gridCol w:w="1418"/>
        <w:gridCol w:w="1134"/>
        <w:gridCol w:w="1134"/>
        <w:gridCol w:w="1588"/>
        <w:gridCol w:w="1134"/>
      </w:tblGrid>
      <w:tr w:rsidR="00000000">
        <w:tblPrEx>
          <w:tblCellMar>
            <w:top w:w="0" w:type="dxa"/>
            <w:bottom w:w="0" w:type="dxa"/>
          </w:tblCellMar>
        </w:tblPrEx>
        <w:trPr>
          <w:cantSplit/>
          <w:jc w:val="center"/>
        </w:trPr>
        <w:tc>
          <w:tcPr>
            <w:tcW w:w="2098" w:type="dxa"/>
            <w:vMerge w:val="restart"/>
            <w:vAlign w:val="center"/>
          </w:tcPr>
          <w:p w:rsidR="00000000" w:rsidRDefault="00000000">
            <w:pPr>
              <w:pStyle w:val="BodyText2"/>
              <w:spacing w:before="60" w:after="60"/>
              <w:jc w:val="center"/>
              <w:rPr>
                <w:caps w:val="0"/>
                <w:sz w:val="18"/>
              </w:rPr>
            </w:pPr>
            <w:r>
              <w:rPr>
                <w:caps w:val="0"/>
                <w:sz w:val="18"/>
              </w:rPr>
              <w:t>Год въезда в США</w:t>
            </w:r>
          </w:p>
        </w:tc>
        <w:tc>
          <w:tcPr>
            <w:tcW w:w="7542" w:type="dxa"/>
            <w:gridSpan w:val="6"/>
            <w:vAlign w:val="center"/>
          </w:tcPr>
          <w:p w:rsidR="00000000" w:rsidRDefault="00000000">
            <w:pPr>
              <w:pStyle w:val="BodyText2"/>
              <w:spacing w:before="60" w:after="60"/>
              <w:jc w:val="center"/>
              <w:rPr>
                <w:b w:val="0"/>
                <w:sz w:val="18"/>
              </w:rPr>
            </w:pPr>
            <w:r>
              <w:rPr>
                <w:caps w:val="0"/>
                <w:sz w:val="18"/>
              </w:rPr>
              <w:t>Штат нынешнего проживания</w:t>
            </w:r>
          </w:p>
        </w:tc>
      </w:tr>
      <w:tr w:rsidR="00000000">
        <w:tblPrEx>
          <w:tblCellMar>
            <w:top w:w="0" w:type="dxa"/>
            <w:bottom w:w="0" w:type="dxa"/>
          </w:tblCellMar>
        </w:tblPrEx>
        <w:trPr>
          <w:cantSplit/>
          <w:jc w:val="center"/>
        </w:trPr>
        <w:tc>
          <w:tcPr>
            <w:tcW w:w="2098" w:type="dxa"/>
            <w:vMerge/>
            <w:tcBorders>
              <w:bottom w:val="nil"/>
            </w:tcBorders>
            <w:vAlign w:val="center"/>
          </w:tcPr>
          <w:p w:rsidR="00000000" w:rsidRDefault="00000000">
            <w:pPr>
              <w:pStyle w:val="BodyText2"/>
              <w:spacing w:before="60" w:after="60"/>
              <w:jc w:val="center"/>
              <w:rPr>
                <w:caps w:val="0"/>
                <w:sz w:val="18"/>
              </w:rPr>
            </w:pPr>
          </w:p>
        </w:tc>
        <w:tc>
          <w:tcPr>
            <w:tcW w:w="1134" w:type="dxa"/>
            <w:tcBorders>
              <w:bottom w:val="nil"/>
            </w:tcBorders>
            <w:vAlign w:val="center"/>
          </w:tcPr>
          <w:p w:rsidR="00000000" w:rsidRDefault="00000000">
            <w:pPr>
              <w:pStyle w:val="BodyText2"/>
              <w:spacing w:before="60" w:after="60"/>
              <w:jc w:val="center"/>
              <w:rPr>
                <w:caps w:val="0"/>
                <w:sz w:val="18"/>
              </w:rPr>
            </w:pPr>
            <w:r>
              <w:rPr>
                <w:caps w:val="0"/>
                <w:sz w:val="18"/>
              </w:rPr>
              <w:t>всего</w:t>
            </w:r>
          </w:p>
        </w:tc>
        <w:tc>
          <w:tcPr>
            <w:tcW w:w="1418" w:type="dxa"/>
            <w:tcBorders>
              <w:bottom w:val="nil"/>
            </w:tcBorders>
            <w:vAlign w:val="center"/>
          </w:tcPr>
          <w:p w:rsidR="00000000" w:rsidRDefault="00000000">
            <w:pPr>
              <w:pStyle w:val="BodyText2"/>
              <w:spacing w:before="60" w:after="60"/>
              <w:jc w:val="center"/>
              <w:rPr>
                <w:caps w:val="0"/>
                <w:sz w:val="18"/>
              </w:rPr>
            </w:pPr>
            <w:r>
              <w:rPr>
                <w:caps w:val="0"/>
                <w:sz w:val="18"/>
              </w:rPr>
              <w:t>Калифорния</w:t>
            </w:r>
          </w:p>
        </w:tc>
        <w:tc>
          <w:tcPr>
            <w:tcW w:w="1134" w:type="dxa"/>
            <w:tcBorders>
              <w:bottom w:val="nil"/>
            </w:tcBorders>
            <w:vAlign w:val="center"/>
          </w:tcPr>
          <w:p w:rsidR="00000000" w:rsidRDefault="00000000">
            <w:pPr>
              <w:pStyle w:val="BodyText2"/>
              <w:spacing w:before="60" w:after="60"/>
              <w:jc w:val="center"/>
              <w:rPr>
                <w:caps w:val="0"/>
                <w:sz w:val="18"/>
              </w:rPr>
            </w:pPr>
            <w:r>
              <w:rPr>
                <w:caps w:val="0"/>
                <w:sz w:val="18"/>
              </w:rPr>
              <w:t>Техас</w:t>
            </w:r>
          </w:p>
        </w:tc>
        <w:tc>
          <w:tcPr>
            <w:tcW w:w="1134" w:type="dxa"/>
            <w:tcBorders>
              <w:bottom w:val="nil"/>
            </w:tcBorders>
            <w:vAlign w:val="center"/>
          </w:tcPr>
          <w:p w:rsidR="00000000" w:rsidRDefault="00000000">
            <w:pPr>
              <w:pStyle w:val="BodyText2"/>
              <w:spacing w:before="60" w:after="60"/>
              <w:jc w:val="center"/>
              <w:rPr>
                <w:caps w:val="0"/>
                <w:sz w:val="18"/>
              </w:rPr>
            </w:pPr>
            <w:r>
              <w:rPr>
                <w:caps w:val="0"/>
                <w:sz w:val="18"/>
              </w:rPr>
              <w:t>Иллинойс</w:t>
            </w:r>
          </w:p>
        </w:tc>
        <w:tc>
          <w:tcPr>
            <w:tcW w:w="1588" w:type="dxa"/>
            <w:tcBorders>
              <w:bottom w:val="nil"/>
            </w:tcBorders>
            <w:vAlign w:val="center"/>
          </w:tcPr>
          <w:p w:rsidR="00000000" w:rsidRDefault="00000000">
            <w:pPr>
              <w:pStyle w:val="BodyText2"/>
              <w:spacing w:before="60" w:after="60"/>
              <w:jc w:val="center"/>
              <w:rPr>
                <w:caps w:val="0"/>
                <w:sz w:val="18"/>
              </w:rPr>
            </w:pPr>
            <w:r>
              <w:rPr>
                <w:caps w:val="0"/>
                <w:sz w:val="18"/>
              </w:rPr>
              <w:t xml:space="preserve">Нью-Мексико </w:t>
            </w:r>
            <w:r>
              <w:rPr>
                <w:caps w:val="0"/>
                <w:sz w:val="18"/>
                <w:lang w:val="en-US"/>
              </w:rPr>
              <w:br/>
            </w:r>
            <w:r>
              <w:rPr>
                <w:caps w:val="0"/>
                <w:sz w:val="18"/>
              </w:rPr>
              <w:t>и Аризона</w:t>
            </w:r>
          </w:p>
        </w:tc>
        <w:tc>
          <w:tcPr>
            <w:tcW w:w="1134" w:type="dxa"/>
            <w:tcBorders>
              <w:bottom w:val="nil"/>
            </w:tcBorders>
            <w:vAlign w:val="center"/>
          </w:tcPr>
          <w:p w:rsidR="00000000" w:rsidRDefault="00000000">
            <w:pPr>
              <w:pStyle w:val="BodyText2"/>
              <w:spacing w:before="60" w:after="60"/>
              <w:jc w:val="center"/>
              <w:rPr>
                <w:caps w:val="0"/>
                <w:sz w:val="18"/>
              </w:rPr>
            </w:pPr>
            <w:r>
              <w:rPr>
                <w:caps w:val="0"/>
                <w:sz w:val="18"/>
              </w:rPr>
              <w:t>другие</w:t>
            </w:r>
          </w:p>
        </w:tc>
      </w:tr>
      <w:tr w:rsidR="00000000">
        <w:tblPrEx>
          <w:tblCellMar>
            <w:top w:w="0" w:type="dxa"/>
            <w:bottom w:w="0" w:type="dxa"/>
          </w:tblCellMar>
        </w:tblPrEx>
        <w:trPr>
          <w:cantSplit/>
          <w:jc w:val="center"/>
        </w:trPr>
        <w:tc>
          <w:tcPr>
            <w:tcW w:w="2098" w:type="dxa"/>
            <w:tcBorders>
              <w:bottom w:val="nil"/>
            </w:tcBorders>
          </w:tcPr>
          <w:p w:rsidR="00000000" w:rsidRDefault="00000000">
            <w:pPr>
              <w:pStyle w:val="BodyText2"/>
              <w:spacing w:before="60" w:after="60"/>
              <w:jc w:val="center"/>
              <w:rPr>
                <w:b w:val="0"/>
                <w:caps w:val="0"/>
              </w:rPr>
            </w:pPr>
            <w:r>
              <w:rPr>
                <w:b w:val="0"/>
                <w:caps w:val="0"/>
              </w:rPr>
              <w:t>Всего</w:t>
            </w:r>
          </w:p>
        </w:tc>
        <w:tc>
          <w:tcPr>
            <w:tcW w:w="1134" w:type="dxa"/>
            <w:tcBorders>
              <w:bottom w:val="nil"/>
            </w:tcBorders>
          </w:tcPr>
          <w:p w:rsidR="00000000" w:rsidRDefault="00000000">
            <w:pPr>
              <w:pStyle w:val="BodyText2"/>
              <w:spacing w:before="60" w:after="60"/>
              <w:ind w:right="284"/>
              <w:jc w:val="right"/>
              <w:rPr>
                <w:b w:val="0"/>
                <w:caps w:val="0"/>
              </w:rPr>
            </w:pPr>
            <w:r>
              <w:rPr>
                <w:b w:val="0"/>
                <w:caps w:val="0"/>
              </w:rPr>
              <w:t>100,0</w:t>
            </w:r>
          </w:p>
        </w:tc>
        <w:tc>
          <w:tcPr>
            <w:tcW w:w="1418" w:type="dxa"/>
            <w:tcBorders>
              <w:bottom w:val="nil"/>
            </w:tcBorders>
          </w:tcPr>
          <w:p w:rsidR="00000000" w:rsidRDefault="00000000">
            <w:pPr>
              <w:pStyle w:val="BodyText2"/>
              <w:spacing w:before="60" w:after="60"/>
              <w:ind w:right="397"/>
              <w:jc w:val="right"/>
              <w:rPr>
                <w:b w:val="0"/>
                <w:caps w:val="0"/>
              </w:rPr>
            </w:pPr>
            <w:r>
              <w:rPr>
                <w:b w:val="0"/>
                <w:caps w:val="0"/>
              </w:rPr>
              <w:t>100,0</w:t>
            </w:r>
          </w:p>
        </w:tc>
        <w:tc>
          <w:tcPr>
            <w:tcW w:w="1134" w:type="dxa"/>
            <w:tcBorders>
              <w:bottom w:val="nil"/>
            </w:tcBorders>
          </w:tcPr>
          <w:p w:rsidR="00000000" w:rsidRDefault="00000000">
            <w:pPr>
              <w:pStyle w:val="BodyText2"/>
              <w:spacing w:before="60" w:after="60"/>
              <w:ind w:right="227"/>
              <w:jc w:val="right"/>
              <w:rPr>
                <w:b w:val="0"/>
                <w:caps w:val="0"/>
              </w:rPr>
            </w:pPr>
            <w:r>
              <w:rPr>
                <w:b w:val="0"/>
                <w:caps w:val="0"/>
              </w:rPr>
              <w:t>100,0</w:t>
            </w:r>
          </w:p>
        </w:tc>
        <w:tc>
          <w:tcPr>
            <w:tcW w:w="1134" w:type="dxa"/>
            <w:tcBorders>
              <w:bottom w:val="nil"/>
            </w:tcBorders>
          </w:tcPr>
          <w:p w:rsidR="00000000" w:rsidRDefault="00000000">
            <w:pPr>
              <w:pStyle w:val="BodyText2"/>
              <w:spacing w:before="60" w:after="60"/>
              <w:ind w:right="284"/>
              <w:jc w:val="right"/>
              <w:rPr>
                <w:b w:val="0"/>
                <w:caps w:val="0"/>
              </w:rPr>
            </w:pPr>
            <w:r>
              <w:rPr>
                <w:b w:val="0"/>
                <w:caps w:val="0"/>
              </w:rPr>
              <w:t>100,0</w:t>
            </w:r>
          </w:p>
        </w:tc>
        <w:tc>
          <w:tcPr>
            <w:tcW w:w="1588" w:type="dxa"/>
            <w:tcBorders>
              <w:bottom w:val="nil"/>
            </w:tcBorders>
          </w:tcPr>
          <w:p w:rsidR="00000000" w:rsidRDefault="00000000">
            <w:pPr>
              <w:pStyle w:val="BodyText2"/>
              <w:spacing w:before="60" w:after="60"/>
              <w:ind w:right="567"/>
              <w:jc w:val="right"/>
              <w:rPr>
                <w:b w:val="0"/>
                <w:caps w:val="0"/>
              </w:rPr>
            </w:pPr>
            <w:r>
              <w:rPr>
                <w:b w:val="0"/>
                <w:caps w:val="0"/>
              </w:rPr>
              <w:t>100,0</w:t>
            </w:r>
          </w:p>
        </w:tc>
        <w:tc>
          <w:tcPr>
            <w:tcW w:w="1134" w:type="dxa"/>
            <w:tcBorders>
              <w:bottom w:val="nil"/>
            </w:tcBorders>
          </w:tcPr>
          <w:p w:rsidR="00000000" w:rsidRDefault="00000000">
            <w:pPr>
              <w:pStyle w:val="BodyText2"/>
              <w:spacing w:before="60" w:after="60"/>
              <w:ind w:right="284"/>
              <w:jc w:val="right"/>
              <w:rPr>
                <w:b w:val="0"/>
                <w:caps w:val="0"/>
              </w:rPr>
            </w:pPr>
            <w:r>
              <w:rPr>
                <w:b w:val="0"/>
                <w:caps w:val="0"/>
              </w:rPr>
              <w:t>100,0</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До 1975 года</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21,7</w:t>
            </w:r>
          </w:p>
        </w:tc>
        <w:tc>
          <w:tcPr>
            <w:tcW w:w="1418" w:type="dxa"/>
            <w:tcBorders>
              <w:top w:val="nil"/>
              <w:bottom w:val="nil"/>
            </w:tcBorders>
          </w:tcPr>
          <w:p w:rsidR="00000000" w:rsidRDefault="00000000">
            <w:pPr>
              <w:pStyle w:val="BodyText2"/>
              <w:spacing w:before="60" w:after="60"/>
              <w:ind w:right="397"/>
              <w:jc w:val="right"/>
              <w:rPr>
                <w:b w:val="0"/>
                <w:caps w:val="0"/>
              </w:rPr>
            </w:pPr>
            <w:r>
              <w:rPr>
                <w:b w:val="0"/>
                <w:caps w:val="0"/>
              </w:rPr>
              <w:t>23,1</w:t>
            </w:r>
          </w:p>
        </w:tc>
        <w:tc>
          <w:tcPr>
            <w:tcW w:w="1134" w:type="dxa"/>
            <w:tcBorders>
              <w:top w:val="nil"/>
              <w:bottom w:val="nil"/>
            </w:tcBorders>
          </w:tcPr>
          <w:p w:rsidR="00000000" w:rsidRDefault="00000000">
            <w:pPr>
              <w:pStyle w:val="BodyText2"/>
              <w:spacing w:before="60" w:after="60"/>
              <w:ind w:right="227"/>
              <w:jc w:val="right"/>
              <w:rPr>
                <w:b w:val="0"/>
                <w:caps w:val="0"/>
              </w:rPr>
            </w:pPr>
            <w:r>
              <w:rPr>
                <w:b w:val="0"/>
                <w:caps w:val="0"/>
              </w:rPr>
              <w:t>27,6</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14,1</w:t>
            </w:r>
          </w:p>
        </w:tc>
        <w:tc>
          <w:tcPr>
            <w:tcW w:w="1588" w:type="dxa"/>
            <w:tcBorders>
              <w:top w:val="nil"/>
              <w:bottom w:val="nil"/>
            </w:tcBorders>
          </w:tcPr>
          <w:p w:rsidR="00000000" w:rsidRDefault="00000000">
            <w:pPr>
              <w:pStyle w:val="BodyText2"/>
              <w:spacing w:before="60" w:after="60"/>
              <w:ind w:right="567"/>
              <w:jc w:val="right"/>
              <w:rPr>
                <w:b w:val="0"/>
                <w:caps w:val="0"/>
              </w:rPr>
            </w:pPr>
            <w:r>
              <w:rPr>
                <w:b w:val="0"/>
                <w:caps w:val="0"/>
              </w:rPr>
              <w:t>27,3</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8,9</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1975–1985</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27,4</w:t>
            </w:r>
          </w:p>
        </w:tc>
        <w:tc>
          <w:tcPr>
            <w:tcW w:w="1418" w:type="dxa"/>
            <w:tcBorders>
              <w:top w:val="nil"/>
              <w:bottom w:val="nil"/>
            </w:tcBorders>
          </w:tcPr>
          <w:p w:rsidR="00000000" w:rsidRDefault="00000000">
            <w:pPr>
              <w:pStyle w:val="BodyText2"/>
              <w:spacing w:before="60" w:after="60"/>
              <w:ind w:right="397"/>
              <w:jc w:val="right"/>
              <w:rPr>
                <w:b w:val="0"/>
                <w:caps w:val="0"/>
              </w:rPr>
            </w:pPr>
            <w:r>
              <w:rPr>
                <w:b w:val="0"/>
                <w:caps w:val="0"/>
              </w:rPr>
              <w:t>30,6</w:t>
            </w:r>
          </w:p>
        </w:tc>
        <w:tc>
          <w:tcPr>
            <w:tcW w:w="1134" w:type="dxa"/>
            <w:tcBorders>
              <w:top w:val="nil"/>
              <w:bottom w:val="nil"/>
            </w:tcBorders>
          </w:tcPr>
          <w:p w:rsidR="00000000" w:rsidRDefault="00000000">
            <w:pPr>
              <w:pStyle w:val="BodyText2"/>
              <w:spacing w:before="60" w:after="60"/>
              <w:ind w:right="227"/>
              <w:jc w:val="right"/>
              <w:rPr>
                <w:b w:val="0"/>
                <w:caps w:val="0"/>
              </w:rPr>
            </w:pPr>
            <w:r>
              <w:rPr>
                <w:b w:val="0"/>
                <w:caps w:val="0"/>
              </w:rPr>
              <w:t>29,2</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28,3</w:t>
            </w:r>
          </w:p>
        </w:tc>
        <w:tc>
          <w:tcPr>
            <w:tcW w:w="1588" w:type="dxa"/>
            <w:tcBorders>
              <w:top w:val="nil"/>
              <w:bottom w:val="nil"/>
            </w:tcBorders>
          </w:tcPr>
          <w:p w:rsidR="00000000" w:rsidRDefault="00000000">
            <w:pPr>
              <w:pStyle w:val="BodyText2"/>
              <w:spacing w:before="60" w:after="60"/>
              <w:ind w:right="567"/>
              <w:jc w:val="right"/>
              <w:rPr>
                <w:b w:val="0"/>
                <w:caps w:val="0"/>
              </w:rPr>
            </w:pPr>
            <w:r>
              <w:rPr>
                <w:b w:val="0"/>
                <w:caps w:val="0"/>
              </w:rPr>
              <w:t>20,7</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18,5</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1986–1993</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32,8</w:t>
            </w:r>
          </w:p>
        </w:tc>
        <w:tc>
          <w:tcPr>
            <w:tcW w:w="1418" w:type="dxa"/>
            <w:tcBorders>
              <w:top w:val="nil"/>
              <w:bottom w:val="nil"/>
            </w:tcBorders>
          </w:tcPr>
          <w:p w:rsidR="00000000" w:rsidRDefault="00000000">
            <w:pPr>
              <w:pStyle w:val="BodyText2"/>
              <w:spacing w:before="60" w:after="60"/>
              <w:ind w:right="397"/>
              <w:jc w:val="right"/>
              <w:rPr>
                <w:b w:val="0"/>
                <w:caps w:val="0"/>
              </w:rPr>
            </w:pPr>
            <w:r>
              <w:rPr>
                <w:b w:val="0"/>
                <w:caps w:val="0"/>
              </w:rPr>
              <w:t>33,3</w:t>
            </w:r>
          </w:p>
        </w:tc>
        <w:tc>
          <w:tcPr>
            <w:tcW w:w="1134" w:type="dxa"/>
            <w:tcBorders>
              <w:top w:val="nil"/>
              <w:bottom w:val="nil"/>
            </w:tcBorders>
          </w:tcPr>
          <w:p w:rsidR="00000000" w:rsidRDefault="00000000">
            <w:pPr>
              <w:pStyle w:val="BodyText2"/>
              <w:spacing w:before="60" w:after="60"/>
              <w:ind w:right="227"/>
              <w:jc w:val="right"/>
              <w:rPr>
                <w:b w:val="0"/>
                <w:caps w:val="0"/>
              </w:rPr>
            </w:pPr>
            <w:r>
              <w:rPr>
                <w:b w:val="0"/>
                <w:caps w:val="0"/>
              </w:rPr>
              <w:t>27,1</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32,7</w:t>
            </w:r>
          </w:p>
        </w:tc>
        <w:tc>
          <w:tcPr>
            <w:tcW w:w="1588" w:type="dxa"/>
            <w:tcBorders>
              <w:top w:val="nil"/>
              <w:bottom w:val="nil"/>
            </w:tcBorders>
          </w:tcPr>
          <w:p w:rsidR="00000000" w:rsidRDefault="00000000">
            <w:pPr>
              <w:pStyle w:val="BodyText2"/>
              <w:spacing w:before="60" w:after="60"/>
              <w:ind w:right="567"/>
              <w:jc w:val="right"/>
              <w:rPr>
                <w:b w:val="0"/>
                <w:caps w:val="0"/>
              </w:rPr>
            </w:pPr>
            <w:r>
              <w:rPr>
                <w:b w:val="0"/>
                <w:caps w:val="0"/>
              </w:rPr>
              <w:t>34,7</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38,6</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1994–1999</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18,1</w:t>
            </w:r>
          </w:p>
        </w:tc>
        <w:tc>
          <w:tcPr>
            <w:tcW w:w="1418" w:type="dxa"/>
            <w:tcBorders>
              <w:top w:val="nil"/>
              <w:bottom w:val="nil"/>
            </w:tcBorders>
          </w:tcPr>
          <w:p w:rsidR="00000000" w:rsidRDefault="00000000">
            <w:pPr>
              <w:pStyle w:val="BodyText2"/>
              <w:spacing w:before="60" w:after="60"/>
              <w:ind w:right="397"/>
              <w:jc w:val="right"/>
              <w:rPr>
                <w:b w:val="0"/>
                <w:caps w:val="0"/>
              </w:rPr>
            </w:pPr>
            <w:r>
              <w:rPr>
                <w:b w:val="0"/>
                <w:caps w:val="0"/>
              </w:rPr>
              <w:t>13,0</w:t>
            </w:r>
          </w:p>
        </w:tc>
        <w:tc>
          <w:tcPr>
            <w:tcW w:w="1134" w:type="dxa"/>
            <w:tcBorders>
              <w:top w:val="nil"/>
              <w:bottom w:val="nil"/>
            </w:tcBorders>
          </w:tcPr>
          <w:p w:rsidR="00000000" w:rsidRDefault="00000000">
            <w:pPr>
              <w:pStyle w:val="BodyText2"/>
              <w:spacing w:before="60" w:after="60"/>
              <w:ind w:right="227"/>
              <w:jc w:val="right"/>
              <w:rPr>
                <w:b w:val="0"/>
                <w:caps w:val="0"/>
              </w:rPr>
            </w:pPr>
            <w:r>
              <w:rPr>
                <w:b w:val="0"/>
                <w:caps w:val="0"/>
              </w:rPr>
              <w:t>16,1</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24,9</w:t>
            </w:r>
          </w:p>
        </w:tc>
        <w:tc>
          <w:tcPr>
            <w:tcW w:w="1588" w:type="dxa"/>
            <w:tcBorders>
              <w:top w:val="nil"/>
              <w:bottom w:val="nil"/>
            </w:tcBorders>
          </w:tcPr>
          <w:p w:rsidR="00000000" w:rsidRDefault="00000000">
            <w:pPr>
              <w:pStyle w:val="BodyText2"/>
              <w:spacing w:before="60" w:after="60"/>
              <w:ind w:right="567"/>
              <w:jc w:val="right"/>
              <w:rPr>
                <w:b w:val="0"/>
                <w:caps w:val="0"/>
              </w:rPr>
            </w:pPr>
            <w:r>
              <w:rPr>
                <w:b w:val="0"/>
                <w:caps w:val="0"/>
              </w:rPr>
              <w:t>17,4</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34,0</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p>
        </w:tc>
        <w:tc>
          <w:tcPr>
            <w:tcW w:w="1134" w:type="dxa"/>
            <w:tcBorders>
              <w:top w:val="nil"/>
              <w:bottom w:val="nil"/>
            </w:tcBorders>
          </w:tcPr>
          <w:p w:rsidR="00000000" w:rsidRDefault="00000000">
            <w:pPr>
              <w:pStyle w:val="BodyText2"/>
              <w:spacing w:before="60" w:after="60"/>
              <w:ind w:right="284"/>
              <w:jc w:val="right"/>
              <w:rPr>
                <w:b w:val="0"/>
                <w:caps w:val="0"/>
              </w:rPr>
            </w:pPr>
          </w:p>
        </w:tc>
        <w:tc>
          <w:tcPr>
            <w:tcW w:w="1418" w:type="dxa"/>
            <w:tcBorders>
              <w:top w:val="nil"/>
              <w:bottom w:val="nil"/>
            </w:tcBorders>
          </w:tcPr>
          <w:p w:rsidR="00000000" w:rsidRDefault="00000000">
            <w:pPr>
              <w:pStyle w:val="BodyText2"/>
              <w:spacing w:before="60" w:after="60"/>
              <w:ind w:right="397"/>
              <w:jc w:val="right"/>
              <w:rPr>
                <w:b w:val="0"/>
                <w:caps w:val="0"/>
              </w:rPr>
            </w:pPr>
          </w:p>
        </w:tc>
        <w:tc>
          <w:tcPr>
            <w:tcW w:w="1134" w:type="dxa"/>
            <w:tcBorders>
              <w:top w:val="nil"/>
              <w:bottom w:val="nil"/>
            </w:tcBorders>
          </w:tcPr>
          <w:p w:rsidR="00000000" w:rsidRDefault="00000000">
            <w:pPr>
              <w:pStyle w:val="BodyText2"/>
              <w:spacing w:before="60" w:after="60"/>
              <w:ind w:right="227"/>
              <w:jc w:val="right"/>
              <w:rPr>
                <w:b w:val="0"/>
                <w:caps w:val="0"/>
              </w:rPr>
            </w:pPr>
          </w:p>
        </w:tc>
        <w:tc>
          <w:tcPr>
            <w:tcW w:w="1134" w:type="dxa"/>
            <w:tcBorders>
              <w:top w:val="nil"/>
              <w:bottom w:val="nil"/>
            </w:tcBorders>
          </w:tcPr>
          <w:p w:rsidR="00000000" w:rsidRDefault="00000000">
            <w:pPr>
              <w:pStyle w:val="BodyText2"/>
              <w:spacing w:before="60" w:after="60"/>
              <w:ind w:right="284"/>
              <w:jc w:val="right"/>
              <w:rPr>
                <w:b w:val="0"/>
                <w:caps w:val="0"/>
              </w:rPr>
            </w:pPr>
          </w:p>
        </w:tc>
        <w:tc>
          <w:tcPr>
            <w:tcW w:w="1588" w:type="dxa"/>
            <w:tcBorders>
              <w:top w:val="nil"/>
              <w:bottom w:val="nil"/>
            </w:tcBorders>
          </w:tcPr>
          <w:p w:rsidR="00000000" w:rsidRDefault="00000000">
            <w:pPr>
              <w:pStyle w:val="BodyText2"/>
              <w:spacing w:before="60" w:after="60"/>
              <w:ind w:right="567"/>
              <w:jc w:val="right"/>
              <w:rPr>
                <w:b w:val="0"/>
                <w:caps w:val="0"/>
              </w:rPr>
            </w:pPr>
          </w:p>
        </w:tc>
        <w:tc>
          <w:tcPr>
            <w:tcW w:w="1134" w:type="dxa"/>
            <w:tcBorders>
              <w:top w:val="nil"/>
              <w:bottom w:val="nil"/>
            </w:tcBorders>
          </w:tcPr>
          <w:p w:rsidR="00000000" w:rsidRDefault="00000000">
            <w:pPr>
              <w:pStyle w:val="BodyText2"/>
              <w:spacing w:before="60" w:after="60"/>
              <w:ind w:right="284"/>
              <w:jc w:val="right"/>
              <w:rPr>
                <w:b w:val="0"/>
                <w:caps w:val="0"/>
              </w:rPr>
            </w:pP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Всего</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100,0</w:t>
            </w:r>
          </w:p>
        </w:tc>
        <w:tc>
          <w:tcPr>
            <w:tcW w:w="1418" w:type="dxa"/>
            <w:tcBorders>
              <w:top w:val="nil"/>
              <w:bottom w:val="nil"/>
            </w:tcBorders>
          </w:tcPr>
          <w:p w:rsidR="00000000" w:rsidRDefault="00000000">
            <w:pPr>
              <w:pStyle w:val="BodyText2"/>
              <w:spacing w:before="60" w:after="60"/>
              <w:ind w:right="397"/>
              <w:jc w:val="right"/>
              <w:rPr>
                <w:b w:val="0"/>
                <w:caps w:val="0"/>
              </w:rPr>
            </w:pPr>
            <w:r>
              <w:rPr>
                <w:b w:val="0"/>
                <w:caps w:val="0"/>
              </w:rPr>
              <w:t>47,8</w:t>
            </w:r>
          </w:p>
        </w:tc>
        <w:tc>
          <w:tcPr>
            <w:tcW w:w="1134" w:type="dxa"/>
            <w:tcBorders>
              <w:top w:val="nil"/>
              <w:bottom w:val="nil"/>
            </w:tcBorders>
          </w:tcPr>
          <w:p w:rsidR="00000000" w:rsidRDefault="00000000">
            <w:pPr>
              <w:pStyle w:val="BodyText2"/>
              <w:spacing w:before="60" w:after="60"/>
              <w:ind w:right="227"/>
              <w:jc w:val="right"/>
              <w:rPr>
                <w:b w:val="0"/>
                <w:caps w:val="0"/>
              </w:rPr>
            </w:pPr>
            <w:r>
              <w:rPr>
                <w:b w:val="0"/>
                <w:caps w:val="0"/>
              </w:rPr>
              <w:t>22,5</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5,4</w:t>
            </w:r>
          </w:p>
        </w:tc>
        <w:tc>
          <w:tcPr>
            <w:tcW w:w="1588" w:type="dxa"/>
            <w:tcBorders>
              <w:top w:val="nil"/>
              <w:bottom w:val="nil"/>
            </w:tcBorders>
          </w:tcPr>
          <w:p w:rsidR="00000000" w:rsidRDefault="00000000">
            <w:pPr>
              <w:pStyle w:val="BodyText2"/>
              <w:spacing w:before="60" w:after="60"/>
              <w:ind w:right="567"/>
              <w:jc w:val="right"/>
              <w:rPr>
                <w:b w:val="0"/>
                <w:caps w:val="0"/>
              </w:rPr>
            </w:pPr>
            <w:r>
              <w:rPr>
                <w:b w:val="0"/>
                <w:caps w:val="0"/>
              </w:rPr>
              <w:t>8,2</w:t>
            </w:r>
          </w:p>
        </w:tc>
        <w:tc>
          <w:tcPr>
            <w:tcW w:w="1134" w:type="dxa"/>
            <w:tcBorders>
              <w:top w:val="nil"/>
              <w:bottom w:val="nil"/>
            </w:tcBorders>
          </w:tcPr>
          <w:p w:rsidR="00000000" w:rsidRDefault="00000000">
            <w:pPr>
              <w:pStyle w:val="BodyText2"/>
              <w:spacing w:before="60" w:after="60"/>
              <w:ind w:right="284"/>
              <w:jc w:val="right"/>
              <w:rPr>
                <w:b w:val="0"/>
                <w:caps w:val="0"/>
              </w:rPr>
            </w:pPr>
            <w:r>
              <w:rPr>
                <w:b w:val="0"/>
                <w:caps w:val="0"/>
              </w:rPr>
              <w:t>16,0</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rPr>
            </w:pPr>
            <w:r>
              <w:rPr>
                <w:b w:val="0"/>
                <w:caps w:val="0"/>
              </w:rPr>
              <w:t>До 1975 года</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100,0</w:t>
            </w:r>
          </w:p>
        </w:tc>
        <w:tc>
          <w:tcPr>
            <w:tcW w:w="1418" w:type="dxa"/>
            <w:tcBorders>
              <w:top w:val="nil"/>
              <w:bottom w:val="nil"/>
            </w:tcBorders>
          </w:tcPr>
          <w:p w:rsidR="00000000" w:rsidRDefault="00000000">
            <w:pPr>
              <w:pStyle w:val="BodyText2"/>
              <w:spacing w:before="60" w:after="60"/>
              <w:ind w:right="397"/>
              <w:jc w:val="right"/>
              <w:rPr>
                <w:b w:val="0"/>
                <w:caps w:val="0"/>
                <w:lang w:val="en-US"/>
              </w:rPr>
            </w:pPr>
            <w:r>
              <w:rPr>
                <w:b w:val="0"/>
                <w:caps w:val="0"/>
                <w:lang w:val="en-US"/>
              </w:rPr>
              <w:t>50,9</w:t>
            </w:r>
          </w:p>
        </w:tc>
        <w:tc>
          <w:tcPr>
            <w:tcW w:w="1134" w:type="dxa"/>
            <w:tcBorders>
              <w:top w:val="nil"/>
              <w:bottom w:val="nil"/>
            </w:tcBorders>
          </w:tcPr>
          <w:p w:rsidR="00000000" w:rsidRDefault="00000000">
            <w:pPr>
              <w:pStyle w:val="BodyText2"/>
              <w:spacing w:before="60" w:after="60"/>
              <w:ind w:right="227"/>
              <w:jc w:val="right"/>
              <w:rPr>
                <w:b w:val="0"/>
                <w:caps w:val="0"/>
                <w:lang w:val="en-US"/>
              </w:rPr>
            </w:pPr>
            <w:r>
              <w:rPr>
                <w:b w:val="0"/>
                <w:caps w:val="0"/>
                <w:lang w:val="en-US"/>
              </w:rPr>
              <w:t>28,6</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3,5</w:t>
            </w:r>
          </w:p>
        </w:tc>
        <w:tc>
          <w:tcPr>
            <w:tcW w:w="1588" w:type="dxa"/>
            <w:tcBorders>
              <w:top w:val="nil"/>
              <w:bottom w:val="nil"/>
            </w:tcBorders>
          </w:tcPr>
          <w:p w:rsidR="00000000" w:rsidRDefault="00000000">
            <w:pPr>
              <w:pStyle w:val="BodyText2"/>
              <w:spacing w:before="60" w:after="60"/>
              <w:ind w:right="567"/>
              <w:jc w:val="right"/>
              <w:rPr>
                <w:b w:val="0"/>
                <w:caps w:val="0"/>
                <w:lang w:val="en-US"/>
              </w:rPr>
            </w:pPr>
            <w:r>
              <w:rPr>
                <w:b w:val="0"/>
                <w:caps w:val="0"/>
                <w:lang w:val="en-US"/>
              </w:rPr>
              <w:t>10,4</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6,6</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lang w:val="en-US"/>
              </w:rPr>
            </w:pPr>
            <w:r>
              <w:rPr>
                <w:b w:val="0"/>
                <w:caps w:val="0"/>
                <w:lang w:val="en-US"/>
              </w:rPr>
              <w:t>1975–1985</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100,0</w:t>
            </w:r>
          </w:p>
        </w:tc>
        <w:tc>
          <w:tcPr>
            <w:tcW w:w="1418" w:type="dxa"/>
            <w:tcBorders>
              <w:top w:val="nil"/>
              <w:bottom w:val="nil"/>
            </w:tcBorders>
          </w:tcPr>
          <w:p w:rsidR="00000000" w:rsidRDefault="00000000">
            <w:pPr>
              <w:pStyle w:val="BodyText2"/>
              <w:spacing w:before="60" w:after="60"/>
              <w:ind w:right="397"/>
              <w:jc w:val="right"/>
              <w:rPr>
                <w:b w:val="0"/>
                <w:caps w:val="0"/>
                <w:lang w:val="en-US"/>
              </w:rPr>
            </w:pPr>
            <w:r>
              <w:rPr>
                <w:b w:val="0"/>
                <w:caps w:val="0"/>
                <w:lang w:val="en-US"/>
              </w:rPr>
              <w:t>53,4</w:t>
            </w:r>
          </w:p>
        </w:tc>
        <w:tc>
          <w:tcPr>
            <w:tcW w:w="1134" w:type="dxa"/>
            <w:tcBorders>
              <w:top w:val="nil"/>
              <w:bottom w:val="nil"/>
            </w:tcBorders>
          </w:tcPr>
          <w:p w:rsidR="00000000" w:rsidRDefault="00000000">
            <w:pPr>
              <w:pStyle w:val="BodyText2"/>
              <w:spacing w:before="60" w:after="60"/>
              <w:ind w:right="227"/>
              <w:jc w:val="right"/>
              <w:rPr>
                <w:b w:val="0"/>
                <w:caps w:val="0"/>
                <w:lang w:val="en-US"/>
              </w:rPr>
            </w:pPr>
            <w:r>
              <w:rPr>
                <w:b w:val="0"/>
                <w:caps w:val="0"/>
                <w:lang w:val="en-US"/>
              </w:rPr>
              <w:t>23,9</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5,6</w:t>
            </w:r>
          </w:p>
        </w:tc>
        <w:tc>
          <w:tcPr>
            <w:tcW w:w="1588" w:type="dxa"/>
            <w:tcBorders>
              <w:top w:val="nil"/>
              <w:bottom w:val="nil"/>
            </w:tcBorders>
          </w:tcPr>
          <w:p w:rsidR="00000000" w:rsidRDefault="00000000">
            <w:pPr>
              <w:pStyle w:val="BodyText2"/>
              <w:spacing w:before="60" w:after="60"/>
              <w:ind w:right="567"/>
              <w:jc w:val="right"/>
              <w:rPr>
                <w:b w:val="0"/>
                <w:caps w:val="0"/>
                <w:lang w:val="en-US"/>
              </w:rPr>
            </w:pPr>
            <w:r>
              <w:rPr>
                <w:b w:val="0"/>
                <w:caps w:val="0"/>
                <w:lang w:val="en-US"/>
              </w:rPr>
              <w:t>6,2</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10,8</w:t>
            </w:r>
          </w:p>
        </w:tc>
      </w:tr>
      <w:tr w:rsidR="00000000">
        <w:tblPrEx>
          <w:tblCellMar>
            <w:top w:w="0" w:type="dxa"/>
            <w:bottom w:w="0" w:type="dxa"/>
          </w:tblCellMar>
        </w:tblPrEx>
        <w:trPr>
          <w:cantSplit/>
          <w:jc w:val="center"/>
        </w:trPr>
        <w:tc>
          <w:tcPr>
            <w:tcW w:w="2098" w:type="dxa"/>
            <w:tcBorders>
              <w:top w:val="nil"/>
              <w:bottom w:val="nil"/>
            </w:tcBorders>
          </w:tcPr>
          <w:p w:rsidR="00000000" w:rsidRDefault="00000000">
            <w:pPr>
              <w:pStyle w:val="BodyText2"/>
              <w:spacing w:before="60" w:after="60"/>
              <w:jc w:val="center"/>
              <w:rPr>
                <w:b w:val="0"/>
                <w:caps w:val="0"/>
                <w:lang w:val="en-US"/>
              </w:rPr>
            </w:pPr>
            <w:r>
              <w:rPr>
                <w:b w:val="0"/>
                <w:caps w:val="0"/>
                <w:lang w:val="en-US"/>
              </w:rPr>
              <w:t>1986–1993</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100,0</w:t>
            </w:r>
          </w:p>
        </w:tc>
        <w:tc>
          <w:tcPr>
            <w:tcW w:w="1418" w:type="dxa"/>
            <w:tcBorders>
              <w:top w:val="nil"/>
              <w:bottom w:val="nil"/>
            </w:tcBorders>
          </w:tcPr>
          <w:p w:rsidR="00000000" w:rsidRDefault="00000000">
            <w:pPr>
              <w:pStyle w:val="BodyText2"/>
              <w:spacing w:before="60" w:after="60"/>
              <w:ind w:right="397"/>
              <w:jc w:val="right"/>
              <w:rPr>
                <w:b w:val="0"/>
                <w:caps w:val="0"/>
                <w:lang w:val="en-US"/>
              </w:rPr>
            </w:pPr>
            <w:r>
              <w:rPr>
                <w:b w:val="0"/>
                <w:caps w:val="0"/>
                <w:lang w:val="en-US"/>
              </w:rPr>
              <w:t>48,5</w:t>
            </w:r>
          </w:p>
        </w:tc>
        <w:tc>
          <w:tcPr>
            <w:tcW w:w="1134" w:type="dxa"/>
            <w:tcBorders>
              <w:top w:val="nil"/>
              <w:bottom w:val="nil"/>
            </w:tcBorders>
          </w:tcPr>
          <w:p w:rsidR="00000000" w:rsidRDefault="00000000">
            <w:pPr>
              <w:pStyle w:val="BodyText2"/>
              <w:spacing w:before="60" w:after="60"/>
              <w:ind w:right="227"/>
              <w:jc w:val="right"/>
              <w:rPr>
                <w:b w:val="0"/>
                <w:caps w:val="0"/>
                <w:lang w:val="en-US"/>
              </w:rPr>
            </w:pPr>
            <w:r>
              <w:rPr>
                <w:b w:val="0"/>
                <w:caps w:val="0"/>
                <w:lang w:val="en-US"/>
              </w:rPr>
              <w:t>18,6</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5,4</w:t>
            </w:r>
          </w:p>
        </w:tc>
        <w:tc>
          <w:tcPr>
            <w:tcW w:w="1588" w:type="dxa"/>
            <w:tcBorders>
              <w:top w:val="nil"/>
              <w:bottom w:val="nil"/>
            </w:tcBorders>
          </w:tcPr>
          <w:p w:rsidR="00000000" w:rsidRDefault="00000000">
            <w:pPr>
              <w:pStyle w:val="BodyText2"/>
              <w:spacing w:before="60" w:after="60"/>
              <w:ind w:right="567"/>
              <w:jc w:val="right"/>
              <w:rPr>
                <w:b w:val="0"/>
                <w:caps w:val="0"/>
                <w:lang w:val="en-US"/>
              </w:rPr>
            </w:pPr>
            <w:r>
              <w:rPr>
                <w:b w:val="0"/>
                <w:caps w:val="0"/>
                <w:lang w:val="en-US"/>
              </w:rPr>
              <w:t>8,7</w:t>
            </w:r>
          </w:p>
        </w:tc>
        <w:tc>
          <w:tcPr>
            <w:tcW w:w="1134" w:type="dxa"/>
            <w:tcBorders>
              <w:top w:val="nil"/>
              <w:bottom w:val="nil"/>
            </w:tcBorders>
          </w:tcPr>
          <w:p w:rsidR="00000000" w:rsidRDefault="00000000">
            <w:pPr>
              <w:pStyle w:val="BodyText2"/>
              <w:spacing w:before="60" w:after="60"/>
              <w:ind w:right="284"/>
              <w:jc w:val="right"/>
              <w:rPr>
                <w:b w:val="0"/>
                <w:caps w:val="0"/>
                <w:lang w:val="en-US"/>
              </w:rPr>
            </w:pPr>
            <w:r>
              <w:rPr>
                <w:b w:val="0"/>
                <w:caps w:val="0"/>
                <w:lang w:val="en-US"/>
              </w:rPr>
              <w:t>18,8</w:t>
            </w:r>
          </w:p>
        </w:tc>
      </w:tr>
      <w:tr w:rsidR="00000000">
        <w:tblPrEx>
          <w:tblCellMar>
            <w:top w:w="0" w:type="dxa"/>
            <w:bottom w:w="0" w:type="dxa"/>
          </w:tblCellMar>
        </w:tblPrEx>
        <w:trPr>
          <w:cantSplit/>
          <w:jc w:val="center"/>
        </w:trPr>
        <w:tc>
          <w:tcPr>
            <w:tcW w:w="2098" w:type="dxa"/>
            <w:tcBorders>
              <w:top w:val="nil"/>
            </w:tcBorders>
          </w:tcPr>
          <w:p w:rsidR="00000000" w:rsidRDefault="00000000">
            <w:pPr>
              <w:pStyle w:val="BodyText2"/>
              <w:spacing w:before="60" w:after="60"/>
              <w:jc w:val="center"/>
              <w:rPr>
                <w:b w:val="0"/>
                <w:caps w:val="0"/>
                <w:lang w:val="en-US"/>
              </w:rPr>
            </w:pPr>
            <w:r>
              <w:rPr>
                <w:b w:val="0"/>
                <w:caps w:val="0"/>
                <w:lang w:val="en-US"/>
              </w:rPr>
              <w:t>1994–1999</w:t>
            </w:r>
          </w:p>
        </w:tc>
        <w:tc>
          <w:tcPr>
            <w:tcW w:w="1134" w:type="dxa"/>
            <w:tcBorders>
              <w:top w:val="nil"/>
            </w:tcBorders>
          </w:tcPr>
          <w:p w:rsidR="00000000" w:rsidRDefault="00000000">
            <w:pPr>
              <w:pStyle w:val="BodyText2"/>
              <w:spacing w:before="60" w:after="60"/>
              <w:ind w:right="284"/>
              <w:jc w:val="right"/>
              <w:rPr>
                <w:b w:val="0"/>
                <w:caps w:val="0"/>
                <w:lang w:val="en-US"/>
              </w:rPr>
            </w:pPr>
            <w:r>
              <w:rPr>
                <w:b w:val="0"/>
                <w:caps w:val="0"/>
                <w:lang w:val="en-US"/>
              </w:rPr>
              <w:t>100,0</w:t>
            </w:r>
          </w:p>
        </w:tc>
        <w:tc>
          <w:tcPr>
            <w:tcW w:w="1418" w:type="dxa"/>
            <w:tcBorders>
              <w:top w:val="nil"/>
            </w:tcBorders>
          </w:tcPr>
          <w:p w:rsidR="00000000" w:rsidRDefault="00000000">
            <w:pPr>
              <w:pStyle w:val="BodyText2"/>
              <w:spacing w:before="60" w:after="60"/>
              <w:ind w:right="397"/>
              <w:jc w:val="right"/>
              <w:rPr>
                <w:b w:val="0"/>
                <w:caps w:val="0"/>
                <w:lang w:val="en-US"/>
              </w:rPr>
            </w:pPr>
            <w:r>
              <w:rPr>
                <w:b w:val="0"/>
                <w:caps w:val="0"/>
                <w:lang w:val="en-US"/>
              </w:rPr>
              <w:t>34,4</w:t>
            </w:r>
          </w:p>
        </w:tc>
        <w:tc>
          <w:tcPr>
            <w:tcW w:w="1134" w:type="dxa"/>
            <w:tcBorders>
              <w:top w:val="nil"/>
            </w:tcBorders>
          </w:tcPr>
          <w:p w:rsidR="00000000" w:rsidRDefault="00000000">
            <w:pPr>
              <w:pStyle w:val="BodyText2"/>
              <w:spacing w:before="60" w:after="60"/>
              <w:ind w:right="227"/>
              <w:jc w:val="right"/>
              <w:rPr>
                <w:b w:val="0"/>
                <w:caps w:val="0"/>
                <w:lang w:val="en-US"/>
              </w:rPr>
            </w:pPr>
            <w:r>
              <w:rPr>
                <w:b w:val="0"/>
                <w:caps w:val="0"/>
                <w:lang w:val="en-US"/>
              </w:rPr>
              <w:t>20,0</w:t>
            </w:r>
          </w:p>
        </w:tc>
        <w:tc>
          <w:tcPr>
            <w:tcW w:w="1134" w:type="dxa"/>
            <w:tcBorders>
              <w:top w:val="nil"/>
            </w:tcBorders>
          </w:tcPr>
          <w:p w:rsidR="00000000" w:rsidRDefault="00000000">
            <w:pPr>
              <w:pStyle w:val="BodyText2"/>
              <w:spacing w:before="60" w:after="60"/>
              <w:ind w:right="284"/>
              <w:jc w:val="right"/>
              <w:rPr>
                <w:b w:val="0"/>
                <w:caps w:val="0"/>
                <w:lang w:val="en-US"/>
              </w:rPr>
            </w:pPr>
            <w:r>
              <w:rPr>
                <w:b w:val="0"/>
                <w:caps w:val="0"/>
                <w:lang w:val="en-US"/>
              </w:rPr>
              <w:t>7,5</w:t>
            </w:r>
          </w:p>
        </w:tc>
        <w:tc>
          <w:tcPr>
            <w:tcW w:w="1588" w:type="dxa"/>
            <w:tcBorders>
              <w:top w:val="nil"/>
            </w:tcBorders>
          </w:tcPr>
          <w:p w:rsidR="00000000" w:rsidRDefault="00000000">
            <w:pPr>
              <w:pStyle w:val="BodyText2"/>
              <w:spacing w:before="60" w:after="60"/>
              <w:ind w:right="567"/>
              <w:jc w:val="right"/>
              <w:rPr>
                <w:b w:val="0"/>
                <w:caps w:val="0"/>
                <w:lang w:val="en-US"/>
              </w:rPr>
            </w:pPr>
            <w:r>
              <w:rPr>
                <w:b w:val="0"/>
                <w:caps w:val="0"/>
                <w:lang w:val="en-US"/>
              </w:rPr>
              <w:t>7,9</w:t>
            </w:r>
          </w:p>
        </w:tc>
        <w:tc>
          <w:tcPr>
            <w:tcW w:w="1134" w:type="dxa"/>
            <w:tcBorders>
              <w:top w:val="nil"/>
            </w:tcBorders>
          </w:tcPr>
          <w:p w:rsidR="00000000" w:rsidRDefault="00000000">
            <w:pPr>
              <w:pStyle w:val="BodyText2"/>
              <w:spacing w:before="60" w:after="60"/>
              <w:ind w:right="284"/>
              <w:jc w:val="right"/>
              <w:rPr>
                <w:b w:val="0"/>
                <w:caps w:val="0"/>
                <w:lang w:val="en-US"/>
              </w:rPr>
            </w:pPr>
            <w:r>
              <w:rPr>
                <w:b w:val="0"/>
                <w:caps w:val="0"/>
                <w:lang w:val="en-US"/>
              </w:rPr>
              <w:t>30,1</w:t>
            </w:r>
          </w:p>
        </w:tc>
      </w:tr>
    </w:tbl>
    <w:p w:rsidR="00000000" w:rsidRDefault="00000000">
      <w:pPr>
        <w:pStyle w:val="a2"/>
        <w:spacing w:before="120"/>
        <w:rPr>
          <w:lang w:val="es-ES"/>
        </w:rPr>
      </w:pPr>
      <w:r>
        <w:t>Источник</w:t>
      </w:r>
      <w:r>
        <w:rPr>
          <w:lang w:val="en-US"/>
        </w:rPr>
        <w:t xml:space="preserve">: </w:t>
      </w:r>
      <w:r>
        <w:rPr>
          <w:lang w:val="es-ES"/>
        </w:rPr>
        <w:t>Estimaciones de CONAPO con base en Bureau of Census, Current Population Survey (CPS), marzo de 1999.</w:t>
      </w:r>
    </w:p>
    <w:p w:rsidR="00000000" w:rsidRDefault="00000000">
      <w:pPr>
        <w:pStyle w:val="BodyText2"/>
        <w:rPr>
          <w:b w:val="0"/>
          <w:caps w:val="0"/>
          <w:lang w:val="en-US"/>
        </w:rPr>
      </w:pPr>
    </w:p>
    <w:p w:rsidR="00000000" w:rsidRDefault="00000000">
      <w:pPr>
        <w:pStyle w:val="BodyText2"/>
        <w:rPr>
          <w:b w:val="0"/>
          <w:caps w:val="0"/>
        </w:rPr>
      </w:pPr>
      <w:r>
        <w:rPr>
          <w:b w:val="0"/>
          <w:caps w:val="0"/>
        </w:rPr>
        <w:t>856.</w:t>
      </w:r>
      <w:r>
        <w:rPr>
          <w:b w:val="0"/>
          <w:caps w:val="0"/>
        </w:rPr>
        <w:tab/>
        <w:t>После 1985 года мексиканские женщины начинают обживать все новые места пребывания в США. Как можно видеть в таблице 5, только 19 процентов тех, кто не живет в Калифорнии, Техасе, Иллинойсе, Нью-Мексико и Аризоне, прибыли в США в период 1975–1985 годов, но 39 процентов, избравших другие штаты, въехали в эту страну в 1985–1993 годах. Это же относится и к 34 процентам мексиканок, которые прибыли в США после 1994 года. Действительно, как показано в нижней части таблицы 5, половина женщин, въехавших в США до 1993 года, обосновалась в Калифорнии, а в 1994–1999 годах доля мексиканок, уехавших в США и избравших этот штат в качестве местожительства, уменьшилась до 34 процентов. 30 процентов женщин уехали в глубь страны, не оставшись в пограничных с Мексикой штатах, не считая Иллинойса. В то же время мексиканские женщины проявляют невысокую мобильность на территории США и даже внутри штата, так как 94 процента женщин не поменяли место проживания в 1998 году.</w:t>
      </w:r>
    </w:p>
    <w:p w:rsidR="00000000" w:rsidRDefault="00000000">
      <w:pPr>
        <w:pStyle w:val="BodyText2"/>
        <w:rPr>
          <w:b w:val="0"/>
          <w:caps w:val="0"/>
        </w:rPr>
      </w:pPr>
      <w:r>
        <w:rPr>
          <w:b w:val="0"/>
          <w:caps w:val="0"/>
        </w:rPr>
        <w:t>857.</w:t>
      </w:r>
      <w:r>
        <w:rPr>
          <w:b w:val="0"/>
          <w:caps w:val="0"/>
        </w:rPr>
        <w:tab/>
        <w:t xml:space="preserve">Что касается вовлечения в рынок труда США, следует отметить, что почти половина мексиканских женщин, живущих в этой стране, относится к экономически активному населению, причем из них только </w:t>
      </w:r>
      <w:r>
        <w:rPr>
          <w:b w:val="0"/>
          <w:caps w:val="0"/>
        </w:rPr>
        <w:br/>
        <w:t>5 процентов были безработными в 1999 году. В среднем мексиканки работают 37 часов в неделю. В то же время 28 процентов работали менее 35 часов в неделю, 63 процента – от 35 до 44 часов и 9 процентов– более 45 часов в неделю. Подавляющее большинство (94 процента) женщин работает по найму (см. таблицу 6).</w:t>
      </w:r>
    </w:p>
    <w:p w:rsidR="00000000" w:rsidRDefault="00000000">
      <w:pPr>
        <w:pStyle w:val="BodyText2"/>
        <w:spacing w:after="0"/>
        <w:jc w:val="center"/>
        <w:rPr>
          <w:caps w:val="0"/>
        </w:rPr>
      </w:pPr>
      <w:r>
        <w:rPr>
          <w:caps w:val="0"/>
        </w:rPr>
        <w:br w:type="page"/>
        <w:t>Таблица 6</w:t>
      </w:r>
    </w:p>
    <w:p w:rsidR="00000000" w:rsidRDefault="00000000">
      <w:pPr>
        <w:pStyle w:val="BodyText2"/>
        <w:spacing w:after="0"/>
        <w:jc w:val="center"/>
        <w:rPr>
          <w:caps w:val="0"/>
          <w:lang w:val="en-US"/>
        </w:rPr>
      </w:pPr>
      <w:r>
        <w:rPr>
          <w:caps w:val="0"/>
        </w:rPr>
        <w:t>Мексиканцы, проживающие в США (занятость,1999 год, в процентах)</w:t>
      </w:r>
    </w:p>
    <w:p w:rsidR="00000000" w:rsidRDefault="00000000">
      <w:pPr>
        <w:pStyle w:val="BodyText2"/>
        <w:spacing w:after="0"/>
        <w:jc w:val="center"/>
        <w:rPr>
          <w:caps w:val="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536"/>
        <w:gridCol w:w="1701"/>
        <w:gridCol w:w="1701"/>
        <w:gridCol w:w="1701"/>
      </w:tblGrid>
      <w:tr w:rsidR="00000000">
        <w:tblPrEx>
          <w:tblCellMar>
            <w:top w:w="0" w:type="dxa"/>
            <w:bottom w:w="0" w:type="dxa"/>
          </w:tblCellMar>
        </w:tblPrEx>
        <w:trPr>
          <w:jc w:val="center"/>
        </w:trPr>
        <w:tc>
          <w:tcPr>
            <w:tcW w:w="4536" w:type="dxa"/>
            <w:tcBorders>
              <w:bottom w:val="nil"/>
            </w:tcBorders>
          </w:tcPr>
          <w:p w:rsidR="00000000" w:rsidRDefault="00000000">
            <w:pPr>
              <w:pStyle w:val="BodyText2"/>
              <w:spacing w:before="40" w:after="40"/>
              <w:rPr>
                <w:caps w:val="0"/>
                <w:sz w:val="18"/>
              </w:rPr>
            </w:pPr>
            <w:r>
              <w:rPr>
                <w:caps w:val="0"/>
                <w:sz w:val="18"/>
              </w:rPr>
              <w:t>Характер занятости</w:t>
            </w:r>
          </w:p>
        </w:tc>
        <w:tc>
          <w:tcPr>
            <w:tcW w:w="1701" w:type="dxa"/>
            <w:tcBorders>
              <w:bottom w:val="nil"/>
            </w:tcBorders>
          </w:tcPr>
          <w:p w:rsidR="00000000" w:rsidRDefault="00000000">
            <w:pPr>
              <w:pStyle w:val="BodyText2"/>
              <w:spacing w:before="40" w:after="40"/>
              <w:jc w:val="center"/>
              <w:rPr>
                <w:caps w:val="0"/>
                <w:sz w:val="18"/>
              </w:rPr>
            </w:pPr>
            <w:r>
              <w:rPr>
                <w:caps w:val="0"/>
                <w:sz w:val="18"/>
              </w:rPr>
              <w:t>Всего</w:t>
            </w:r>
          </w:p>
        </w:tc>
        <w:tc>
          <w:tcPr>
            <w:tcW w:w="1701" w:type="dxa"/>
            <w:tcBorders>
              <w:bottom w:val="nil"/>
            </w:tcBorders>
          </w:tcPr>
          <w:p w:rsidR="00000000" w:rsidRDefault="00000000">
            <w:pPr>
              <w:pStyle w:val="BodyText2"/>
              <w:spacing w:before="40" w:after="40"/>
              <w:jc w:val="center"/>
              <w:rPr>
                <w:caps w:val="0"/>
                <w:sz w:val="18"/>
              </w:rPr>
            </w:pPr>
            <w:r>
              <w:rPr>
                <w:caps w:val="0"/>
                <w:sz w:val="18"/>
              </w:rPr>
              <w:t>Мужчины</w:t>
            </w:r>
          </w:p>
        </w:tc>
        <w:tc>
          <w:tcPr>
            <w:tcW w:w="1701" w:type="dxa"/>
            <w:tcBorders>
              <w:bottom w:val="nil"/>
            </w:tcBorders>
          </w:tcPr>
          <w:p w:rsidR="00000000" w:rsidRDefault="00000000">
            <w:pPr>
              <w:pStyle w:val="BodyText2"/>
              <w:spacing w:before="40" w:after="40"/>
              <w:jc w:val="center"/>
              <w:rPr>
                <w:caps w:val="0"/>
                <w:sz w:val="18"/>
              </w:rPr>
            </w:pPr>
            <w:r>
              <w:rPr>
                <w:caps w:val="0"/>
                <w:sz w:val="18"/>
              </w:rPr>
              <w:t>Женщины</w:t>
            </w:r>
          </w:p>
        </w:tc>
      </w:tr>
      <w:tr w:rsidR="00000000">
        <w:tblPrEx>
          <w:tblCellMar>
            <w:top w:w="0" w:type="dxa"/>
            <w:bottom w:w="0" w:type="dxa"/>
          </w:tblCellMar>
        </w:tblPrEx>
        <w:trPr>
          <w:jc w:val="center"/>
        </w:trPr>
        <w:tc>
          <w:tcPr>
            <w:tcW w:w="4536" w:type="dxa"/>
            <w:tcBorders>
              <w:bottom w:val="nil"/>
            </w:tcBorders>
          </w:tcPr>
          <w:p w:rsidR="00000000" w:rsidRDefault="00000000">
            <w:pPr>
              <w:pStyle w:val="BodyText2"/>
              <w:spacing w:before="40" w:after="40"/>
              <w:rPr>
                <w:b w:val="0"/>
                <w:caps w:val="0"/>
              </w:rPr>
            </w:pPr>
            <w:r>
              <w:rPr>
                <w:b w:val="0"/>
                <w:caps w:val="0"/>
              </w:rPr>
              <w:t>Категория</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Экономически активное население</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67,6</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85,3</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46,6</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Работающие</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63,0</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80,7</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42,0</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Безработные</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4,6</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4,5</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4,6</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Экономически неактивное население</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32,4</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14,7</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53,4</w:t>
            </w:r>
          </w:p>
        </w:tc>
      </w:tr>
      <w:tr w:rsidR="00000000">
        <w:tblPrEx>
          <w:tblCellMar>
            <w:top w:w="0" w:type="dxa"/>
            <w:bottom w:w="0" w:type="dxa"/>
          </w:tblCellMar>
        </w:tblPrEx>
        <w:trPr>
          <w:jc w:val="center"/>
        </w:trPr>
        <w:tc>
          <w:tcPr>
            <w:tcW w:w="4536" w:type="dxa"/>
            <w:tcBorders>
              <w:bottom w:val="nil"/>
            </w:tcBorders>
          </w:tcPr>
          <w:p w:rsidR="00000000" w:rsidRDefault="00000000">
            <w:pPr>
              <w:pStyle w:val="BodyText2"/>
              <w:spacing w:before="40" w:after="40"/>
              <w:rPr>
                <w:b w:val="0"/>
                <w:caps w:val="0"/>
              </w:rPr>
            </w:pPr>
            <w:r>
              <w:rPr>
                <w:b w:val="0"/>
                <w:caps w:val="0"/>
              </w:rPr>
              <w:t>Количество рабочих часов в неделю</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Менее 35 часов</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18,2</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14,1</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27,9</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От 35 до 44 часов</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63,5</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63,7</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63,2</w:t>
            </w:r>
          </w:p>
        </w:tc>
      </w:tr>
      <w:tr w:rsidR="00000000">
        <w:tblPrEx>
          <w:tblCellMar>
            <w:top w:w="0" w:type="dxa"/>
            <w:bottom w:w="0" w:type="dxa"/>
          </w:tblCellMar>
        </w:tblPrEx>
        <w:trPr>
          <w:jc w:val="center"/>
        </w:trPr>
        <w:tc>
          <w:tcPr>
            <w:tcW w:w="4536" w:type="dxa"/>
            <w:tcBorders>
              <w:top w:val="nil"/>
            </w:tcBorders>
          </w:tcPr>
          <w:p w:rsidR="00000000" w:rsidRDefault="00000000">
            <w:pPr>
              <w:pStyle w:val="BodyText2"/>
              <w:spacing w:before="40" w:after="40"/>
              <w:rPr>
                <w:b w:val="0"/>
                <w:caps w:val="0"/>
              </w:rPr>
            </w:pPr>
            <w:r>
              <w:rPr>
                <w:b w:val="0"/>
                <w:caps w:val="0"/>
              </w:rPr>
              <w:t>45 и более часов</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18,2</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22,3</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8,9</w:t>
            </w:r>
          </w:p>
        </w:tc>
      </w:tr>
      <w:tr w:rsidR="00000000">
        <w:tblPrEx>
          <w:tblCellMar>
            <w:top w:w="0" w:type="dxa"/>
            <w:bottom w:w="0" w:type="dxa"/>
          </w:tblCellMar>
        </w:tblPrEx>
        <w:trPr>
          <w:jc w:val="center"/>
        </w:trPr>
        <w:tc>
          <w:tcPr>
            <w:tcW w:w="4536" w:type="dxa"/>
            <w:tcBorders>
              <w:bottom w:val="nil"/>
            </w:tcBorders>
          </w:tcPr>
          <w:p w:rsidR="00000000" w:rsidRDefault="00000000">
            <w:pPr>
              <w:pStyle w:val="BodyText2"/>
              <w:spacing w:before="40" w:after="40"/>
              <w:rPr>
                <w:b w:val="0"/>
                <w:caps w:val="0"/>
              </w:rPr>
            </w:pPr>
            <w:r>
              <w:rPr>
                <w:b w:val="0"/>
                <w:caps w:val="0"/>
              </w:rPr>
              <w:t>Среднее количество рабочих часов в неделю</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39,8</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41,2</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37,1</w:t>
            </w:r>
          </w:p>
        </w:tc>
      </w:tr>
      <w:tr w:rsidR="00000000">
        <w:tblPrEx>
          <w:tblCellMar>
            <w:top w:w="0" w:type="dxa"/>
            <w:bottom w:w="0" w:type="dxa"/>
          </w:tblCellMar>
        </w:tblPrEx>
        <w:trPr>
          <w:jc w:val="center"/>
        </w:trPr>
        <w:tc>
          <w:tcPr>
            <w:tcW w:w="4536" w:type="dxa"/>
            <w:tcBorders>
              <w:bottom w:val="nil"/>
            </w:tcBorders>
          </w:tcPr>
          <w:p w:rsidR="00000000" w:rsidRDefault="00000000">
            <w:pPr>
              <w:pStyle w:val="BodyText2"/>
              <w:spacing w:before="40" w:after="40"/>
              <w:rPr>
                <w:b w:val="0"/>
                <w:caps w:val="0"/>
              </w:rPr>
            </w:pPr>
            <w:r>
              <w:rPr>
                <w:b w:val="0"/>
                <w:caps w:val="0"/>
              </w:rPr>
              <w:t>Тип трудовой деятельности</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c>
          <w:tcPr>
            <w:tcW w:w="1701" w:type="dxa"/>
            <w:tcBorders>
              <w:bottom w:val="nil"/>
            </w:tcBorders>
          </w:tcPr>
          <w:p w:rsidR="00000000" w:rsidRDefault="00000000">
            <w:pPr>
              <w:pStyle w:val="BodyText2"/>
              <w:spacing w:before="40" w:after="40"/>
              <w:ind w:right="567"/>
              <w:jc w:val="right"/>
              <w:rPr>
                <w:b w:val="0"/>
                <w:caps w:val="0"/>
              </w:rPr>
            </w:pPr>
            <w:r>
              <w:rPr>
                <w:b w:val="0"/>
                <w:caps w:val="0"/>
              </w:rPr>
              <w:t>100,0</w:t>
            </w:r>
          </w:p>
        </w:tc>
      </w:tr>
      <w:tr w:rsidR="00000000">
        <w:tblPrEx>
          <w:tblCellMar>
            <w:top w:w="0" w:type="dxa"/>
            <w:bottom w:w="0" w:type="dxa"/>
          </w:tblCellMar>
        </w:tblPrEx>
        <w:trPr>
          <w:jc w:val="center"/>
        </w:trPr>
        <w:tc>
          <w:tcPr>
            <w:tcW w:w="4536" w:type="dxa"/>
            <w:tcBorders>
              <w:top w:val="nil"/>
              <w:bottom w:val="nil"/>
            </w:tcBorders>
          </w:tcPr>
          <w:p w:rsidR="00000000" w:rsidRDefault="00000000">
            <w:pPr>
              <w:pStyle w:val="BodyText2"/>
              <w:spacing w:before="40" w:after="40"/>
              <w:rPr>
                <w:b w:val="0"/>
                <w:caps w:val="0"/>
              </w:rPr>
            </w:pPr>
            <w:r>
              <w:rPr>
                <w:b w:val="0"/>
                <w:caps w:val="0"/>
              </w:rPr>
              <w:t>По найму</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94,8</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95,2</w:t>
            </w:r>
          </w:p>
        </w:tc>
        <w:tc>
          <w:tcPr>
            <w:tcW w:w="1701" w:type="dxa"/>
            <w:tcBorders>
              <w:top w:val="nil"/>
              <w:bottom w:val="nil"/>
            </w:tcBorders>
          </w:tcPr>
          <w:p w:rsidR="00000000" w:rsidRDefault="00000000">
            <w:pPr>
              <w:pStyle w:val="BodyText2"/>
              <w:spacing w:before="40" w:after="40"/>
              <w:ind w:right="567"/>
              <w:jc w:val="right"/>
              <w:rPr>
                <w:b w:val="0"/>
                <w:caps w:val="0"/>
              </w:rPr>
            </w:pPr>
            <w:r>
              <w:rPr>
                <w:b w:val="0"/>
                <w:caps w:val="0"/>
              </w:rPr>
              <w:t>93,9</w:t>
            </w:r>
          </w:p>
        </w:tc>
      </w:tr>
      <w:tr w:rsidR="00000000">
        <w:tblPrEx>
          <w:tblCellMar>
            <w:top w:w="0" w:type="dxa"/>
            <w:bottom w:w="0" w:type="dxa"/>
          </w:tblCellMar>
        </w:tblPrEx>
        <w:trPr>
          <w:jc w:val="center"/>
        </w:trPr>
        <w:tc>
          <w:tcPr>
            <w:tcW w:w="4536" w:type="dxa"/>
            <w:tcBorders>
              <w:top w:val="nil"/>
            </w:tcBorders>
          </w:tcPr>
          <w:p w:rsidR="00000000" w:rsidRDefault="00000000">
            <w:pPr>
              <w:pStyle w:val="BodyText2"/>
              <w:spacing w:before="40" w:after="40"/>
              <w:rPr>
                <w:b w:val="0"/>
                <w:caps w:val="0"/>
              </w:rPr>
            </w:pPr>
            <w:r>
              <w:rPr>
                <w:b w:val="0"/>
                <w:caps w:val="0"/>
              </w:rPr>
              <w:t xml:space="preserve">Иное </w:t>
            </w:r>
            <w:r>
              <w:rPr>
                <w:b w:val="0"/>
                <w:caps w:val="0"/>
                <w:vertAlign w:val="superscript"/>
              </w:rPr>
              <w:t>1</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5,2</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4,8</w:t>
            </w:r>
          </w:p>
        </w:tc>
        <w:tc>
          <w:tcPr>
            <w:tcW w:w="1701" w:type="dxa"/>
            <w:tcBorders>
              <w:top w:val="nil"/>
            </w:tcBorders>
          </w:tcPr>
          <w:p w:rsidR="00000000" w:rsidRDefault="00000000">
            <w:pPr>
              <w:pStyle w:val="BodyText2"/>
              <w:spacing w:before="40" w:after="40"/>
              <w:ind w:right="567"/>
              <w:jc w:val="right"/>
              <w:rPr>
                <w:b w:val="0"/>
                <w:caps w:val="0"/>
              </w:rPr>
            </w:pPr>
            <w:r>
              <w:rPr>
                <w:b w:val="0"/>
                <w:caps w:val="0"/>
              </w:rPr>
              <w:t>6,1</w:t>
            </w:r>
          </w:p>
        </w:tc>
      </w:tr>
    </w:tbl>
    <w:p w:rsidR="00000000" w:rsidRDefault="00000000">
      <w:pPr>
        <w:pStyle w:val="a2"/>
        <w:spacing w:before="120"/>
      </w:pPr>
      <w:r>
        <w:t>Примечания:</w:t>
      </w:r>
    </w:p>
    <w:p w:rsidR="00000000" w:rsidRDefault="00000000">
      <w:pPr>
        <w:pStyle w:val="a2"/>
      </w:pPr>
      <w:r>
        <w:rPr>
          <w:vertAlign w:val="superscript"/>
        </w:rPr>
        <w:t xml:space="preserve">1 </w:t>
      </w:r>
      <w:r>
        <w:t>Включает индивидуальную трудовую деятельность, неоплачиваемый труд и лиц, работающих менее двух недель подряд.</w:t>
      </w:r>
    </w:p>
    <w:p w:rsidR="00000000" w:rsidRDefault="00000000">
      <w:pPr>
        <w:pStyle w:val="a2"/>
      </w:pPr>
      <w:r>
        <w:t>Источник</w:t>
      </w:r>
      <w:r>
        <w:rPr>
          <w:lang w:val="en-US"/>
        </w:rPr>
        <w:t xml:space="preserve">: </w:t>
      </w:r>
      <w:r>
        <w:rPr>
          <w:lang w:val="es-ES"/>
        </w:rPr>
        <w:t>Estimaciones de CONAPO con base en Bureau of Census, Current Population Survey (CPS), marzo de 1999.</w:t>
      </w:r>
    </w:p>
    <w:p w:rsidR="00000000" w:rsidRDefault="00000000">
      <w:pPr>
        <w:pStyle w:val="BodyText2"/>
        <w:spacing w:after="120"/>
        <w:rPr>
          <w:b w:val="0"/>
          <w:caps w:val="0"/>
          <w:lang w:val="en-US"/>
        </w:rPr>
      </w:pPr>
    </w:p>
    <w:p w:rsidR="00000000" w:rsidRDefault="00000000">
      <w:pPr>
        <w:pStyle w:val="BodyText2"/>
        <w:rPr>
          <w:b w:val="0"/>
          <w:caps w:val="0"/>
        </w:rPr>
      </w:pPr>
      <w:r>
        <w:rPr>
          <w:b w:val="0"/>
          <w:caps w:val="0"/>
        </w:rPr>
        <w:t>858.</w:t>
      </w:r>
      <w:r>
        <w:rPr>
          <w:b w:val="0"/>
          <w:caps w:val="0"/>
        </w:rPr>
        <w:tab/>
        <w:t>Денежные доходы работающих мексиканок, которые проживают в США, составляют 1100 долл. США в месяц. Этот показатель лишь незначительно отличается от доходов мексиканок, занятых на временной работе (1000 долл. США), однако он намного ниже, чем месячный доход мужчин (1620 долл. США). При изучении этих показателей следует иметь в виду, что 28 процентов женщин работают менее 34 часов в неделю, в то время как временно работающие мексиканки обычно заняты полный рабочий день. Что касается мужчин, проживающих в этой стране, то только 14 процентов работают менее 34 часов в неделю.</w:t>
      </w:r>
    </w:p>
    <w:p w:rsidR="00000000" w:rsidRDefault="00000000">
      <w:pPr>
        <w:pStyle w:val="BodyText2"/>
        <w:rPr>
          <w:b w:val="0"/>
          <w:caps w:val="0"/>
        </w:rPr>
      </w:pPr>
      <w:r>
        <w:rPr>
          <w:b w:val="0"/>
          <w:caps w:val="0"/>
        </w:rPr>
        <w:t>859. Размеры заработной платы мексиканцев и мексиканок, живущих в США, а также их доходы от предпринимательской деятельности и другие определяют то обстоятельство, что 31 процент женщин проживают в домах, которые по американским стандартам находятся ниже черты бедности.</w:t>
      </w:r>
    </w:p>
    <w:p w:rsidR="00000000" w:rsidRDefault="00000000">
      <w:pPr>
        <w:pStyle w:val="Heading4"/>
      </w:pPr>
      <w:r>
        <w:t>Общие выводы</w:t>
      </w:r>
    </w:p>
    <w:p w:rsidR="00000000" w:rsidRDefault="00000000">
      <w:pPr>
        <w:pStyle w:val="BodyText2"/>
        <w:rPr>
          <w:b w:val="0"/>
          <w:caps w:val="0"/>
        </w:rPr>
      </w:pPr>
      <w:r>
        <w:rPr>
          <w:b w:val="0"/>
          <w:caps w:val="0"/>
        </w:rPr>
        <w:t>860.</w:t>
      </w:r>
      <w:r>
        <w:rPr>
          <w:b w:val="0"/>
          <w:caps w:val="0"/>
        </w:rPr>
        <w:tab/>
        <w:t xml:space="preserve">Миграция женщин в США имеет давнюю историю и в последние годы претерпевает серьезные изменения. Растущее число молодых незамужних женщин, уровень образования которых даже выше, чем у мужчин, уходят из дома и переезжают в приграничные населенные пункты с целью перейти границу и найти работу в Соединенных Штатах. Женщины отличаются от мужчин по ряду характеристик, среди которых следует отметить регион происхождения и место назначения в США, вид населенного пункта происхождения, </w:t>
      </w:r>
      <w:r>
        <w:rPr>
          <w:b w:val="0"/>
          <w:caps w:val="0"/>
        </w:rPr>
        <w:br/>
        <w:t>а также долю имеющих документы для въезда и работы.</w:t>
      </w:r>
    </w:p>
    <w:p w:rsidR="00000000" w:rsidRDefault="00000000">
      <w:pPr>
        <w:pStyle w:val="BodyText2"/>
        <w:rPr>
          <w:b w:val="0"/>
          <w:caps w:val="0"/>
          <w:lang w:val="en-US"/>
        </w:rPr>
      </w:pPr>
      <w:r>
        <w:rPr>
          <w:b w:val="0"/>
          <w:caps w:val="0"/>
        </w:rPr>
        <w:t>861.</w:t>
      </w:r>
      <w:r>
        <w:rPr>
          <w:b w:val="0"/>
          <w:caps w:val="0"/>
        </w:rPr>
        <w:tab/>
        <w:t xml:space="preserve">Около 3,6 млн. мексиканских женщин живут в США, из них примерно 86 процентов в возрасте от 15 до 64 лет; половина из которых прибыла в эту страну после 1985 года и каждая четвертая женщина имеет американское гражданство. Их уровень образования значительно выше, чем у женщин, занятых на временной работе в Мексике; более половины имеют образование выше среднего. Большая часть их состоит в браке, </w:t>
      </w:r>
      <w:r>
        <w:rPr>
          <w:b w:val="0"/>
          <w:caps w:val="0"/>
        </w:rPr>
        <w:br/>
        <w:t>а их семьи насчитывают от 4 до 6 человек. Значительная часть этих женщин (47 процентов) участвует в производственной жизни; они работают в среднем 37 часов в неделю, а их среднемесячная заработная плата составляет 1100 долл. США.</w:t>
      </w:r>
    </w:p>
    <w:sectPr w:rsidR="00000000">
      <w:footnotePr>
        <w:numStart w:val="4"/>
      </w:footnotePr>
      <w:type w:val="continuous"/>
      <w:pgSz w:w="12242" w:h="15842" w:code="1"/>
      <w:pgMar w:top="1247" w:right="1298" w:bottom="1531" w:left="1298" w:header="720" w:footer="851"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t>&lt;&lt;ODS JOB NO&gt;&gt;N0</w:t>
      </w:r>
      <w:r>
        <w:rPr>
          <w:lang w:val="en-US"/>
        </w:rPr>
        <w:t>078458</w:t>
      </w:r>
      <w:r>
        <w:t>R&lt;&lt;ODS JOB NO&gt;&gt;</w:t>
      </w:r>
    </w:p>
    <w:p w:rsidR="00000000" w:rsidRDefault="00000000">
      <w:pPr>
        <w:pStyle w:val="CommentText"/>
      </w:pPr>
      <w:r>
        <w:t>&lt;&lt;ODS DOC SYMBOL1&gt;&gt;</w:t>
      </w:r>
      <w:r>
        <w:rPr>
          <w:lang w:val="en-US"/>
        </w:rPr>
        <w:t>CEDAW/C/MEX/5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fldChar w:fldCharType="begin"/>
    </w:r>
    <w:r>
      <w:instrText xml:space="preserve"> PAGE </w:instrText>
    </w:r>
    <w:r>
      <w:fldChar w:fldCharType="separate"/>
    </w:r>
    <w:r>
      <w:rPr>
        <w:noProof/>
      </w:rPr>
      <w:t>167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before="240" w:after="40"/>
      </w:pPr>
      <w:r>
        <w:separator/>
      </w:r>
    </w:p>
  </w:footnote>
  <w:footnote w:type="continuationSeparator" w:id="0">
    <w:p w:rsidR="00000000" w:rsidRDefault="00000000">
      <w:pPr>
        <w:spacing w:after="0"/>
      </w:pPr>
      <w:r>
        <w:continuationSeparator/>
      </w:r>
    </w:p>
  </w:footnote>
  <w:footnote w:id="1">
    <w:p w:rsidR="00000000" w:rsidRDefault="00000000">
      <w:pPr>
        <w:pStyle w:val="FootnoteText"/>
        <w:suppressAutoHyphens/>
        <w:spacing w:before="120"/>
      </w:pPr>
      <w:r>
        <w:rPr>
          <w:rStyle w:val="FootnoteReference"/>
        </w:rPr>
        <w:sym w:font="Symbol" w:char="F02A"/>
      </w:r>
      <w:r>
        <w:tab/>
        <w:t>Настоящий документ воспроизведен в той форме, в какой был получен.</w:t>
      </w:r>
    </w:p>
    <w:p w:rsidR="00000000" w:rsidRDefault="00000000">
      <w:pPr>
        <w:pStyle w:val="FootnoteText"/>
        <w:suppressAutoHyphens/>
        <w:spacing w:after="120"/>
        <w:rPr>
          <w:lang w:val="en-US"/>
        </w:rPr>
      </w:pPr>
      <w:r>
        <w:t xml:space="preserve">Первоначальный доклад, представленный правительством Мексики, см. в документе </w:t>
      </w:r>
      <w:r>
        <w:rPr>
          <w:lang w:val="en-US"/>
        </w:rPr>
        <w:t>CEDAW</w:t>
      </w:r>
      <w:r>
        <w:t>/</w:t>
      </w:r>
      <w:r>
        <w:rPr>
          <w:lang w:val="en-US"/>
        </w:rPr>
        <w:t>C</w:t>
      </w:r>
      <w:r>
        <w:t>/5/</w:t>
      </w:r>
      <w:r>
        <w:rPr>
          <w:lang w:val="en-US"/>
        </w:rPr>
        <w:t>Add</w:t>
      </w:r>
      <w:r>
        <w:t xml:space="preserve">.2; результаты его рассмотрения в Комитете см. в документах </w:t>
      </w:r>
      <w:r>
        <w:rPr>
          <w:lang w:val="en-US"/>
        </w:rPr>
        <w:t>CEDAW</w:t>
      </w:r>
      <w:r>
        <w:t>/</w:t>
      </w:r>
      <w:r>
        <w:rPr>
          <w:lang w:val="en-US"/>
        </w:rPr>
        <w:t>C</w:t>
      </w:r>
      <w:r>
        <w:t>/</w:t>
      </w:r>
      <w:r>
        <w:rPr>
          <w:lang w:val="en-US"/>
        </w:rPr>
        <w:t>SR</w:t>
      </w:r>
      <w:r>
        <w:t xml:space="preserve">.13 и </w:t>
      </w:r>
      <w:r>
        <w:rPr>
          <w:lang w:val="en-US"/>
        </w:rPr>
        <w:t>CEDAW</w:t>
      </w:r>
      <w:r>
        <w:t>/</w:t>
      </w:r>
      <w:r>
        <w:rPr>
          <w:lang w:val="en-US"/>
        </w:rPr>
        <w:t>C</w:t>
      </w:r>
      <w:r>
        <w:t>/</w:t>
      </w:r>
      <w:r>
        <w:rPr>
          <w:lang w:val="en-US"/>
        </w:rPr>
        <w:t>SR</w:t>
      </w:r>
      <w:r>
        <w:t xml:space="preserve">.17 и в </w:t>
      </w:r>
      <w:r>
        <w:rPr>
          <w:u w:val="single"/>
        </w:rPr>
        <w:t>Офиц</w:t>
      </w:r>
      <w:r>
        <w:rPr>
          <w:u w:val="single"/>
        </w:rPr>
        <w:t>и</w:t>
      </w:r>
      <w:r>
        <w:rPr>
          <w:u w:val="single"/>
        </w:rPr>
        <w:t>альных отчетах Генеральной Ассамблеи, тридцать девятая сессия, Дополнение № 45</w:t>
      </w:r>
      <w:r>
        <w:t xml:space="preserve"> (А/39/45), том </w:t>
      </w:r>
      <w:r>
        <w:rPr>
          <w:lang w:val="en-US"/>
        </w:rPr>
        <w:t>I</w:t>
      </w:r>
      <w:r>
        <w:t>, пункты 67–89. Второй п</w:t>
      </w:r>
      <w:r>
        <w:t>е</w:t>
      </w:r>
      <w:r>
        <w:t xml:space="preserve">риодический доклад правительства Мексики см. в документах </w:t>
      </w:r>
      <w:r>
        <w:rPr>
          <w:lang w:val="en-US"/>
        </w:rPr>
        <w:t>CEDAW</w:t>
      </w:r>
      <w:r>
        <w:t>/</w:t>
      </w:r>
      <w:r>
        <w:rPr>
          <w:lang w:val="en-US"/>
        </w:rPr>
        <w:t>C</w:t>
      </w:r>
      <w:r>
        <w:t>/13/</w:t>
      </w:r>
      <w:r>
        <w:rPr>
          <w:lang w:val="en-US"/>
        </w:rPr>
        <w:t>Add</w:t>
      </w:r>
      <w:r>
        <w:t xml:space="preserve">.10 и </w:t>
      </w:r>
      <w:r>
        <w:rPr>
          <w:lang w:val="en-US"/>
        </w:rPr>
        <w:t>CEDAW</w:t>
      </w:r>
      <w:r>
        <w:t>/</w:t>
      </w:r>
      <w:r>
        <w:rPr>
          <w:lang w:val="en-US"/>
        </w:rPr>
        <w:t>C</w:t>
      </w:r>
      <w:r>
        <w:t>/13/</w:t>
      </w:r>
      <w:r>
        <w:rPr>
          <w:lang w:val="en-US"/>
        </w:rPr>
        <w:t>Add</w:t>
      </w:r>
      <w:r>
        <w:t>.10/</w:t>
      </w:r>
      <w:r>
        <w:rPr>
          <w:lang w:val="en-US"/>
        </w:rPr>
        <w:t>Amend</w:t>
      </w:r>
      <w:r>
        <w:t>.1; результаты его рассмотрения в Комитете см. в докуме</w:t>
      </w:r>
      <w:r>
        <w:t>н</w:t>
      </w:r>
      <w:r>
        <w:t xml:space="preserve">тах </w:t>
      </w:r>
      <w:r>
        <w:rPr>
          <w:lang w:val="en-US"/>
        </w:rPr>
        <w:t>CEDAW</w:t>
      </w:r>
      <w:r>
        <w:t>/</w:t>
      </w:r>
      <w:r>
        <w:rPr>
          <w:lang w:val="en-US"/>
        </w:rPr>
        <w:t>C</w:t>
      </w:r>
      <w:r>
        <w:t>/</w:t>
      </w:r>
      <w:r>
        <w:rPr>
          <w:lang w:val="en-US"/>
        </w:rPr>
        <w:t>SR</w:t>
      </w:r>
      <w:r>
        <w:t xml:space="preserve">.163 и в </w:t>
      </w:r>
      <w:r>
        <w:rPr>
          <w:u w:val="single"/>
        </w:rPr>
        <w:t>Официальных отчетах Генерал</w:t>
      </w:r>
      <w:r>
        <w:rPr>
          <w:u w:val="single"/>
        </w:rPr>
        <w:t>ь</w:t>
      </w:r>
      <w:r>
        <w:rPr>
          <w:u w:val="single"/>
        </w:rPr>
        <w:t>ной Ассамблеи, сорок пятая сессия, Дополнение № 38</w:t>
      </w:r>
      <w:r>
        <w:t xml:space="preserve"> (А/</w:t>
      </w:r>
      <w:r>
        <w:rPr>
          <w:lang w:val="en-US"/>
        </w:rPr>
        <w:t>45</w:t>
      </w:r>
      <w:r>
        <w:t>/38), пункты 350–369. Третий и четвертый периодические доклады, представленные правительством Мексики, см. в до</w:t>
      </w:r>
      <w:r>
        <w:t>к</w:t>
      </w:r>
      <w:r>
        <w:t xml:space="preserve">ументах </w:t>
      </w:r>
      <w:r>
        <w:rPr>
          <w:lang w:val="en-US"/>
        </w:rPr>
        <w:t>CEDAW</w:t>
      </w:r>
      <w:r>
        <w:t>/</w:t>
      </w:r>
      <w:r>
        <w:rPr>
          <w:lang w:val="en-US"/>
        </w:rPr>
        <w:t>C</w:t>
      </w:r>
      <w:r>
        <w:t>/</w:t>
      </w:r>
      <w:r>
        <w:rPr>
          <w:lang w:val="en-US"/>
        </w:rPr>
        <w:t>MEX</w:t>
      </w:r>
      <w:r>
        <w:t xml:space="preserve">/3-4 и </w:t>
      </w:r>
      <w:r>
        <w:rPr>
          <w:lang w:val="en-US"/>
        </w:rPr>
        <w:t>CEDAW</w:t>
      </w:r>
      <w:r>
        <w:t>/</w:t>
      </w:r>
      <w:r>
        <w:rPr>
          <w:lang w:val="en-US"/>
        </w:rPr>
        <w:t>C</w:t>
      </w:r>
      <w:r>
        <w:t>/</w:t>
      </w:r>
      <w:r>
        <w:rPr>
          <w:lang w:val="en-US"/>
        </w:rPr>
        <w:t>MEX</w:t>
      </w:r>
      <w:r>
        <w:t>/3-4/</w:t>
      </w:r>
      <w:r>
        <w:rPr>
          <w:lang w:val="en-US"/>
        </w:rPr>
        <w:t>Add</w:t>
      </w:r>
      <w:r>
        <w:t>.1; результаты их рассмотрения в Комитете см. в д</w:t>
      </w:r>
      <w:r>
        <w:t>о</w:t>
      </w:r>
      <w:r>
        <w:t xml:space="preserve">кументах </w:t>
      </w:r>
      <w:r>
        <w:rPr>
          <w:lang w:val="en-US"/>
        </w:rPr>
        <w:t>CEDAW</w:t>
      </w:r>
      <w:r>
        <w:t>/</w:t>
      </w:r>
      <w:r>
        <w:rPr>
          <w:lang w:val="en-US"/>
        </w:rPr>
        <w:t>C</w:t>
      </w:r>
      <w:r>
        <w:t>/</w:t>
      </w:r>
      <w:r>
        <w:rPr>
          <w:lang w:val="en-US"/>
        </w:rPr>
        <w:t>SR</w:t>
      </w:r>
      <w:r>
        <w:t xml:space="preserve">.376 и 377 и в </w:t>
      </w:r>
      <w:r>
        <w:rPr>
          <w:u w:val="single"/>
        </w:rPr>
        <w:t>Официальных отчетах Генеральной Ассамблеи, пятьдесят третья сессия, Дополн</w:t>
      </w:r>
      <w:r>
        <w:rPr>
          <w:u w:val="single"/>
        </w:rPr>
        <w:t>е</w:t>
      </w:r>
      <w:r>
        <w:rPr>
          <w:u w:val="single"/>
        </w:rPr>
        <w:t>ние № 38</w:t>
      </w:r>
      <w:r>
        <w:t xml:space="preserve"> (А/53/38), пункты 354–427.</w:t>
      </w:r>
    </w:p>
    <w:p w:rsidR="00000000" w:rsidRDefault="00000000">
      <w:pPr>
        <w:pStyle w:val="a2"/>
        <w:spacing w:before="120"/>
        <w:rPr>
          <w:lang w:val="en-US"/>
        </w:rPr>
      </w:pPr>
    </w:p>
    <w:p w:rsidR="00000000" w:rsidRDefault="00000000">
      <w:pPr>
        <w:spacing w:before="120" w:after="120"/>
        <w:rPr>
          <w:sz w:val="18"/>
          <w:lang w:val="en-US"/>
        </w:rPr>
      </w:pPr>
      <w:r>
        <w:rPr>
          <w:sz w:val="18"/>
          <w:lang w:val="en-US"/>
        </w:rPr>
        <w:t>00-78458 (R)</w:t>
      </w:r>
    </w:p>
    <w:p w:rsidR="00000000" w:rsidRDefault="00000000">
      <w:pPr>
        <w:spacing w:before="120" w:after="120"/>
        <w:rPr>
          <w:rFonts w:ascii="Code 3of9 4.6" w:hAnsi="Code 3of9 4.6"/>
          <w:sz w:val="18"/>
          <w:lang w:val="en-US"/>
        </w:rPr>
      </w:pPr>
      <w:r>
        <w:rPr>
          <w:rFonts w:ascii="Code 3of9 4.6" w:hAnsi="Code 3of9 4.6"/>
          <w:b/>
          <w:sz w:val="18"/>
          <w:lang w:val="en-US"/>
        </w:rPr>
        <w:t>*0078458*</w:t>
      </w:r>
    </w:p>
  </w:footnote>
  <w:footnote w:id="2">
    <w:p w:rsidR="00000000" w:rsidRDefault="00000000">
      <w:pPr>
        <w:suppressAutoHyphens/>
        <w:spacing w:before="120" w:after="120"/>
        <w:rPr>
          <w:sz w:val="18"/>
        </w:rPr>
      </w:pPr>
      <w:r>
        <w:rPr>
          <w:sz w:val="18"/>
          <w:vertAlign w:val="superscript"/>
        </w:rPr>
        <w:t>1</w:t>
      </w:r>
      <w:r>
        <w:rPr>
          <w:sz w:val="18"/>
        </w:rPr>
        <w:tab/>
        <w:t>В данной статье отмечено, что следует принимать во внимание также изложенное в статье второй временного постановления о реформе Конституции, опубликованного в "Диарио Офисиаль де ла Федерасьон" 20 марта 1997 года. Данная статья гласит: "Второе. – Лица, добровольно получившие гражданство другого государства и утратившие при этом мексиканское гражданство, полученное по праву рождения, могут воспользоваться положениями статьи 37, раздела А, Конституции, исправленной на основании настоящего постановления, предварительно подав заявление в МИД Мексики в течение пяти лет с момента вступления в силу данного документа, то есть с 21 ма</w:t>
      </w:r>
      <w:r>
        <w:rPr>
          <w:sz w:val="18"/>
        </w:rPr>
        <w:t>р</w:t>
      </w:r>
      <w:r>
        <w:rPr>
          <w:sz w:val="18"/>
        </w:rPr>
        <w:t>та 1998 года".</w:t>
      </w:r>
    </w:p>
  </w:footnote>
  <w:footnote w:id="3">
    <w:p w:rsidR="00000000" w:rsidRDefault="00000000">
      <w:pPr>
        <w:suppressAutoHyphens/>
        <w:spacing w:before="120" w:after="120"/>
        <w:rPr>
          <w:sz w:val="18"/>
        </w:rPr>
      </w:pPr>
      <w:r>
        <w:rPr>
          <w:sz w:val="18"/>
          <w:vertAlign w:val="superscript"/>
        </w:rPr>
        <w:t>2</w:t>
      </w:r>
      <w:r>
        <w:rPr>
          <w:sz w:val="18"/>
        </w:rPr>
        <w:tab/>
        <w:t>Программа осуществляется ежегодно с апреля по ноябрь.</w:t>
      </w:r>
    </w:p>
  </w:footnote>
  <w:footnote w:id="4">
    <w:p w:rsidR="00000000" w:rsidRDefault="00000000">
      <w:pPr>
        <w:suppressAutoHyphens/>
        <w:spacing w:before="120" w:after="120"/>
        <w:rPr>
          <w:sz w:val="18"/>
        </w:rPr>
      </w:pPr>
      <w:r>
        <w:rPr>
          <w:sz w:val="18"/>
          <w:vertAlign w:val="superscript"/>
        </w:rPr>
        <w:t>3</w:t>
      </w:r>
      <w:r>
        <w:rPr>
          <w:sz w:val="18"/>
        </w:rPr>
        <w:tab/>
        <w:t>Эта цифра отражает общее число обучающихся на курсах профессиональной подготовки как в государственных, так и в частных учебных заведениях.</w:t>
      </w:r>
    </w:p>
  </w:footnote>
  <w:footnote w:id="5">
    <w:p w:rsidR="00000000" w:rsidRDefault="00000000">
      <w:pPr>
        <w:suppressAutoHyphens/>
        <w:spacing w:after="120"/>
        <w:rPr>
          <w:sz w:val="18"/>
        </w:rPr>
      </w:pPr>
      <w:r>
        <w:rPr>
          <w:sz w:val="18"/>
          <w:vertAlign w:val="superscript"/>
        </w:rPr>
        <w:footnoteRef/>
      </w:r>
      <w:r>
        <w:rPr>
          <w:sz w:val="18"/>
        </w:rPr>
        <w:tab/>
        <w:t xml:space="preserve">Следует отметить, что, по оценкам Национальной программы в области народонаселения, по состоянию на </w:t>
      </w:r>
      <w:r>
        <w:rPr>
          <w:sz w:val="18"/>
        </w:rPr>
        <w:br/>
        <w:t xml:space="preserve">1995–2000 годы число женщин в возрасте 15–49 лет, активно пользующихся противозачаточными средствами, составляет 12,6 млн. человек, и это – то число, которого необходимо было достигнуть, чтобы выполнить поставленную задачу: обеспечить рождаемость на уровне 2,4 ребенка на одну женщину. Однако последние обследования свидетельствуют об изменении отношения мексиканских женщин к браку (повышение среднего возраста вступления в брак, будь то официальный или гражданский), в результате чего число женщин указанной возрастной группы, состоящих в браке, оказалось ниже ожидавшегося: согласно оценкам ПНП, 15,9 млн. вместо ожидавшихся 16,7 млн., то есть на 800 тыс. меньше. Это уменьшение было отчасти компенсировано увеличением доли женщин, не состоящих в браке, среди всех женщин, пользующихся противозачаточными средствами (с 7 до 10 процентов). Если сложить имеющиеся цифры – </w:t>
      </w:r>
      <w:r>
        <w:rPr>
          <w:sz w:val="18"/>
        </w:rPr>
        <w:br/>
        <w:t>70,8 процента женщин, состоящих в браке, и всех, не состоящих в браке, но пользующихся противозачаточными средствами, то общее их число составит 12,4 млн. женщин, активно пользующихся противозачаточными средствами. Этими факторами объясняется имеющееся небольшое расхождение между прогнозом ПНП и реальным числом женщин, активно пользующихся противозачаточными средствами.</w:t>
      </w:r>
    </w:p>
  </w:footnote>
  <w:footnote w:id="6">
    <w:p w:rsidR="00000000" w:rsidRDefault="00000000">
      <w:pPr>
        <w:pStyle w:val="FootnoteText"/>
        <w:spacing w:before="60" w:after="120"/>
      </w:pPr>
      <w:r>
        <w:rPr>
          <w:rStyle w:val="FootnoteReference"/>
        </w:rPr>
        <w:footnoteRef/>
      </w:r>
      <w:r>
        <w:tab/>
        <w:t>ЭМИФ представляет собой постоянный опрос лиц старше 12 лет, родившихся и проживающих в Мексике. Опрос проводится на автобусных станциях и железнодорожных вокзалах, в аэропортах, на контрольно-пропускных пунктах и на пограничных пунктах, где патрули Службы иммиграции и натурализации передают мигрантов мексиканским властям.</w:t>
      </w:r>
    </w:p>
  </w:footnote>
  <w:footnote w:id="7">
    <w:p w:rsidR="00000000" w:rsidRDefault="00000000">
      <w:pPr>
        <w:pStyle w:val="FootnoteText"/>
        <w:spacing w:after="120"/>
      </w:pPr>
      <w:r>
        <w:rPr>
          <w:rStyle w:val="FootnoteReference"/>
        </w:rPr>
        <w:footnoteRef/>
      </w:r>
      <w:r>
        <w:tab/>
        <w:t>Резкий скачок временной миграции женщин был отмечен в 1993–1995 годах: если в марте 1993 года и в марте 1994 года ЭМИФ выявила 9374 женщин-мигрантов, то в 1995 году этот показатель возрос до 18 895 женщин.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s>
      <w:ind w:right="36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C983C3E"/>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294F07"/>
    <w:multiLevelType w:val="singleLevel"/>
    <w:tmpl w:val="DE948AC4"/>
    <w:lvl w:ilvl="0">
      <w:start w:val="459"/>
      <w:numFmt w:val="decimal"/>
      <w:lvlText w:val="%1."/>
      <w:lvlJc w:val="left"/>
      <w:pPr>
        <w:tabs>
          <w:tab w:val="num" w:pos="360"/>
        </w:tabs>
        <w:ind w:left="360" w:hanging="360"/>
      </w:pPr>
    </w:lvl>
  </w:abstractNum>
  <w:abstractNum w:abstractNumId="3">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4">
    <w:nsid w:val="008221F2"/>
    <w:multiLevelType w:val="singleLevel"/>
    <w:tmpl w:val="2850F2E6"/>
    <w:lvl w:ilvl="0">
      <w:start w:val="471"/>
      <w:numFmt w:val="decimal"/>
      <w:lvlText w:val="%1."/>
      <w:lvlJc w:val="left"/>
      <w:pPr>
        <w:tabs>
          <w:tab w:val="num" w:pos="360"/>
        </w:tabs>
        <w:ind w:left="360" w:hanging="360"/>
      </w:pPr>
    </w:lvl>
  </w:abstractNum>
  <w:abstractNum w:abstractNumId="5">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
    <w:nsid w:val="008F2628"/>
    <w:multiLevelType w:val="singleLevel"/>
    <w:tmpl w:val="219811AE"/>
    <w:lvl w:ilvl="0">
      <w:start w:val="261"/>
      <w:numFmt w:val="decimal"/>
      <w:lvlText w:val="%1. "/>
      <w:legacy w:legacy="1" w:legacySpace="0" w:legacyIndent="283"/>
      <w:lvlJc w:val="left"/>
      <w:pPr>
        <w:ind w:left="567" w:hanging="283"/>
      </w:pPr>
      <w:rPr>
        <w:b w:val="0"/>
        <w:i w:val="0"/>
        <w:sz w:val="24"/>
      </w:rPr>
    </w:lvl>
  </w:abstractNum>
  <w:abstractNum w:abstractNumId="7">
    <w:nsid w:val="00D47C93"/>
    <w:multiLevelType w:val="singleLevel"/>
    <w:tmpl w:val="B1F82112"/>
    <w:lvl w:ilvl="0">
      <w:start w:val="1"/>
      <w:numFmt w:val="decimal"/>
      <w:lvlText w:val="%1."/>
      <w:lvlJc w:val="left"/>
      <w:pPr>
        <w:tabs>
          <w:tab w:val="num" w:pos="644"/>
        </w:tabs>
        <w:ind w:left="644" w:hanging="360"/>
      </w:pPr>
      <w:rPr>
        <w:rFonts w:hint="default"/>
      </w:rPr>
    </w:lvl>
  </w:abstractNum>
  <w:abstractNum w:abstractNumId="8">
    <w:nsid w:val="00E1644A"/>
    <w:multiLevelType w:val="singleLevel"/>
    <w:tmpl w:val="755E186A"/>
    <w:lvl w:ilvl="0">
      <w:start w:val="110"/>
      <w:numFmt w:val="decimal"/>
      <w:lvlText w:val="%1."/>
      <w:lvlJc w:val="left"/>
      <w:pPr>
        <w:tabs>
          <w:tab w:val="num" w:pos="360"/>
        </w:tabs>
        <w:ind w:left="360" w:hanging="360"/>
      </w:pPr>
    </w:lvl>
  </w:abstractNum>
  <w:abstractNum w:abstractNumId="9">
    <w:nsid w:val="01216E17"/>
    <w:multiLevelType w:val="singleLevel"/>
    <w:tmpl w:val="BC9AD2DC"/>
    <w:lvl w:ilvl="0">
      <w:start w:val="425"/>
      <w:numFmt w:val="decimal"/>
      <w:lvlText w:val="%1."/>
      <w:lvlJc w:val="left"/>
      <w:pPr>
        <w:tabs>
          <w:tab w:val="num" w:pos="360"/>
        </w:tabs>
        <w:ind w:left="360" w:hanging="360"/>
      </w:pPr>
    </w:lvl>
  </w:abstractNum>
  <w:abstractNum w:abstractNumId="10">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14E4299"/>
    <w:multiLevelType w:val="singleLevel"/>
    <w:tmpl w:val="2B3E4394"/>
    <w:lvl w:ilvl="0">
      <w:start w:val="42"/>
      <w:numFmt w:val="decimal"/>
      <w:lvlText w:val="%1."/>
      <w:lvlJc w:val="left"/>
      <w:pPr>
        <w:tabs>
          <w:tab w:val="num" w:pos="360"/>
        </w:tabs>
        <w:ind w:left="360" w:hanging="360"/>
      </w:pPr>
    </w:lvl>
  </w:abstractNum>
  <w:abstractNum w:abstractNumId="12">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3">
    <w:nsid w:val="01DC7C88"/>
    <w:multiLevelType w:val="singleLevel"/>
    <w:tmpl w:val="D98C7C6A"/>
    <w:lvl w:ilvl="0">
      <w:numFmt w:val="bullet"/>
      <w:lvlText w:val="-"/>
      <w:lvlJc w:val="left"/>
      <w:pPr>
        <w:tabs>
          <w:tab w:val="num" w:pos="360"/>
        </w:tabs>
        <w:ind w:left="360" w:hanging="360"/>
      </w:pPr>
      <w:rPr>
        <w:rFonts w:hint="default"/>
      </w:rPr>
    </w:lvl>
  </w:abstractNum>
  <w:abstractNum w:abstractNumId="14">
    <w:nsid w:val="01F002DB"/>
    <w:multiLevelType w:val="singleLevel"/>
    <w:tmpl w:val="733AE2AA"/>
    <w:lvl w:ilvl="0">
      <w:start w:val="231"/>
      <w:numFmt w:val="decimal"/>
      <w:lvlText w:val="%1. "/>
      <w:legacy w:legacy="1" w:legacySpace="0" w:legacyIndent="283"/>
      <w:lvlJc w:val="left"/>
      <w:pPr>
        <w:ind w:left="567" w:hanging="283"/>
      </w:pPr>
      <w:rPr>
        <w:b w:val="0"/>
        <w:i w:val="0"/>
        <w:sz w:val="24"/>
      </w:rPr>
    </w:lvl>
  </w:abstractNum>
  <w:abstractNum w:abstractNumId="15">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nsid w:val="02A22C6B"/>
    <w:multiLevelType w:val="singleLevel"/>
    <w:tmpl w:val="5B66E34A"/>
    <w:lvl w:ilvl="0">
      <w:start w:val="34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2E4095A"/>
    <w:multiLevelType w:val="singleLevel"/>
    <w:tmpl w:val="0C8471B8"/>
    <w:lvl w:ilvl="0">
      <w:start w:val="60"/>
      <w:numFmt w:val="decimal"/>
      <w:lvlText w:val="%1."/>
      <w:lvlJc w:val="left"/>
      <w:pPr>
        <w:tabs>
          <w:tab w:val="num" w:pos="360"/>
        </w:tabs>
        <w:ind w:left="340" w:hanging="340"/>
      </w:pPr>
    </w:lvl>
  </w:abstractNum>
  <w:abstractNum w:abstractNumId="18">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9">
    <w:nsid w:val="03020784"/>
    <w:multiLevelType w:val="singleLevel"/>
    <w:tmpl w:val="0419000F"/>
    <w:lvl w:ilvl="0">
      <w:start w:val="1"/>
      <w:numFmt w:val="decimal"/>
      <w:lvlText w:val="%1."/>
      <w:lvlJc w:val="left"/>
      <w:pPr>
        <w:tabs>
          <w:tab w:val="num" w:pos="360"/>
        </w:tabs>
        <w:ind w:left="360" w:hanging="360"/>
      </w:pPr>
    </w:lvl>
  </w:abstractNum>
  <w:abstractNum w:abstractNumId="20">
    <w:nsid w:val="03300648"/>
    <w:multiLevelType w:val="singleLevel"/>
    <w:tmpl w:val="B45CB0C8"/>
    <w:lvl w:ilvl="0">
      <w:start w:val="220"/>
      <w:numFmt w:val="decimal"/>
      <w:lvlText w:val="%1."/>
      <w:lvlJc w:val="left"/>
      <w:pPr>
        <w:tabs>
          <w:tab w:val="num" w:pos="360"/>
        </w:tabs>
        <w:ind w:left="360" w:hanging="360"/>
      </w:pPr>
    </w:lvl>
  </w:abstractNum>
  <w:abstractNum w:abstractNumId="21">
    <w:nsid w:val="033953E4"/>
    <w:multiLevelType w:val="singleLevel"/>
    <w:tmpl w:val="7DEAE99E"/>
    <w:lvl w:ilvl="0">
      <w:start w:val="424"/>
      <w:numFmt w:val="decimal"/>
      <w:lvlText w:val="%1."/>
      <w:lvlJc w:val="left"/>
      <w:pPr>
        <w:tabs>
          <w:tab w:val="num" w:pos="360"/>
        </w:tabs>
        <w:ind w:left="360" w:hanging="360"/>
      </w:pPr>
    </w:lvl>
  </w:abstractNum>
  <w:abstractNum w:abstractNumId="22">
    <w:nsid w:val="03656007"/>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23">
    <w:nsid w:val="03712975"/>
    <w:multiLevelType w:val="singleLevel"/>
    <w:tmpl w:val="8B12959E"/>
    <w:lvl w:ilvl="0">
      <w:start w:val="101"/>
      <w:numFmt w:val="decimal"/>
      <w:lvlText w:val="%1."/>
      <w:lvlJc w:val="left"/>
      <w:pPr>
        <w:tabs>
          <w:tab w:val="num" w:pos="624"/>
        </w:tabs>
        <w:ind w:left="624" w:hanging="624"/>
      </w:pPr>
    </w:lvl>
  </w:abstractNum>
  <w:abstractNum w:abstractNumId="24">
    <w:nsid w:val="039A58AF"/>
    <w:multiLevelType w:val="singleLevel"/>
    <w:tmpl w:val="B1C45F64"/>
    <w:lvl w:ilvl="0">
      <w:start w:val="41"/>
      <w:numFmt w:val="decimal"/>
      <w:lvlText w:val="%1."/>
      <w:lvlJc w:val="left"/>
      <w:pPr>
        <w:tabs>
          <w:tab w:val="num" w:pos="360"/>
        </w:tabs>
        <w:ind w:left="360" w:hanging="360"/>
      </w:pPr>
    </w:lvl>
  </w:abstractNum>
  <w:abstractNum w:abstractNumId="25">
    <w:nsid w:val="03AA362D"/>
    <w:multiLevelType w:val="singleLevel"/>
    <w:tmpl w:val="D98C7C6A"/>
    <w:lvl w:ilvl="0">
      <w:numFmt w:val="bullet"/>
      <w:lvlText w:val="-"/>
      <w:lvlJc w:val="left"/>
      <w:pPr>
        <w:tabs>
          <w:tab w:val="num" w:pos="360"/>
        </w:tabs>
        <w:ind w:left="360" w:hanging="360"/>
      </w:pPr>
      <w:rPr>
        <w:rFonts w:hint="default"/>
      </w:rPr>
    </w:lvl>
  </w:abstractNum>
  <w:abstractNum w:abstractNumId="26">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7">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8">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04777D89"/>
    <w:multiLevelType w:val="singleLevel"/>
    <w:tmpl w:val="98464852"/>
    <w:lvl w:ilvl="0">
      <w:start w:val="186"/>
      <w:numFmt w:val="decimal"/>
      <w:lvlText w:val="%1."/>
      <w:lvlJc w:val="left"/>
      <w:pPr>
        <w:tabs>
          <w:tab w:val="num" w:pos="360"/>
        </w:tabs>
        <w:ind w:left="360" w:hanging="360"/>
      </w:pPr>
    </w:lvl>
  </w:abstractNum>
  <w:abstractNum w:abstractNumId="30">
    <w:nsid w:val="04BC58F0"/>
    <w:multiLevelType w:val="singleLevel"/>
    <w:tmpl w:val="D98C7C6A"/>
    <w:lvl w:ilvl="0">
      <w:numFmt w:val="bullet"/>
      <w:lvlText w:val="-"/>
      <w:lvlJc w:val="left"/>
      <w:pPr>
        <w:tabs>
          <w:tab w:val="num" w:pos="360"/>
        </w:tabs>
        <w:ind w:left="360" w:hanging="360"/>
      </w:pPr>
      <w:rPr>
        <w:rFonts w:hint="default"/>
      </w:rPr>
    </w:lvl>
  </w:abstractNum>
  <w:abstractNum w:abstractNumId="31">
    <w:nsid w:val="04C3570F"/>
    <w:multiLevelType w:val="singleLevel"/>
    <w:tmpl w:val="4B149D8A"/>
    <w:lvl w:ilvl="0">
      <w:start w:val="1"/>
      <w:numFmt w:val="decimal"/>
      <w:lvlText w:val="%1."/>
      <w:lvlJc w:val="left"/>
      <w:pPr>
        <w:tabs>
          <w:tab w:val="num" w:pos="644"/>
        </w:tabs>
        <w:ind w:left="644" w:hanging="360"/>
      </w:pPr>
      <w:rPr>
        <w:rFonts w:hint="default"/>
      </w:rPr>
    </w:lvl>
  </w:abstractNum>
  <w:abstractNum w:abstractNumId="32">
    <w:nsid w:val="053A4145"/>
    <w:multiLevelType w:val="singleLevel"/>
    <w:tmpl w:val="45EE22BC"/>
    <w:lvl w:ilvl="0">
      <w:start w:val="465"/>
      <w:numFmt w:val="decimal"/>
      <w:lvlText w:val="%1."/>
      <w:lvlJc w:val="left"/>
      <w:pPr>
        <w:tabs>
          <w:tab w:val="num" w:pos="360"/>
        </w:tabs>
        <w:ind w:left="360" w:hanging="360"/>
      </w:pPr>
    </w:lvl>
  </w:abstractNum>
  <w:abstractNum w:abstractNumId="33">
    <w:nsid w:val="05750455"/>
    <w:multiLevelType w:val="singleLevel"/>
    <w:tmpl w:val="6CD0C1CA"/>
    <w:lvl w:ilvl="0">
      <w:start w:val="301"/>
      <w:numFmt w:val="decimal"/>
      <w:lvlText w:val="%1."/>
      <w:lvlJc w:val="left"/>
      <w:pPr>
        <w:tabs>
          <w:tab w:val="num" w:pos="360"/>
        </w:tabs>
        <w:ind w:left="360" w:hanging="360"/>
      </w:pPr>
    </w:lvl>
  </w:abstractNum>
  <w:abstractNum w:abstractNumId="34">
    <w:nsid w:val="05B82014"/>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35">
    <w:nsid w:val="05C17620"/>
    <w:multiLevelType w:val="singleLevel"/>
    <w:tmpl w:val="83F6E720"/>
    <w:lvl w:ilvl="0">
      <w:start w:val="276"/>
      <w:numFmt w:val="decimal"/>
      <w:lvlText w:val="%1."/>
      <w:lvlJc w:val="left"/>
      <w:pPr>
        <w:tabs>
          <w:tab w:val="num" w:pos="360"/>
        </w:tabs>
        <w:ind w:left="360" w:hanging="360"/>
      </w:pPr>
    </w:lvl>
  </w:abstractNum>
  <w:abstractNum w:abstractNumId="36">
    <w:nsid w:val="05D8710C"/>
    <w:multiLevelType w:val="singleLevel"/>
    <w:tmpl w:val="11624234"/>
    <w:lvl w:ilvl="0">
      <w:start w:val="99"/>
      <w:numFmt w:val="decimal"/>
      <w:lvlText w:val="%1."/>
      <w:lvlJc w:val="left"/>
      <w:pPr>
        <w:tabs>
          <w:tab w:val="num" w:pos="360"/>
        </w:tabs>
        <w:ind w:left="360" w:hanging="360"/>
      </w:pPr>
    </w:lvl>
  </w:abstractNum>
  <w:abstractNum w:abstractNumId="37">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8">
    <w:nsid w:val="06830948"/>
    <w:multiLevelType w:val="singleLevel"/>
    <w:tmpl w:val="FE56DD6A"/>
    <w:lvl w:ilvl="0">
      <w:start w:val="34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06966916"/>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
    <w:nsid w:val="06C13D5E"/>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1">
    <w:nsid w:val="06CB3F11"/>
    <w:multiLevelType w:val="singleLevel"/>
    <w:tmpl w:val="E28A6A80"/>
    <w:lvl w:ilvl="0">
      <w:start w:val="11"/>
      <w:numFmt w:val="decimal"/>
      <w:lvlText w:val="%1."/>
      <w:lvlJc w:val="left"/>
      <w:pPr>
        <w:tabs>
          <w:tab w:val="num" w:pos="360"/>
        </w:tabs>
        <w:ind w:left="360" w:hanging="360"/>
      </w:pPr>
    </w:lvl>
  </w:abstractNum>
  <w:abstractNum w:abstractNumId="42">
    <w:nsid w:val="07C1231B"/>
    <w:multiLevelType w:val="singleLevel"/>
    <w:tmpl w:val="D98C7C6A"/>
    <w:lvl w:ilvl="0">
      <w:numFmt w:val="bullet"/>
      <w:lvlText w:val="-"/>
      <w:lvlJc w:val="left"/>
      <w:pPr>
        <w:tabs>
          <w:tab w:val="num" w:pos="360"/>
        </w:tabs>
        <w:ind w:left="360" w:hanging="360"/>
      </w:pPr>
      <w:rPr>
        <w:rFonts w:hint="default"/>
      </w:rPr>
    </w:lvl>
  </w:abstractNum>
  <w:abstractNum w:abstractNumId="43">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4">
    <w:nsid w:val="07E4611B"/>
    <w:multiLevelType w:val="multilevel"/>
    <w:tmpl w:val="7158A1DE"/>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07F3193D"/>
    <w:multiLevelType w:val="singleLevel"/>
    <w:tmpl w:val="876A867E"/>
    <w:lvl w:ilvl="0">
      <w:start w:val="67"/>
      <w:numFmt w:val="decimal"/>
      <w:lvlText w:val="%1."/>
      <w:lvlJc w:val="left"/>
      <w:pPr>
        <w:tabs>
          <w:tab w:val="num" w:pos="360"/>
        </w:tabs>
        <w:ind w:left="360" w:hanging="360"/>
      </w:pPr>
    </w:lvl>
  </w:abstractNum>
  <w:abstractNum w:abstractNumId="46">
    <w:nsid w:val="081A042B"/>
    <w:multiLevelType w:val="singleLevel"/>
    <w:tmpl w:val="D98C7C6A"/>
    <w:lvl w:ilvl="0">
      <w:numFmt w:val="bullet"/>
      <w:lvlText w:val="-"/>
      <w:lvlJc w:val="left"/>
      <w:pPr>
        <w:tabs>
          <w:tab w:val="num" w:pos="360"/>
        </w:tabs>
        <w:ind w:left="360" w:hanging="360"/>
      </w:pPr>
      <w:rPr>
        <w:rFonts w:hint="default"/>
      </w:rPr>
    </w:lvl>
  </w:abstractNum>
  <w:abstractNum w:abstractNumId="47">
    <w:nsid w:val="0901104C"/>
    <w:multiLevelType w:val="singleLevel"/>
    <w:tmpl w:val="4DDC6CAE"/>
    <w:lvl w:ilvl="0">
      <w:start w:val="396"/>
      <w:numFmt w:val="decimal"/>
      <w:lvlText w:val="%1."/>
      <w:lvlJc w:val="left"/>
      <w:pPr>
        <w:tabs>
          <w:tab w:val="num" w:pos="360"/>
        </w:tabs>
        <w:ind w:left="360" w:hanging="360"/>
      </w:pPr>
    </w:lvl>
  </w:abstractNum>
  <w:abstractNum w:abstractNumId="48">
    <w:nsid w:val="09036564"/>
    <w:multiLevelType w:val="singleLevel"/>
    <w:tmpl w:val="0419000F"/>
    <w:lvl w:ilvl="0">
      <w:start w:val="1"/>
      <w:numFmt w:val="decimal"/>
      <w:lvlText w:val="%1."/>
      <w:lvlJc w:val="left"/>
      <w:pPr>
        <w:tabs>
          <w:tab w:val="num" w:pos="360"/>
        </w:tabs>
        <w:ind w:left="360" w:hanging="360"/>
      </w:pPr>
    </w:lvl>
  </w:abstractNum>
  <w:abstractNum w:abstractNumId="49">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50">
    <w:nsid w:val="098B4FC7"/>
    <w:multiLevelType w:val="multilevel"/>
    <w:tmpl w:val="2102AB9E"/>
    <w:lvl w:ilvl="0">
      <w:start w:val="411"/>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09F9506F"/>
    <w:multiLevelType w:val="singleLevel"/>
    <w:tmpl w:val="DE948AC4"/>
    <w:lvl w:ilvl="0">
      <w:start w:val="459"/>
      <w:numFmt w:val="decimal"/>
      <w:lvlText w:val="%1."/>
      <w:lvlJc w:val="left"/>
      <w:pPr>
        <w:tabs>
          <w:tab w:val="num" w:pos="360"/>
        </w:tabs>
        <w:ind w:left="360" w:hanging="360"/>
      </w:pPr>
    </w:lvl>
  </w:abstractNum>
  <w:abstractNum w:abstractNumId="52">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3">
    <w:nsid w:val="0A981A29"/>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54">
    <w:nsid w:val="0AA05498"/>
    <w:multiLevelType w:val="singleLevel"/>
    <w:tmpl w:val="D98C7C6A"/>
    <w:lvl w:ilvl="0">
      <w:numFmt w:val="bullet"/>
      <w:lvlText w:val="-"/>
      <w:lvlJc w:val="left"/>
      <w:pPr>
        <w:tabs>
          <w:tab w:val="num" w:pos="360"/>
        </w:tabs>
        <w:ind w:left="360" w:hanging="360"/>
      </w:pPr>
      <w:rPr>
        <w:rFonts w:hint="default"/>
      </w:rPr>
    </w:lvl>
  </w:abstractNum>
  <w:abstractNum w:abstractNumId="55">
    <w:nsid w:val="0AAD310A"/>
    <w:multiLevelType w:val="singleLevel"/>
    <w:tmpl w:val="5EC4F830"/>
    <w:lvl w:ilvl="0">
      <w:start w:val="476"/>
      <w:numFmt w:val="decimal"/>
      <w:lvlText w:val="%1."/>
      <w:lvlJc w:val="left"/>
      <w:pPr>
        <w:tabs>
          <w:tab w:val="num" w:pos="360"/>
        </w:tabs>
        <w:ind w:left="360" w:hanging="360"/>
      </w:pPr>
    </w:lvl>
  </w:abstractNum>
  <w:abstractNum w:abstractNumId="56">
    <w:nsid w:val="0AE34716"/>
    <w:multiLevelType w:val="singleLevel"/>
    <w:tmpl w:val="AEB62858"/>
    <w:lvl w:ilvl="0">
      <w:start w:val="256"/>
      <w:numFmt w:val="decimal"/>
      <w:lvlText w:val="%1. "/>
      <w:legacy w:legacy="1" w:legacySpace="0" w:legacyIndent="283"/>
      <w:lvlJc w:val="left"/>
      <w:pPr>
        <w:ind w:left="567" w:hanging="283"/>
      </w:pPr>
      <w:rPr>
        <w:b w:val="0"/>
        <w:i w:val="0"/>
        <w:sz w:val="24"/>
      </w:rPr>
    </w:lvl>
  </w:abstractNum>
  <w:abstractNum w:abstractNumId="57">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8">
    <w:nsid w:val="0B520A42"/>
    <w:multiLevelType w:val="singleLevel"/>
    <w:tmpl w:val="11624234"/>
    <w:lvl w:ilvl="0">
      <w:start w:val="99"/>
      <w:numFmt w:val="decimal"/>
      <w:lvlText w:val="%1."/>
      <w:lvlJc w:val="left"/>
      <w:pPr>
        <w:tabs>
          <w:tab w:val="num" w:pos="360"/>
        </w:tabs>
        <w:ind w:left="360" w:hanging="360"/>
      </w:pPr>
    </w:lvl>
  </w:abstractNum>
  <w:abstractNum w:abstractNumId="59">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60">
    <w:nsid w:val="0BA31606"/>
    <w:multiLevelType w:val="singleLevel"/>
    <w:tmpl w:val="7DEAE99E"/>
    <w:lvl w:ilvl="0">
      <w:start w:val="424"/>
      <w:numFmt w:val="decimal"/>
      <w:lvlText w:val="%1."/>
      <w:lvlJc w:val="left"/>
      <w:pPr>
        <w:tabs>
          <w:tab w:val="num" w:pos="360"/>
        </w:tabs>
        <w:ind w:left="360" w:hanging="360"/>
      </w:pPr>
    </w:lvl>
  </w:abstractNum>
  <w:abstractNum w:abstractNumId="61">
    <w:nsid w:val="0BDC3695"/>
    <w:multiLevelType w:val="singleLevel"/>
    <w:tmpl w:val="3B082418"/>
    <w:lvl w:ilvl="0">
      <w:start w:val="1"/>
      <w:numFmt w:val="decimal"/>
      <w:lvlText w:val="%1."/>
      <w:lvlJc w:val="left"/>
      <w:pPr>
        <w:tabs>
          <w:tab w:val="num" w:pos="360"/>
        </w:tabs>
      </w:pPr>
    </w:lvl>
  </w:abstractNum>
  <w:abstractNum w:abstractNumId="62">
    <w:nsid w:val="0C0F54B6"/>
    <w:multiLevelType w:val="singleLevel"/>
    <w:tmpl w:val="1A3CB044"/>
    <w:lvl w:ilvl="0">
      <w:start w:val="173"/>
      <w:numFmt w:val="bullet"/>
      <w:lvlText w:val="-"/>
      <w:lvlJc w:val="left"/>
      <w:pPr>
        <w:tabs>
          <w:tab w:val="num" w:pos="360"/>
        </w:tabs>
        <w:ind w:left="360" w:hanging="360"/>
      </w:pPr>
      <w:rPr>
        <w:rFonts w:hint="default"/>
      </w:rPr>
    </w:lvl>
  </w:abstractNum>
  <w:abstractNum w:abstractNumId="63">
    <w:nsid w:val="0C956F46"/>
    <w:multiLevelType w:val="multilevel"/>
    <w:tmpl w:val="4E5810E2"/>
    <w:lvl w:ilvl="0">
      <w:start w:val="652"/>
      <w:numFmt w:val="decimal"/>
      <w:lvlText w:val="%1."/>
      <w:lvlJc w:val="left"/>
      <w:pPr>
        <w:tabs>
          <w:tab w:val="num" w:pos="764"/>
        </w:tabs>
        <w:ind w:left="764"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65">
    <w:nsid w:val="0D064241"/>
    <w:multiLevelType w:val="singleLevel"/>
    <w:tmpl w:val="0652F8F0"/>
    <w:lvl w:ilvl="0">
      <w:start w:val="197"/>
      <w:numFmt w:val="decimal"/>
      <w:lvlText w:val="%1."/>
      <w:lvlJc w:val="left"/>
      <w:pPr>
        <w:tabs>
          <w:tab w:val="num" w:pos="360"/>
        </w:tabs>
        <w:ind w:left="360" w:hanging="360"/>
      </w:pPr>
    </w:lvl>
  </w:abstractNum>
  <w:abstractNum w:abstractNumId="66">
    <w:nsid w:val="0D174D09"/>
    <w:multiLevelType w:val="singleLevel"/>
    <w:tmpl w:val="DA50B50C"/>
    <w:lvl w:ilvl="0">
      <w:start w:val="474"/>
      <w:numFmt w:val="decimal"/>
      <w:lvlText w:val="%1."/>
      <w:lvlJc w:val="left"/>
      <w:pPr>
        <w:tabs>
          <w:tab w:val="num" w:pos="360"/>
        </w:tabs>
        <w:ind w:left="360" w:hanging="360"/>
      </w:pPr>
    </w:lvl>
  </w:abstractNum>
  <w:abstractNum w:abstractNumId="67">
    <w:nsid w:val="0D372DF5"/>
    <w:multiLevelType w:val="multilevel"/>
    <w:tmpl w:val="ACAAA0DC"/>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68">
    <w:nsid w:val="0D62211F"/>
    <w:multiLevelType w:val="singleLevel"/>
    <w:tmpl w:val="B6E647CC"/>
    <w:lvl w:ilvl="0">
      <w:start w:val="233"/>
      <w:numFmt w:val="decimal"/>
      <w:lvlText w:val="%1."/>
      <w:lvlJc w:val="left"/>
      <w:pPr>
        <w:tabs>
          <w:tab w:val="num" w:pos="360"/>
        </w:tabs>
        <w:ind w:left="360" w:hanging="360"/>
      </w:pPr>
    </w:lvl>
  </w:abstractNum>
  <w:abstractNum w:abstractNumId="69">
    <w:nsid w:val="0D802714"/>
    <w:multiLevelType w:val="singleLevel"/>
    <w:tmpl w:val="83F6E720"/>
    <w:lvl w:ilvl="0">
      <w:start w:val="276"/>
      <w:numFmt w:val="decimal"/>
      <w:lvlText w:val="%1."/>
      <w:lvlJc w:val="left"/>
      <w:pPr>
        <w:tabs>
          <w:tab w:val="num" w:pos="360"/>
        </w:tabs>
        <w:ind w:left="360" w:hanging="360"/>
      </w:pPr>
    </w:lvl>
  </w:abstractNum>
  <w:abstractNum w:abstractNumId="70">
    <w:nsid w:val="0D856247"/>
    <w:multiLevelType w:val="singleLevel"/>
    <w:tmpl w:val="2F6EEBAE"/>
    <w:lvl w:ilvl="0">
      <w:start w:val="1"/>
      <w:numFmt w:val="decimal"/>
      <w:lvlText w:val="%1."/>
      <w:lvlJc w:val="left"/>
      <w:pPr>
        <w:tabs>
          <w:tab w:val="num" w:pos="360"/>
        </w:tabs>
        <w:ind w:left="360" w:hanging="360"/>
      </w:pPr>
      <w:rPr>
        <w:rFonts w:hint="default"/>
      </w:rPr>
    </w:lvl>
  </w:abstractNum>
  <w:abstractNum w:abstractNumId="71">
    <w:nsid w:val="0D9B18BC"/>
    <w:multiLevelType w:val="singleLevel"/>
    <w:tmpl w:val="876A867E"/>
    <w:lvl w:ilvl="0">
      <w:start w:val="67"/>
      <w:numFmt w:val="decimal"/>
      <w:lvlText w:val="%1."/>
      <w:lvlJc w:val="left"/>
      <w:pPr>
        <w:tabs>
          <w:tab w:val="num" w:pos="360"/>
        </w:tabs>
        <w:ind w:left="360" w:hanging="360"/>
      </w:pPr>
    </w:lvl>
  </w:abstractNum>
  <w:abstractNum w:abstractNumId="72">
    <w:nsid w:val="0DAF195A"/>
    <w:multiLevelType w:val="singleLevel"/>
    <w:tmpl w:val="54222EEE"/>
    <w:lvl w:ilvl="0">
      <w:start w:val="133"/>
      <w:numFmt w:val="decimal"/>
      <w:lvlText w:val="%1."/>
      <w:lvlJc w:val="left"/>
      <w:pPr>
        <w:tabs>
          <w:tab w:val="num" w:pos="360"/>
        </w:tabs>
        <w:ind w:left="360" w:hanging="360"/>
      </w:pPr>
    </w:lvl>
  </w:abstractNum>
  <w:abstractNum w:abstractNumId="73">
    <w:nsid w:val="0DD143B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4">
    <w:nsid w:val="0DFB0688"/>
    <w:multiLevelType w:val="singleLevel"/>
    <w:tmpl w:val="D98C7C6A"/>
    <w:lvl w:ilvl="0">
      <w:numFmt w:val="bullet"/>
      <w:lvlText w:val="-"/>
      <w:lvlJc w:val="left"/>
      <w:pPr>
        <w:tabs>
          <w:tab w:val="num" w:pos="360"/>
        </w:tabs>
        <w:ind w:left="360" w:hanging="360"/>
      </w:pPr>
      <w:rPr>
        <w:rFonts w:hint="default"/>
      </w:rPr>
    </w:lvl>
  </w:abstractNum>
  <w:abstractNum w:abstractNumId="75">
    <w:nsid w:val="0E0A4E80"/>
    <w:multiLevelType w:val="singleLevel"/>
    <w:tmpl w:val="20E6903C"/>
    <w:lvl w:ilvl="0">
      <w:start w:val="183"/>
      <w:numFmt w:val="decimal"/>
      <w:lvlText w:val="%1."/>
      <w:lvlJc w:val="left"/>
      <w:pPr>
        <w:tabs>
          <w:tab w:val="num" w:pos="360"/>
        </w:tabs>
        <w:ind w:left="360" w:hanging="360"/>
      </w:pPr>
    </w:lvl>
  </w:abstractNum>
  <w:abstractNum w:abstractNumId="76">
    <w:nsid w:val="0E2C5939"/>
    <w:multiLevelType w:val="singleLevel"/>
    <w:tmpl w:val="4B6CC44C"/>
    <w:lvl w:ilvl="0">
      <w:start w:val="151"/>
      <w:numFmt w:val="decimal"/>
      <w:lvlText w:val="%1."/>
      <w:lvlJc w:val="left"/>
      <w:pPr>
        <w:tabs>
          <w:tab w:val="num" w:pos="360"/>
        </w:tabs>
        <w:ind w:left="360" w:hanging="360"/>
      </w:pPr>
    </w:lvl>
  </w:abstractNum>
  <w:abstractNum w:abstractNumId="77">
    <w:nsid w:val="0E2D7ABF"/>
    <w:multiLevelType w:val="singleLevel"/>
    <w:tmpl w:val="04190013"/>
    <w:lvl w:ilvl="0">
      <w:start w:val="1"/>
      <w:numFmt w:val="upperRoman"/>
      <w:lvlText w:val="%1."/>
      <w:lvlJc w:val="left"/>
      <w:pPr>
        <w:tabs>
          <w:tab w:val="num" w:pos="720"/>
        </w:tabs>
        <w:ind w:left="720" w:hanging="720"/>
      </w:pPr>
      <w:rPr>
        <w:rFonts w:hint="default"/>
      </w:rPr>
    </w:lvl>
  </w:abstractNum>
  <w:abstractNum w:abstractNumId="78">
    <w:nsid w:val="0E410AB6"/>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79">
    <w:nsid w:val="0E766E67"/>
    <w:multiLevelType w:val="singleLevel"/>
    <w:tmpl w:val="2B082170"/>
    <w:lvl w:ilvl="0">
      <w:start w:val="420"/>
      <w:numFmt w:val="decimal"/>
      <w:lvlText w:val="%1."/>
      <w:lvlJc w:val="left"/>
      <w:pPr>
        <w:tabs>
          <w:tab w:val="num" w:pos="360"/>
        </w:tabs>
        <w:ind w:left="360" w:hanging="360"/>
      </w:pPr>
    </w:lvl>
  </w:abstractNum>
  <w:abstractNum w:abstractNumId="80">
    <w:nsid w:val="0F0436FA"/>
    <w:multiLevelType w:val="singleLevel"/>
    <w:tmpl w:val="0419000F"/>
    <w:lvl w:ilvl="0">
      <w:start w:val="1"/>
      <w:numFmt w:val="decimal"/>
      <w:lvlText w:val="%1."/>
      <w:lvlJc w:val="left"/>
      <w:pPr>
        <w:tabs>
          <w:tab w:val="num" w:pos="360"/>
        </w:tabs>
        <w:ind w:left="360" w:hanging="360"/>
      </w:pPr>
    </w:lvl>
  </w:abstractNum>
  <w:abstractNum w:abstractNumId="81">
    <w:nsid w:val="0F0E2D57"/>
    <w:multiLevelType w:val="singleLevel"/>
    <w:tmpl w:val="51349E1C"/>
    <w:lvl w:ilvl="0">
      <w:start w:val="92"/>
      <w:numFmt w:val="decimal"/>
      <w:lvlText w:val="%1."/>
      <w:lvlJc w:val="left"/>
      <w:pPr>
        <w:tabs>
          <w:tab w:val="num" w:pos="360"/>
        </w:tabs>
        <w:ind w:left="360" w:hanging="360"/>
      </w:pPr>
    </w:lvl>
  </w:abstractNum>
  <w:abstractNum w:abstractNumId="82">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3">
    <w:nsid w:val="0F6F494C"/>
    <w:multiLevelType w:val="singleLevel"/>
    <w:tmpl w:val="8B084C4A"/>
    <w:lvl w:ilvl="0">
      <w:start w:val="346"/>
      <w:numFmt w:val="decimal"/>
      <w:lvlText w:val="%1."/>
      <w:lvlJc w:val="left"/>
      <w:pPr>
        <w:tabs>
          <w:tab w:val="num" w:pos="360"/>
        </w:tabs>
        <w:ind w:left="360" w:hanging="360"/>
      </w:pPr>
    </w:lvl>
  </w:abstractNum>
  <w:abstractNum w:abstractNumId="84">
    <w:nsid w:val="0FD10723"/>
    <w:multiLevelType w:val="singleLevel"/>
    <w:tmpl w:val="B0FA0884"/>
    <w:lvl w:ilvl="0">
      <w:start w:val="401"/>
      <w:numFmt w:val="decimal"/>
      <w:lvlText w:val="%1."/>
      <w:lvlJc w:val="left"/>
      <w:pPr>
        <w:tabs>
          <w:tab w:val="num" w:pos="360"/>
        </w:tabs>
        <w:ind w:left="360" w:hanging="360"/>
      </w:pPr>
    </w:lvl>
  </w:abstractNum>
  <w:abstractNum w:abstractNumId="85">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86">
    <w:nsid w:val="102E6635"/>
    <w:multiLevelType w:val="multilevel"/>
    <w:tmpl w:val="8436A1D8"/>
    <w:lvl w:ilvl="0">
      <w:start w:val="34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88">
    <w:nsid w:val="108E53AF"/>
    <w:multiLevelType w:val="singleLevel"/>
    <w:tmpl w:val="67D01C16"/>
    <w:lvl w:ilvl="0">
      <w:start w:val="293"/>
      <w:numFmt w:val="decimal"/>
      <w:lvlText w:val="%1."/>
      <w:lvlJc w:val="left"/>
      <w:pPr>
        <w:tabs>
          <w:tab w:val="num" w:pos="360"/>
        </w:tabs>
        <w:ind w:left="360" w:hanging="360"/>
      </w:pPr>
    </w:lvl>
  </w:abstractNum>
  <w:abstractNum w:abstractNumId="89">
    <w:nsid w:val="10B640E4"/>
    <w:multiLevelType w:val="singleLevel"/>
    <w:tmpl w:val="163E87CC"/>
    <w:lvl w:ilvl="0">
      <w:start w:val="344"/>
      <w:numFmt w:val="decimal"/>
      <w:lvlText w:val="%1."/>
      <w:lvlJc w:val="left"/>
      <w:pPr>
        <w:tabs>
          <w:tab w:val="num" w:pos="360"/>
        </w:tabs>
        <w:ind w:left="360" w:hanging="360"/>
      </w:pPr>
    </w:lvl>
  </w:abstractNum>
  <w:abstractNum w:abstractNumId="90">
    <w:nsid w:val="10C51853"/>
    <w:multiLevelType w:val="singleLevel"/>
    <w:tmpl w:val="325E9D5C"/>
    <w:lvl w:ilvl="0">
      <w:start w:val="431"/>
      <w:numFmt w:val="decimal"/>
      <w:lvlText w:val="%1."/>
      <w:lvlJc w:val="left"/>
      <w:pPr>
        <w:tabs>
          <w:tab w:val="num" w:pos="360"/>
        </w:tabs>
        <w:ind w:left="360" w:hanging="360"/>
      </w:pPr>
    </w:lvl>
  </w:abstractNum>
  <w:abstractNum w:abstractNumId="91">
    <w:nsid w:val="10C765FE"/>
    <w:multiLevelType w:val="singleLevel"/>
    <w:tmpl w:val="B45CB0C8"/>
    <w:lvl w:ilvl="0">
      <w:start w:val="220"/>
      <w:numFmt w:val="decimal"/>
      <w:lvlText w:val="%1."/>
      <w:lvlJc w:val="left"/>
      <w:pPr>
        <w:tabs>
          <w:tab w:val="num" w:pos="360"/>
        </w:tabs>
        <w:ind w:left="360" w:hanging="360"/>
      </w:pPr>
    </w:lvl>
  </w:abstractNum>
  <w:abstractNum w:abstractNumId="92">
    <w:nsid w:val="112F6926"/>
    <w:multiLevelType w:val="singleLevel"/>
    <w:tmpl w:val="0419000F"/>
    <w:lvl w:ilvl="0">
      <w:start w:val="1"/>
      <w:numFmt w:val="decimal"/>
      <w:lvlText w:val="%1."/>
      <w:lvlJc w:val="left"/>
      <w:pPr>
        <w:tabs>
          <w:tab w:val="num" w:pos="360"/>
        </w:tabs>
        <w:ind w:left="360" w:hanging="360"/>
      </w:pPr>
    </w:lvl>
  </w:abstractNum>
  <w:abstractNum w:abstractNumId="93">
    <w:nsid w:val="11662A1D"/>
    <w:multiLevelType w:val="singleLevel"/>
    <w:tmpl w:val="9654B976"/>
    <w:lvl w:ilvl="0">
      <w:start w:val="154"/>
      <w:numFmt w:val="decimal"/>
      <w:lvlText w:val="%1."/>
      <w:lvlJc w:val="left"/>
      <w:pPr>
        <w:tabs>
          <w:tab w:val="num" w:pos="624"/>
        </w:tabs>
        <w:ind w:left="624" w:hanging="624"/>
      </w:pPr>
    </w:lvl>
  </w:abstractNum>
  <w:abstractNum w:abstractNumId="94">
    <w:nsid w:val="11A21F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5">
    <w:nsid w:val="11DC62FD"/>
    <w:multiLevelType w:val="singleLevel"/>
    <w:tmpl w:val="28603432"/>
    <w:lvl w:ilvl="0">
      <w:start w:val="363"/>
      <w:numFmt w:val="decimal"/>
      <w:lvlText w:val="%1."/>
      <w:lvlJc w:val="left"/>
      <w:pPr>
        <w:tabs>
          <w:tab w:val="num" w:pos="360"/>
        </w:tabs>
        <w:ind w:left="360" w:hanging="360"/>
      </w:pPr>
    </w:lvl>
  </w:abstractNum>
  <w:abstractNum w:abstractNumId="96">
    <w:nsid w:val="12063043"/>
    <w:multiLevelType w:val="multilevel"/>
    <w:tmpl w:val="67A47C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12184540"/>
    <w:multiLevelType w:val="singleLevel"/>
    <w:tmpl w:val="940AB8B2"/>
    <w:lvl w:ilvl="0">
      <w:start w:val="94"/>
      <w:numFmt w:val="decimal"/>
      <w:lvlText w:val="%1."/>
      <w:lvlJc w:val="left"/>
      <w:pPr>
        <w:tabs>
          <w:tab w:val="num" w:pos="360"/>
        </w:tabs>
        <w:ind w:left="360" w:hanging="360"/>
      </w:pPr>
    </w:lvl>
  </w:abstractNum>
  <w:abstractNum w:abstractNumId="98">
    <w:nsid w:val="12382C52"/>
    <w:multiLevelType w:val="multilevel"/>
    <w:tmpl w:val="A45E537E"/>
    <w:lvl w:ilvl="0">
      <w:start w:val="593"/>
      <w:numFmt w:val="decimal"/>
      <w:lvlText w:val="%1."/>
      <w:lvlJc w:val="left"/>
      <w:pPr>
        <w:tabs>
          <w:tab w:val="num" w:pos="990"/>
        </w:tabs>
        <w:ind w:left="990" w:hanging="63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128A76E3"/>
    <w:multiLevelType w:val="singleLevel"/>
    <w:tmpl w:val="2850F2E6"/>
    <w:lvl w:ilvl="0">
      <w:start w:val="471"/>
      <w:numFmt w:val="decimal"/>
      <w:lvlText w:val="%1."/>
      <w:lvlJc w:val="left"/>
      <w:pPr>
        <w:tabs>
          <w:tab w:val="num" w:pos="360"/>
        </w:tabs>
        <w:ind w:left="360" w:hanging="360"/>
      </w:pPr>
    </w:lvl>
  </w:abstractNum>
  <w:abstractNum w:abstractNumId="101">
    <w:nsid w:val="12945F08"/>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102">
    <w:nsid w:val="13962072"/>
    <w:multiLevelType w:val="singleLevel"/>
    <w:tmpl w:val="D98C7C6A"/>
    <w:lvl w:ilvl="0">
      <w:numFmt w:val="bullet"/>
      <w:lvlText w:val="-"/>
      <w:lvlJc w:val="left"/>
      <w:pPr>
        <w:tabs>
          <w:tab w:val="num" w:pos="360"/>
        </w:tabs>
        <w:ind w:left="360" w:hanging="360"/>
      </w:pPr>
      <w:rPr>
        <w:rFonts w:hint="default"/>
      </w:rPr>
    </w:lvl>
  </w:abstractNum>
  <w:abstractNum w:abstractNumId="103">
    <w:nsid w:val="13B9618A"/>
    <w:multiLevelType w:val="multilevel"/>
    <w:tmpl w:val="783AC6B2"/>
    <w:lvl w:ilvl="0">
      <w:start w:val="34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13D752B5"/>
    <w:multiLevelType w:val="singleLevel"/>
    <w:tmpl w:val="0419000F"/>
    <w:lvl w:ilvl="0">
      <w:start w:val="1"/>
      <w:numFmt w:val="decimal"/>
      <w:lvlText w:val="%1."/>
      <w:lvlJc w:val="left"/>
      <w:pPr>
        <w:tabs>
          <w:tab w:val="num" w:pos="360"/>
        </w:tabs>
        <w:ind w:left="360" w:hanging="360"/>
      </w:pPr>
    </w:lvl>
  </w:abstractNum>
  <w:abstractNum w:abstractNumId="105">
    <w:nsid w:val="140B1E15"/>
    <w:multiLevelType w:val="singleLevel"/>
    <w:tmpl w:val="04190017"/>
    <w:lvl w:ilvl="0">
      <w:start w:val="1"/>
      <w:numFmt w:val="lowerLetter"/>
      <w:lvlText w:val="%1)"/>
      <w:lvlJc w:val="left"/>
      <w:pPr>
        <w:tabs>
          <w:tab w:val="num" w:pos="360"/>
        </w:tabs>
        <w:ind w:left="360" w:hanging="360"/>
      </w:pPr>
      <w:rPr>
        <w:rFonts w:hint="default"/>
      </w:rPr>
    </w:lvl>
  </w:abstractNum>
  <w:abstractNum w:abstractNumId="106">
    <w:nsid w:val="14C87F4D"/>
    <w:multiLevelType w:val="singleLevel"/>
    <w:tmpl w:val="0D6AE728"/>
    <w:lvl w:ilvl="0">
      <w:start w:val="72"/>
      <w:numFmt w:val="decimal"/>
      <w:lvlText w:val="%1."/>
      <w:lvlJc w:val="left"/>
      <w:pPr>
        <w:tabs>
          <w:tab w:val="num" w:pos="360"/>
        </w:tabs>
        <w:ind w:left="360" w:hanging="360"/>
      </w:pPr>
    </w:lvl>
  </w:abstractNum>
  <w:abstractNum w:abstractNumId="107">
    <w:nsid w:val="14CA3EB1"/>
    <w:multiLevelType w:val="singleLevel"/>
    <w:tmpl w:val="778CBCF8"/>
    <w:lvl w:ilvl="0">
      <w:start w:val="652"/>
      <w:numFmt w:val="decimal"/>
      <w:lvlText w:val="%1."/>
      <w:lvlJc w:val="left"/>
      <w:pPr>
        <w:tabs>
          <w:tab w:val="num" w:pos="764"/>
        </w:tabs>
        <w:ind w:left="764" w:hanging="480"/>
      </w:pPr>
      <w:rPr>
        <w:rFonts w:hint="default"/>
      </w:rPr>
    </w:lvl>
  </w:abstractNum>
  <w:abstractNum w:abstractNumId="108">
    <w:nsid w:val="14DA3638"/>
    <w:multiLevelType w:val="singleLevel"/>
    <w:tmpl w:val="C91A934A"/>
    <w:lvl w:ilvl="0">
      <w:start w:val="88"/>
      <w:numFmt w:val="decimal"/>
      <w:lvlText w:val="%1."/>
      <w:lvlJc w:val="left"/>
      <w:pPr>
        <w:tabs>
          <w:tab w:val="num" w:pos="360"/>
        </w:tabs>
        <w:ind w:left="360" w:hanging="360"/>
      </w:pPr>
    </w:lvl>
  </w:abstractNum>
  <w:abstractNum w:abstractNumId="109">
    <w:nsid w:val="152F53DF"/>
    <w:multiLevelType w:val="multilevel"/>
    <w:tmpl w:val="B7BC26FE"/>
    <w:lvl w:ilvl="0">
      <w:start w:val="1990"/>
      <w:numFmt w:val="decimal"/>
      <w:lvlText w:val="%1"/>
      <w:lvlJc w:val="left"/>
      <w:pPr>
        <w:tabs>
          <w:tab w:val="num" w:pos="1065"/>
        </w:tabs>
        <w:ind w:left="1065" w:hanging="1065"/>
      </w:pPr>
      <w:rPr>
        <w:rFonts w:hint="default"/>
      </w:rPr>
    </w:lvl>
    <w:lvl w:ilvl="1">
      <w:start w:val="91"/>
      <w:numFmt w:val="decimal"/>
      <w:lvlText w:val="%1-%2"/>
      <w:lvlJc w:val="left"/>
      <w:pPr>
        <w:tabs>
          <w:tab w:val="num" w:pos="3315"/>
        </w:tabs>
        <w:ind w:left="3315" w:hanging="1065"/>
      </w:pPr>
      <w:rPr>
        <w:rFonts w:hint="default"/>
      </w:rPr>
    </w:lvl>
    <w:lvl w:ilvl="2">
      <w:start w:val="1"/>
      <w:numFmt w:val="decimal"/>
      <w:lvlText w:val="%1-%2.%3"/>
      <w:lvlJc w:val="left"/>
      <w:pPr>
        <w:tabs>
          <w:tab w:val="num" w:pos="5565"/>
        </w:tabs>
        <w:ind w:left="5565" w:hanging="1065"/>
      </w:pPr>
      <w:rPr>
        <w:rFonts w:hint="default"/>
      </w:rPr>
    </w:lvl>
    <w:lvl w:ilvl="3">
      <w:start w:val="1"/>
      <w:numFmt w:val="decimal"/>
      <w:lvlText w:val="%1-%2.%3.%4"/>
      <w:lvlJc w:val="left"/>
      <w:pPr>
        <w:tabs>
          <w:tab w:val="num" w:pos="7830"/>
        </w:tabs>
        <w:ind w:left="7830" w:hanging="1080"/>
      </w:pPr>
      <w:rPr>
        <w:rFonts w:hint="default"/>
      </w:rPr>
    </w:lvl>
    <w:lvl w:ilvl="4">
      <w:start w:val="1"/>
      <w:numFmt w:val="decimal"/>
      <w:lvlText w:val="%1-%2.%3.%4.%5"/>
      <w:lvlJc w:val="left"/>
      <w:pPr>
        <w:tabs>
          <w:tab w:val="num" w:pos="10080"/>
        </w:tabs>
        <w:ind w:left="10080" w:hanging="1080"/>
      </w:pPr>
      <w:rPr>
        <w:rFonts w:hint="default"/>
      </w:rPr>
    </w:lvl>
    <w:lvl w:ilvl="5">
      <w:start w:val="1"/>
      <w:numFmt w:val="decimal"/>
      <w:lvlText w:val="%1-%2.%3.%4.%5.%6"/>
      <w:lvlJc w:val="left"/>
      <w:pPr>
        <w:tabs>
          <w:tab w:val="num" w:pos="12690"/>
        </w:tabs>
        <w:ind w:left="12690" w:hanging="1440"/>
      </w:pPr>
      <w:rPr>
        <w:rFonts w:hint="default"/>
      </w:rPr>
    </w:lvl>
    <w:lvl w:ilvl="6">
      <w:start w:val="1"/>
      <w:numFmt w:val="decimal"/>
      <w:lvlText w:val="%1-%2.%3.%4.%5.%6.%7"/>
      <w:lvlJc w:val="left"/>
      <w:pPr>
        <w:tabs>
          <w:tab w:val="num" w:pos="14940"/>
        </w:tabs>
        <w:ind w:left="14940" w:hanging="1440"/>
      </w:pPr>
      <w:rPr>
        <w:rFonts w:hint="default"/>
      </w:rPr>
    </w:lvl>
    <w:lvl w:ilvl="7">
      <w:start w:val="1"/>
      <w:numFmt w:val="decimal"/>
      <w:lvlText w:val="%1-%2.%3.%4.%5.%6.%7.%8"/>
      <w:lvlJc w:val="left"/>
      <w:pPr>
        <w:tabs>
          <w:tab w:val="num" w:pos="17550"/>
        </w:tabs>
        <w:ind w:left="17550" w:hanging="1800"/>
      </w:pPr>
      <w:rPr>
        <w:rFonts w:hint="default"/>
      </w:rPr>
    </w:lvl>
    <w:lvl w:ilvl="8">
      <w:start w:val="1"/>
      <w:numFmt w:val="decimal"/>
      <w:lvlText w:val="%1-%2.%3.%4.%5.%6.%7.%8.%9"/>
      <w:lvlJc w:val="left"/>
      <w:pPr>
        <w:tabs>
          <w:tab w:val="num" w:pos="20160"/>
        </w:tabs>
        <w:ind w:left="20160" w:hanging="2160"/>
      </w:pPr>
      <w:rPr>
        <w:rFonts w:hint="default"/>
      </w:rPr>
    </w:lvl>
  </w:abstractNum>
  <w:abstractNum w:abstractNumId="110">
    <w:nsid w:val="15841ECE"/>
    <w:multiLevelType w:val="singleLevel"/>
    <w:tmpl w:val="D6B09A80"/>
    <w:lvl w:ilvl="0">
      <w:start w:val="330"/>
      <w:numFmt w:val="decimal"/>
      <w:lvlText w:val="%1."/>
      <w:lvlJc w:val="left"/>
      <w:pPr>
        <w:tabs>
          <w:tab w:val="num" w:pos="360"/>
        </w:tabs>
        <w:ind w:left="360" w:hanging="360"/>
      </w:pPr>
    </w:lvl>
  </w:abstractNum>
  <w:abstractNum w:abstractNumId="111">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112">
    <w:nsid w:val="17927FF0"/>
    <w:multiLevelType w:val="multilevel"/>
    <w:tmpl w:val="02527A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17A53768"/>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114">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15">
    <w:nsid w:val="17CF1789"/>
    <w:multiLevelType w:val="singleLevel"/>
    <w:tmpl w:val="CA940702"/>
    <w:lvl w:ilvl="0">
      <w:start w:val="71"/>
      <w:numFmt w:val="decimal"/>
      <w:lvlText w:val="%1."/>
      <w:lvlJc w:val="left"/>
      <w:pPr>
        <w:tabs>
          <w:tab w:val="num" w:pos="360"/>
        </w:tabs>
        <w:ind w:left="360" w:hanging="360"/>
      </w:pPr>
    </w:lvl>
  </w:abstractNum>
  <w:abstractNum w:abstractNumId="116">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117">
    <w:nsid w:val="17E13F70"/>
    <w:multiLevelType w:val="singleLevel"/>
    <w:tmpl w:val="D98C7C6A"/>
    <w:lvl w:ilvl="0">
      <w:numFmt w:val="bullet"/>
      <w:lvlText w:val="-"/>
      <w:lvlJc w:val="left"/>
      <w:pPr>
        <w:tabs>
          <w:tab w:val="num" w:pos="360"/>
        </w:tabs>
        <w:ind w:left="360" w:hanging="360"/>
      </w:pPr>
      <w:rPr>
        <w:rFonts w:hint="default"/>
      </w:rPr>
    </w:lvl>
  </w:abstractNum>
  <w:abstractNum w:abstractNumId="118">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9">
    <w:nsid w:val="18900757"/>
    <w:multiLevelType w:val="singleLevel"/>
    <w:tmpl w:val="EB78E1B4"/>
    <w:lvl w:ilvl="0">
      <w:start w:val="271"/>
      <w:numFmt w:val="decimal"/>
      <w:lvlText w:val="%1."/>
      <w:lvlJc w:val="left"/>
      <w:pPr>
        <w:tabs>
          <w:tab w:val="num" w:pos="360"/>
        </w:tabs>
        <w:ind w:left="360" w:hanging="360"/>
      </w:pPr>
    </w:lvl>
  </w:abstractNum>
  <w:abstractNum w:abstractNumId="120">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121">
    <w:nsid w:val="190D3967"/>
    <w:multiLevelType w:val="singleLevel"/>
    <w:tmpl w:val="0419000F"/>
    <w:lvl w:ilvl="0">
      <w:start w:val="1"/>
      <w:numFmt w:val="decimal"/>
      <w:lvlText w:val="%1."/>
      <w:lvlJc w:val="left"/>
      <w:pPr>
        <w:tabs>
          <w:tab w:val="num" w:pos="360"/>
        </w:tabs>
        <w:ind w:left="360" w:hanging="360"/>
      </w:pPr>
    </w:lvl>
  </w:abstractNum>
  <w:abstractNum w:abstractNumId="122">
    <w:nsid w:val="19300F32"/>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123">
    <w:nsid w:val="1931103E"/>
    <w:multiLevelType w:val="singleLevel"/>
    <w:tmpl w:val="0419000F"/>
    <w:lvl w:ilvl="0">
      <w:start w:val="1"/>
      <w:numFmt w:val="decimal"/>
      <w:lvlText w:val="%1."/>
      <w:lvlJc w:val="left"/>
      <w:pPr>
        <w:tabs>
          <w:tab w:val="num" w:pos="360"/>
        </w:tabs>
        <w:ind w:left="360" w:hanging="360"/>
      </w:pPr>
    </w:lvl>
  </w:abstractNum>
  <w:abstractNum w:abstractNumId="124">
    <w:nsid w:val="1948032B"/>
    <w:multiLevelType w:val="singleLevel"/>
    <w:tmpl w:val="A7D41F14"/>
    <w:lvl w:ilvl="0">
      <w:start w:val="393"/>
      <w:numFmt w:val="decimal"/>
      <w:lvlText w:val="%1."/>
      <w:lvlJc w:val="left"/>
      <w:pPr>
        <w:tabs>
          <w:tab w:val="num" w:pos="360"/>
        </w:tabs>
        <w:ind w:left="360" w:hanging="360"/>
      </w:pPr>
    </w:lvl>
  </w:abstractNum>
  <w:abstractNum w:abstractNumId="125">
    <w:nsid w:val="19657B11"/>
    <w:multiLevelType w:val="singleLevel"/>
    <w:tmpl w:val="99E6BC32"/>
    <w:lvl w:ilvl="0">
      <w:start w:val="355"/>
      <w:numFmt w:val="decimal"/>
      <w:lvlText w:val="%1."/>
      <w:lvlJc w:val="left"/>
      <w:pPr>
        <w:tabs>
          <w:tab w:val="num" w:pos="360"/>
        </w:tabs>
        <w:ind w:left="360" w:hanging="360"/>
      </w:pPr>
    </w:lvl>
  </w:abstractNum>
  <w:abstractNum w:abstractNumId="126">
    <w:nsid w:val="198D79E4"/>
    <w:multiLevelType w:val="singleLevel"/>
    <w:tmpl w:val="C164CA86"/>
    <w:lvl w:ilvl="0">
      <w:start w:val="384"/>
      <w:numFmt w:val="decimal"/>
      <w:lvlText w:val="%1."/>
      <w:lvlJc w:val="left"/>
      <w:pPr>
        <w:tabs>
          <w:tab w:val="num" w:pos="360"/>
        </w:tabs>
        <w:ind w:left="0" w:firstLine="0"/>
      </w:pPr>
    </w:lvl>
  </w:abstractNum>
  <w:abstractNum w:abstractNumId="127">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28">
    <w:nsid w:val="19BC6E76"/>
    <w:multiLevelType w:val="singleLevel"/>
    <w:tmpl w:val="286887F8"/>
    <w:lvl w:ilvl="0">
      <w:start w:val="289"/>
      <w:numFmt w:val="decimal"/>
      <w:lvlText w:val="%1."/>
      <w:lvlJc w:val="left"/>
      <w:pPr>
        <w:tabs>
          <w:tab w:val="num" w:pos="360"/>
        </w:tabs>
        <w:ind w:left="360" w:hanging="360"/>
      </w:pPr>
    </w:lvl>
  </w:abstractNum>
  <w:abstractNum w:abstractNumId="129">
    <w:nsid w:val="19EA4C1D"/>
    <w:multiLevelType w:val="singleLevel"/>
    <w:tmpl w:val="EB78E1B4"/>
    <w:lvl w:ilvl="0">
      <w:start w:val="271"/>
      <w:numFmt w:val="decimal"/>
      <w:lvlText w:val="%1."/>
      <w:lvlJc w:val="left"/>
      <w:pPr>
        <w:tabs>
          <w:tab w:val="num" w:pos="360"/>
        </w:tabs>
        <w:ind w:left="360" w:hanging="360"/>
      </w:pPr>
    </w:lvl>
  </w:abstractNum>
  <w:abstractNum w:abstractNumId="130">
    <w:nsid w:val="1A3A522C"/>
    <w:multiLevelType w:val="singleLevel"/>
    <w:tmpl w:val="48BCB54C"/>
    <w:lvl w:ilvl="0">
      <w:start w:val="30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1">
    <w:nsid w:val="1AB125B3"/>
    <w:multiLevelType w:val="singleLevel"/>
    <w:tmpl w:val="D98C7C6A"/>
    <w:lvl w:ilvl="0">
      <w:numFmt w:val="bullet"/>
      <w:lvlText w:val="-"/>
      <w:lvlJc w:val="left"/>
      <w:pPr>
        <w:tabs>
          <w:tab w:val="num" w:pos="360"/>
        </w:tabs>
        <w:ind w:left="360" w:hanging="360"/>
      </w:pPr>
      <w:rPr>
        <w:rFonts w:hint="default"/>
      </w:rPr>
    </w:lvl>
  </w:abstractNum>
  <w:abstractNum w:abstractNumId="132">
    <w:nsid w:val="1ABE2D86"/>
    <w:multiLevelType w:val="singleLevel"/>
    <w:tmpl w:val="8B12959E"/>
    <w:lvl w:ilvl="0">
      <w:start w:val="101"/>
      <w:numFmt w:val="decimal"/>
      <w:lvlText w:val="%1."/>
      <w:lvlJc w:val="left"/>
      <w:pPr>
        <w:tabs>
          <w:tab w:val="num" w:pos="624"/>
        </w:tabs>
        <w:ind w:left="624" w:hanging="624"/>
      </w:pPr>
    </w:lvl>
  </w:abstractNum>
  <w:abstractNum w:abstractNumId="133">
    <w:nsid w:val="1AE87479"/>
    <w:multiLevelType w:val="singleLevel"/>
    <w:tmpl w:val="51349E1C"/>
    <w:lvl w:ilvl="0">
      <w:start w:val="92"/>
      <w:numFmt w:val="decimal"/>
      <w:lvlText w:val="%1."/>
      <w:lvlJc w:val="left"/>
      <w:pPr>
        <w:tabs>
          <w:tab w:val="num" w:pos="360"/>
        </w:tabs>
        <w:ind w:left="360" w:hanging="360"/>
      </w:pPr>
    </w:lvl>
  </w:abstractNum>
  <w:abstractNum w:abstractNumId="134">
    <w:nsid w:val="1B0006BE"/>
    <w:multiLevelType w:val="singleLevel"/>
    <w:tmpl w:val="6AE8CDD4"/>
    <w:lvl w:ilvl="0">
      <w:start w:val="260"/>
      <w:numFmt w:val="decimal"/>
      <w:lvlText w:val="%1."/>
      <w:lvlJc w:val="left"/>
      <w:pPr>
        <w:tabs>
          <w:tab w:val="num" w:pos="360"/>
        </w:tabs>
        <w:ind w:left="360" w:hanging="360"/>
      </w:pPr>
    </w:lvl>
  </w:abstractNum>
  <w:abstractNum w:abstractNumId="135">
    <w:nsid w:val="1B176AD4"/>
    <w:multiLevelType w:val="singleLevel"/>
    <w:tmpl w:val="44AE2E64"/>
    <w:lvl w:ilvl="0">
      <w:start w:val="181"/>
      <w:numFmt w:val="decimal"/>
      <w:lvlText w:val="%1."/>
      <w:lvlJc w:val="left"/>
      <w:pPr>
        <w:tabs>
          <w:tab w:val="num" w:pos="360"/>
        </w:tabs>
        <w:ind w:left="360" w:hanging="360"/>
      </w:pPr>
    </w:lvl>
  </w:abstractNum>
  <w:abstractNum w:abstractNumId="136">
    <w:nsid w:val="1B177AFC"/>
    <w:multiLevelType w:val="multilevel"/>
    <w:tmpl w:val="B9847D32"/>
    <w:lvl w:ilvl="0">
      <w:start w:val="1"/>
      <w:numFmt w:val="decimal"/>
      <w:lvlText w:val="%1."/>
      <w:lvlJc w:val="left"/>
      <w:pPr>
        <w:tabs>
          <w:tab w:val="num" w:pos="1905"/>
        </w:tabs>
        <w:ind w:left="1905" w:hanging="360"/>
      </w:pPr>
      <w:rPr>
        <w:rFonts w:hint="default"/>
      </w:rPr>
    </w:lvl>
    <w:lvl w:ilvl="1" w:tentative="1">
      <w:start w:val="1"/>
      <w:numFmt w:val="lowerLetter"/>
      <w:lvlText w:val="%2."/>
      <w:lvlJc w:val="left"/>
      <w:pPr>
        <w:tabs>
          <w:tab w:val="num" w:pos="2625"/>
        </w:tabs>
        <w:ind w:left="2625" w:hanging="360"/>
      </w:pPr>
    </w:lvl>
    <w:lvl w:ilvl="2" w:tentative="1">
      <w:start w:val="1"/>
      <w:numFmt w:val="lowerRoman"/>
      <w:lvlText w:val="%3."/>
      <w:lvlJc w:val="right"/>
      <w:pPr>
        <w:tabs>
          <w:tab w:val="num" w:pos="3345"/>
        </w:tabs>
        <w:ind w:left="3345" w:hanging="180"/>
      </w:pPr>
    </w:lvl>
    <w:lvl w:ilvl="3" w:tentative="1">
      <w:start w:val="1"/>
      <w:numFmt w:val="decimal"/>
      <w:lvlText w:val="%4."/>
      <w:lvlJc w:val="left"/>
      <w:pPr>
        <w:tabs>
          <w:tab w:val="num" w:pos="4065"/>
        </w:tabs>
        <w:ind w:left="4065" w:hanging="360"/>
      </w:pPr>
    </w:lvl>
    <w:lvl w:ilvl="4" w:tentative="1">
      <w:start w:val="1"/>
      <w:numFmt w:val="lowerLetter"/>
      <w:lvlText w:val="%5."/>
      <w:lvlJc w:val="left"/>
      <w:pPr>
        <w:tabs>
          <w:tab w:val="num" w:pos="4785"/>
        </w:tabs>
        <w:ind w:left="4785" w:hanging="360"/>
      </w:pPr>
    </w:lvl>
    <w:lvl w:ilvl="5" w:tentative="1">
      <w:start w:val="1"/>
      <w:numFmt w:val="lowerRoman"/>
      <w:lvlText w:val="%6."/>
      <w:lvlJc w:val="right"/>
      <w:pPr>
        <w:tabs>
          <w:tab w:val="num" w:pos="5505"/>
        </w:tabs>
        <w:ind w:left="5505" w:hanging="180"/>
      </w:pPr>
    </w:lvl>
    <w:lvl w:ilvl="6" w:tentative="1">
      <w:start w:val="1"/>
      <w:numFmt w:val="decimal"/>
      <w:lvlText w:val="%7."/>
      <w:lvlJc w:val="left"/>
      <w:pPr>
        <w:tabs>
          <w:tab w:val="num" w:pos="6225"/>
        </w:tabs>
        <w:ind w:left="6225" w:hanging="360"/>
      </w:pPr>
    </w:lvl>
    <w:lvl w:ilvl="7" w:tentative="1">
      <w:start w:val="1"/>
      <w:numFmt w:val="lowerLetter"/>
      <w:lvlText w:val="%8."/>
      <w:lvlJc w:val="left"/>
      <w:pPr>
        <w:tabs>
          <w:tab w:val="num" w:pos="6945"/>
        </w:tabs>
        <w:ind w:left="6945" w:hanging="360"/>
      </w:pPr>
    </w:lvl>
    <w:lvl w:ilvl="8" w:tentative="1">
      <w:start w:val="1"/>
      <w:numFmt w:val="lowerRoman"/>
      <w:lvlText w:val="%9."/>
      <w:lvlJc w:val="right"/>
      <w:pPr>
        <w:tabs>
          <w:tab w:val="num" w:pos="7665"/>
        </w:tabs>
        <w:ind w:left="7665" w:hanging="180"/>
      </w:pPr>
    </w:lvl>
  </w:abstractNum>
  <w:abstractNum w:abstractNumId="137">
    <w:nsid w:val="1B49745F"/>
    <w:multiLevelType w:val="singleLevel"/>
    <w:tmpl w:val="8C8AFE16"/>
    <w:lvl w:ilvl="0">
      <w:start w:val="463"/>
      <w:numFmt w:val="decimal"/>
      <w:lvlText w:val="%1."/>
      <w:lvlJc w:val="left"/>
      <w:pPr>
        <w:tabs>
          <w:tab w:val="num" w:pos="360"/>
        </w:tabs>
        <w:ind w:left="360" w:hanging="360"/>
      </w:pPr>
    </w:lvl>
  </w:abstractNum>
  <w:abstractNum w:abstractNumId="138">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39">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40">
    <w:nsid w:val="1BA00285"/>
    <w:multiLevelType w:val="singleLevel"/>
    <w:tmpl w:val="AFC23470"/>
    <w:lvl w:ilvl="0">
      <w:start w:val="809"/>
      <w:numFmt w:val="decimal"/>
      <w:lvlText w:val="%1."/>
      <w:lvlJc w:val="left"/>
      <w:pPr>
        <w:tabs>
          <w:tab w:val="num" w:pos="540"/>
        </w:tabs>
        <w:ind w:left="540" w:hanging="540"/>
      </w:pPr>
      <w:rPr>
        <w:rFonts w:hint="default"/>
        <w:b w:val="0"/>
      </w:rPr>
    </w:lvl>
  </w:abstractNum>
  <w:abstractNum w:abstractNumId="141">
    <w:nsid w:val="1BB407C5"/>
    <w:multiLevelType w:val="singleLevel"/>
    <w:tmpl w:val="6706E8BE"/>
    <w:lvl w:ilvl="0">
      <w:start w:val="1"/>
      <w:numFmt w:val="upperRoman"/>
      <w:lvlText w:val="%1."/>
      <w:lvlJc w:val="left"/>
      <w:pPr>
        <w:tabs>
          <w:tab w:val="num" w:pos="720"/>
        </w:tabs>
        <w:ind w:left="360" w:hanging="360"/>
      </w:pPr>
    </w:lvl>
  </w:abstractNum>
  <w:abstractNum w:abstractNumId="142">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43">
    <w:nsid w:val="1CAC1E25"/>
    <w:multiLevelType w:val="singleLevel"/>
    <w:tmpl w:val="04190013"/>
    <w:lvl w:ilvl="0">
      <w:start w:val="1"/>
      <w:numFmt w:val="upperRoman"/>
      <w:lvlText w:val="%1."/>
      <w:lvlJc w:val="left"/>
      <w:pPr>
        <w:tabs>
          <w:tab w:val="num" w:pos="720"/>
        </w:tabs>
        <w:ind w:left="720" w:hanging="720"/>
      </w:pPr>
      <w:rPr>
        <w:rFonts w:hint="default"/>
      </w:rPr>
    </w:lvl>
  </w:abstractNum>
  <w:abstractNum w:abstractNumId="144">
    <w:nsid w:val="1CC62008"/>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45">
    <w:nsid w:val="1D981614"/>
    <w:multiLevelType w:val="singleLevel"/>
    <w:tmpl w:val="8AD46BF0"/>
    <w:lvl w:ilvl="0">
      <w:start w:val="157"/>
      <w:numFmt w:val="decimal"/>
      <w:lvlText w:val="%1."/>
      <w:lvlJc w:val="left"/>
      <w:pPr>
        <w:tabs>
          <w:tab w:val="num" w:pos="624"/>
        </w:tabs>
        <w:ind w:left="624" w:hanging="624"/>
      </w:pPr>
    </w:lvl>
  </w:abstractNum>
  <w:abstractNum w:abstractNumId="146">
    <w:nsid w:val="1D9A499B"/>
    <w:multiLevelType w:val="singleLevel"/>
    <w:tmpl w:val="B3A8B37E"/>
    <w:lvl w:ilvl="0">
      <w:start w:val="100"/>
      <w:numFmt w:val="decimal"/>
      <w:lvlText w:val="%1."/>
      <w:lvlJc w:val="left"/>
      <w:pPr>
        <w:tabs>
          <w:tab w:val="num" w:pos="624"/>
        </w:tabs>
        <w:ind w:left="624" w:hanging="624"/>
      </w:pPr>
    </w:lvl>
  </w:abstractNum>
  <w:abstractNum w:abstractNumId="147">
    <w:nsid w:val="1DA61E60"/>
    <w:multiLevelType w:val="singleLevel"/>
    <w:tmpl w:val="70143DC6"/>
    <w:lvl w:ilvl="0">
      <w:start w:val="338"/>
      <w:numFmt w:val="decimal"/>
      <w:lvlText w:val="%1."/>
      <w:lvlJc w:val="left"/>
      <w:pPr>
        <w:tabs>
          <w:tab w:val="num" w:pos="360"/>
        </w:tabs>
        <w:ind w:left="360" w:hanging="360"/>
      </w:pPr>
    </w:lvl>
  </w:abstractNum>
  <w:abstractNum w:abstractNumId="148">
    <w:nsid w:val="1DAD3376"/>
    <w:multiLevelType w:val="singleLevel"/>
    <w:tmpl w:val="BDCCEA6E"/>
    <w:lvl w:ilvl="0">
      <w:start w:val="123"/>
      <w:numFmt w:val="decimal"/>
      <w:lvlText w:val="%1."/>
      <w:lvlJc w:val="left"/>
      <w:pPr>
        <w:tabs>
          <w:tab w:val="num" w:pos="360"/>
        </w:tabs>
        <w:ind w:left="360" w:hanging="360"/>
      </w:pPr>
    </w:lvl>
  </w:abstractNum>
  <w:abstractNum w:abstractNumId="149">
    <w:nsid w:val="1DB5545E"/>
    <w:multiLevelType w:val="singleLevel"/>
    <w:tmpl w:val="B5ACFCD2"/>
    <w:lvl w:ilvl="0">
      <w:start w:val="87"/>
      <w:numFmt w:val="decimal"/>
      <w:lvlText w:val="%1."/>
      <w:lvlJc w:val="left"/>
      <w:pPr>
        <w:tabs>
          <w:tab w:val="num" w:pos="360"/>
        </w:tabs>
        <w:ind w:left="360" w:hanging="360"/>
      </w:pPr>
    </w:lvl>
  </w:abstractNum>
  <w:abstractNum w:abstractNumId="150">
    <w:nsid w:val="1DE7569B"/>
    <w:multiLevelType w:val="singleLevel"/>
    <w:tmpl w:val="DA50B50C"/>
    <w:lvl w:ilvl="0">
      <w:start w:val="474"/>
      <w:numFmt w:val="decimal"/>
      <w:lvlText w:val="%1."/>
      <w:lvlJc w:val="left"/>
      <w:pPr>
        <w:tabs>
          <w:tab w:val="num" w:pos="360"/>
        </w:tabs>
        <w:ind w:left="360" w:hanging="360"/>
      </w:pPr>
    </w:lvl>
  </w:abstractNum>
  <w:abstractNum w:abstractNumId="151">
    <w:nsid w:val="1E403796"/>
    <w:multiLevelType w:val="singleLevel"/>
    <w:tmpl w:val="7C621A74"/>
    <w:lvl w:ilvl="0">
      <w:start w:val="100"/>
      <w:numFmt w:val="decimal"/>
      <w:lvlText w:val="%1."/>
      <w:lvlJc w:val="left"/>
      <w:pPr>
        <w:tabs>
          <w:tab w:val="num" w:pos="360"/>
        </w:tabs>
        <w:ind w:left="360" w:hanging="360"/>
      </w:pPr>
    </w:lvl>
  </w:abstractNum>
  <w:abstractNum w:abstractNumId="152">
    <w:nsid w:val="1EAE2F4C"/>
    <w:multiLevelType w:val="singleLevel"/>
    <w:tmpl w:val="6C8A8058"/>
    <w:lvl w:ilvl="0">
      <w:start w:val="292"/>
      <w:numFmt w:val="decimal"/>
      <w:lvlText w:val="%1."/>
      <w:lvlJc w:val="left"/>
      <w:pPr>
        <w:tabs>
          <w:tab w:val="num" w:pos="360"/>
        </w:tabs>
        <w:ind w:left="0" w:firstLine="0"/>
      </w:pPr>
    </w:lvl>
  </w:abstractNum>
  <w:abstractNum w:abstractNumId="153">
    <w:nsid w:val="1EAF50AC"/>
    <w:multiLevelType w:val="singleLevel"/>
    <w:tmpl w:val="BC9AD2DC"/>
    <w:lvl w:ilvl="0">
      <w:start w:val="425"/>
      <w:numFmt w:val="decimal"/>
      <w:lvlText w:val="%1."/>
      <w:lvlJc w:val="left"/>
      <w:pPr>
        <w:tabs>
          <w:tab w:val="num" w:pos="360"/>
        </w:tabs>
        <w:ind w:left="360" w:hanging="360"/>
      </w:pPr>
    </w:lvl>
  </w:abstractNum>
  <w:abstractNum w:abstractNumId="154">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55">
    <w:nsid w:val="1EC40937"/>
    <w:multiLevelType w:val="singleLevel"/>
    <w:tmpl w:val="13085D8C"/>
    <w:lvl w:ilvl="0">
      <w:start w:val="144"/>
      <w:numFmt w:val="decimal"/>
      <w:lvlText w:val="%1."/>
      <w:lvlJc w:val="left"/>
      <w:pPr>
        <w:tabs>
          <w:tab w:val="num" w:pos="360"/>
        </w:tabs>
        <w:ind w:left="360" w:hanging="360"/>
      </w:pPr>
    </w:lvl>
  </w:abstractNum>
  <w:abstractNum w:abstractNumId="156">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57">
    <w:nsid w:val="1EDD2FCC"/>
    <w:multiLevelType w:val="singleLevel"/>
    <w:tmpl w:val="C0783106"/>
    <w:lvl w:ilvl="0">
      <w:start w:val="1"/>
      <w:numFmt w:val="upperRoman"/>
      <w:lvlText w:val="%1."/>
      <w:lvlJc w:val="left"/>
      <w:pPr>
        <w:tabs>
          <w:tab w:val="num" w:pos="1004"/>
        </w:tabs>
        <w:ind w:left="1004" w:hanging="720"/>
      </w:pPr>
      <w:rPr>
        <w:rFonts w:hint="default"/>
      </w:rPr>
    </w:lvl>
  </w:abstractNum>
  <w:abstractNum w:abstractNumId="158">
    <w:nsid w:val="1F177E76"/>
    <w:multiLevelType w:val="singleLevel"/>
    <w:tmpl w:val="8D06AD0E"/>
    <w:lvl w:ilvl="0">
      <w:start w:val="99"/>
      <w:numFmt w:val="decimal"/>
      <w:lvlText w:val="%1."/>
      <w:lvlJc w:val="left"/>
      <w:pPr>
        <w:tabs>
          <w:tab w:val="num" w:pos="360"/>
        </w:tabs>
        <w:ind w:left="360" w:hanging="360"/>
      </w:pPr>
    </w:lvl>
  </w:abstractNum>
  <w:abstractNum w:abstractNumId="159">
    <w:nsid w:val="1F732C75"/>
    <w:multiLevelType w:val="singleLevel"/>
    <w:tmpl w:val="0419000F"/>
    <w:lvl w:ilvl="0">
      <w:start w:val="1"/>
      <w:numFmt w:val="decimal"/>
      <w:lvlText w:val="%1."/>
      <w:lvlJc w:val="left"/>
      <w:pPr>
        <w:tabs>
          <w:tab w:val="num" w:pos="360"/>
        </w:tabs>
        <w:ind w:left="360" w:hanging="360"/>
      </w:pPr>
    </w:lvl>
  </w:abstractNum>
  <w:abstractNum w:abstractNumId="160">
    <w:nsid w:val="205932F3"/>
    <w:multiLevelType w:val="singleLevel"/>
    <w:tmpl w:val="D98C7C6A"/>
    <w:lvl w:ilvl="0">
      <w:numFmt w:val="bullet"/>
      <w:lvlText w:val="-"/>
      <w:lvlJc w:val="left"/>
      <w:pPr>
        <w:tabs>
          <w:tab w:val="num" w:pos="360"/>
        </w:tabs>
        <w:ind w:left="360" w:hanging="360"/>
      </w:pPr>
      <w:rPr>
        <w:rFonts w:hint="default"/>
      </w:rPr>
    </w:lvl>
  </w:abstractNum>
  <w:abstractNum w:abstractNumId="161">
    <w:nsid w:val="207D1765"/>
    <w:multiLevelType w:val="multilevel"/>
    <w:tmpl w:val="652EEEF8"/>
    <w:lvl w:ilvl="0">
      <w:start w:val="1990"/>
      <w:numFmt w:val="decimal"/>
      <w:lvlText w:val="%1"/>
      <w:lvlJc w:val="left"/>
      <w:pPr>
        <w:tabs>
          <w:tab w:val="num" w:pos="1050"/>
        </w:tabs>
        <w:ind w:left="1050" w:hanging="1050"/>
      </w:pPr>
      <w:rPr>
        <w:rFonts w:hint="default"/>
      </w:rPr>
    </w:lvl>
    <w:lvl w:ilvl="1">
      <w:start w:val="91"/>
      <w:numFmt w:val="decimal"/>
      <w:lvlText w:val="%1-%2"/>
      <w:lvlJc w:val="left"/>
      <w:pPr>
        <w:tabs>
          <w:tab w:val="num" w:pos="3314"/>
        </w:tabs>
        <w:ind w:left="3314" w:hanging="1050"/>
      </w:pPr>
      <w:rPr>
        <w:rFonts w:hint="default"/>
      </w:rPr>
    </w:lvl>
    <w:lvl w:ilvl="2">
      <w:start w:val="1"/>
      <w:numFmt w:val="decimal"/>
      <w:lvlText w:val="%1-%2.%3"/>
      <w:lvlJc w:val="left"/>
      <w:pPr>
        <w:tabs>
          <w:tab w:val="num" w:pos="5578"/>
        </w:tabs>
        <w:ind w:left="5578" w:hanging="1050"/>
      </w:pPr>
      <w:rPr>
        <w:rFonts w:hint="default"/>
      </w:rPr>
    </w:lvl>
    <w:lvl w:ilvl="3">
      <w:start w:val="1"/>
      <w:numFmt w:val="decimal"/>
      <w:lvlText w:val="%1-%2.%3.%4"/>
      <w:lvlJc w:val="left"/>
      <w:pPr>
        <w:tabs>
          <w:tab w:val="num" w:pos="7872"/>
        </w:tabs>
        <w:ind w:left="7872" w:hanging="1080"/>
      </w:pPr>
      <w:rPr>
        <w:rFonts w:hint="default"/>
      </w:rPr>
    </w:lvl>
    <w:lvl w:ilvl="4">
      <w:start w:val="1"/>
      <w:numFmt w:val="decimal"/>
      <w:lvlText w:val="%1-%2.%3.%4.%5"/>
      <w:lvlJc w:val="left"/>
      <w:pPr>
        <w:tabs>
          <w:tab w:val="num" w:pos="10136"/>
        </w:tabs>
        <w:ind w:left="10136" w:hanging="1080"/>
      </w:pPr>
      <w:rPr>
        <w:rFonts w:hint="default"/>
      </w:rPr>
    </w:lvl>
    <w:lvl w:ilvl="5">
      <w:start w:val="1"/>
      <w:numFmt w:val="decimal"/>
      <w:lvlText w:val="%1-%2.%3.%4.%5.%6"/>
      <w:lvlJc w:val="left"/>
      <w:pPr>
        <w:tabs>
          <w:tab w:val="num" w:pos="12760"/>
        </w:tabs>
        <w:ind w:left="12760" w:hanging="1440"/>
      </w:pPr>
      <w:rPr>
        <w:rFonts w:hint="default"/>
      </w:rPr>
    </w:lvl>
    <w:lvl w:ilvl="6">
      <w:start w:val="1"/>
      <w:numFmt w:val="decimal"/>
      <w:lvlText w:val="%1-%2.%3.%4.%5.%6.%7"/>
      <w:lvlJc w:val="left"/>
      <w:pPr>
        <w:tabs>
          <w:tab w:val="num" w:pos="15024"/>
        </w:tabs>
        <w:ind w:left="15024" w:hanging="1440"/>
      </w:pPr>
      <w:rPr>
        <w:rFonts w:hint="default"/>
      </w:rPr>
    </w:lvl>
    <w:lvl w:ilvl="7">
      <w:start w:val="1"/>
      <w:numFmt w:val="decimal"/>
      <w:lvlText w:val="%1-%2.%3.%4.%5.%6.%7.%8"/>
      <w:lvlJc w:val="left"/>
      <w:pPr>
        <w:tabs>
          <w:tab w:val="num" w:pos="17648"/>
        </w:tabs>
        <w:ind w:left="17648" w:hanging="1800"/>
      </w:pPr>
      <w:rPr>
        <w:rFonts w:hint="default"/>
      </w:rPr>
    </w:lvl>
    <w:lvl w:ilvl="8">
      <w:start w:val="1"/>
      <w:numFmt w:val="decimal"/>
      <w:lvlText w:val="%1-%2.%3.%4.%5.%6.%7.%8.%9"/>
      <w:lvlJc w:val="left"/>
      <w:pPr>
        <w:tabs>
          <w:tab w:val="num" w:pos="20272"/>
        </w:tabs>
        <w:ind w:left="20272" w:hanging="2160"/>
      </w:pPr>
      <w:rPr>
        <w:rFonts w:hint="default"/>
      </w:rPr>
    </w:lvl>
  </w:abstractNum>
  <w:abstractNum w:abstractNumId="162">
    <w:nsid w:val="208F50CE"/>
    <w:multiLevelType w:val="singleLevel"/>
    <w:tmpl w:val="6A62C94C"/>
    <w:lvl w:ilvl="0">
      <w:start w:val="232"/>
      <w:numFmt w:val="decimal"/>
      <w:lvlText w:val="%1. "/>
      <w:legacy w:legacy="1" w:legacySpace="0" w:legacyIndent="283"/>
      <w:lvlJc w:val="left"/>
      <w:pPr>
        <w:ind w:left="567" w:hanging="283"/>
      </w:pPr>
      <w:rPr>
        <w:b w:val="0"/>
        <w:i w:val="0"/>
        <w:sz w:val="24"/>
      </w:rPr>
    </w:lvl>
  </w:abstractNum>
  <w:abstractNum w:abstractNumId="163">
    <w:nsid w:val="20A20C97"/>
    <w:multiLevelType w:val="singleLevel"/>
    <w:tmpl w:val="344E0954"/>
    <w:lvl w:ilvl="0">
      <w:start w:val="176"/>
      <w:numFmt w:val="decimal"/>
      <w:lvlText w:val="%1."/>
      <w:lvlJc w:val="left"/>
      <w:pPr>
        <w:tabs>
          <w:tab w:val="num" w:pos="360"/>
        </w:tabs>
        <w:ind w:left="360" w:hanging="360"/>
      </w:pPr>
    </w:lvl>
  </w:abstractNum>
  <w:abstractNum w:abstractNumId="164">
    <w:nsid w:val="20C025DB"/>
    <w:multiLevelType w:val="singleLevel"/>
    <w:tmpl w:val="CBE49D04"/>
    <w:lvl w:ilvl="0">
      <w:start w:val="333"/>
      <w:numFmt w:val="decimal"/>
      <w:lvlText w:val="%1."/>
      <w:lvlJc w:val="left"/>
      <w:pPr>
        <w:tabs>
          <w:tab w:val="num" w:pos="360"/>
        </w:tabs>
        <w:ind w:left="360" w:hanging="360"/>
      </w:pPr>
    </w:lvl>
  </w:abstractNum>
  <w:abstractNum w:abstractNumId="165">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66">
    <w:nsid w:val="213E101D"/>
    <w:multiLevelType w:val="singleLevel"/>
    <w:tmpl w:val="BF525B6E"/>
    <w:lvl w:ilvl="0">
      <w:start w:val="1"/>
      <w:numFmt w:val="decimal"/>
      <w:lvlText w:val="%1."/>
      <w:lvlJc w:val="left"/>
      <w:pPr>
        <w:tabs>
          <w:tab w:val="num" w:pos="360"/>
        </w:tabs>
        <w:ind w:left="360" w:hanging="360"/>
      </w:pPr>
      <w:rPr>
        <w:rFonts w:hint="default"/>
      </w:rPr>
    </w:lvl>
  </w:abstractNum>
  <w:abstractNum w:abstractNumId="167">
    <w:nsid w:val="213F2CAB"/>
    <w:multiLevelType w:val="singleLevel"/>
    <w:tmpl w:val="EB2E02D0"/>
    <w:lvl w:ilvl="0">
      <w:start w:val="141"/>
      <w:numFmt w:val="decimal"/>
      <w:lvlText w:val="%1."/>
      <w:lvlJc w:val="left"/>
      <w:pPr>
        <w:tabs>
          <w:tab w:val="num" w:pos="360"/>
        </w:tabs>
        <w:ind w:left="360" w:hanging="360"/>
      </w:pPr>
    </w:lvl>
  </w:abstractNum>
  <w:abstractNum w:abstractNumId="168">
    <w:nsid w:val="218063A6"/>
    <w:multiLevelType w:val="singleLevel"/>
    <w:tmpl w:val="62CA395A"/>
    <w:lvl w:ilvl="0">
      <w:start w:val="110"/>
      <w:numFmt w:val="decimal"/>
      <w:lvlText w:val="%1."/>
      <w:lvlJc w:val="left"/>
      <w:pPr>
        <w:tabs>
          <w:tab w:val="num" w:pos="360"/>
        </w:tabs>
        <w:ind w:left="360" w:hanging="360"/>
      </w:pPr>
    </w:lvl>
  </w:abstractNum>
  <w:abstractNum w:abstractNumId="169">
    <w:nsid w:val="21CC5464"/>
    <w:multiLevelType w:val="singleLevel"/>
    <w:tmpl w:val="ADAAEEB2"/>
    <w:lvl w:ilvl="0">
      <w:numFmt w:val="bullet"/>
      <w:lvlText w:val="–"/>
      <w:lvlJc w:val="left"/>
      <w:pPr>
        <w:tabs>
          <w:tab w:val="num" w:pos="360"/>
        </w:tabs>
        <w:ind w:left="360" w:hanging="360"/>
      </w:pPr>
      <w:rPr>
        <w:rFonts w:hint="default"/>
      </w:rPr>
    </w:lvl>
  </w:abstractNum>
  <w:abstractNum w:abstractNumId="170">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71">
    <w:nsid w:val="22914D40"/>
    <w:multiLevelType w:val="singleLevel"/>
    <w:tmpl w:val="CA940702"/>
    <w:lvl w:ilvl="0">
      <w:start w:val="71"/>
      <w:numFmt w:val="decimal"/>
      <w:lvlText w:val="%1."/>
      <w:lvlJc w:val="left"/>
      <w:pPr>
        <w:tabs>
          <w:tab w:val="num" w:pos="360"/>
        </w:tabs>
        <w:ind w:left="360" w:hanging="360"/>
      </w:pPr>
    </w:lvl>
  </w:abstractNum>
  <w:abstractNum w:abstractNumId="172">
    <w:nsid w:val="229C6A84"/>
    <w:multiLevelType w:val="singleLevel"/>
    <w:tmpl w:val="B944E7A8"/>
    <w:lvl w:ilvl="0">
      <w:start w:val="30"/>
      <w:numFmt w:val="decimal"/>
      <w:lvlText w:val="%1."/>
      <w:lvlJc w:val="left"/>
      <w:pPr>
        <w:tabs>
          <w:tab w:val="num" w:pos="360"/>
        </w:tabs>
        <w:ind w:left="360" w:hanging="360"/>
      </w:pPr>
    </w:lvl>
  </w:abstractNum>
  <w:abstractNum w:abstractNumId="173">
    <w:nsid w:val="22F435F1"/>
    <w:multiLevelType w:val="multilevel"/>
    <w:tmpl w:val="D8FA8C1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75">
    <w:nsid w:val="233E3592"/>
    <w:multiLevelType w:val="singleLevel"/>
    <w:tmpl w:val="974853C6"/>
    <w:lvl w:ilvl="0">
      <w:start w:val="253"/>
      <w:numFmt w:val="decimal"/>
      <w:lvlText w:val="%1."/>
      <w:lvlJc w:val="left"/>
      <w:pPr>
        <w:tabs>
          <w:tab w:val="num" w:pos="360"/>
        </w:tabs>
        <w:ind w:left="360" w:hanging="360"/>
      </w:pPr>
    </w:lvl>
  </w:abstractNum>
  <w:abstractNum w:abstractNumId="176">
    <w:nsid w:val="236B0423"/>
    <w:multiLevelType w:val="singleLevel"/>
    <w:tmpl w:val="0A5003C6"/>
    <w:lvl w:ilvl="0">
      <w:start w:val="165"/>
      <w:numFmt w:val="decimal"/>
      <w:lvlText w:val="%1."/>
      <w:lvlJc w:val="left"/>
      <w:pPr>
        <w:tabs>
          <w:tab w:val="num" w:pos="360"/>
        </w:tabs>
        <w:ind w:left="360" w:hanging="360"/>
      </w:pPr>
    </w:lvl>
  </w:abstractNum>
  <w:abstractNum w:abstractNumId="177">
    <w:nsid w:val="236F1F20"/>
    <w:multiLevelType w:val="singleLevel"/>
    <w:tmpl w:val="0D12DE58"/>
    <w:lvl w:ilvl="0">
      <w:start w:val="379"/>
      <w:numFmt w:val="decimal"/>
      <w:lvlText w:val="%1."/>
      <w:lvlJc w:val="left"/>
      <w:pPr>
        <w:tabs>
          <w:tab w:val="num" w:pos="360"/>
        </w:tabs>
        <w:ind w:left="360" w:hanging="360"/>
      </w:pPr>
    </w:lvl>
  </w:abstractNum>
  <w:abstractNum w:abstractNumId="178">
    <w:nsid w:val="23FC40D9"/>
    <w:multiLevelType w:val="singleLevel"/>
    <w:tmpl w:val="6706E8BE"/>
    <w:lvl w:ilvl="0">
      <w:start w:val="1"/>
      <w:numFmt w:val="upperRoman"/>
      <w:lvlText w:val="%1."/>
      <w:lvlJc w:val="left"/>
      <w:pPr>
        <w:tabs>
          <w:tab w:val="num" w:pos="720"/>
        </w:tabs>
        <w:ind w:left="360" w:hanging="360"/>
      </w:pPr>
    </w:lvl>
  </w:abstractNum>
  <w:abstractNum w:abstractNumId="179">
    <w:nsid w:val="24464CC8"/>
    <w:multiLevelType w:val="singleLevel"/>
    <w:tmpl w:val="0644B848"/>
    <w:lvl w:ilvl="0">
      <w:start w:val="228"/>
      <w:numFmt w:val="decimal"/>
      <w:lvlText w:val="%1."/>
      <w:lvlJc w:val="left"/>
      <w:pPr>
        <w:tabs>
          <w:tab w:val="num" w:pos="360"/>
        </w:tabs>
        <w:ind w:left="360" w:hanging="360"/>
      </w:pPr>
    </w:lvl>
  </w:abstractNum>
  <w:abstractNum w:abstractNumId="180">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81">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2">
    <w:nsid w:val="248F4CD0"/>
    <w:multiLevelType w:val="singleLevel"/>
    <w:tmpl w:val="44AE2E64"/>
    <w:lvl w:ilvl="0">
      <w:start w:val="181"/>
      <w:numFmt w:val="decimal"/>
      <w:lvlText w:val="%1."/>
      <w:lvlJc w:val="left"/>
      <w:pPr>
        <w:tabs>
          <w:tab w:val="num" w:pos="360"/>
        </w:tabs>
        <w:ind w:left="360" w:hanging="360"/>
      </w:pPr>
    </w:lvl>
  </w:abstractNum>
  <w:abstractNum w:abstractNumId="183">
    <w:nsid w:val="24BB4707"/>
    <w:multiLevelType w:val="singleLevel"/>
    <w:tmpl w:val="70143DC6"/>
    <w:lvl w:ilvl="0">
      <w:start w:val="338"/>
      <w:numFmt w:val="decimal"/>
      <w:lvlText w:val="%1."/>
      <w:lvlJc w:val="left"/>
      <w:pPr>
        <w:tabs>
          <w:tab w:val="num" w:pos="360"/>
        </w:tabs>
        <w:ind w:left="360" w:hanging="360"/>
      </w:pPr>
    </w:lvl>
  </w:abstractNum>
  <w:abstractNum w:abstractNumId="184">
    <w:nsid w:val="24C37908"/>
    <w:multiLevelType w:val="singleLevel"/>
    <w:tmpl w:val="FBD0EE7A"/>
    <w:lvl w:ilvl="0">
      <w:start w:val="205"/>
      <w:numFmt w:val="decimal"/>
      <w:lvlText w:val="%1."/>
      <w:lvlJc w:val="left"/>
      <w:pPr>
        <w:tabs>
          <w:tab w:val="num" w:pos="360"/>
        </w:tabs>
        <w:ind w:left="360" w:hanging="360"/>
      </w:pPr>
    </w:lvl>
  </w:abstractNum>
  <w:abstractNum w:abstractNumId="185">
    <w:nsid w:val="25336028"/>
    <w:multiLevelType w:val="singleLevel"/>
    <w:tmpl w:val="3266C95E"/>
    <w:lvl w:ilvl="0">
      <w:start w:val="323"/>
      <w:numFmt w:val="decimal"/>
      <w:lvlText w:val="%1."/>
      <w:lvlJc w:val="left"/>
      <w:pPr>
        <w:tabs>
          <w:tab w:val="num" w:pos="360"/>
        </w:tabs>
        <w:ind w:left="360" w:hanging="360"/>
      </w:pPr>
    </w:lvl>
  </w:abstractNum>
  <w:abstractNum w:abstractNumId="186">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87">
    <w:nsid w:val="25846B8B"/>
    <w:multiLevelType w:val="singleLevel"/>
    <w:tmpl w:val="83F6E720"/>
    <w:lvl w:ilvl="0">
      <w:start w:val="276"/>
      <w:numFmt w:val="decimal"/>
      <w:lvlText w:val="%1."/>
      <w:lvlJc w:val="left"/>
      <w:pPr>
        <w:tabs>
          <w:tab w:val="num" w:pos="360"/>
        </w:tabs>
        <w:ind w:left="360" w:hanging="360"/>
      </w:pPr>
    </w:lvl>
  </w:abstractNum>
  <w:abstractNum w:abstractNumId="188">
    <w:nsid w:val="264D21EC"/>
    <w:multiLevelType w:val="singleLevel"/>
    <w:tmpl w:val="4C640D34"/>
    <w:lvl w:ilvl="0">
      <w:start w:val="224"/>
      <w:numFmt w:val="decimal"/>
      <w:lvlText w:val="%1."/>
      <w:lvlJc w:val="left"/>
      <w:pPr>
        <w:tabs>
          <w:tab w:val="num" w:pos="360"/>
        </w:tabs>
        <w:ind w:left="360" w:hanging="360"/>
      </w:pPr>
    </w:lvl>
  </w:abstractNum>
  <w:abstractNum w:abstractNumId="189">
    <w:nsid w:val="26C7483E"/>
    <w:multiLevelType w:val="singleLevel"/>
    <w:tmpl w:val="0419000F"/>
    <w:lvl w:ilvl="0">
      <w:start w:val="1"/>
      <w:numFmt w:val="decimal"/>
      <w:lvlText w:val="%1."/>
      <w:lvlJc w:val="left"/>
      <w:pPr>
        <w:tabs>
          <w:tab w:val="num" w:pos="360"/>
        </w:tabs>
        <w:ind w:left="360" w:hanging="360"/>
      </w:pPr>
    </w:lvl>
  </w:abstractNum>
  <w:abstractNum w:abstractNumId="190">
    <w:nsid w:val="26C759E7"/>
    <w:multiLevelType w:val="singleLevel"/>
    <w:tmpl w:val="9AF8C27C"/>
    <w:lvl w:ilvl="0">
      <w:start w:val="284"/>
      <w:numFmt w:val="decimal"/>
      <w:lvlText w:val="%1. "/>
      <w:legacy w:legacy="1" w:legacySpace="0" w:legacyIndent="283"/>
      <w:lvlJc w:val="left"/>
      <w:pPr>
        <w:ind w:left="568" w:hanging="283"/>
      </w:pPr>
      <w:rPr>
        <w:rFonts w:ascii="Times New Roman" w:hAnsi="Times New Roman" w:hint="default"/>
        <w:b w:val="0"/>
        <w:i w:val="0"/>
        <w:sz w:val="24"/>
        <w:u w:val="none"/>
      </w:rPr>
    </w:lvl>
  </w:abstractNum>
  <w:abstractNum w:abstractNumId="191">
    <w:nsid w:val="26CA416A"/>
    <w:multiLevelType w:val="singleLevel"/>
    <w:tmpl w:val="1FB0F7A6"/>
    <w:lvl w:ilvl="0">
      <w:start w:val="142"/>
      <w:numFmt w:val="decimal"/>
      <w:lvlText w:val="%1."/>
      <w:lvlJc w:val="left"/>
      <w:pPr>
        <w:tabs>
          <w:tab w:val="num" w:pos="360"/>
        </w:tabs>
        <w:ind w:left="360" w:hanging="360"/>
      </w:pPr>
    </w:lvl>
  </w:abstractNum>
  <w:abstractNum w:abstractNumId="192">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93">
    <w:nsid w:val="27080807"/>
    <w:multiLevelType w:val="singleLevel"/>
    <w:tmpl w:val="198C5FA4"/>
    <w:lvl w:ilvl="0">
      <w:start w:val="411"/>
      <w:numFmt w:val="decimal"/>
      <w:lvlText w:val="%1."/>
      <w:lvlJc w:val="left"/>
      <w:pPr>
        <w:tabs>
          <w:tab w:val="num" w:pos="360"/>
        </w:tabs>
        <w:ind w:left="360" w:hanging="360"/>
      </w:pPr>
    </w:lvl>
  </w:abstractNum>
  <w:abstractNum w:abstractNumId="194">
    <w:nsid w:val="27354EEF"/>
    <w:multiLevelType w:val="singleLevel"/>
    <w:tmpl w:val="BDA4BDD6"/>
    <w:lvl w:ilvl="0">
      <w:start w:val="529"/>
      <w:numFmt w:val="bullet"/>
      <w:lvlText w:val="-"/>
      <w:lvlJc w:val="left"/>
      <w:pPr>
        <w:tabs>
          <w:tab w:val="num" w:pos="360"/>
        </w:tabs>
        <w:ind w:left="360" w:hanging="360"/>
      </w:pPr>
      <w:rPr>
        <w:rFonts w:hint="default"/>
      </w:rPr>
    </w:lvl>
  </w:abstractNum>
  <w:abstractNum w:abstractNumId="195">
    <w:nsid w:val="275226B7"/>
    <w:multiLevelType w:val="singleLevel"/>
    <w:tmpl w:val="C70834E4"/>
    <w:lvl w:ilvl="0">
      <w:start w:val="412"/>
      <w:numFmt w:val="decimal"/>
      <w:lvlText w:val="%1."/>
      <w:lvlJc w:val="left"/>
      <w:pPr>
        <w:tabs>
          <w:tab w:val="num" w:pos="93"/>
        </w:tabs>
        <w:ind w:left="93" w:hanging="420"/>
      </w:pPr>
      <w:rPr>
        <w:rFonts w:hint="default"/>
      </w:rPr>
    </w:lvl>
  </w:abstractNum>
  <w:abstractNum w:abstractNumId="196">
    <w:nsid w:val="27EB0DB8"/>
    <w:multiLevelType w:val="singleLevel"/>
    <w:tmpl w:val="18D04F30"/>
    <w:lvl w:ilvl="0">
      <w:start w:val="100"/>
      <w:numFmt w:val="decimal"/>
      <w:lvlText w:val="%1."/>
      <w:lvlJc w:val="left"/>
      <w:pPr>
        <w:tabs>
          <w:tab w:val="num" w:pos="624"/>
        </w:tabs>
        <w:ind w:left="624" w:hanging="624"/>
      </w:pPr>
    </w:lvl>
  </w:abstractNum>
  <w:abstractNum w:abstractNumId="197">
    <w:nsid w:val="27F05DB1"/>
    <w:multiLevelType w:val="singleLevel"/>
    <w:tmpl w:val="D98C7C6A"/>
    <w:lvl w:ilvl="0">
      <w:numFmt w:val="bullet"/>
      <w:lvlText w:val="-"/>
      <w:lvlJc w:val="left"/>
      <w:pPr>
        <w:tabs>
          <w:tab w:val="num" w:pos="360"/>
        </w:tabs>
        <w:ind w:left="360" w:hanging="360"/>
      </w:pPr>
      <w:rPr>
        <w:rFonts w:hint="default"/>
      </w:rPr>
    </w:lvl>
  </w:abstractNum>
  <w:abstractNum w:abstractNumId="198">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9">
    <w:nsid w:val="28755143"/>
    <w:multiLevelType w:val="singleLevel"/>
    <w:tmpl w:val="13564EEE"/>
    <w:lvl w:ilvl="0">
      <w:start w:val="257"/>
      <w:numFmt w:val="decimal"/>
      <w:lvlText w:val="%1."/>
      <w:lvlJc w:val="left"/>
      <w:pPr>
        <w:tabs>
          <w:tab w:val="num" w:pos="360"/>
        </w:tabs>
        <w:ind w:left="360" w:hanging="360"/>
      </w:pPr>
    </w:lvl>
  </w:abstractNum>
  <w:abstractNum w:abstractNumId="200">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01">
    <w:nsid w:val="28EE77FA"/>
    <w:multiLevelType w:val="singleLevel"/>
    <w:tmpl w:val="11624234"/>
    <w:lvl w:ilvl="0">
      <w:start w:val="99"/>
      <w:numFmt w:val="decimal"/>
      <w:lvlText w:val="%1."/>
      <w:lvlJc w:val="left"/>
      <w:pPr>
        <w:tabs>
          <w:tab w:val="num" w:pos="360"/>
        </w:tabs>
        <w:ind w:left="360" w:hanging="360"/>
      </w:pPr>
    </w:lvl>
  </w:abstractNum>
  <w:abstractNum w:abstractNumId="202">
    <w:nsid w:val="29944978"/>
    <w:multiLevelType w:val="singleLevel"/>
    <w:tmpl w:val="C5500D30"/>
    <w:lvl w:ilvl="0">
      <w:start w:val="83"/>
      <w:numFmt w:val="decimal"/>
      <w:lvlText w:val="%1."/>
      <w:lvlJc w:val="left"/>
      <w:pPr>
        <w:tabs>
          <w:tab w:val="num" w:pos="360"/>
        </w:tabs>
        <w:ind w:left="360" w:hanging="360"/>
      </w:pPr>
    </w:lvl>
  </w:abstractNum>
  <w:abstractNum w:abstractNumId="203">
    <w:nsid w:val="29AB5253"/>
    <w:multiLevelType w:val="singleLevel"/>
    <w:tmpl w:val="45EE22BC"/>
    <w:lvl w:ilvl="0">
      <w:start w:val="465"/>
      <w:numFmt w:val="decimal"/>
      <w:lvlText w:val="%1."/>
      <w:lvlJc w:val="left"/>
      <w:pPr>
        <w:tabs>
          <w:tab w:val="num" w:pos="360"/>
        </w:tabs>
        <w:ind w:left="360" w:hanging="360"/>
      </w:pPr>
    </w:lvl>
  </w:abstractNum>
  <w:abstractNum w:abstractNumId="204">
    <w:nsid w:val="29C9419D"/>
    <w:multiLevelType w:val="singleLevel"/>
    <w:tmpl w:val="CFEACC2C"/>
    <w:lvl w:ilvl="0">
      <w:start w:val="65"/>
      <w:numFmt w:val="decimal"/>
      <w:lvlText w:val="%1."/>
      <w:lvlJc w:val="left"/>
      <w:pPr>
        <w:tabs>
          <w:tab w:val="num" w:pos="360"/>
        </w:tabs>
        <w:ind w:left="340" w:hanging="340"/>
      </w:pPr>
    </w:lvl>
  </w:abstractNum>
  <w:abstractNum w:abstractNumId="205">
    <w:nsid w:val="29F67688"/>
    <w:multiLevelType w:val="singleLevel"/>
    <w:tmpl w:val="2A62519E"/>
    <w:lvl w:ilvl="0">
      <w:start w:val="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6">
    <w:nsid w:val="2A0405DD"/>
    <w:multiLevelType w:val="multilevel"/>
    <w:tmpl w:val="A11EABC2"/>
    <w:lvl w:ilvl="0">
      <w:start w:val="1"/>
      <w:numFmt w:val="decimal"/>
      <w:lvlText w:val="%1."/>
      <w:lvlJc w:val="left"/>
      <w:pPr>
        <w:tabs>
          <w:tab w:val="num" w:pos="720"/>
        </w:tabs>
        <w:ind w:left="720" w:hanging="360"/>
      </w:pPr>
    </w:lvl>
    <w:lvl w:ilvl="1">
      <w:start w:val="1964"/>
      <w:numFmt w:val="bullet"/>
      <w:lvlText w:val=""/>
      <w:lvlJc w:val="left"/>
      <w:pPr>
        <w:tabs>
          <w:tab w:val="num" w:pos="1440"/>
        </w:tabs>
        <w:ind w:left="1440" w:hanging="36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2A094A65"/>
    <w:multiLevelType w:val="singleLevel"/>
    <w:tmpl w:val="51349E1C"/>
    <w:lvl w:ilvl="0">
      <w:start w:val="92"/>
      <w:numFmt w:val="decimal"/>
      <w:lvlText w:val="%1."/>
      <w:lvlJc w:val="left"/>
      <w:pPr>
        <w:tabs>
          <w:tab w:val="num" w:pos="360"/>
        </w:tabs>
        <w:ind w:left="360" w:hanging="360"/>
      </w:pPr>
    </w:lvl>
  </w:abstractNum>
  <w:abstractNum w:abstractNumId="208">
    <w:nsid w:val="2A0B222B"/>
    <w:multiLevelType w:val="singleLevel"/>
    <w:tmpl w:val="BE88F3D2"/>
    <w:lvl w:ilvl="0">
      <w:start w:val="348"/>
      <w:numFmt w:val="decimal"/>
      <w:lvlText w:val="%1."/>
      <w:lvlJc w:val="left"/>
      <w:pPr>
        <w:tabs>
          <w:tab w:val="num" w:pos="360"/>
        </w:tabs>
        <w:ind w:left="360" w:hanging="360"/>
      </w:pPr>
    </w:lvl>
  </w:abstractNum>
  <w:abstractNum w:abstractNumId="209">
    <w:nsid w:val="2AE84751"/>
    <w:multiLevelType w:val="singleLevel"/>
    <w:tmpl w:val="755E186A"/>
    <w:lvl w:ilvl="0">
      <w:start w:val="110"/>
      <w:numFmt w:val="decimal"/>
      <w:lvlText w:val="%1."/>
      <w:lvlJc w:val="left"/>
      <w:pPr>
        <w:tabs>
          <w:tab w:val="num" w:pos="360"/>
        </w:tabs>
        <w:ind w:left="360" w:hanging="360"/>
      </w:pPr>
    </w:lvl>
  </w:abstractNum>
  <w:abstractNum w:abstractNumId="210">
    <w:nsid w:val="2AF231CE"/>
    <w:multiLevelType w:val="singleLevel"/>
    <w:tmpl w:val="163E87CC"/>
    <w:lvl w:ilvl="0">
      <w:start w:val="344"/>
      <w:numFmt w:val="decimal"/>
      <w:lvlText w:val="%1."/>
      <w:lvlJc w:val="left"/>
      <w:pPr>
        <w:tabs>
          <w:tab w:val="num" w:pos="360"/>
        </w:tabs>
        <w:ind w:left="360" w:hanging="360"/>
      </w:pPr>
    </w:lvl>
  </w:abstractNum>
  <w:abstractNum w:abstractNumId="211">
    <w:nsid w:val="2B0D48E4"/>
    <w:multiLevelType w:val="singleLevel"/>
    <w:tmpl w:val="1D06BCB4"/>
    <w:lvl w:ilvl="0">
      <w:start w:val="308"/>
      <w:numFmt w:val="decimal"/>
      <w:lvlText w:val="%1."/>
      <w:lvlJc w:val="left"/>
      <w:pPr>
        <w:tabs>
          <w:tab w:val="num" w:pos="360"/>
        </w:tabs>
        <w:ind w:left="360" w:hanging="360"/>
      </w:pPr>
    </w:lvl>
  </w:abstractNum>
  <w:abstractNum w:abstractNumId="212">
    <w:nsid w:val="2B44147B"/>
    <w:multiLevelType w:val="singleLevel"/>
    <w:tmpl w:val="B0765612"/>
    <w:lvl w:ilvl="0">
      <w:start w:val="188"/>
      <w:numFmt w:val="decimal"/>
      <w:lvlText w:val="%1."/>
      <w:lvlJc w:val="left"/>
      <w:pPr>
        <w:tabs>
          <w:tab w:val="num" w:pos="360"/>
        </w:tabs>
        <w:ind w:left="360" w:hanging="360"/>
      </w:pPr>
    </w:lvl>
  </w:abstractNum>
  <w:abstractNum w:abstractNumId="213">
    <w:nsid w:val="2B784707"/>
    <w:multiLevelType w:val="singleLevel"/>
    <w:tmpl w:val="D98C7C6A"/>
    <w:lvl w:ilvl="0">
      <w:numFmt w:val="bullet"/>
      <w:lvlText w:val="-"/>
      <w:lvlJc w:val="left"/>
      <w:pPr>
        <w:tabs>
          <w:tab w:val="num" w:pos="360"/>
        </w:tabs>
        <w:ind w:left="360" w:hanging="360"/>
      </w:pPr>
      <w:rPr>
        <w:rFonts w:hint="default"/>
      </w:rPr>
    </w:lvl>
  </w:abstractNum>
  <w:abstractNum w:abstractNumId="214">
    <w:nsid w:val="2B9352A7"/>
    <w:multiLevelType w:val="singleLevel"/>
    <w:tmpl w:val="D98C7C6A"/>
    <w:lvl w:ilvl="0">
      <w:numFmt w:val="bullet"/>
      <w:lvlText w:val="-"/>
      <w:lvlJc w:val="left"/>
      <w:pPr>
        <w:tabs>
          <w:tab w:val="num" w:pos="360"/>
        </w:tabs>
        <w:ind w:left="360" w:hanging="360"/>
      </w:pPr>
      <w:rPr>
        <w:rFonts w:hint="default"/>
      </w:rPr>
    </w:lvl>
  </w:abstractNum>
  <w:abstractNum w:abstractNumId="215">
    <w:nsid w:val="2BA228B3"/>
    <w:multiLevelType w:val="singleLevel"/>
    <w:tmpl w:val="80D87F62"/>
    <w:lvl w:ilvl="0">
      <w:start w:val="334"/>
      <w:numFmt w:val="decimal"/>
      <w:lvlText w:val="%1."/>
      <w:lvlJc w:val="left"/>
      <w:pPr>
        <w:tabs>
          <w:tab w:val="num" w:pos="360"/>
        </w:tabs>
        <w:ind w:left="360" w:hanging="360"/>
      </w:pPr>
    </w:lvl>
  </w:abstractNum>
  <w:abstractNum w:abstractNumId="216">
    <w:nsid w:val="2BA81319"/>
    <w:multiLevelType w:val="multilevel"/>
    <w:tmpl w:val="D29A1D66"/>
    <w:lvl w:ilvl="0">
      <w:start w:val="1"/>
      <w:numFmt w:val="decimal"/>
      <w:lvlText w:val="%1."/>
      <w:lvlJc w:val="left"/>
      <w:pPr>
        <w:tabs>
          <w:tab w:val="num" w:pos="1364"/>
        </w:tabs>
        <w:ind w:left="1364" w:hanging="360"/>
      </w:pPr>
    </w:lvl>
    <w:lvl w:ilvl="1" w:tentative="1">
      <w:start w:val="1"/>
      <w:numFmt w:val="lowerLetter"/>
      <w:lvlText w:val="%2."/>
      <w:lvlJc w:val="left"/>
      <w:pPr>
        <w:tabs>
          <w:tab w:val="num" w:pos="2084"/>
        </w:tabs>
        <w:ind w:left="2084" w:hanging="360"/>
      </w:pPr>
    </w:lvl>
    <w:lvl w:ilvl="2" w:tentative="1">
      <w:start w:val="1"/>
      <w:numFmt w:val="lowerRoman"/>
      <w:lvlText w:val="%3."/>
      <w:lvlJc w:val="right"/>
      <w:pPr>
        <w:tabs>
          <w:tab w:val="num" w:pos="2804"/>
        </w:tabs>
        <w:ind w:left="2804" w:hanging="180"/>
      </w:pPr>
    </w:lvl>
    <w:lvl w:ilvl="3" w:tentative="1">
      <w:start w:val="1"/>
      <w:numFmt w:val="decimal"/>
      <w:lvlText w:val="%4."/>
      <w:lvlJc w:val="left"/>
      <w:pPr>
        <w:tabs>
          <w:tab w:val="num" w:pos="3524"/>
        </w:tabs>
        <w:ind w:left="3524" w:hanging="360"/>
      </w:pPr>
    </w:lvl>
    <w:lvl w:ilvl="4" w:tentative="1">
      <w:start w:val="1"/>
      <w:numFmt w:val="lowerLetter"/>
      <w:lvlText w:val="%5."/>
      <w:lvlJc w:val="left"/>
      <w:pPr>
        <w:tabs>
          <w:tab w:val="num" w:pos="4244"/>
        </w:tabs>
        <w:ind w:left="4244" w:hanging="360"/>
      </w:pPr>
    </w:lvl>
    <w:lvl w:ilvl="5" w:tentative="1">
      <w:start w:val="1"/>
      <w:numFmt w:val="lowerRoman"/>
      <w:lvlText w:val="%6."/>
      <w:lvlJc w:val="right"/>
      <w:pPr>
        <w:tabs>
          <w:tab w:val="num" w:pos="4964"/>
        </w:tabs>
        <w:ind w:left="4964" w:hanging="180"/>
      </w:pPr>
    </w:lvl>
    <w:lvl w:ilvl="6" w:tentative="1">
      <w:start w:val="1"/>
      <w:numFmt w:val="decimal"/>
      <w:lvlText w:val="%7."/>
      <w:lvlJc w:val="left"/>
      <w:pPr>
        <w:tabs>
          <w:tab w:val="num" w:pos="5684"/>
        </w:tabs>
        <w:ind w:left="5684" w:hanging="360"/>
      </w:pPr>
    </w:lvl>
    <w:lvl w:ilvl="7" w:tentative="1">
      <w:start w:val="1"/>
      <w:numFmt w:val="lowerLetter"/>
      <w:lvlText w:val="%8."/>
      <w:lvlJc w:val="left"/>
      <w:pPr>
        <w:tabs>
          <w:tab w:val="num" w:pos="6404"/>
        </w:tabs>
        <w:ind w:left="6404" w:hanging="360"/>
      </w:pPr>
    </w:lvl>
    <w:lvl w:ilvl="8" w:tentative="1">
      <w:start w:val="1"/>
      <w:numFmt w:val="lowerRoman"/>
      <w:lvlText w:val="%9."/>
      <w:lvlJc w:val="right"/>
      <w:pPr>
        <w:tabs>
          <w:tab w:val="num" w:pos="7124"/>
        </w:tabs>
        <w:ind w:left="7124" w:hanging="180"/>
      </w:pPr>
    </w:lvl>
  </w:abstractNum>
  <w:abstractNum w:abstractNumId="217">
    <w:nsid w:val="2BBE5120"/>
    <w:multiLevelType w:val="singleLevel"/>
    <w:tmpl w:val="42A06A96"/>
    <w:lvl w:ilvl="0">
      <w:start w:val="16"/>
      <w:numFmt w:val="decimal"/>
      <w:lvlText w:val="%1."/>
      <w:lvlJc w:val="left"/>
      <w:pPr>
        <w:tabs>
          <w:tab w:val="num" w:pos="360"/>
        </w:tabs>
        <w:ind w:left="360" w:hanging="360"/>
      </w:pPr>
    </w:lvl>
  </w:abstractNum>
  <w:abstractNum w:abstractNumId="218">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9">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0">
    <w:nsid w:val="2C666DD1"/>
    <w:multiLevelType w:val="singleLevel"/>
    <w:tmpl w:val="BE2056E8"/>
    <w:lvl w:ilvl="0">
      <w:start w:val="37"/>
      <w:numFmt w:val="decimal"/>
      <w:lvlText w:val="%1."/>
      <w:lvlJc w:val="left"/>
      <w:pPr>
        <w:tabs>
          <w:tab w:val="num" w:pos="360"/>
        </w:tabs>
        <w:ind w:left="360" w:hanging="360"/>
      </w:pPr>
    </w:lvl>
  </w:abstractNum>
  <w:abstractNum w:abstractNumId="221">
    <w:nsid w:val="2C84020A"/>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222">
    <w:nsid w:val="2C9F03E5"/>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223">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24">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225">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26">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227">
    <w:nsid w:val="2CDF263D"/>
    <w:multiLevelType w:val="singleLevel"/>
    <w:tmpl w:val="F2404A1A"/>
    <w:lvl w:ilvl="0">
      <w:start w:val="394"/>
      <w:numFmt w:val="decimal"/>
      <w:lvlText w:val="%1."/>
      <w:lvlJc w:val="left"/>
      <w:pPr>
        <w:tabs>
          <w:tab w:val="num" w:pos="360"/>
        </w:tabs>
        <w:ind w:left="0" w:firstLine="0"/>
      </w:pPr>
    </w:lvl>
  </w:abstractNum>
  <w:abstractNum w:abstractNumId="228">
    <w:nsid w:val="2CE038F9"/>
    <w:multiLevelType w:val="singleLevel"/>
    <w:tmpl w:val="80360294"/>
    <w:lvl w:ilvl="0">
      <w:start w:val="49"/>
      <w:numFmt w:val="decimal"/>
      <w:lvlText w:val="%1."/>
      <w:lvlJc w:val="left"/>
      <w:pPr>
        <w:tabs>
          <w:tab w:val="num" w:pos="360"/>
        </w:tabs>
        <w:ind w:left="360" w:hanging="360"/>
      </w:pPr>
    </w:lvl>
  </w:abstractNum>
  <w:abstractNum w:abstractNumId="229">
    <w:nsid w:val="2D6E06A3"/>
    <w:multiLevelType w:val="singleLevel"/>
    <w:tmpl w:val="0419000F"/>
    <w:lvl w:ilvl="0">
      <w:start w:val="1"/>
      <w:numFmt w:val="decimal"/>
      <w:lvlText w:val="%1."/>
      <w:lvlJc w:val="left"/>
      <w:pPr>
        <w:tabs>
          <w:tab w:val="num" w:pos="360"/>
        </w:tabs>
        <w:ind w:left="360" w:hanging="360"/>
      </w:pPr>
    </w:lvl>
  </w:abstractNum>
  <w:abstractNum w:abstractNumId="230">
    <w:nsid w:val="2D8864CD"/>
    <w:multiLevelType w:val="multilevel"/>
    <w:tmpl w:val="937454B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1">
    <w:nsid w:val="2DAC4E8A"/>
    <w:multiLevelType w:val="singleLevel"/>
    <w:tmpl w:val="8DFA31DE"/>
    <w:lvl w:ilvl="0">
      <w:start w:val="371"/>
      <w:numFmt w:val="decimal"/>
      <w:lvlText w:val="%1."/>
      <w:lvlJc w:val="left"/>
      <w:pPr>
        <w:tabs>
          <w:tab w:val="num" w:pos="360"/>
        </w:tabs>
        <w:ind w:left="360" w:hanging="360"/>
      </w:pPr>
    </w:lvl>
  </w:abstractNum>
  <w:abstractNum w:abstractNumId="232">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233">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34">
    <w:nsid w:val="2E39733B"/>
    <w:multiLevelType w:val="singleLevel"/>
    <w:tmpl w:val="0E9A76F6"/>
    <w:lvl w:ilvl="0">
      <w:start w:val="15"/>
      <w:numFmt w:val="decimal"/>
      <w:lvlText w:val="%1."/>
      <w:lvlJc w:val="left"/>
      <w:pPr>
        <w:tabs>
          <w:tab w:val="num" w:pos="360"/>
        </w:tabs>
        <w:ind w:left="360" w:hanging="360"/>
      </w:pPr>
    </w:lvl>
  </w:abstractNum>
  <w:abstractNum w:abstractNumId="235">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236">
    <w:nsid w:val="2F2140EF"/>
    <w:multiLevelType w:val="singleLevel"/>
    <w:tmpl w:val="5950EED0"/>
    <w:lvl w:ilvl="0">
      <w:start w:val="314"/>
      <w:numFmt w:val="decimal"/>
      <w:lvlText w:val="%1."/>
      <w:lvlJc w:val="left"/>
      <w:pPr>
        <w:tabs>
          <w:tab w:val="num" w:pos="360"/>
        </w:tabs>
        <w:ind w:left="360" w:hanging="360"/>
      </w:pPr>
    </w:lvl>
  </w:abstractNum>
  <w:abstractNum w:abstractNumId="237">
    <w:nsid w:val="2F482A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8">
    <w:nsid w:val="2F76038E"/>
    <w:multiLevelType w:val="singleLevel"/>
    <w:tmpl w:val="0D38706E"/>
    <w:lvl w:ilvl="0">
      <w:start w:val="34"/>
      <w:numFmt w:val="decimal"/>
      <w:lvlText w:val="%1."/>
      <w:lvlJc w:val="left"/>
      <w:pPr>
        <w:tabs>
          <w:tab w:val="num" w:pos="360"/>
        </w:tabs>
        <w:ind w:left="360" w:hanging="360"/>
      </w:pPr>
    </w:lvl>
  </w:abstractNum>
  <w:abstractNum w:abstractNumId="239">
    <w:nsid w:val="30C9532F"/>
    <w:multiLevelType w:val="singleLevel"/>
    <w:tmpl w:val="67D01C16"/>
    <w:lvl w:ilvl="0">
      <w:start w:val="293"/>
      <w:numFmt w:val="decimal"/>
      <w:lvlText w:val="%1."/>
      <w:lvlJc w:val="left"/>
      <w:pPr>
        <w:tabs>
          <w:tab w:val="num" w:pos="360"/>
        </w:tabs>
        <w:ind w:left="360" w:hanging="360"/>
      </w:pPr>
    </w:lvl>
  </w:abstractNum>
  <w:abstractNum w:abstractNumId="240">
    <w:nsid w:val="31820C0B"/>
    <w:multiLevelType w:val="singleLevel"/>
    <w:tmpl w:val="798A0ED2"/>
    <w:lvl w:ilvl="0">
      <w:start w:val="281"/>
      <w:numFmt w:val="decimal"/>
      <w:lvlText w:val="%1."/>
      <w:lvlJc w:val="left"/>
      <w:pPr>
        <w:tabs>
          <w:tab w:val="num" w:pos="360"/>
        </w:tabs>
        <w:ind w:left="360" w:hanging="360"/>
      </w:pPr>
    </w:lvl>
  </w:abstractNum>
  <w:abstractNum w:abstractNumId="241">
    <w:nsid w:val="318C173B"/>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242">
    <w:nsid w:val="32080F9D"/>
    <w:multiLevelType w:val="singleLevel"/>
    <w:tmpl w:val="3CF27CAC"/>
    <w:lvl w:ilvl="0">
      <w:start w:val="353"/>
      <w:numFmt w:val="decimal"/>
      <w:lvlText w:val="%1."/>
      <w:lvlJc w:val="left"/>
      <w:pPr>
        <w:tabs>
          <w:tab w:val="num" w:pos="360"/>
        </w:tabs>
        <w:ind w:left="360" w:hanging="360"/>
      </w:pPr>
    </w:lvl>
  </w:abstractNum>
  <w:abstractNum w:abstractNumId="243">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244">
    <w:nsid w:val="32661FD9"/>
    <w:multiLevelType w:val="singleLevel"/>
    <w:tmpl w:val="E20C8FFA"/>
    <w:lvl w:ilvl="0">
      <w:start w:val="246"/>
      <w:numFmt w:val="decimal"/>
      <w:lvlText w:val="%1. "/>
      <w:legacy w:legacy="1" w:legacySpace="0" w:legacyIndent="283"/>
      <w:lvlJc w:val="left"/>
      <w:pPr>
        <w:ind w:left="567" w:hanging="283"/>
      </w:pPr>
      <w:rPr>
        <w:b w:val="0"/>
        <w:i w:val="0"/>
        <w:sz w:val="24"/>
      </w:rPr>
    </w:lvl>
  </w:abstractNum>
  <w:abstractNum w:abstractNumId="245">
    <w:nsid w:val="32995E0E"/>
    <w:multiLevelType w:val="singleLevel"/>
    <w:tmpl w:val="B6E647CC"/>
    <w:lvl w:ilvl="0">
      <w:start w:val="233"/>
      <w:numFmt w:val="decimal"/>
      <w:lvlText w:val="%1."/>
      <w:lvlJc w:val="left"/>
      <w:pPr>
        <w:tabs>
          <w:tab w:val="num" w:pos="360"/>
        </w:tabs>
        <w:ind w:left="360" w:hanging="360"/>
      </w:pPr>
    </w:lvl>
  </w:abstractNum>
  <w:abstractNum w:abstractNumId="246">
    <w:nsid w:val="32AE0778"/>
    <w:multiLevelType w:val="singleLevel"/>
    <w:tmpl w:val="DDCA232C"/>
    <w:lvl w:ilvl="0">
      <w:start w:val="129"/>
      <w:numFmt w:val="decimal"/>
      <w:lvlText w:val="%1."/>
      <w:lvlJc w:val="left"/>
      <w:pPr>
        <w:tabs>
          <w:tab w:val="num" w:pos="360"/>
        </w:tabs>
        <w:ind w:left="360" w:hanging="360"/>
      </w:pPr>
    </w:lvl>
  </w:abstractNum>
  <w:abstractNum w:abstractNumId="247">
    <w:nsid w:val="32CA2B16"/>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248">
    <w:nsid w:val="32EC37F1"/>
    <w:multiLevelType w:val="singleLevel"/>
    <w:tmpl w:val="F5CC58DC"/>
    <w:lvl w:ilvl="0">
      <w:start w:val="238"/>
      <w:numFmt w:val="decimal"/>
      <w:lvlText w:val="%1."/>
      <w:lvlJc w:val="left"/>
      <w:pPr>
        <w:tabs>
          <w:tab w:val="num" w:pos="360"/>
        </w:tabs>
        <w:ind w:left="360" w:hanging="360"/>
      </w:pPr>
    </w:lvl>
  </w:abstractNum>
  <w:abstractNum w:abstractNumId="249">
    <w:nsid w:val="33102689"/>
    <w:multiLevelType w:val="singleLevel"/>
    <w:tmpl w:val="325E9D5C"/>
    <w:lvl w:ilvl="0">
      <w:start w:val="431"/>
      <w:numFmt w:val="decimal"/>
      <w:lvlText w:val="%1."/>
      <w:lvlJc w:val="left"/>
      <w:pPr>
        <w:tabs>
          <w:tab w:val="num" w:pos="360"/>
        </w:tabs>
        <w:ind w:left="360" w:hanging="360"/>
      </w:pPr>
    </w:lvl>
  </w:abstractNum>
  <w:abstractNum w:abstractNumId="250">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1">
    <w:nsid w:val="342D516E"/>
    <w:multiLevelType w:val="singleLevel"/>
    <w:tmpl w:val="89842F8C"/>
    <w:lvl w:ilvl="0">
      <w:start w:val="445"/>
      <w:numFmt w:val="decimal"/>
      <w:lvlText w:val="%1."/>
      <w:lvlJc w:val="left"/>
      <w:pPr>
        <w:tabs>
          <w:tab w:val="num" w:pos="360"/>
        </w:tabs>
        <w:ind w:left="360" w:hanging="360"/>
      </w:pPr>
    </w:lvl>
  </w:abstractNum>
  <w:abstractNum w:abstractNumId="252">
    <w:nsid w:val="34782523"/>
    <w:multiLevelType w:val="singleLevel"/>
    <w:tmpl w:val="05362BFC"/>
    <w:lvl w:ilvl="0">
      <w:start w:val="210"/>
      <w:numFmt w:val="decimal"/>
      <w:lvlText w:val="%1."/>
      <w:lvlJc w:val="left"/>
      <w:pPr>
        <w:tabs>
          <w:tab w:val="num" w:pos="360"/>
        </w:tabs>
        <w:ind w:left="360" w:hanging="360"/>
      </w:pPr>
    </w:lvl>
  </w:abstractNum>
  <w:abstractNum w:abstractNumId="253">
    <w:nsid w:val="35DE494C"/>
    <w:multiLevelType w:val="singleLevel"/>
    <w:tmpl w:val="D98C7C6A"/>
    <w:lvl w:ilvl="0">
      <w:numFmt w:val="bullet"/>
      <w:lvlText w:val="-"/>
      <w:lvlJc w:val="left"/>
      <w:pPr>
        <w:tabs>
          <w:tab w:val="num" w:pos="360"/>
        </w:tabs>
        <w:ind w:left="360" w:hanging="360"/>
      </w:pPr>
      <w:rPr>
        <w:rFonts w:hint="default"/>
      </w:rPr>
    </w:lvl>
  </w:abstractNum>
  <w:abstractNum w:abstractNumId="254">
    <w:nsid w:val="36523785"/>
    <w:multiLevelType w:val="singleLevel"/>
    <w:tmpl w:val="7CA66AAE"/>
    <w:lvl w:ilvl="0">
      <w:start w:val="651"/>
      <w:numFmt w:val="decimal"/>
      <w:lvlText w:val="%1."/>
      <w:lvlJc w:val="left"/>
      <w:pPr>
        <w:tabs>
          <w:tab w:val="num" w:pos="914"/>
        </w:tabs>
        <w:ind w:left="914" w:hanging="630"/>
      </w:pPr>
      <w:rPr>
        <w:rFonts w:hint="default"/>
      </w:rPr>
    </w:lvl>
  </w:abstractNum>
  <w:abstractNum w:abstractNumId="255">
    <w:nsid w:val="36800BE2"/>
    <w:multiLevelType w:val="singleLevel"/>
    <w:tmpl w:val="009A67DE"/>
    <w:lvl w:ilvl="0">
      <w:start w:val="156"/>
      <w:numFmt w:val="decimal"/>
      <w:lvlText w:val="%1."/>
      <w:lvlJc w:val="left"/>
      <w:pPr>
        <w:tabs>
          <w:tab w:val="num" w:pos="624"/>
        </w:tabs>
        <w:ind w:left="624" w:hanging="624"/>
      </w:pPr>
    </w:lvl>
  </w:abstractNum>
  <w:abstractNum w:abstractNumId="256">
    <w:nsid w:val="36830CB9"/>
    <w:multiLevelType w:val="singleLevel"/>
    <w:tmpl w:val="D98C7C6A"/>
    <w:lvl w:ilvl="0">
      <w:numFmt w:val="bullet"/>
      <w:lvlText w:val="-"/>
      <w:lvlJc w:val="left"/>
      <w:pPr>
        <w:tabs>
          <w:tab w:val="num" w:pos="360"/>
        </w:tabs>
        <w:ind w:left="360" w:hanging="360"/>
      </w:pPr>
      <w:rPr>
        <w:rFonts w:hint="default"/>
      </w:rPr>
    </w:lvl>
  </w:abstractNum>
  <w:abstractNum w:abstractNumId="257">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58">
    <w:nsid w:val="3759034F"/>
    <w:multiLevelType w:val="singleLevel"/>
    <w:tmpl w:val="344E0954"/>
    <w:lvl w:ilvl="0">
      <w:start w:val="176"/>
      <w:numFmt w:val="decimal"/>
      <w:lvlText w:val="%1."/>
      <w:lvlJc w:val="left"/>
      <w:pPr>
        <w:tabs>
          <w:tab w:val="num" w:pos="360"/>
        </w:tabs>
        <w:ind w:left="360" w:hanging="360"/>
      </w:pPr>
    </w:lvl>
  </w:abstractNum>
  <w:abstractNum w:abstractNumId="259">
    <w:nsid w:val="37A742A9"/>
    <w:multiLevelType w:val="singleLevel"/>
    <w:tmpl w:val="FF0ACA6E"/>
    <w:lvl w:ilvl="0">
      <w:start w:val="464"/>
      <w:numFmt w:val="decimal"/>
      <w:lvlText w:val="%1."/>
      <w:lvlJc w:val="left"/>
      <w:pPr>
        <w:tabs>
          <w:tab w:val="num" w:pos="360"/>
        </w:tabs>
        <w:ind w:left="360" w:hanging="360"/>
      </w:pPr>
    </w:lvl>
  </w:abstractNum>
  <w:abstractNum w:abstractNumId="260">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61">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62">
    <w:nsid w:val="37D515AE"/>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263">
    <w:nsid w:val="37F15F7B"/>
    <w:multiLevelType w:val="multilevel"/>
    <w:tmpl w:val="9BD83F9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4">
    <w:nsid w:val="37F5690B"/>
    <w:multiLevelType w:val="singleLevel"/>
    <w:tmpl w:val="EB78E1B4"/>
    <w:lvl w:ilvl="0">
      <w:start w:val="271"/>
      <w:numFmt w:val="decimal"/>
      <w:lvlText w:val="%1."/>
      <w:lvlJc w:val="left"/>
      <w:pPr>
        <w:tabs>
          <w:tab w:val="num" w:pos="360"/>
        </w:tabs>
        <w:ind w:left="360" w:hanging="360"/>
      </w:pPr>
    </w:lvl>
  </w:abstractNum>
  <w:abstractNum w:abstractNumId="265">
    <w:nsid w:val="38154018"/>
    <w:multiLevelType w:val="singleLevel"/>
    <w:tmpl w:val="41027104"/>
    <w:lvl w:ilvl="0">
      <w:start w:val="221"/>
      <w:numFmt w:val="decimal"/>
      <w:lvlText w:val="%1. "/>
      <w:legacy w:legacy="1" w:legacySpace="0" w:legacyIndent="283"/>
      <w:lvlJc w:val="left"/>
      <w:pPr>
        <w:ind w:left="567" w:hanging="283"/>
      </w:pPr>
      <w:rPr>
        <w:b w:val="0"/>
        <w:i w:val="0"/>
        <w:sz w:val="24"/>
      </w:rPr>
    </w:lvl>
  </w:abstractNum>
  <w:abstractNum w:abstractNumId="266">
    <w:nsid w:val="384C7447"/>
    <w:multiLevelType w:val="singleLevel"/>
    <w:tmpl w:val="C27C9FF2"/>
    <w:lvl w:ilvl="0">
      <w:start w:val="462"/>
      <w:numFmt w:val="decimal"/>
      <w:lvlText w:val="%1."/>
      <w:lvlJc w:val="left"/>
      <w:pPr>
        <w:tabs>
          <w:tab w:val="num" w:pos="360"/>
        </w:tabs>
        <w:ind w:left="360" w:hanging="360"/>
      </w:pPr>
    </w:lvl>
  </w:abstractNum>
  <w:abstractNum w:abstractNumId="267">
    <w:nsid w:val="38530C3D"/>
    <w:multiLevelType w:val="singleLevel"/>
    <w:tmpl w:val="35B25B14"/>
    <w:lvl w:ilvl="0">
      <w:start w:val="108"/>
      <w:numFmt w:val="decimal"/>
      <w:lvlText w:val="%1."/>
      <w:lvlJc w:val="left"/>
      <w:pPr>
        <w:tabs>
          <w:tab w:val="num" w:pos="624"/>
        </w:tabs>
        <w:ind w:left="624" w:hanging="624"/>
      </w:pPr>
    </w:lvl>
  </w:abstractNum>
  <w:abstractNum w:abstractNumId="268">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69">
    <w:nsid w:val="38851727"/>
    <w:multiLevelType w:val="singleLevel"/>
    <w:tmpl w:val="4E848D5A"/>
    <w:lvl w:ilvl="0">
      <w:start w:val="379"/>
      <w:numFmt w:val="decimal"/>
      <w:lvlText w:val="%1."/>
      <w:lvlJc w:val="left"/>
      <w:pPr>
        <w:tabs>
          <w:tab w:val="num" w:pos="360"/>
        </w:tabs>
        <w:ind w:left="360" w:hanging="360"/>
      </w:pPr>
    </w:lvl>
  </w:abstractNum>
  <w:abstractNum w:abstractNumId="270">
    <w:nsid w:val="38FC65F0"/>
    <w:multiLevelType w:val="singleLevel"/>
    <w:tmpl w:val="D98C7C6A"/>
    <w:lvl w:ilvl="0">
      <w:numFmt w:val="bullet"/>
      <w:lvlText w:val="-"/>
      <w:lvlJc w:val="left"/>
      <w:pPr>
        <w:tabs>
          <w:tab w:val="num" w:pos="360"/>
        </w:tabs>
        <w:ind w:left="360" w:hanging="360"/>
      </w:pPr>
      <w:rPr>
        <w:rFonts w:hint="default"/>
      </w:rPr>
    </w:lvl>
  </w:abstractNum>
  <w:abstractNum w:abstractNumId="271">
    <w:nsid w:val="39041C85"/>
    <w:multiLevelType w:val="singleLevel"/>
    <w:tmpl w:val="B3A6698C"/>
    <w:lvl w:ilvl="0">
      <w:start w:val="350"/>
      <w:numFmt w:val="decimal"/>
      <w:lvlText w:val="%1."/>
      <w:lvlJc w:val="left"/>
      <w:pPr>
        <w:tabs>
          <w:tab w:val="num" w:pos="360"/>
        </w:tabs>
        <w:ind w:left="360" w:hanging="360"/>
      </w:pPr>
    </w:lvl>
  </w:abstractNum>
  <w:abstractNum w:abstractNumId="272">
    <w:nsid w:val="390E1657"/>
    <w:multiLevelType w:val="singleLevel"/>
    <w:tmpl w:val="FFBA5198"/>
    <w:lvl w:ilvl="0">
      <w:start w:val="100"/>
      <w:numFmt w:val="decimal"/>
      <w:lvlText w:val="%1."/>
      <w:lvlJc w:val="left"/>
      <w:pPr>
        <w:tabs>
          <w:tab w:val="num" w:pos="360"/>
        </w:tabs>
        <w:ind w:left="284" w:hanging="284"/>
      </w:pPr>
    </w:lvl>
  </w:abstractNum>
  <w:abstractNum w:abstractNumId="273">
    <w:nsid w:val="39703E0D"/>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274">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75">
    <w:nsid w:val="39B52752"/>
    <w:multiLevelType w:val="singleLevel"/>
    <w:tmpl w:val="BE2056E8"/>
    <w:lvl w:ilvl="0">
      <w:start w:val="37"/>
      <w:numFmt w:val="decimal"/>
      <w:lvlText w:val="%1."/>
      <w:lvlJc w:val="left"/>
      <w:pPr>
        <w:tabs>
          <w:tab w:val="num" w:pos="360"/>
        </w:tabs>
        <w:ind w:left="360" w:hanging="360"/>
      </w:pPr>
    </w:lvl>
  </w:abstractNum>
  <w:abstractNum w:abstractNumId="276">
    <w:nsid w:val="3A1C05B6"/>
    <w:multiLevelType w:val="singleLevel"/>
    <w:tmpl w:val="04190013"/>
    <w:lvl w:ilvl="0">
      <w:start w:val="1"/>
      <w:numFmt w:val="upperRoman"/>
      <w:lvlText w:val="%1."/>
      <w:lvlJc w:val="left"/>
      <w:pPr>
        <w:tabs>
          <w:tab w:val="num" w:pos="720"/>
        </w:tabs>
        <w:ind w:left="720" w:hanging="720"/>
      </w:pPr>
      <w:rPr>
        <w:rFonts w:hint="default"/>
      </w:rPr>
    </w:lvl>
  </w:abstractNum>
  <w:abstractNum w:abstractNumId="277">
    <w:nsid w:val="3A8960C4"/>
    <w:multiLevelType w:val="singleLevel"/>
    <w:tmpl w:val="0D6AE728"/>
    <w:lvl w:ilvl="0">
      <w:start w:val="72"/>
      <w:numFmt w:val="decimal"/>
      <w:lvlText w:val="%1."/>
      <w:lvlJc w:val="left"/>
      <w:pPr>
        <w:tabs>
          <w:tab w:val="num" w:pos="360"/>
        </w:tabs>
        <w:ind w:left="360" w:hanging="360"/>
      </w:pPr>
    </w:lvl>
  </w:abstractNum>
  <w:abstractNum w:abstractNumId="278">
    <w:nsid w:val="3AA64235"/>
    <w:multiLevelType w:val="singleLevel"/>
    <w:tmpl w:val="66FE8CFC"/>
    <w:lvl w:ilvl="0">
      <w:start w:val="392"/>
      <w:numFmt w:val="decimal"/>
      <w:lvlText w:val="%1."/>
      <w:lvlJc w:val="left"/>
      <w:pPr>
        <w:tabs>
          <w:tab w:val="num" w:pos="784"/>
        </w:tabs>
        <w:ind w:left="784" w:hanging="500"/>
      </w:pPr>
      <w:rPr>
        <w:rFonts w:hint="default"/>
      </w:rPr>
    </w:lvl>
  </w:abstractNum>
  <w:abstractNum w:abstractNumId="279">
    <w:nsid w:val="3ADF29F5"/>
    <w:multiLevelType w:val="singleLevel"/>
    <w:tmpl w:val="D98C7C6A"/>
    <w:lvl w:ilvl="0">
      <w:numFmt w:val="bullet"/>
      <w:lvlText w:val="-"/>
      <w:lvlJc w:val="left"/>
      <w:pPr>
        <w:tabs>
          <w:tab w:val="num" w:pos="360"/>
        </w:tabs>
        <w:ind w:left="360" w:hanging="360"/>
      </w:pPr>
      <w:rPr>
        <w:rFonts w:hint="default"/>
      </w:rPr>
    </w:lvl>
  </w:abstractNum>
  <w:abstractNum w:abstractNumId="280">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81">
    <w:nsid w:val="3BC9512F"/>
    <w:multiLevelType w:val="singleLevel"/>
    <w:tmpl w:val="76065622"/>
    <w:lvl w:ilvl="0">
      <w:start w:val="100"/>
      <w:numFmt w:val="decimal"/>
      <w:lvlText w:val="%1."/>
      <w:lvlJc w:val="left"/>
      <w:pPr>
        <w:tabs>
          <w:tab w:val="num" w:pos="360"/>
        </w:tabs>
        <w:ind w:left="360" w:hanging="360"/>
      </w:pPr>
    </w:lvl>
  </w:abstractNum>
  <w:abstractNum w:abstractNumId="282">
    <w:nsid w:val="3BD22870"/>
    <w:multiLevelType w:val="singleLevel"/>
    <w:tmpl w:val="99E6BC32"/>
    <w:lvl w:ilvl="0">
      <w:start w:val="355"/>
      <w:numFmt w:val="decimal"/>
      <w:lvlText w:val="%1."/>
      <w:lvlJc w:val="left"/>
      <w:pPr>
        <w:tabs>
          <w:tab w:val="num" w:pos="360"/>
        </w:tabs>
        <w:ind w:left="360" w:hanging="360"/>
      </w:pPr>
    </w:lvl>
  </w:abstractNum>
  <w:abstractNum w:abstractNumId="283">
    <w:nsid w:val="3D082399"/>
    <w:multiLevelType w:val="singleLevel"/>
    <w:tmpl w:val="963A98AC"/>
    <w:lvl w:ilvl="0">
      <w:start w:val="79"/>
      <w:numFmt w:val="decimal"/>
      <w:lvlText w:val="%1."/>
      <w:lvlJc w:val="left"/>
      <w:pPr>
        <w:tabs>
          <w:tab w:val="num" w:pos="360"/>
        </w:tabs>
        <w:ind w:left="360" w:hanging="360"/>
      </w:pPr>
    </w:lvl>
  </w:abstractNum>
  <w:abstractNum w:abstractNumId="284">
    <w:nsid w:val="3D1456A9"/>
    <w:multiLevelType w:val="singleLevel"/>
    <w:tmpl w:val="A672D23C"/>
    <w:lvl w:ilvl="0">
      <w:start w:val="34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5">
    <w:nsid w:val="3D4304DB"/>
    <w:multiLevelType w:val="singleLevel"/>
    <w:tmpl w:val="D23CC508"/>
    <w:lvl w:ilvl="0">
      <w:start w:val="2"/>
      <w:numFmt w:val="lowerLetter"/>
      <w:lvlText w:val="%1)"/>
      <w:lvlJc w:val="left"/>
      <w:pPr>
        <w:tabs>
          <w:tab w:val="num" w:pos="360"/>
        </w:tabs>
        <w:ind w:left="360" w:hanging="360"/>
      </w:pPr>
    </w:lvl>
  </w:abstractNum>
  <w:abstractNum w:abstractNumId="286">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87">
    <w:nsid w:val="3DCB6756"/>
    <w:multiLevelType w:val="singleLevel"/>
    <w:tmpl w:val="B0AAE21A"/>
    <w:lvl w:ilvl="0">
      <w:start w:val="236"/>
      <w:numFmt w:val="decimal"/>
      <w:lvlText w:val="%1."/>
      <w:lvlJc w:val="left"/>
      <w:pPr>
        <w:tabs>
          <w:tab w:val="num" w:pos="360"/>
        </w:tabs>
        <w:ind w:left="360" w:hanging="360"/>
      </w:pPr>
    </w:lvl>
  </w:abstractNum>
  <w:abstractNum w:abstractNumId="288">
    <w:nsid w:val="3DFA52BE"/>
    <w:multiLevelType w:val="singleLevel"/>
    <w:tmpl w:val="C5500D30"/>
    <w:lvl w:ilvl="0">
      <w:start w:val="83"/>
      <w:numFmt w:val="decimal"/>
      <w:lvlText w:val="%1."/>
      <w:lvlJc w:val="left"/>
      <w:pPr>
        <w:tabs>
          <w:tab w:val="num" w:pos="360"/>
        </w:tabs>
        <w:ind w:left="360" w:hanging="360"/>
      </w:pPr>
    </w:lvl>
  </w:abstractNum>
  <w:abstractNum w:abstractNumId="289">
    <w:nsid w:val="3E43608B"/>
    <w:multiLevelType w:val="singleLevel"/>
    <w:tmpl w:val="B45CB0C8"/>
    <w:lvl w:ilvl="0">
      <w:start w:val="220"/>
      <w:numFmt w:val="decimal"/>
      <w:lvlText w:val="%1."/>
      <w:lvlJc w:val="left"/>
      <w:pPr>
        <w:tabs>
          <w:tab w:val="num" w:pos="360"/>
        </w:tabs>
        <w:ind w:left="360" w:hanging="360"/>
      </w:pPr>
    </w:lvl>
  </w:abstractNum>
  <w:abstractNum w:abstractNumId="290">
    <w:nsid w:val="3E58675F"/>
    <w:multiLevelType w:val="singleLevel"/>
    <w:tmpl w:val="E43A3130"/>
    <w:lvl w:ilvl="0">
      <w:start w:val="35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1">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92">
    <w:nsid w:val="3E7C5326"/>
    <w:multiLevelType w:val="multilevel"/>
    <w:tmpl w:val="51186C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94">
    <w:nsid w:val="3EB20177"/>
    <w:multiLevelType w:val="singleLevel"/>
    <w:tmpl w:val="710C5F5A"/>
    <w:lvl w:ilvl="0">
      <w:start w:val="100"/>
      <w:numFmt w:val="decimal"/>
      <w:lvlText w:val="%1."/>
      <w:lvlJc w:val="left"/>
      <w:pPr>
        <w:tabs>
          <w:tab w:val="num" w:pos="360"/>
        </w:tabs>
        <w:ind w:left="360" w:hanging="360"/>
      </w:pPr>
    </w:lvl>
  </w:abstractNum>
  <w:abstractNum w:abstractNumId="295">
    <w:nsid w:val="3FE1511D"/>
    <w:multiLevelType w:val="singleLevel"/>
    <w:tmpl w:val="B3A8B37E"/>
    <w:lvl w:ilvl="0">
      <w:start w:val="100"/>
      <w:numFmt w:val="decimal"/>
      <w:lvlText w:val="%1."/>
      <w:lvlJc w:val="left"/>
      <w:pPr>
        <w:tabs>
          <w:tab w:val="num" w:pos="624"/>
        </w:tabs>
        <w:ind w:left="624" w:hanging="624"/>
      </w:pPr>
    </w:lvl>
  </w:abstractNum>
  <w:abstractNum w:abstractNumId="296">
    <w:nsid w:val="40053E7C"/>
    <w:multiLevelType w:val="singleLevel"/>
    <w:tmpl w:val="3CF27CAC"/>
    <w:lvl w:ilvl="0">
      <w:start w:val="353"/>
      <w:numFmt w:val="decimal"/>
      <w:lvlText w:val="%1."/>
      <w:lvlJc w:val="left"/>
      <w:pPr>
        <w:tabs>
          <w:tab w:val="num" w:pos="360"/>
        </w:tabs>
        <w:ind w:left="360" w:hanging="360"/>
      </w:pPr>
    </w:lvl>
  </w:abstractNum>
  <w:abstractNum w:abstractNumId="297">
    <w:nsid w:val="40083AE2"/>
    <w:multiLevelType w:val="singleLevel"/>
    <w:tmpl w:val="13085D8C"/>
    <w:lvl w:ilvl="0">
      <w:start w:val="144"/>
      <w:numFmt w:val="decimal"/>
      <w:lvlText w:val="%1."/>
      <w:lvlJc w:val="left"/>
      <w:pPr>
        <w:tabs>
          <w:tab w:val="num" w:pos="360"/>
        </w:tabs>
        <w:ind w:left="360" w:hanging="360"/>
      </w:pPr>
    </w:lvl>
  </w:abstractNum>
  <w:abstractNum w:abstractNumId="298">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99">
    <w:nsid w:val="407101FD"/>
    <w:multiLevelType w:val="singleLevel"/>
    <w:tmpl w:val="5CCA3436"/>
    <w:lvl w:ilvl="0">
      <w:start w:val="119"/>
      <w:numFmt w:val="decimal"/>
      <w:lvlText w:val="%1."/>
      <w:lvlJc w:val="left"/>
      <w:pPr>
        <w:tabs>
          <w:tab w:val="num" w:pos="360"/>
        </w:tabs>
        <w:ind w:left="360" w:hanging="360"/>
      </w:pPr>
    </w:lvl>
  </w:abstractNum>
  <w:abstractNum w:abstractNumId="300">
    <w:nsid w:val="407E633E"/>
    <w:multiLevelType w:val="singleLevel"/>
    <w:tmpl w:val="93C46E88"/>
    <w:lvl w:ilvl="0">
      <w:start w:val="136"/>
      <w:numFmt w:val="decimal"/>
      <w:lvlText w:val="%1."/>
      <w:lvlJc w:val="left"/>
      <w:pPr>
        <w:tabs>
          <w:tab w:val="num" w:pos="360"/>
        </w:tabs>
        <w:ind w:left="360" w:hanging="360"/>
      </w:pPr>
    </w:lvl>
  </w:abstractNum>
  <w:abstractNum w:abstractNumId="301">
    <w:nsid w:val="416D25B3"/>
    <w:multiLevelType w:val="singleLevel"/>
    <w:tmpl w:val="DE948AC4"/>
    <w:lvl w:ilvl="0">
      <w:start w:val="459"/>
      <w:numFmt w:val="decimal"/>
      <w:lvlText w:val="%1."/>
      <w:lvlJc w:val="left"/>
      <w:pPr>
        <w:tabs>
          <w:tab w:val="num" w:pos="360"/>
        </w:tabs>
        <w:ind w:left="360" w:hanging="360"/>
      </w:pPr>
    </w:lvl>
  </w:abstractNum>
  <w:abstractNum w:abstractNumId="302">
    <w:nsid w:val="42143B36"/>
    <w:multiLevelType w:val="singleLevel"/>
    <w:tmpl w:val="0419000F"/>
    <w:lvl w:ilvl="0">
      <w:start w:val="1"/>
      <w:numFmt w:val="decimal"/>
      <w:lvlText w:val="%1."/>
      <w:lvlJc w:val="left"/>
      <w:pPr>
        <w:tabs>
          <w:tab w:val="num" w:pos="360"/>
        </w:tabs>
        <w:ind w:left="360" w:hanging="360"/>
      </w:pPr>
    </w:lvl>
  </w:abstractNum>
  <w:abstractNum w:abstractNumId="303">
    <w:nsid w:val="42213BA8"/>
    <w:multiLevelType w:val="singleLevel"/>
    <w:tmpl w:val="385C7538"/>
    <w:lvl w:ilvl="0">
      <w:start w:val="34"/>
      <w:numFmt w:val="decimal"/>
      <w:lvlText w:val="%1."/>
      <w:lvlJc w:val="left"/>
      <w:pPr>
        <w:tabs>
          <w:tab w:val="num" w:pos="360"/>
        </w:tabs>
        <w:ind w:left="360" w:hanging="360"/>
      </w:pPr>
    </w:lvl>
  </w:abstractNum>
  <w:abstractNum w:abstractNumId="304">
    <w:nsid w:val="426F5C1A"/>
    <w:multiLevelType w:val="singleLevel"/>
    <w:tmpl w:val="1FB0F7A6"/>
    <w:lvl w:ilvl="0">
      <w:start w:val="142"/>
      <w:numFmt w:val="decimal"/>
      <w:lvlText w:val="%1."/>
      <w:lvlJc w:val="left"/>
      <w:pPr>
        <w:tabs>
          <w:tab w:val="num" w:pos="360"/>
        </w:tabs>
        <w:ind w:left="360" w:hanging="360"/>
      </w:pPr>
    </w:lvl>
  </w:abstractNum>
  <w:abstractNum w:abstractNumId="305">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306">
    <w:nsid w:val="4276704B"/>
    <w:multiLevelType w:val="singleLevel"/>
    <w:tmpl w:val="2F985AF0"/>
    <w:lvl w:ilvl="0">
      <w:start w:val="216"/>
      <w:numFmt w:val="decimal"/>
      <w:lvlText w:val="%1. "/>
      <w:legacy w:legacy="1" w:legacySpace="0" w:legacyIndent="283"/>
      <w:lvlJc w:val="left"/>
      <w:pPr>
        <w:ind w:left="567" w:hanging="283"/>
      </w:pPr>
      <w:rPr>
        <w:b w:val="0"/>
        <w:i w:val="0"/>
        <w:sz w:val="28"/>
      </w:rPr>
    </w:lvl>
  </w:abstractNum>
  <w:abstractNum w:abstractNumId="307">
    <w:nsid w:val="429C0D25"/>
    <w:multiLevelType w:val="singleLevel"/>
    <w:tmpl w:val="D29AF24A"/>
    <w:lvl w:ilvl="0">
      <w:start w:val="1"/>
      <w:numFmt w:val="decimal"/>
      <w:lvlText w:val="%1)"/>
      <w:lvlJc w:val="left"/>
      <w:pPr>
        <w:tabs>
          <w:tab w:val="num" w:pos="644"/>
        </w:tabs>
        <w:ind w:left="644" w:hanging="360"/>
      </w:pPr>
      <w:rPr>
        <w:rFonts w:hint="default"/>
      </w:rPr>
    </w:lvl>
  </w:abstractNum>
  <w:abstractNum w:abstractNumId="308">
    <w:nsid w:val="42AD3753"/>
    <w:multiLevelType w:val="singleLevel"/>
    <w:tmpl w:val="AB94BB4A"/>
    <w:lvl w:ilvl="0">
      <w:start w:val="89"/>
      <w:numFmt w:val="decimal"/>
      <w:lvlText w:val="%1."/>
      <w:lvlJc w:val="left"/>
      <w:pPr>
        <w:tabs>
          <w:tab w:val="num" w:pos="360"/>
        </w:tabs>
        <w:ind w:left="360" w:hanging="360"/>
      </w:pPr>
    </w:lvl>
  </w:abstractNum>
  <w:abstractNum w:abstractNumId="309">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310">
    <w:nsid w:val="43AB404E"/>
    <w:multiLevelType w:val="singleLevel"/>
    <w:tmpl w:val="FFBA5198"/>
    <w:lvl w:ilvl="0">
      <w:start w:val="100"/>
      <w:numFmt w:val="decimal"/>
      <w:lvlText w:val="%1."/>
      <w:lvlJc w:val="left"/>
      <w:pPr>
        <w:tabs>
          <w:tab w:val="num" w:pos="360"/>
        </w:tabs>
        <w:ind w:left="284" w:hanging="284"/>
      </w:pPr>
    </w:lvl>
  </w:abstractNum>
  <w:abstractNum w:abstractNumId="311">
    <w:nsid w:val="43D75987"/>
    <w:multiLevelType w:val="singleLevel"/>
    <w:tmpl w:val="0419000F"/>
    <w:lvl w:ilvl="0">
      <w:start w:val="1"/>
      <w:numFmt w:val="decimal"/>
      <w:lvlText w:val="%1."/>
      <w:lvlJc w:val="left"/>
      <w:pPr>
        <w:tabs>
          <w:tab w:val="num" w:pos="360"/>
        </w:tabs>
        <w:ind w:left="360" w:hanging="360"/>
      </w:pPr>
    </w:lvl>
  </w:abstractNum>
  <w:abstractNum w:abstractNumId="312">
    <w:nsid w:val="445B1C87"/>
    <w:multiLevelType w:val="singleLevel"/>
    <w:tmpl w:val="43824188"/>
    <w:lvl w:ilvl="0">
      <w:start w:val="448"/>
      <w:numFmt w:val="decimal"/>
      <w:lvlText w:val="%1."/>
      <w:lvlJc w:val="left"/>
      <w:pPr>
        <w:tabs>
          <w:tab w:val="num" w:pos="360"/>
        </w:tabs>
        <w:ind w:left="360" w:hanging="360"/>
      </w:pPr>
    </w:lvl>
  </w:abstractNum>
  <w:abstractNum w:abstractNumId="313">
    <w:nsid w:val="44890A07"/>
    <w:multiLevelType w:val="singleLevel"/>
    <w:tmpl w:val="934C392A"/>
    <w:lvl w:ilvl="0">
      <w:start w:val="9"/>
      <w:numFmt w:val="decimal"/>
      <w:lvlText w:val="%1."/>
      <w:lvlJc w:val="left"/>
      <w:pPr>
        <w:tabs>
          <w:tab w:val="num" w:pos="360"/>
        </w:tabs>
        <w:ind w:left="360" w:hanging="360"/>
      </w:pPr>
    </w:lvl>
  </w:abstractNum>
  <w:abstractNum w:abstractNumId="314">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15">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6">
    <w:nsid w:val="45C60485"/>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7">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318">
    <w:nsid w:val="462B184A"/>
    <w:multiLevelType w:val="singleLevel"/>
    <w:tmpl w:val="934C392A"/>
    <w:lvl w:ilvl="0">
      <w:start w:val="9"/>
      <w:numFmt w:val="decimal"/>
      <w:lvlText w:val="%1."/>
      <w:lvlJc w:val="left"/>
      <w:pPr>
        <w:tabs>
          <w:tab w:val="num" w:pos="360"/>
        </w:tabs>
        <w:ind w:left="360" w:hanging="360"/>
      </w:pPr>
    </w:lvl>
  </w:abstractNum>
  <w:abstractNum w:abstractNumId="319">
    <w:nsid w:val="47874BC1"/>
    <w:multiLevelType w:val="singleLevel"/>
    <w:tmpl w:val="6DEA3E5C"/>
    <w:lvl w:ilvl="0">
      <w:start w:val="326"/>
      <w:numFmt w:val="decimal"/>
      <w:lvlText w:val="%1."/>
      <w:lvlJc w:val="left"/>
      <w:pPr>
        <w:tabs>
          <w:tab w:val="num" w:pos="360"/>
        </w:tabs>
        <w:ind w:left="360" w:hanging="360"/>
      </w:pPr>
    </w:lvl>
  </w:abstractNum>
  <w:abstractNum w:abstractNumId="320">
    <w:nsid w:val="479D03BF"/>
    <w:multiLevelType w:val="singleLevel"/>
    <w:tmpl w:val="B2A850F2"/>
    <w:lvl w:ilvl="0">
      <w:start w:val="28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1">
    <w:nsid w:val="47A67FB3"/>
    <w:multiLevelType w:val="singleLevel"/>
    <w:tmpl w:val="A01A7868"/>
    <w:lvl w:ilvl="0">
      <w:start w:val="225"/>
      <w:numFmt w:val="decimal"/>
      <w:lvlText w:val="%1. "/>
      <w:legacy w:legacy="1" w:legacySpace="0" w:legacyIndent="283"/>
      <w:lvlJc w:val="left"/>
      <w:pPr>
        <w:ind w:left="567" w:hanging="283"/>
      </w:pPr>
      <w:rPr>
        <w:b w:val="0"/>
        <w:i w:val="0"/>
        <w:sz w:val="24"/>
      </w:rPr>
    </w:lvl>
  </w:abstractNum>
  <w:abstractNum w:abstractNumId="322">
    <w:nsid w:val="47CF2507"/>
    <w:multiLevelType w:val="singleLevel"/>
    <w:tmpl w:val="88FCB36E"/>
    <w:lvl w:ilvl="0">
      <w:start w:val="247"/>
      <w:numFmt w:val="decimal"/>
      <w:lvlText w:val="%1."/>
      <w:lvlJc w:val="left"/>
      <w:pPr>
        <w:tabs>
          <w:tab w:val="num" w:pos="360"/>
        </w:tabs>
        <w:ind w:left="360" w:hanging="360"/>
      </w:pPr>
    </w:lvl>
  </w:abstractNum>
  <w:abstractNum w:abstractNumId="323">
    <w:nsid w:val="47D864AE"/>
    <w:multiLevelType w:val="singleLevel"/>
    <w:tmpl w:val="3118B894"/>
    <w:lvl w:ilvl="0">
      <w:start w:val="175"/>
      <w:numFmt w:val="decimal"/>
      <w:lvlText w:val="%1."/>
      <w:lvlJc w:val="left"/>
      <w:pPr>
        <w:tabs>
          <w:tab w:val="num" w:pos="360"/>
        </w:tabs>
        <w:ind w:left="360" w:hanging="360"/>
      </w:pPr>
    </w:lvl>
  </w:abstractNum>
  <w:abstractNum w:abstractNumId="324">
    <w:nsid w:val="47F94EFB"/>
    <w:multiLevelType w:val="singleLevel"/>
    <w:tmpl w:val="385C7538"/>
    <w:lvl w:ilvl="0">
      <w:start w:val="34"/>
      <w:numFmt w:val="decimal"/>
      <w:lvlText w:val="%1."/>
      <w:lvlJc w:val="left"/>
      <w:pPr>
        <w:tabs>
          <w:tab w:val="num" w:pos="360"/>
        </w:tabs>
        <w:ind w:left="360" w:hanging="360"/>
      </w:pPr>
    </w:lvl>
  </w:abstractNum>
  <w:abstractNum w:abstractNumId="325">
    <w:nsid w:val="487F7C9B"/>
    <w:multiLevelType w:val="singleLevel"/>
    <w:tmpl w:val="D98C7C6A"/>
    <w:lvl w:ilvl="0">
      <w:numFmt w:val="bullet"/>
      <w:lvlText w:val="-"/>
      <w:lvlJc w:val="left"/>
      <w:pPr>
        <w:tabs>
          <w:tab w:val="num" w:pos="360"/>
        </w:tabs>
        <w:ind w:left="360" w:hanging="360"/>
      </w:pPr>
      <w:rPr>
        <w:rFonts w:hint="default"/>
      </w:rPr>
    </w:lvl>
  </w:abstractNum>
  <w:abstractNum w:abstractNumId="326">
    <w:nsid w:val="48897D24"/>
    <w:multiLevelType w:val="singleLevel"/>
    <w:tmpl w:val="487294B0"/>
    <w:lvl w:ilvl="0">
      <w:start w:val="1"/>
      <w:numFmt w:val="bullet"/>
      <w:lvlText w:val=""/>
      <w:lvlJc w:val="left"/>
      <w:pPr>
        <w:tabs>
          <w:tab w:val="num" w:pos="644"/>
        </w:tabs>
        <w:ind w:left="644" w:hanging="360"/>
      </w:pPr>
      <w:rPr>
        <w:rFonts w:ascii="Symbol" w:hAnsi="Symbol" w:hint="default"/>
      </w:rPr>
    </w:lvl>
  </w:abstractNum>
  <w:abstractNum w:abstractNumId="327">
    <w:nsid w:val="48941D1D"/>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328">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329">
    <w:nsid w:val="4918607C"/>
    <w:multiLevelType w:val="singleLevel"/>
    <w:tmpl w:val="AB94BB4A"/>
    <w:lvl w:ilvl="0">
      <w:start w:val="89"/>
      <w:numFmt w:val="decimal"/>
      <w:lvlText w:val="%1."/>
      <w:lvlJc w:val="left"/>
      <w:pPr>
        <w:tabs>
          <w:tab w:val="num" w:pos="360"/>
        </w:tabs>
        <w:ind w:left="360" w:hanging="360"/>
      </w:pPr>
    </w:lvl>
  </w:abstractNum>
  <w:abstractNum w:abstractNumId="330">
    <w:nsid w:val="497B3488"/>
    <w:multiLevelType w:val="singleLevel"/>
    <w:tmpl w:val="55EA754A"/>
    <w:lvl w:ilvl="0">
      <w:start w:val="284"/>
      <w:numFmt w:val="decimal"/>
      <w:lvlText w:val="%1."/>
      <w:lvlJc w:val="left"/>
      <w:pPr>
        <w:tabs>
          <w:tab w:val="num" w:pos="360"/>
        </w:tabs>
        <w:ind w:left="360" w:hanging="360"/>
      </w:pPr>
    </w:lvl>
  </w:abstractNum>
  <w:abstractNum w:abstractNumId="331">
    <w:nsid w:val="4A1C650E"/>
    <w:multiLevelType w:val="singleLevel"/>
    <w:tmpl w:val="6AE8CDD4"/>
    <w:lvl w:ilvl="0">
      <w:start w:val="260"/>
      <w:numFmt w:val="decimal"/>
      <w:lvlText w:val="%1."/>
      <w:lvlJc w:val="left"/>
      <w:pPr>
        <w:tabs>
          <w:tab w:val="num" w:pos="360"/>
        </w:tabs>
        <w:ind w:left="360" w:hanging="360"/>
      </w:pPr>
    </w:lvl>
  </w:abstractNum>
  <w:abstractNum w:abstractNumId="332">
    <w:nsid w:val="4A5B49F4"/>
    <w:multiLevelType w:val="singleLevel"/>
    <w:tmpl w:val="F6E8C09C"/>
    <w:lvl w:ilvl="0">
      <w:start w:val="85"/>
      <w:numFmt w:val="decimal"/>
      <w:lvlText w:val="%1."/>
      <w:lvlJc w:val="left"/>
      <w:pPr>
        <w:tabs>
          <w:tab w:val="num" w:pos="360"/>
        </w:tabs>
        <w:ind w:left="360" w:hanging="360"/>
      </w:pPr>
    </w:lvl>
  </w:abstractNum>
  <w:abstractNum w:abstractNumId="333">
    <w:nsid w:val="4A9E60AC"/>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334">
    <w:nsid w:val="4B0252BC"/>
    <w:multiLevelType w:val="multilevel"/>
    <w:tmpl w:val="6D56E6C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35">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336">
    <w:nsid w:val="4B5E0BD0"/>
    <w:multiLevelType w:val="singleLevel"/>
    <w:tmpl w:val="B9A8F5FE"/>
    <w:lvl w:ilvl="0">
      <w:start w:val="264"/>
      <w:numFmt w:val="decimal"/>
      <w:lvlText w:val="%1."/>
      <w:lvlJc w:val="left"/>
      <w:pPr>
        <w:tabs>
          <w:tab w:val="num" w:pos="360"/>
        </w:tabs>
        <w:ind w:left="360" w:hanging="360"/>
      </w:pPr>
    </w:lvl>
  </w:abstractNum>
  <w:abstractNum w:abstractNumId="337">
    <w:nsid w:val="4B9144E9"/>
    <w:multiLevelType w:val="singleLevel"/>
    <w:tmpl w:val="ADB6AD56"/>
    <w:lvl w:ilvl="0">
      <w:start w:val="1"/>
      <w:numFmt w:val="upperRoman"/>
      <w:lvlText w:val="%1."/>
      <w:lvlJc w:val="left"/>
      <w:pPr>
        <w:tabs>
          <w:tab w:val="num" w:pos="1004"/>
        </w:tabs>
        <w:ind w:left="1004" w:hanging="720"/>
      </w:pPr>
      <w:rPr>
        <w:rFonts w:hint="default"/>
      </w:rPr>
    </w:lvl>
  </w:abstractNum>
  <w:abstractNum w:abstractNumId="338">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339">
    <w:nsid w:val="4C0A6C37"/>
    <w:multiLevelType w:val="singleLevel"/>
    <w:tmpl w:val="8DA8EC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0">
    <w:nsid w:val="4C371B48"/>
    <w:multiLevelType w:val="singleLevel"/>
    <w:tmpl w:val="963A98AC"/>
    <w:lvl w:ilvl="0">
      <w:start w:val="79"/>
      <w:numFmt w:val="decimal"/>
      <w:lvlText w:val="%1."/>
      <w:lvlJc w:val="left"/>
      <w:pPr>
        <w:tabs>
          <w:tab w:val="num" w:pos="360"/>
        </w:tabs>
        <w:ind w:left="360" w:hanging="360"/>
      </w:pPr>
    </w:lvl>
  </w:abstractNum>
  <w:abstractNum w:abstractNumId="341">
    <w:nsid w:val="4C3A20B3"/>
    <w:multiLevelType w:val="singleLevel"/>
    <w:tmpl w:val="FF0ACA6E"/>
    <w:lvl w:ilvl="0">
      <w:start w:val="464"/>
      <w:numFmt w:val="decimal"/>
      <w:lvlText w:val="%1."/>
      <w:lvlJc w:val="left"/>
      <w:pPr>
        <w:tabs>
          <w:tab w:val="num" w:pos="360"/>
        </w:tabs>
        <w:ind w:left="360" w:hanging="360"/>
      </w:pPr>
    </w:lvl>
  </w:abstractNum>
  <w:abstractNum w:abstractNumId="342">
    <w:nsid w:val="4C466D16"/>
    <w:multiLevelType w:val="singleLevel"/>
    <w:tmpl w:val="13564EEE"/>
    <w:lvl w:ilvl="0">
      <w:start w:val="257"/>
      <w:numFmt w:val="decimal"/>
      <w:lvlText w:val="%1."/>
      <w:lvlJc w:val="left"/>
      <w:pPr>
        <w:tabs>
          <w:tab w:val="num" w:pos="360"/>
        </w:tabs>
        <w:ind w:left="360" w:hanging="360"/>
      </w:pPr>
    </w:lvl>
  </w:abstractNum>
  <w:abstractNum w:abstractNumId="343">
    <w:nsid w:val="4C713E90"/>
    <w:multiLevelType w:val="singleLevel"/>
    <w:tmpl w:val="BE54497C"/>
    <w:lvl w:ilvl="0">
      <w:start w:val="198"/>
      <w:numFmt w:val="decimal"/>
      <w:lvlText w:val="%1. "/>
      <w:legacy w:legacy="1" w:legacySpace="0" w:legacyIndent="283"/>
      <w:lvlJc w:val="left"/>
      <w:pPr>
        <w:ind w:left="567" w:hanging="283"/>
      </w:pPr>
      <w:rPr>
        <w:b w:val="0"/>
        <w:i w:val="0"/>
        <w:sz w:val="28"/>
      </w:rPr>
    </w:lvl>
  </w:abstractNum>
  <w:abstractNum w:abstractNumId="344">
    <w:nsid w:val="4C726630"/>
    <w:multiLevelType w:val="singleLevel"/>
    <w:tmpl w:val="A7D41F14"/>
    <w:lvl w:ilvl="0">
      <w:start w:val="393"/>
      <w:numFmt w:val="decimal"/>
      <w:lvlText w:val="%1."/>
      <w:lvlJc w:val="left"/>
      <w:pPr>
        <w:tabs>
          <w:tab w:val="num" w:pos="360"/>
        </w:tabs>
        <w:ind w:left="360" w:hanging="360"/>
      </w:pPr>
    </w:lvl>
  </w:abstractNum>
  <w:abstractNum w:abstractNumId="345">
    <w:nsid w:val="4CD14373"/>
    <w:multiLevelType w:val="singleLevel"/>
    <w:tmpl w:val="BA328492"/>
    <w:lvl w:ilvl="0">
      <w:start w:val="220"/>
      <w:numFmt w:val="decimal"/>
      <w:lvlText w:val="%1. "/>
      <w:legacy w:legacy="1" w:legacySpace="0" w:legacyIndent="283"/>
      <w:lvlJc w:val="left"/>
      <w:pPr>
        <w:ind w:left="567" w:hanging="283"/>
      </w:pPr>
      <w:rPr>
        <w:b w:val="0"/>
        <w:i w:val="0"/>
        <w:sz w:val="24"/>
      </w:rPr>
    </w:lvl>
  </w:abstractNum>
  <w:abstractNum w:abstractNumId="346">
    <w:nsid w:val="4CF75F07"/>
    <w:multiLevelType w:val="singleLevel"/>
    <w:tmpl w:val="2758D1E4"/>
    <w:lvl w:ilvl="0">
      <w:start w:val="138"/>
      <w:numFmt w:val="decimal"/>
      <w:lvlText w:val="%1."/>
      <w:lvlJc w:val="left"/>
      <w:pPr>
        <w:tabs>
          <w:tab w:val="num" w:pos="360"/>
        </w:tabs>
        <w:ind w:left="360" w:hanging="360"/>
      </w:pPr>
    </w:lvl>
  </w:abstractNum>
  <w:abstractNum w:abstractNumId="347">
    <w:nsid w:val="4D212DD1"/>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348">
    <w:nsid w:val="4D78482A"/>
    <w:multiLevelType w:val="singleLevel"/>
    <w:tmpl w:val="6DEA3E5C"/>
    <w:lvl w:ilvl="0">
      <w:start w:val="326"/>
      <w:numFmt w:val="decimal"/>
      <w:lvlText w:val="%1."/>
      <w:lvlJc w:val="left"/>
      <w:pPr>
        <w:tabs>
          <w:tab w:val="num" w:pos="360"/>
        </w:tabs>
        <w:ind w:left="360" w:hanging="360"/>
      </w:pPr>
    </w:lvl>
  </w:abstractNum>
  <w:abstractNum w:abstractNumId="349">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350">
    <w:nsid w:val="4FB75B28"/>
    <w:multiLevelType w:val="singleLevel"/>
    <w:tmpl w:val="F9086910"/>
    <w:lvl w:ilvl="0">
      <w:start w:val="75"/>
      <w:numFmt w:val="decimal"/>
      <w:lvlText w:val="%1."/>
      <w:lvlJc w:val="left"/>
      <w:pPr>
        <w:tabs>
          <w:tab w:val="num" w:pos="360"/>
        </w:tabs>
        <w:ind w:left="360" w:hanging="360"/>
      </w:pPr>
    </w:lvl>
  </w:abstractNum>
  <w:abstractNum w:abstractNumId="351">
    <w:nsid w:val="4FC57F64"/>
    <w:multiLevelType w:val="singleLevel"/>
    <w:tmpl w:val="5950EED0"/>
    <w:lvl w:ilvl="0">
      <w:start w:val="314"/>
      <w:numFmt w:val="decimal"/>
      <w:lvlText w:val="%1."/>
      <w:lvlJc w:val="left"/>
      <w:pPr>
        <w:tabs>
          <w:tab w:val="num" w:pos="360"/>
        </w:tabs>
        <w:ind w:left="360" w:hanging="360"/>
      </w:pPr>
    </w:lvl>
  </w:abstractNum>
  <w:abstractNum w:abstractNumId="352">
    <w:nsid w:val="502A2D43"/>
    <w:multiLevelType w:val="singleLevel"/>
    <w:tmpl w:val="0419000F"/>
    <w:lvl w:ilvl="0">
      <w:start w:val="1"/>
      <w:numFmt w:val="decimal"/>
      <w:lvlText w:val="%1."/>
      <w:lvlJc w:val="left"/>
      <w:pPr>
        <w:tabs>
          <w:tab w:val="num" w:pos="360"/>
        </w:tabs>
        <w:ind w:left="360" w:hanging="360"/>
      </w:pPr>
    </w:lvl>
  </w:abstractNum>
  <w:abstractNum w:abstractNumId="353">
    <w:nsid w:val="509226B4"/>
    <w:multiLevelType w:val="singleLevel"/>
    <w:tmpl w:val="F5CC58DC"/>
    <w:lvl w:ilvl="0">
      <w:start w:val="238"/>
      <w:numFmt w:val="decimal"/>
      <w:lvlText w:val="%1."/>
      <w:lvlJc w:val="left"/>
      <w:pPr>
        <w:tabs>
          <w:tab w:val="num" w:pos="360"/>
        </w:tabs>
        <w:ind w:left="360" w:hanging="360"/>
      </w:pPr>
    </w:lvl>
  </w:abstractNum>
  <w:abstractNum w:abstractNumId="354">
    <w:nsid w:val="50AD4DA6"/>
    <w:multiLevelType w:val="singleLevel"/>
    <w:tmpl w:val="C91A934A"/>
    <w:lvl w:ilvl="0">
      <w:start w:val="88"/>
      <w:numFmt w:val="decimal"/>
      <w:lvlText w:val="%1."/>
      <w:lvlJc w:val="left"/>
      <w:pPr>
        <w:tabs>
          <w:tab w:val="num" w:pos="360"/>
        </w:tabs>
        <w:ind w:left="360" w:hanging="360"/>
      </w:pPr>
    </w:lvl>
  </w:abstractNum>
  <w:abstractNum w:abstractNumId="355">
    <w:nsid w:val="50B90CFE"/>
    <w:multiLevelType w:val="singleLevel"/>
    <w:tmpl w:val="8DFA31DE"/>
    <w:lvl w:ilvl="0">
      <w:start w:val="371"/>
      <w:numFmt w:val="decimal"/>
      <w:lvlText w:val="%1."/>
      <w:lvlJc w:val="left"/>
      <w:pPr>
        <w:tabs>
          <w:tab w:val="num" w:pos="360"/>
        </w:tabs>
        <w:ind w:left="360" w:hanging="360"/>
      </w:pPr>
    </w:lvl>
  </w:abstractNum>
  <w:abstractNum w:abstractNumId="356">
    <w:nsid w:val="50C550AD"/>
    <w:multiLevelType w:val="multilevel"/>
    <w:tmpl w:val="01AA4532"/>
    <w:lvl w:ilvl="0">
      <w:start w:val="1"/>
      <w:numFmt w:val="decimal"/>
      <w:lvlText w:val="%1."/>
      <w:lvlJc w:val="left"/>
      <w:pPr>
        <w:tabs>
          <w:tab w:val="num" w:pos="1275"/>
        </w:tabs>
        <w:ind w:left="1275" w:hanging="55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57">
    <w:nsid w:val="50C71F11"/>
    <w:multiLevelType w:val="singleLevel"/>
    <w:tmpl w:val="6D32A7BE"/>
    <w:lvl w:ilvl="0">
      <w:start w:val="170"/>
      <w:numFmt w:val="decimal"/>
      <w:lvlText w:val="%1."/>
      <w:lvlJc w:val="left"/>
      <w:pPr>
        <w:tabs>
          <w:tab w:val="num" w:pos="360"/>
        </w:tabs>
        <w:ind w:left="360" w:hanging="360"/>
      </w:pPr>
    </w:lvl>
  </w:abstractNum>
  <w:abstractNum w:abstractNumId="358">
    <w:nsid w:val="50E35F52"/>
    <w:multiLevelType w:val="singleLevel"/>
    <w:tmpl w:val="0652F8F0"/>
    <w:lvl w:ilvl="0">
      <w:start w:val="197"/>
      <w:numFmt w:val="decimal"/>
      <w:lvlText w:val="%1."/>
      <w:lvlJc w:val="left"/>
      <w:pPr>
        <w:tabs>
          <w:tab w:val="num" w:pos="360"/>
        </w:tabs>
        <w:ind w:left="360" w:hanging="360"/>
      </w:pPr>
    </w:lvl>
  </w:abstractNum>
  <w:abstractNum w:abstractNumId="359">
    <w:nsid w:val="511A1DAF"/>
    <w:multiLevelType w:val="singleLevel"/>
    <w:tmpl w:val="E174DB80"/>
    <w:lvl w:ilvl="0">
      <w:start w:val="240"/>
      <w:numFmt w:val="decimal"/>
      <w:lvlText w:val="%1. "/>
      <w:legacy w:legacy="1" w:legacySpace="0" w:legacyIndent="283"/>
      <w:lvlJc w:val="left"/>
      <w:pPr>
        <w:ind w:left="567" w:hanging="283"/>
      </w:pPr>
      <w:rPr>
        <w:b w:val="0"/>
        <w:i w:val="0"/>
        <w:sz w:val="24"/>
      </w:rPr>
    </w:lvl>
  </w:abstractNum>
  <w:abstractNum w:abstractNumId="360">
    <w:nsid w:val="514919FC"/>
    <w:multiLevelType w:val="singleLevel"/>
    <w:tmpl w:val="62CA395A"/>
    <w:lvl w:ilvl="0">
      <w:start w:val="110"/>
      <w:numFmt w:val="decimal"/>
      <w:lvlText w:val="%1."/>
      <w:lvlJc w:val="left"/>
      <w:pPr>
        <w:tabs>
          <w:tab w:val="num" w:pos="360"/>
        </w:tabs>
        <w:ind w:left="360" w:hanging="360"/>
      </w:pPr>
    </w:lvl>
  </w:abstractNum>
  <w:abstractNum w:abstractNumId="361">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362">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63">
    <w:nsid w:val="521C30FF"/>
    <w:multiLevelType w:val="singleLevel"/>
    <w:tmpl w:val="198C5FA4"/>
    <w:lvl w:ilvl="0">
      <w:start w:val="411"/>
      <w:numFmt w:val="decimal"/>
      <w:lvlText w:val="%1."/>
      <w:lvlJc w:val="left"/>
      <w:pPr>
        <w:tabs>
          <w:tab w:val="num" w:pos="360"/>
        </w:tabs>
        <w:ind w:left="360" w:hanging="360"/>
      </w:pPr>
    </w:lvl>
  </w:abstractNum>
  <w:abstractNum w:abstractNumId="364">
    <w:nsid w:val="52887B5A"/>
    <w:multiLevelType w:val="singleLevel"/>
    <w:tmpl w:val="974853C6"/>
    <w:lvl w:ilvl="0">
      <w:start w:val="253"/>
      <w:numFmt w:val="decimal"/>
      <w:lvlText w:val="%1."/>
      <w:lvlJc w:val="left"/>
      <w:pPr>
        <w:tabs>
          <w:tab w:val="num" w:pos="360"/>
        </w:tabs>
        <w:ind w:left="360" w:hanging="360"/>
      </w:pPr>
    </w:lvl>
  </w:abstractNum>
  <w:abstractNum w:abstractNumId="365">
    <w:nsid w:val="52A42B81"/>
    <w:multiLevelType w:val="singleLevel"/>
    <w:tmpl w:val="57EC715E"/>
    <w:lvl w:ilvl="0">
      <w:start w:val="174"/>
      <w:numFmt w:val="decimal"/>
      <w:lvlText w:val="%1."/>
      <w:lvlJc w:val="left"/>
      <w:pPr>
        <w:tabs>
          <w:tab w:val="num" w:pos="360"/>
        </w:tabs>
        <w:ind w:left="360" w:hanging="360"/>
      </w:pPr>
    </w:lvl>
  </w:abstractNum>
  <w:abstractNum w:abstractNumId="366">
    <w:nsid w:val="52C22487"/>
    <w:multiLevelType w:val="singleLevel"/>
    <w:tmpl w:val="D98C7C6A"/>
    <w:lvl w:ilvl="0">
      <w:numFmt w:val="bullet"/>
      <w:lvlText w:val="-"/>
      <w:lvlJc w:val="left"/>
      <w:pPr>
        <w:tabs>
          <w:tab w:val="num" w:pos="360"/>
        </w:tabs>
        <w:ind w:left="360" w:hanging="360"/>
      </w:pPr>
      <w:rPr>
        <w:rFonts w:hint="default"/>
      </w:rPr>
    </w:lvl>
  </w:abstractNum>
  <w:abstractNum w:abstractNumId="367">
    <w:nsid w:val="52F4270D"/>
    <w:multiLevelType w:val="singleLevel"/>
    <w:tmpl w:val="325E9D5C"/>
    <w:lvl w:ilvl="0">
      <w:start w:val="431"/>
      <w:numFmt w:val="decimal"/>
      <w:lvlText w:val="%1."/>
      <w:lvlJc w:val="left"/>
      <w:pPr>
        <w:tabs>
          <w:tab w:val="num" w:pos="360"/>
        </w:tabs>
        <w:ind w:left="360" w:hanging="360"/>
      </w:pPr>
    </w:lvl>
  </w:abstractNum>
  <w:abstractNum w:abstractNumId="368">
    <w:nsid w:val="531E7E0D"/>
    <w:multiLevelType w:val="singleLevel"/>
    <w:tmpl w:val="1E60BFEE"/>
    <w:lvl w:ilvl="0">
      <w:start w:val="176"/>
      <w:numFmt w:val="decimal"/>
      <w:lvlText w:val="%1."/>
      <w:lvlJc w:val="left"/>
      <w:pPr>
        <w:tabs>
          <w:tab w:val="num" w:pos="360"/>
        </w:tabs>
        <w:ind w:left="360" w:hanging="360"/>
      </w:pPr>
    </w:lvl>
  </w:abstractNum>
  <w:abstractNum w:abstractNumId="369">
    <w:nsid w:val="53B34997"/>
    <w:multiLevelType w:val="singleLevel"/>
    <w:tmpl w:val="100E6E1E"/>
    <w:lvl w:ilvl="0">
      <w:start w:val="268"/>
      <w:numFmt w:val="decimal"/>
      <w:lvlText w:val="%1."/>
      <w:lvlJc w:val="left"/>
      <w:pPr>
        <w:tabs>
          <w:tab w:val="num" w:pos="360"/>
        </w:tabs>
        <w:ind w:left="360" w:hanging="360"/>
      </w:pPr>
    </w:lvl>
  </w:abstractNum>
  <w:abstractNum w:abstractNumId="370">
    <w:nsid w:val="53B51ED1"/>
    <w:multiLevelType w:val="multilevel"/>
    <w:tmpl w:val="479A4BC4"/>
    <w:lvl w:ilvl="0">
      <w:start w:val="41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1">
    <w:nsid w:val="53CE6011"/>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372">
    <w:nsid w:val="53EA7EE6"/>
    <w:multiLevelType w:val="singleLevel"/>
    <w:tmpl w:val="D98C7C6A"/>
    <w:lvl w:ilvl="0">
      <w:numFmt w:val="bullet"/>
      <w:lvlText w:val="-"/>
      <w:lvlJc w:val="left"/>
      <w:pPr>
        <w:tabs>
          <w:tab w:val="num" w:pos="360"/>
        </w:tabs>
        <w:ind w:left="360" w:hanging="360"/>
      </w:pPr>
      <w:rPr>
        <w:rFonts w:hint="default"/>
      </w:rPr>
    </w:lvl>
  </w:abstractNum>
  <w:abstractNum w:abstractNumId="373">
    <w:nsid w:val="53EF43B4"/>
    <w:multiLevelType w:val="singleLevel"/>
    <w:tmpl w:val="48FA23E0"/>
    <w:lvl w:ilvl="0">
      <w:start w:val="173"/>
      <w:numFmt w:val="decimal"/>
      <w:lvlText w:val="%1."/>
      <w:lvlJc w:val="left"/>
      <w:pPr>
        <w:tabs>
          <w:tab w:val="num" w:pos="360"/>
        </w:tabs>
        <w:ind w:left="360" w:hanging="360"/>
      </w:pPr>
    </w:lvl>
  </w:abstractNum>
  <w:abstractNum w:abstractNumId="374">
    <w:nsid w:val="544E7D23"/>
    <w:multiLevelType w:val="singleLevel"/>
    <w:tmpl w:val="17FEACC0"/>
    <w:lvl w:ilvl="0">
      <w:start w:val="264"/>
      <w:numFmt w:val="decimal"/>
      <w:lvlText w:val="%1. "/>
      <w:legacy w:legacy="1" w:legacySpace="0" w:legacyIndent="283"/>
      <w:lvlJc w:val="left"/>
      <w:pPr>
        <w:ind w:left="567" w:hanging="283"/>
      </w:pPr>
      <w:rPr>
        <w:b w:val="0"/>
        <w:i w:val="0"/>
        <w:sz w:val="24"/>
      </w:rPr>
    </w:lvl>
  </w:abstractNum>
  <w:abstractNum w:abstractNumId="375">
    <w:nsid w:val="54725FBB"/>
    <w:multiLevelType w:val="singleLevel"/>
    <w:tmpl w:val="82B49A10"/>
    <w:lvl w:ilvl="0">
      <w:start w:val="229"/>
      <w:numFmt w:val="decimal"/>
      <w:lvlText w:val="%1."/>
      <w:lvlJc w:val="left"/>
      <w:pPr>
        <w:tabs>
          <w:tab w:val="num" w:pos="360"/>
        </w:tabs>
        <w:ind w:left="360" w:hanging="360"/>
      </w:pPr>
    </w:lvl>
  </w:abstractNum>
  <w:abstractNum w:abstractNumId="376">
    <w:nsid w:val="54BD216D"/>
    <w:multiLevelType w:val="singleLevel"/>
    <w:tmpl w:val="FE140544"/>
    <w:lvl w:ilvl="0">
      <w:numFmt w:val="bullet"/>
      <w:lvlText w:val="-"/>
      <w:lvlJc w:val="left"/>
      <w:pPr>
        <w:tabs>
          <w:tab w:val="num" w:pos="720"/>
        </w:tabs>
        <w:ind w:left="720" w:hanging="720"/>
      </w:pPr>
      <w:rPr>
        <w:rFonts w:hint="default"/>
      </w:rPr>
    </w:lvl>
  </w:abstractNum>
  <w:abstractNum w:abstractNumId="377">
    <w:nsid w:val="54F33BE2"/>
    <w:multiLevelType w:val="singleLevel"/>
    <w:tmpl w:val="B3A6698C"/>
    <w:lvl w:ilvl="0">
      <w:start w:val="350"/>
      <w:numFmt w:val="decimal"/>
      <w:lvlText w:val="%1."/>
      <w:lvlJc w:val="left"/>
      <w:pPr>
        <w:tabs>
          <w:tab w:val="num" w:pos="360"/>
        </w:tabs>
        <w:ind w:left="360" w:hanging="360"/>
      </w:pPr>
    </w:lvl>
  </w:abstractNum>
  <w:abstractNum w:abstractNumId="378">
    <w:nsid w:val="55055F1F"/>
    <w:multiLevelType w:val="singleLevel"/>
    <w:tmpl w:val="3B080650"/>
    <w:lvl w:ilvl="0">
      <w:start w:val="143"/>
      <w:numFmt w:val="decimal"/>
      <w:lvlText w:val="%1."/>
      <w:lvlJc w:val="left"/>
      <w:pPr>
        <w:tabs>
          <w:tab w:val="num" w:pos="360"/>
        </w:tabs>
        <w:ind w:left="360" w:hanging="360"/>
      </w:pPr>
    </w:lvl>
  </w:abstractNum>
  <w:abstractNum w:abstractNumId="379">
    <w:nsid w:val="556F51B4"/>
    <w:multiLevelType w:val="singleLevel"/>
    <w:tmpl w:val="B944E7A8"/>
    <w:lvl w:ilvl="0">
      <w:start w:val="30"/>
      <w:numFmt w:val="decimal"/>
      <w:lvlText w:val="%1."/>
      <w:lvlJc w:val="left"/>
      <w:pPr>
        <w:tabs>
          <w:tab w:val="num" w:pos="360"/>
        </w:tabs>
        <w:ind w:left="360" w:hanging="360"/>
      </w:pPr>
    </w:lvl>
  </w:abstractNum>
  <w:abstractNum w:abstractNumId="380">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1">
    <w:nsid w:val="55B54BA6"/>
    <w:multiLevelType w:val="multilevel"/>
    <w:tmpl w:val="E1A866D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82">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3">
    <w:nsid w:val="56216D92"/>
    <w:multiLevelType w:val="multilevel"/>
    <w:tmpl w:val="41C0DDA8"/>
    <w:lvl w:ilvl="0">
      <w:start w:val="44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4">
    <w:nsid w:val="562E676C"/>
    <w:multiLevelType w:val="singleLevel"/>
    <w:tmpl w:val="D4E4E022"/>
    <w:lvl w:ilvl="0">
      <w:start w:val="541"/>
      <w:numFmt w:val="decimal"/>
      <w:lvlText w:val="%1."/>
      <w:lvlJc w:val="left"/>
      <w:pPr>
        <w:tabs>
          <w:tab w:val="num" w:pos="914"/>
        </w:tabs>
        <w:ind w:left="914" w:hanging="630"/>
      </w:pPr>
      <w:rPr>
        <w:rFonts w:hint="default"/>
      </w:rPr>
    </w:lvl>
  </w:abstractNum>
  <w:abstractNum w:abstractNumId="385">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86">
    <w:nsid w:val="569F61F0"/>
    <w:multiLevelType w:val="singleLevel"/>
    <w:tmpl w:val="623E5544"/>
    <w:lvl w:ilvl="0">
      <w:start w:val="97"/>
      <w:numFmt w:val="decimal"/>
      <w:lvlText w:val="%1."/>
      <w:lvlJc w:val="left"/>
      <w:pPr>
        <w:tabs>
          <w:tab w:val="num" w:pos="360"/>
        </w:tabs>
        <w:ind w:left="360" w:hanging="360"/>
      </w:pPr>
    </w:lvl>
  </w:abstractNum>
  <w:abstractNum w:abstractNumId="387">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88">
    <w:nsid w:val="56C9278B"/>
    <w:multiLevelType w:val="singleLevel"/>
    <w:tmpl w:val="6706E8BE"/>
    <w:lvl w:ilvl="0">
      <w:start w:val="1"/>
      <w:numFmt w:val="upperRoman"/>
      <w:lvlText w:val="%1."/>
      <w:lvlJc w:val="left"/>
      <w:pPr>
        <w:tabs>
          <w:tab w:val="num" w:pos="720"/>
        </w:tabs>
        <w:ind w:left="360" w:hanging="360"/>
      </w:pPr>
    </w:lvl>
  </w:abstractNum>
  <w:abstractNum w:abstractNumId="389">
    <w:nsid w:val="56D45AAA"/>
    <w:multiLevelType w:val="singleLevel"/>
    <w:tmpl w:val="ED322B0A"/>
    <w:lvl w:ilvl="0">
      <w:start w:val="841"/>
      <w:numFmt w:val="decimal"/>
      <w:lvlText w:val="%1."/>
      <w:lvlJc w:val="left"/>
      <w:pPr>
        <w:tabs>
          <w:tab w:val="num" w:pos="540"/>
        </w:tabs>
        <w:ind w:left="540" w:hanging="540"/>
      </w:pPr>
      <w:rPr>
        <w:rFonts w:hint="default"/>
      </w:rPr>
    </w:lvl>
  </w:abstractNum>
  <w:abstractNum w:abstractNumId="390">
    <w:nsid w:val="57551293"/>
    <w:multiLevelType w:val="singleLevel"/>
    <w:tmpl w:val="AA8EA840"/>
    <w:lvl w:ilvl="0">
      <w:start w:val="351"/>
      <w:numFmt w:val="decimal"/>
      <w:lvlText w:val="%1."/>
      <w:lvlJc w:val="left"/>
      <w:pPr>
        <w:tabs>
          <w:tab w:val="num" w:pos="360"/>
        </w:tabs>
        <w:ind w:left="360" w:hanging="360"/>
      </w:pPr>
    </w:lvl>
  </w:abstractNum>
  <w:abstractNum w:abstractNumId="391">
    <w:nsid w:val="576D32FB"/>
    <w:multiLevelType w:val="singleLevel"/>
    <w:tmpl w:val="1A9AFF6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92">
    <w:nsid w:val="585B6AEE"/>
    <w:multiLevelType w:val="singleLevel"/>
    <w:tmpl w:val="4DDC6CAE"/>
    <w:lvl w:ilvl="0">
      <w:start w:val="396"/>
      <w:numFmt w:val="decimal"/>
      <w:lvlText w:val="%1."/>
      <w:lvlJc w:val="left"/>
      <w:pPr>
        <w:tabs>
          <w:tab w:val="num" w:pos="360"/>
        </w:tabs>
        <w:ind w:left="360" w:hanging="360"/>
      </w:pPr>
    </w:lvl>
  </w:abstractNum>
  <w:abstractNum w:abstractNumId="393">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94">
    <w:nsid w:val="58EF0861"/>
    <w:multiLevelType w:val="singleLevel"/>
    <w:tmpl w:val="755E186A"/>
    <w:lvl w:ilvl="0">
      <w:start w:val="110"/>
      <w:numFmt w:val="decimal"/>
      <w:lvlText w:val="%1."/>
      <w:lvlJc w:val="left"/>
      <w:pPr>
        <w:tabs>
          <w:tab w:val="num" w:pos="360"/>
        </w:tabs>
        <w:ind w:left="360" w:hanging="360"/>
      </w:pPr>
    </w:lvl>
  </w:abstractNum>
  <w:abstractNum w:abstractNumId="395">
    <w:nsid w:val="58F44E9E"/>
    <w:multiLevelType w:val="singleLevel"/>
    <w:tmpl w:val="B3A6698C"/>
    <w:lvl w:ilvl="0">
      <w:start w:val="350"/>
      <w:numFmt w:val="decimal"/>
      <w:lvlText w:val="%1."/>
      <w:lvlJc w:val="left"/>
      <w:pPr>
        <w:tabs>
          <w:tab w:val="num" w:pos="360"/>
        </w:tabs>
        <w:ind w:left="360" w:hanging="360"/>
      </w:pPr>
    </w:lvl>
  </w:abstractNum>
  <w:abstractNum w:abstractNumId="396">
    <w:nsid w:val="59044727"/>
    <w:multiLevelType w:val="multilevel"/>
    <w:tmpl w:val="8200D656"/>
    <w:lvl w:ilvl="0">
      <w:start w:val="1990"/>
      <w:numFmt w:val="bullet"/>
      <w:lvlText w:val=""/>
      <w:lvlJc w:val="left"/>
      <w:pPr>
        <w:tabs>
          <w:tab w:val="num" w:pos="644"/>
        </w:tabs>
        <w:ind w:left="644" w:hanging="360"/>
      </w:pPr>
      <w:rPr>
        <w:rFonts w:ascii="Symbol" w:eastAsia="Times New Roman" w:hAnsi="Symbol"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397">
    <w:nsid w:val="59346998"/>
    <w:multiLevelType w:val="multilevel"/>
    <w:tmpl w:val="81145D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8">
    <w:nsid w:val="59457BFD"/>
    <w:multiLevelType w:val="multilevel"/>
    <w:tmpl w:val="D090A9F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9">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400">
    <w:nsid w:val="5A861465"/>
    <w:multiLevelType w:val="singleLevel"/>
    <w:tmpl w:val="2758D1E4"/>
    <w:lvl w:ilvl="0">
      <w:start w:val="138"/>
      <w:numFmt w:val="decimal"/>
      <w:lvlText w:val="%1."/>
      <w:lvlJc w:val="left"/>
      <w:pPr>
        <w:tabs>
          <w:tab w:val="num" w:pos="360"/>
        </w:tabs>
        <w:ind w:left="360" w:hanging="360"/>
      </w:pPr>
    </w:lvl>
  </w:abstractNum>
  <w:abstractNum w:abstractNumId="401">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402">
    <w:nsid w:val="5B3A7E06"/>
    <w:multiLevelType w:val="singleLevel"/>
    <w:tmpl w:val="D98C7C6A"/>
    <w:lvl w:ilvl="0">
      <w:numFmt w:val="bullet"/>
      <w:lvlText w:val="-"/>
      <w:lvlJc w:val="left"/>
      <w:pPr>
        <w:tabs>
          <w:tab w:val="num" w:pos="360"/>
        </w:tabs>
        <w:ind w:left="360" w:hanging="360"/>
      </w:pPr>
      <w:rPr>
        <w:rFonts w:hint="default"/>
      </w:rPr>
    </w:lvl>
  </w:abstractNum>
  <w:abstractNum w:abstractNumId="403">
    <w:nsid w:val="5B5A65FC"/>
    <w:multiLevelType w:val="singleLevel"/>
    <w:tmpl w:val="52E0B4DC"/>
    <w:lvl w:ilvl="0">
      <w:start w:val="29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4">
    <w:nsid w:val="5B6B6DAB"/>
    <w:multiLevelType w:val="singleLevel"/>
    <w:tmpl w:val="14E035E2"/>
    <w:lvl w:ilvl="0">
      <w:start w:val="187"/>
      <w:numFmt w:val="decimal"/>
      <w:lvlText w:val="%1. "/>
      <w:legacy w:legacy="1" w:legacySpace="0" w:legacyIndent="283"/>
      <w:lvlJc w:val="left"/>
      <w:pPr>
        <w:ind w:left="567" w:hanging="283"/>
      </w:pPr>
      <w:rPr>
        <w:b w:val="0"/>
        <w:i w:val="0"/>
        <w:sz w:val="28"/>
      </w:rPr>
    </w:lvl>
  </w:abstractNum>
  <w:abstractNum w:abstractNumId="405">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406">
    <w:nsid w:val="5B9F2025"/>
    <w:multiLevelType w:val="singleLevel"/>
    <w:tmpl w:val="B9A69512"/>
    <w:lvl w:ilvl="0">
      <w:start w:val="558"/>
      <w:numFmt w:val="decimal"/>
      <w:lvlText w:val="%1."/>
      <w:lvlJc w:val="left"/>
      <w:pPr>
        <w:tabs>
          <w:tab w:val="num" w:pos="764"/>
        </w:tabs>
        <w:ind w:left="764" w:hanging="480"/>
      </w:pPr>
      <w:rPr>
        <w:rFonts w:hint="default"/>
      </w:rPr>
    </w:lvl>
  </w:abstractNum>
  <w:abstractNum w:abstractNumId="407">
    <w:nsid w:val="5BFD4BF9"/>
    <w:multiLevelType w:val="singleLevel"/>
    <w:tmpl w:val="748A3BFC"/>
    <w:lvl w:ilvl="0">
      <w:start w:val="307"/>
      <w:numFmt w:val="decimal"/>
      <w:lvlText w:val="%1."/>
      <w:lvlJc w:val="left"/>
      <w:pPr>
        <w:tabs>
          <w:tab w:val="num" w:pos="360"/>
        </w:tabs>
        <w:ind w:left="360" w:hanging="360"/>
      </w:pPr>
    </w:lvl>
  </w:abstractNum>
  <w:abstractNum w:abstractNumId="408">
    <w:nsid w:val="5C4E5F36"/>
    <w:multiLevelType w:val="singleLevel"/>
    <w:tmpl w:val="464A0D82"/>
    <w:lvl w:ilvl="0">
      <w:start w:val="140"/>
      <w:numFmt w:val="decimal"/>
      <w:lvlText w:val="%1."/>
      <w:lvlJc w:val="left"/>
      <w:pPr>
        <w:tabs>
          <w:tab w:val="num" w:pos="360"/>
        </w:tabs>
        <w:ind w:left="360" w:hanging="360"/>
      </w:pPr>
    </w:lvl>
  </w:abstractNum>
  <w:abstractNum w:abstractNumId="409">
    <w:nsid w:val="5D20655E"/>
    <w:multiLevelType w:val="singleLevel"/>
    <w:tmpl w:val="28603432"/>
    <w:lvl w:ilvl="0">
      <w:start w:val="363"/>
      <w:numFmt w:val="decimal"/>
      <w:lvlText w:val="%1."/>
      <w:lvlJc w:val="left"/>
      <w:pPr>
        <w:tabs>
          <w:tab w:val="num" w:pos="360"/>
        </w:tabs>
        <w:ind w:left="360" w:hanging="360"/>
      </w:pPr>
    </w:lvl>
  </w:abstractNum>
  <w:abstractNum w:abstractNumId="410">
    <w:nsid w:val="5D4C7FD3"/>
    <w:multiLevelType w:val="singleLevel"/>
    <w:tmpl w:val="3266C95E"/>
    <w:lvl w:ilvl="0">
      <w:start w:val="323"/>
      <w:numFmt w:val="decimal"/>
      <w:lvlText w:val="%1."/>
      <w:lvlJc w:val="left"/>
      <w:pPr>
        <w:tabs>
          <w:tab w:val="num" w:pos="360"/>
        </w:tabs>
        <w:ind w:left="360" w:hanging="360"/>
      </w:pPr>
    </w:lvl>
  </w:abstractNum>
  <w:abstractNum w:abstractNumId="411">
    <w:nsid w:val="5D6824F7"/>
    <w:multiLevelType w:val="singleLevel"/>
    <w:tmpl w:val="BE88F3D2"/>
    <w:lvl w:ilvl="0">
      <w:start w:val="348"/>
      <w:numFmt w:val="decimal"/>
      <w:lvlText w:val="%1."/>
      <w:lvlJc w:val="left"/>
      <w:pPr>
        <w:tabs>
          <w:tab w:val="num" w:pos="360"/>
        </w:tabs>
        <w:ind w:left="360" w:hanging="360"/>
      </w:pPr>
    </w:lvl>
  </w:abstractNum>
  <w:abstractNum w:abstractNumId="412">
    <w:nsid w:val="5D8323DC"/>
    <w:multiLevelType w:val="singleLevel"/>
    <w:tmpl w:val="AE86E8AC"/>
    <w:lvl w:ilvl="0">
      <w:start w:val="198"/>
      <w:numFmt w:val="decimal"/>
      <w:lvlText w:val="%1."/>
      <w:lvlJc w:val="left"/>
      <w:pPr>
        <w:tabs>
          <w:tab w:val="num" w:pos="360"/>
        </w:tabs>
        <w:ind w:left="0" w:firstLine="0"/>
      </w:pPr>
    </w:lvl>
  </w:abstractNum>
  <w:abstractNum w:abstractNumId="413">
    <w:nsid w:val="5D8B65FF"/>
    <w:multiLevelType w:val="singleLevel"/>
    <w:tmpl w:val="93C46E88"/>
    <w:lvl w:ilvl="0">
      <w:start w:val="136"/>
      <w:numFmt w:val="decimal"/>
      <w:lvlText w:val="%1."/>
      <w:lvlJc w:val="left"/>
      <w:pPr>
        <w:tabs>
          <w:tab w:val="num" w:pos="360"/>
        </w:tabs>
        <w:ind w:left="360" w:hanging="360"/>
      </w:pPr>
    </w:lvl>
  </w:abstractNum>
  <w:abstractNum w:abstractNumId="414">
    <w:nsid w:val="5DE13FC6"/>
    <w:multiLevelType w:val="singleLevel"/>
    <w:tmpl w:val="89842F8C"/>
    <w:lvl w:ilvl="0">
      <w:start w:val="445"/>
      <w:numFmt w:val="decimal"/>
      <w:lvlText w:val="%1."/>
      <w:lvlJc w:val="left"/>
      <w:pPr>
        <w:tabs>
          <w:tab w:val="num" w:pos="360"/>
        </w:tabs>
        <w:ind w:left="360" w:hanging="360"/>
      </w:pPr>
    </w:lvl>
  </w:abstractNum>
  <w:abstractNum w:abstractNumId="415">
    <w:nsid w:val="5E4A76CA"/>
    <w:multiLevelType w:val="singleLevel"/>
    <w:tmpl w:val="711A8E62"/>
    <w:lvl w:ilvl="0">
      <w:start w:val="26"/>
      <w:numFmt w:val="decimal"/>
      <w:lvlText w:val="%1."/>
      <w:lvlJc w:val="left"/>
      <w:pPr>
        <w:tabs>
          <w:tab w:val="num" w:pos="360"/>
        </w:tabs>
        <w:ind w:left="360" w:hanging="360"/>
      </w:pPr>
    </w:lvl>
  </w:abstractNum>
  <w:abstractNum w:abstractNumId="416">
    <w:nsid w:val="5EA53D5B"/>
    <w:multiLevelType w:val="singleLevel"/>
    <w:tmpl w:val="D98C7C6A"/>
    <w:lvl w:ilvl="0">
      <w:numFmt w:val="bullet"/>
      <w:lvlText w:val="-"/>
      <w:lvlJc w:val="left"/>
      <w:pPr>
        <w:tabs>
          <w:tab w:val="num" w:pos="360"/>
        </w:tabs>
        <w:ind w:left="360" w:hanging="360"/>
      </w:pPr>
      <w:rPr>
        <w:rFonts w:hint="default"/>
      </w:rPr>
    </w:lvl>
  </w:abstractNum>
  <w:abstractNum w:abstractNumId="417">
    <w:nsid w:val="5EF9397A"/>
    <w:multiLevelType w:val="singleLevel"/>
    <w:tmpl w:val="3ED60002"/>
    <w:lvl w:ilvl="0">
      <w:start w:val="150"/>
      <w:numFmt w:val="decimal"/>
      <w:lvlText w:val="%1."/>
      <w:lvlJc w:val="left"/>
      <w:pPr>
        <w:tabs>
          <w:tab w:val="num" w:pos="360"/>
        </w:tabs>
        <w:ind w:left="360" w:hanging="360"/>
      </w:pPr>
    </w:lvl>
  </w:abstractNum>
  <w:abstractNum w:abstractNumId="418">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419">
    <w:nsid w:val="5F700877"/>
    <w:multiLevelType w:val="singleLevel"/>
    <w:tmpl w:val="0419000F"/>
    <w:lvl w:ilvl="0">
      <w:start w:val="1"/>
      <w:numFmt w:val="decimal"/>
      <w:lvlText w:val="%1."/>
      <w:lvlJc w:val="left"/>
      <w:pPr>
        <w:tabs>
          <w:tab w:val="num" w:pos="360"/>
        </w:tabs>
        <w:ind w:left="360" w:hanging="360"/>
      </w:pPr>
    </w:lvl>
  </w:abstractNum>
  <w:abstractNum w:abstractNumId="420">
    <w:nsid w:val="60270283"/>
    <w:multiLevelType w:val="singleLevel"/>
    <w:tmpl w:val="0E8EA210"/>
    <w:lvl w:ilvl="0">
      <w:start w:val="1"/>
      <w:numFmt w:val="lowerLetter"/>
      <w:lvlText w:val="%1)"/>
      <w:lvlJc w:val="left"/>
      <w:pPr>
        <w:tabs>
          <w:tab w:val="num" w:pos="360"/>
        </w:tabs>
        <w:ind w:left="360" w:hanging="360"/>
      </w:pPr>
    </w:lvl>
  </w:abstractNum>
  <w:abstractNum w:abstractNumId="421">
    <w:nsid w:val="60A56935"/>
    <w:multiLevelType w:val="singleLevel"/>
    <w:tmpl w:val="027CA574"/>
    <w:lvl w:ilvl="0">
      <w:start w:val="317"/>
      <w:numFmt w:val="decimal"/>
      <w:lvlText w:val="%1."/>
      <w:lvlJc w:val="left"/>
      <w:pPr>
        <w:tabs>
          <w:tab w:val="num" w:pos="360"/>
        </w:tabs>
        <w:ind w:left="360" w:hanging="360"/>
      </w:pPr>
    </w:lvl>
  </w:abstractNum>
  <w:abstractNum w:abstractNumId="422">
    <w:nsid w:val="60A97855"/>
    <w:multiLevelType w:val="singleLevel"/>
    <w:tmpl w:val="0419000F"/>
    <w:lvl w:ilvl="0">
      <w:start w:val="1"/>
      <w:numFmt w:val="decimal"/>
      <w:lvlText w:val="%1."/>
      <w:lvlJc w:val="left"/>
      <w:pPr>
        <w:tabs>
          <w:tab w:val="num" w:pos="360"/>
        </w:tabs>
        <w:ind w:left="360" w:hanging="360"/>
      </w:pPr>
    </w:lvl>
  </w:abstractNum>
  <w:abstractNum w:abstractNumId="423">
    <w:nsid w:val="60DF15EE"/>
    <w:multiLevelType w:val="singleLevel"/>
    <w:tmpl w:val="DE66684E"/>
    <w:lvl w:ilvl="0">
      <w:start w:val="228"/>
      <w:numFmt w:val="decimal"/>
      <w:lvlText w:val="%1. "/>
      <w:legacy w:legacy="1" w:legacySpace="0" w:legacyIndent="283"/>
      <w:lvlJc w:val="left"/>
      <w:pPr>
        <w:ind w:left="567" w:hanging="283"/>
      </w:pPr>
      <w:rPr>
        <w:b w:val="0"/>
        <w:i w:val="0"/>
        <w:sz w:val="24"/>
      </w:rPr>
    </w:lvl>
  </w:abstractNum>
  <w:abstractNum w:abstractNumId="424">
    <w:nsid w:val="60E746A1"/>
    <w:multiLevelType w:val="singleLevel"/>
    <w:tmpl w:val="271239D4"/>
    <w:lvl w:ilvl="0">
      <w:start w:val="291"/>
      <w:numFmt w:val="decimal"/>
      <w:lvlText w:val="%1."/>
      <w:lvlJc w:val="left"/>
      <w:pPr>
        <w:tabs>
          <w:tab w:val="num" w:pos="360"/>
        </w:tabs>
        <w:ind w:left="360" w:hanging="360"/>
      </w:pPr>
    </w:lvl>
  </w:abstractNum>
  <w:abstractNum w:abstractNumId="425">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26">
    <w:nsid w:val="61D56459"/>
    <w:multiLevelType w:val="singleLevel"/>
    <w:tmpl w:val="E5EC1932"/>
    <w:lvl w:ilvl="0">
      <w:start w:val="2"/>
      <w:numFmt w:val="decimal"/>
      <w:lvlText w:val="%1."/>
      <w:lvlJc w:val="left"/>
      <w:pPr>
        <w:tabs>
          <w:tab w:val="num" w:pos="360"/>
        </w:tabs>
        <w:ind w:left="360" w:hanging="360"/>
      </w:pPr>
    </w:lvl>
  </w:abstractNum>
  <w:abstractNum w:abstractNumId="427">
    <w:nsid w:val="61DA3877"/>
    <w:multiLevelType w:val="singleLevel"/>
    <w:tmpl w:val="23D62BDA"/>
    <w:lvl w:ilvl="0">
      <w:start w:val="168"/>
      <w:numFmt w:val="decimal"/>
      <w:lvlText w:val="%1."/>
      <w:lvlJc w:val="left"/>
      <w:pPr>
        <w:tabs>
          <w:tab w:val="num" w:pos="360"/>
        </w:tabs>
        <w:ind w:left="360" w:hanging="360"/>
      </w:pPr>
    </w:lvl>
  </w:abstractNum>
  <w:abstractNum w:abstractNumId="428">
    <w:nsid w:val="632001FC"/>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29">
    <w:nsid w:val="6335316B"/>
    <w:multiLevelType w:val="singleLevel"/>
    <w:tmpl w:val="67F22938"/>
    <w:lvl w:ilvl="0">
      <w:start w:val="155"/>
      <w:numFmt w:val="decimal"/>
      <w:lvlText w:val="%1."/>
      <w:lvlJc w:val="left"/>
      <w:pPr>
        <w:tabs>
          <w:tab w:val="num" w:pos="624"/>
        </w:tabs>
        <w:ind w:left="624" w:hanging="624"/>
      </w:pPr>
    </w:lvl>
  </w:abstractNum>
  <w:abstractNum w:abstractNumId="430">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431">
    <w:nsid w:val="635B58F4"/>
    <w:multiLevelType w:val="singleLevel"/>
    <w:tmpl w:val="A766748E"/>
    <w:lvl w:ilvl="0">
      <w:start w:val="167"/>
      <w:numFmt w:val="decimal"/>
      <w:lvlText w:val="%1."/>
      <w:lvlJc w:val="left"/>
      <w:pPr>
        <w:tabs>
          <w:tab w:val="num" w:pos="360"/>
        </w:tabs>
        <w:ind w:left="360" w:hanging="360"/>
      </w:pPr>
    </w:lvl>
  </w:abstractNum>
  <w:abstractNum w:abstractNumId="432">
    <w:nsid w:val="63FD3A1F"/>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33">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34">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5">
    <w:nsid w:val="646F4107"/>
    <w:multiLevelType w:val="singleLevel"/>
    <w:tmpl w:val="3AD68B42"/>
    <w:lvl w:ilvl="0">
      <w:start w:val="169"/>
      <w:numFmt w:val="decimal"/>
      <w:lvlText w:val="%1."/>
      <w:lvlJc w:val="left"/>
      <w:pPr>
        <w:tabs>
          <w:tab w:val="num" w:pos="360"/>
        </w:tabs>
        <w:ind w:left="360" w:hanging="360"/>
      </w:pPr>
    </w:lvl>
  </w:abstractNum>
  <w:abstractNum w:abstractNumId="436">
    <w:nsid w:val="64990DCE"/>
    <w:multiLevelType w:val="singleLevel"/>
    <w:tmpl w:val="7A1CE3FC"/>
    <w:lvl w:ilvl="0">
      <w:start w:val="46"/>
      <w:numFmt w:val="decimal"/>
      <w:lvlText w:val="%1."/>
      <w:lvlJc w:val="left"/>
      <w:pPr>
        <w:tabs>
          <w:tab w:val="num" w:pos="360"/>
        </w:tabs>
        <w:ind w:left="360" w:hanging="360"/>
      </w:pPr>
    </w:lvl>
  </w:abstractNum>
  <w:abstractNum w:abstractNumId="437">
    <w:nsid w:val="64B25C05"/>
    <w:multiLevelType w:val="singleLevel"/>
    <w:tmpl w:val="441A0002"/>
    <w:lvl w:ilvl="0">
      <w:start w:val="162"/>
      <w:numFmt w:val="decimal"/>
      <w:lvlText w:val="%1."/>
      <w:lvlJc w:val="left"/>
      <w:pPr>
        <w:tabs>
          <w:tab w:val="num" w:pos="360"/>
        </w:tabs>
        <w:ind w:left="360" w:hanging="360"/>
      </w:pPr>
    </w:lvl>
  </w:abstractNum>
  <w:abstractNum w:abstractNumId="438">
    <w:nsid w:val="64B8386E"/>
    <w:multiLevelType w:val="singleLevel"/>
    <w:tmpl w:val="06A09438"/>
    <w:lvl w:ilvl="0">
      <w:start w:val="29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9">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440">
    <w:nsid w:val="65151EC9"/>
    <w:multiLevelType w:val="singleLevel"/>
    <w:tmpl w:val="6AE8CDD4"/>
    <w:lvl w:ilvl="0">
      <w:start w:val="260"/>
      <w:numFmt w:val="decimal"/>
      <w:lvlText w:val="%1."/>
      <w:lvlJc w:val="left"/>
      <w:pPr>
        <w:tabs>
          <w:tab w:val="num" w:pos="360"/>
        </w:tabs>
        <w:ind w:left="360" w:hanging="360"/>
      </w:pPr>
    </w:lvl>
  </w:abstractNum>
  <w:abstractNum w:abstractNumId="441">
    <w:nsid w:val="65605DA2"/>
    <w:multiLevelType w:val="singleLevel"/>
    <w:tmpl w:val="AB0EC75C"/>
    <w:lvl w:ilvl="0">
      <w:start w:val="208"/>
      <w:numFmt w:val="decimal"/>
      <w:lvlText w:val="%1."/>
      <w:lvlJc w:val="left"/>
      <w:pPr>
        <w:tabs>
          <w:tab w:val="num" w:pos="360"/>
        </w:tabs>
        <w:ind w:left="360" w:hanging="360"/>
      </w:pPr>
    </w:lvl>
  </w:abstractNum>
  <w:abstractNum w:abstractNumId="442">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43">
    <w:nsid w:val="656B11E4"/>
    <w:multiLevelType w:val="singleLevel"/>
    <w:tmpl w:val="6B669F24"/>
    <w:lvl w:ilvl="0">
      <w:start w:val="40"/>
      <w:numFmt w:val="decimal"/>
      <w:lvlText w:val="%1."/>
      <w:lvlJc w:val="left"/>
      <w:pPr>
        <w:tabs>
          <w:tab w:val="num" w:pos="360"/>
        </w:tabs>
        <w:ind w:left="360" w:hanging="360"/>
      </w:pPr>
    </w:lvl>
  </w:abstractNum>
  <w:abstractNum w:abstractNumId="444">
    <w:nsid w:val="657B5A7A"/>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45">
    <w:nsid w:val="658D0FCD"/>
    <w:multiLevelType w:val="singleLevel"/>
    <w:tmpl w:val="98740C5C"/>
    <w:lvl w:ilvl="0">
      <w:start w:val="3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6">
    <w:nsid w:val="65F70E23"/>
    <w:multiLevelType w:val="singleLevel"/>
    <w:tmpl w:val="F72C10B4"/>
    <w:lvl w:ilvl="0">
      <w:start w:val="32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7">
    <w:nsid w:val="6653573A"/>
    <w:multiLevelType w:val="singleLevel"/>
    <w:tmpl w:val="9274F460"/>
    <w:lvl w:ilvl="0">
      <w:start w:val="433"/>
      <w:numFmt w:val="decimal"/>
      <w:lvlText w:val="%1."/>
      <w:lvlJc w:val="left"/>
      <w:pPr>
        <w:tabs>
          <w:tab w:val="num" w:pos="360"/>
        </w:tabs>
        <w:ind w:left="360" w:hanging="360"/>
      </w:pPr>
    </w:lvl>
  </w:abstractNum>
  <w:abstractNum w:abstractNumId="448">
    <w:nsid w:val="66686379"/>
    <w:multiLevelType w:val="singleLevel"/>
    <w:tmpl w:val="7A0460F2"/>
    <w:lvl w:ilvl="0">
      <w:start w:val="393"/>
      <w:numFmt w:val="decimal"/>
      <w:lvlText w:val="%1."/>
      <w:lvlJc w:val="left"/>
      <w:pPr>
        <w:tabs>
          <w:tab w:val="num" w:pos="360"/>
        </w:tabs>
        <w:ind w:left="360" w:hanging="360"/>
      </w:pPr>
    </w:lvl>
  </w:abstractNum>
  <w:abstractNum w:abstractNumId="449">
    <w:nsid w:val="67CA0BA7"/>
    <w:multiLevelType w:val="singleLevel"/>
    <w:tmpl w:val="F73EB5C4"/>
    <w:lvl w:ilvl="0">
      <w:start w:val="23"/>
      <w:numFmt w:val="decimal"/>
      <w:lvlText w:val="%1."/>
      <w:lvlJc w:val="left"/>
      <w:pPr>
        <w:tabs>
          <w:tab w:val="num" w:pos="360"/>
        </w:tabs>
        <w:ind w:left="360" w:hanging="360"/>
      </w:pPr>
    </w:lvl>
  </w:abstractNum>
  <w:abstractNum w:abstractNumId="450">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451">
    <w:nsid w:val="68777C5B"/>
    <w:multiLevelType w:val="singleLevel"/>
    <w:tmpl w:val="0A5003C6"/>
    <w:lvl w:ilvl="0">
      <w:start w:val="165"/>
      <w:numFmt w:val="decimal"/>
      <w:lvlText w:val="%1."/>
      <w:lvlJc w:val="left"/>
      <w:pPr>
        <w:tabs>
          <w:tab w:val="num" w:pos="360"/>
        </w:tabs>
        <w:ind w:left="360" w:hanging="360"/>
      </w:pPr>
    </w:lvl>
  </w:abstractNum>
  <w:abstractNum w:abstractNumId="452">
    <w:nsid w:val="68850423"/>
    <w:multiLevelType w:val="multilevel"/>
    <w:tmpl w:val="B8BCB2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3">
    <w:nsid w:val="68AE2258"/>
    <w:multiLevelType w:val="singleLevel"/>
    <w:tmpl w:val="6CD0C1CA"/>
    <w:lvl w:ilvl="0">
      <w:start w:val="301"/>
      <w:numFmt w:val="decimal"/>
      <w:lvlText w:val="%1."/>
      <w:lvlJc w:val="left"/>
      <w:pPr>
        <w:tabs>
          <w:tab w:val="num" w:pos="360"/>
        </w:tabs>
        <w:ind w:left="360" w:hanging="360"/>
      </w:pPr>
    </w:lvl>
  </w:abstractNum>
  <w:abstractNum w:abstractNumId="454">
    <w:nsid w:val="68BE1FF2"/>
    <w:multiLevelType w:val="singleLevel"/>
    <w:tmpl w:val="1D06BCB4"/>
    <w:lvl w:ilvl="0">
      <w:start w:val="308"/>
      <w:numFmt w:val="decimal"/>
      <w:lvlText w:val="%1."/>
      <w:lvlJc w:val="left"/>
      <w:pPr>
        <w:tabs>
          <w:tab w:val="num" w:pos="360"/>
        </w:tabs>
        <w:ind w:left="360" w:hanging="360"/>
      </w:pPr>
    </w:lvl>
  </w:abstractNum>
  <w:abstractNum w:abstractNumId="455">
    <w:nsid w:val="68F30B0E"/>
    <w:multiLevelType w:val="singleLevel"/>
    <w:tmpl w:val="8DFA31DE"/>
    <w:lvl w:ilvl="0">
      <w:start w:val="371"/>
      <w:numFmt w:val="decimal"/>
      <w:lvlText w:val="%1."/>
      <w:lvlJc w:val="left"/>
      <w:pPr>
        <w:tabs>
          <w:tab w:val="num" w:pos="360"/>
        </w:tabs>
        <w:ind w:left="360" w:hanging="360"/>
      </w:pPr>
    </w:lvl>
  </w:abstractNum>
  <w:abstractNum w:abstractNumId="456">
    <w:nsid w:val="690F3D9B"/>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57">
    <w:nsid w:val="693022F6"/>
    <w:multiLevelType w:val="singleLevel"/>
    <w:tmpl w:val="F45E5A54"/>
    <w:lvl w:ilvl="0">
      <w:start w:val="52"/>
      <w:numFmt w:val="decimal"/>
      <w:lvlText w:val="%1."/>
      <w:lvlJc w:val="left"/>
      <w:pPr>
        <w:tabs>
          <w:tab w:val="num" w:pos="360"/>
        </w:tabs>
        <w:ind w:left="360" w:hanging="360"/>
      </w:pPr>
    </w:lvl>
  </w:abstractNum>
  <w:abstractNum w:abstractNumId="458">
    <w:nsid w:val="69453D5D"/>
    <w:multiLevelType w:val="singleLevel"/>
    <w:tmpl w:val="5CCA3436"/>
    <w:lvl w:ilvl="0">
      <w:start w:val="119"/>
      <w:numFmt w:val="decimal"/>
      <w:lvlText w:val="%1."/>
      <w:lvlJc w:val="left"/>
      <w:pPr>
        <w:tabs>
          <w:tab w:val="num" w:pos="360"/>
        </w:tabs>
        <w:ind w:left="360" w:hanging="360"/>
      </w:pPr>
    </w:lvl>
  </w:abstractNum>
  <w:abstractNum w:abstractNumId="459">
    <w:nsid w:val="69B1779D"/>
    <w:multiLevelType w:val="singleLevel"/>
    <w:tmpl w:val="0419000F"/>
    <w:lvl w:ilvl="0">
      <w:start w:val="1"/>
      <w:numFmt w:val="decimal"/>
      <w:lvlText w:val="%1."/>
      <w:lvlJc w:val="left"/>
      <w:pPr>
        <w:tabs>
          <w:tab w:val="num" w:pos="360"/>
        </w:tabs>
        <w:ind w:left="360" w:hanging="360"/>
      </w:pPr>
    </w:lvl>
  </w:abstractNum>
  <w:abstractNum w:abstractNumId="460">
    <w:nsid w:val="6A824451"/>
    <w:multiLevelType w:val="singleLevel"/>
    <w:tmpl w:val="4C640D34"/>
    <w:lvl w:ilvl="0">
      <w:start w:val="224"/>
      <w:numFmt w:val="decimal"/>
      <w:lvlText w:val="%1."/>
      <w:lvlJc w:val="left"/>
      <w:pPr>
        <w:tabs>
          <w:tab w:val="num" w:pos="360"/>
        </w:tabs>
        <w:ind w:left="360" w:hanging="360"/>
      </w:pPr>
    </w:lvl>
  </w:abstractNum>
  <w:abstractNum w:abstractNumId="461">
    <w:nsid w:val="6A906862"/>
    <w:multiLevelType w:val="singleLevel"/>
    <w:tmpl w:val="710C5F5A"/>
    <w:lvl w:ilvl="0">
      <w:start w:val="100"/>
      <w:numFmt w:val="decimal"/>
      <w:lvlText w:val="%1."/>
      <w:lvlJc w:val="left"/>
      <w:pPr>
        <w:tabs>
          <w:tab w:val="num" w:pos="360"/>
        </w:tabs>
        <w:ind w:left="360" w:hanging="360"/>
      </w:pPr>
    </w:lvl>
  </w:abstractNum>
  <w:abstractNum w:abstractNumId="462">
    <w:nsid w:val="6AAD2E90"/>
    <w:multiLevelType w:val="singleLevel"/>
    <w:tmpl w:val="0419000F"/>
    <w:lvl w:ilvl="0">
      <w:start w:val="1"/>
      <w:numFmt w:val="decimal"/>
      <w:lvlText w:val="%1."/>
      <w:lvlJc w:val="left"/>
      <w:pPr>
        <w:tabs>
          <w:tab w:val="num" w:pos="360"/>
        </w:tabs>
        <w:ind w:left="360" w:hanging="360"/>
      </w:pPr>
    </w:lvl>
  </w:abstractNum>
  <w:abstractNum w:abstractNumId="463">
    <w:nsid w:val="6ACD0A38"/>
    <w:multiLevelType w:val="singleLevel"/>
    <w:tmpl w:val="798A0ED2"/>
    <w:lvl w:ilvl="0">
      <w:start w:val="281"/>
      <w:numFmt w:val="decimal"/>
      <w:lvlText w:val="%1."/>
      <w:lvlJc w:val="left"/>
      <w:pPr>
        <w:tabs>
          <w:tab w:val="num" w:pos="360"/>
        </w:tabs>
        <w:ind w:left="360" w:hanging="360"/>
      </w:pPr>
    </w:lvl>
  </w:abstractNum>
  <w:abstractNum w:abstractNumId="464">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65">
    <w:nsid w:val="6B310637"/>
    <w:multiLevelType w:val="singleLevel"/>
    <w:tmpl w:val="61F69BBC"/>
    <w:lvl w:ilvl="0">
      <w:start w:val="114"/>
      <w:numFmt w:val="decimal"/>
      <w:lvlText w:val="%1."/>
      <w:lvlJc w:val="left"/>
      <w:pPr>
        <w:tabs>
          <w:tab w:val="num" w:pos="360"/>
        </w:tabs>
        <w:ind w:left="360" w:hanging="360"/>
      </w:pPr>
    </w:lvl>
  </w:abstractNum>
  <w:abstractNum w:abstractNumId="466">
    <w:nsid w:val="6B723B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7">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468">
    <w:nsid w:val="6B7A00B4"/>
    <w:multiLevelType w:val="singleLevel"/>
    <w:tmpl w:val="45149E4C"/>
    <w:lvl w:ilvl="0">
      <w:numFmt w:val="bullet"/>
      <w:lvlText w:val="–"/>
      <w:lvlJc w:val="left"/>
      <w:pPr>
        <w:tabs>
          <w:tab w:val="num" w:pos="360"/>
        </w:tabs>
        <w:ind w:left="360" w:hanging="360"/>
      </w:pPr>
      <w:rPr>
        <w:rFonts w:hint="default"/>
      </w:rPr>
    </w:lvl>
  </w:abstractNum>
  <w:abstractNum w:abstractNumId="469">
    <w:nsid w:val="6B8A519D"/>
    <w:multiLevelType w:val="singleLevel"/>
    <w:tmpl w:val="DDCA232C"/>
    <w:lvl w:ilvl="0">
      <w:start w:val="129"/>
      <w:numFmt w:val="decimal"/>
      <w:lvlText w:val="%1."/>
      <w:lvlJc w:val="left"/>
      <w:pPr>
        <w:tabs>
          <w:tab w:val="num" w:pos="360"/>
        </w:tabs>
        <w:ind w:left="360" w:hanging="360"/>
      </w:pPr>
    </w:lvl>
  </w:abstractNum>
  <w:abstractNum w:abstractNumId="470">
    <w:nsid w:val="6BCE0EF4"/>
    <w:multiLevelType w:val="singleLevel"/>
    <w:tmpl w:val="98EAE8C8"/>
    <w:lvl w:ilvl="0">
      <w:start w:val="275"/>
      <w:numFmt w:val="decimal"/>
      <w:lvlText w:val="%1. "/>
      <w:legacy w:legacy="1" w:legacySpace="0" w:legacyIndent="283"/>
      <w:lvlJc w:val="left"/>
      <w:pPr>
        <w:ind w:left="567" w:hanging="283"/>
      </w:pPr>
      <w:rPr>
        <w:b w:val="0"/>
        <w:i w:val="0"/>
        <w:sz w:val="24"/>
      </w:rPr>
    </w:lvl>
  </w:abstractNum>
  <w:abstractNum w:abstractNumId="471">
    <w:nsid w:val="6C5B34B2"/>
    <w:multiLevelType w:val="singleLevel"/>
    <w:tmpl w:val="4E848D5A"/>
    <w:lvl w:ilvl="0">
      <w:start w:val="379"/>
      <w:numFmt w:val="decimal"/>
      <w:lvlText w:val="%1."/>
      <w:lvlJc w:val="left"/>
      <w:pPr>
        <w:tabs>
          <w:tab w:val="num" w:pos="360"/>
        </w:tabs>
        <w:ind w:left="360" w:hanging="360"/>
      </w:pPr>
    </w:lvl>
  </w:abstractNum>
  <w:abstractNum w:abstractNumId="472">
    <w:nsid w:val="6C5C463C"/>
    <w:multiLevelType w:val="singleLevel"/>
    <w:tmpl w:val="940AB8B2"/>
    <w:lvl w:ilvl="0">
      <w:start w:val="94"/>
      <w:numFmt w:val="decimal"/>
      <w:lvlText w:val="%1."/>
      <w:lvlJc w:val="left"/>
      <w:pPr>
        <w:tabs>
          <w:tab w:val="num" w:pos="360"/>
        </w:tabs>
        <w:ind w:left="360" w:hanging="360"/>
      </w:pPr>
    </w:lvl>
  </w:abstractNum>
  <w:abstractNum w:abstractNumId="473">
    <w:nsid w:val="6C7D57CA"/>
    <w:multiLevelType w:val="singleLevel"/>
    <w:tmpl w:val="286887F8"/>
    <w:lvl w:ilvl="0">
      <w:start w:val="289"/>
      <w:numFmt w:val="decimal"/>
      <w:lvlText w:val="%1."/>
      <w:lvlJc w:val="left"/>
      <w:pPr>
        <w:tabs>
          <w:tab w:val="num" w:pos="360"/>
        </w:tabs>
        <w:ind w:left="360" w:hanging="360"/>
      </w:pPr>
    </w:lvl>
  </w:abstractNum>
  <w:abstractNum w:abstractNumId="474">
    <w:nsid w:val="6CEB4C5D"/>
    <w:multiLevelType w:val="singleLevel"/>
    <w:tmpl w:val="0419000F"/>
    <w:lvl w:ilvl="0">
      <w:start w:val="1"/>
      <w:numFmt w:val="decimal"/>
      <w:lvlText w:val="%1."/>
      <w:lvlJc w:val="left"/>
      <w:pPr>
        <w:tabs>
          <w:tab w:val="num" w:pos="360"/>
        </w:tabs>
        <w:ind w:left="360" w:hanging="360"/>
      </w:pPr>
    </w:lvl>
  </w:abstractNum>
  <w:abstractNum w:abstractNumId="475">
    <w:nsid w:val="6CF9613C"/>
    <w:multiLevelType w:val="singleLevel"/>
    <w:tmpl w:val="05EA60FE"/>
    <w:lvl w:ilvl="0">
      <w:start w:val="332"/>
      <w:numFmt w:val="decimal"/>
      <w:lvlText w:val="%1."/>
      <w:lvlJc w:val="left"/>
      <w:pPr>
        <w:tabs>
          <w:tab w:val="num" w:pos="360"/>
        </w:tabs>
        <w:ind w:left="360" w:hanging="360"/>
      </w:pPr>
    </w:lvl>
  </w:abstractNum>
  <w:abstractNum w:abstractNumId="476">
    <w:nsid w:val="6D442341"/>
    <w:multiLevelType w:val="multilevel"/>
    <w:tmpl w:val="6536379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7">
    <w:nsid w:val="6D565C60"/>
    <w:multiLevelType w:val="singleLevel"/>
    <w:tmpl w:val="D2E6750C"/>
    <w:lvl w:ilvl="0">
      <w:start w:val="4"/>
      <w:numFmt w:val="lowerLetter"/>
      <w:lvlText w:val="%1)"/>
      <w:lvlJc w:val="left"/>
      <w:pPr>
        <w:tabs>
          <w:tab w:val="num" w:pos="360"/>
        </w:tabs>
        <w:ind w:left="360" w:hanging="360"/>
      </w:pPr>
    </w:lvl>
  </w:abstractNum>
  <w:abstractNum w:abstractNumId="478">
    <w:nsid w:val="6D900E37"/>
    <w:multiLevelType w:val="singleLevel"/>
    <w:tmpl w:val="EA72D116"/>
    <w:lvl w:ilvl="0">
      <w:start w:val="320"/>
      <w:numFmt w:val="decimal"/>
      <w:lvlText w:val="%1."/>
      <w:lvlJc w:val="left"/>
      <w:pPr>
        <w:tabs>
          <w:tab w:val="num" w:pos="360"/>
        </w:tabs>
        <w:ind w:left="360" w:hanging="360"/>
      </w:pPr>
    </w:lvl>
  </w:abstractNum>
  <w:abstractNum w:abstractNumId="479">
    <w:nsid w:val="6DE07D9B"/>
    <w:multiLevelType w:val="singleLevel"/>
    <w:tmpl w:val="42A06A96"/>
    <w:lvl w:ilvl="0">
      <w:start w:val="16"/>
      <w:numFmt w:val="decimal"/>
      <w:lvlText w:val="%1."/>
      <w:lvlJc w:val="left"/>
      <w:pPr>
        <w:tabs>
          <w:tab w:val="num" w:pos="360"/>
        </w:tabs>
        <w:ind w:left="360" w:hanging="360"/>
      </w:pPr>
    </w:lvl>
  </w:abstractNum>
  <w:abstractNum w:abstractNumId="480">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81">
    <w:nsid w:val="6E0049AA"/>
    <w:multiLevelType w:val="singleLevel"/>
    <w:tmpl w:val="0419000F"/>
    <w:lvl w:ilvl="0">
      <w:start w:val="1"/>
      <w:numFmt w:val="decimal"/>
      <w:lvlText w:val="%1."/>
      <w:lvlJc w:val="left"/>
      <w:pPr>
        <w:tabs>
          <w:tab w:val="num" w:pos="360"/>
        </w:tabs>
        <w:ind w:left="360" w:hanging="360"/>
      </w:pPr>
    </w:lvl>
  </w:abstractNum>
  <w:abstractNum w:abstractNumId="482">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483">
    <w:nsid w:val="6EE8030D"/>
    <w:multiLevelType w:val="singleLevel"/>
    <w:tmpl w:val="05362BFC"/>
    <w:lvl w:ilvl="0">
      <w:start w:val="210"/>
      <w:numFmt w:val="decimal"/>
      <w:lvlText w:val="%1."/>
      <w:lvlJc w:val="left"/>
      <w:pPr>
        <w:tabs>
          <w:tab w:val="num" w:pos="360"/>
        </w:tabs>
        <w:ind w:left="360" w:hanging="360"/>
      </w:pPr>
    </w:lvl>
  </w:abstractNum>
  <w:abstractNum w:abstractNumId="484">
    <w:nsid w:val="6F0904B1"/>
    <w:multiLevelType w:val="singleLevel"/>
    <w:tmpl w:val="538A37E4"/>
    <w:lvl w:ilvl="0">
      <w:start w:val="392"/>
      <w:numFmt w:val="decimal"/>
      <w:lvlText w:val="%1."/>
      <w:lvlJc w:val="left"/>
      <w:pPr>
        <w:tabs>
          <w:tab w:val="num" w:pos="989"/>
        </w:tabs>
        <w:ind w:left="989" w:hanging="705"/>
      </w:pPr>
      <w:rPr>
        <w:rFonts w:hint="default"/>
      </w:rPr>
    </w:lvl>
  </w:abstractNum>
  <w:abstractNum w:abstractNumId="485">
    <w:nsid w:val="6F3B7543"/>
    <w:multiLevelType w:val="multilevel"/>
    <w:tmpl w:val="95F43590"/>
    <w:lvl w:ilvl="0">
      <w:start w:val="557"/>
      <w:numFmt w:val="decimal"/>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6">
    <w:nsid w:val="70536272"/>
    <w:multiLevelType w:val="singleLevel"/>
    <w:tmpl w:val="027CA574"/>
    <w:lvl w:ilvl="0">
      <w:start w:val="317"/>
      <w:numFmt w:val="decimal"/>
      <w:lvlText w:val="%1."/>
      <w:lvlJc w:val="left"/>
      <w:pPr>
        <w:tabs>
          <w:tab w:val="num" w:pos="360"/>
        </w:tabs>
        <w:ind w:left="360" w:hanging="360"/>
      </w:pPr>
    </w:lvl>
  </w:abstractNum>
  <w:abstractNum w:abstractNumId="487">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88">
    <w:nsid w:val="71187C26"/>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489">
    <w:nsid w:val="71203B80"/>
    <w:multiLevelType w:val="singleLevel"/>
    <w:tmpl w:val="F9086910"/>
    <w:lvl w:ilvl="0">
      <w:start w:val="75"/>
      <w:numFmt w:val="decimal"/>
      <w:lvlText w:val="%1."/>
      <w:lvlJc w:val="left"/>
      <w:pPr>
        <w:tabs>
          <w:tab w:val="num" w:pos="360"/>
        </w:tabs>
        <w:ind w:left="360" w:hanging="360"/>
      </w:pPr>
    </w:lvl>
  </w:abstractNum>
  <w:abstractNum w:abstractNumId="490">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91">
    <w:nsid w:val="7161728E"/>
    <w:multiLevelType w:val="singleLevel"/>
    <w:tmpl w:val="0419000F"/>
    <w:lvl w:ilvl="0">
      <w:start w:val="1"/>
      <w:numFmt w:val="decimal"/>
      <w:lvlText w:val="%1."/>
      <w:lvlJc w:val="left"/>
      <w:pPr>
        <w:tabs>
          <w:tab w:val="num" w:pos="360"/>
        </w:tabs>
        <w:ind w:left="360" w:hanging="360"/>
      </w:pPr>
    </w:lvl>
  </w:abstractNum>
  <w:abstractNum w:abstractNumId="492">
    <w:nsid w:val="71DA10CD"/>
    <w:multiLevelType w:val="multilevel"/>
    <w:tmpl w:val="A86A81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3">
    <w:nsid w:val="729621E3"/>
    <w:multiLevelType w:val="singleLevel"/>
    <w:tmpl w:val="D98C7C6A"/>
    <w:lvl w:ilvl="0">
      <w:numFmt w:val="bullet"/>
      <w:lvlText w:val="-"/>
      <w:lvlJc w:val="left"/>
      <w:pPr>
        <w:tabs>
          <w:tab w:val="num" w:pos="360"/>
        </w:tabs>
        <w:ind w:left="360" w:hanging="360"/>
      </w:pPr>
      <w:rPr>
        <w:rFonts w:hint="default"/>
      </w:rPr>
    </w:lvl>
  </w:abstractNum>
  <w:abstractNum w:abstractNumId="494">
    <w:nsid w:val="72A86A28"/>
    <w:multiLevelType w:val="singleLevel"/>
    <w:tmpl w:val="710C5F5A"/>
    <w:lvl w:ilvl="0">
      <w:start w:val="100"/>
      <w:numFmt w:val="decimal"/>
      <w:lvlText w:val="%1."/>
      <w:lvlJc w:val="left"/>
      <w:pPr>
        <w:tabs>
          <w:tab w:val="num" w:pos="360"/>
        </w:tabs>
        <w:ind w:left="360" w:hanging="360"/>
      </w:pPr>
    </w:lvl>
  </w:abstractNum>
  <w:abstractNum w:abstractNumId="495">
    <w:nsid w:val="72AC0B1C"/>
    <w:multiLevelType w:val="multilevel"/>
    <w:tmpl w:val="C95410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6">
    <w:nsid w:val="72AE52BD"/>
    <w:multiLevelType w:val="multilevel"/>
    <w:tmpl w:val="CE98425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97">
    <w:nsid w:val="730A1EC4"/>
    <w:multiLevelType w:val="singleLevel"/>
    <w:tmpl w:val="54222EEE"/>
    <w:lvl w:ilvl="0">
      <w:start w:val="133"/>
      <w:numFmt w:val="decimal"/>
      <w:lvlText w:val="%1."/>
      <w:lvlJc w:val="left"/>
      <w:pPr>
        <w:tabs>
          <w:tab w:val="num" w:pos="360"/>
        </w:tabs>
        <w:ind w:left="360" w:hanging="360"/>
      </w:pPr>
    </w:lvl>
  </w:abstractNum>
  <w:abstractNum w:abstractNumId="498">
    <w:nsid w:val="732F14C8"/>
    <w:multiLevelType w:val="singleLevel"/>
    <w:tmpl w:val="0419000F"/>
    <w:lvl w:ilvl="0">
      <w:start w:val="1"/>
      <w:numFmt w:val="decimal"/>
      <w:lvlText w:val="%1."/>
      <w:lvlJc w:val="left"/>
      <w:pPr>
        <w:tabs>
          <w:tab w:val="num" w:pos="360"/>
        </w:tabs>
        <w:ind w:left="360" w:hanging="360"/>
      </w:pPr>
    </w:lvl>
  </w:abstractNum>
  <w:abstractNum w:abstractNumId="499">
    <w:nsid w:val="7372224D"/>
    <w:multiLevelType w:val="singleLevel"/>
    <w:tmpl w:val="D98C7C6A"/>
    <w:lvl w:ilvl="0">
      <w:numFmt w:val="bullet"/>
      <w:lvlText w:val="-"/>
      <w:lvlJc w:val="left"/>
      <w:pPr>
        <w:tabs>
          <w:tab w:val="num" w:pos="360"/>
        </w:tabs>
        <w:ind w:left="360" w:hanging="360"/>
      </w:pPr>
      <w:rPr>
        <w:rFonts w:hint="default"/>
      </w:rPr>
    </w:lvl>
  </w:abstractNum>
  <w:abstractNum w:abstractNumId="500">
    <w:nsid w:val="74715624"/>
    <w:multiLevelType w:val="singleLevel"/>
    <w:tmpl w:val="7E5E5BDE"/>
    <w:lvl w:ilvl="0">
      <w:start w:val="347"/>
      <w:numFmt w:val="decimal"/>
      <w:lvlText w:val="%1."/>
      <w:lvlJc w:val="left"/>
      <w:pPr>
        <w:tabs>
          <w:tab w:val="num" w:pos="360"/>
        </w:tabs>
        <w:ind w:left="360" w:hanging="360"/>
      </w:pPr>
    </w:lvl>
  </w:abstractNum>
  <w:abstractNum w:abstractNumId="501">
    <w:nsid w:val="749D6991"/>
    <w:multiLevelType w:val="singleLevel"/>
    <w:tmpl w:val="48D47A94"/>
    <w:lvl w:ilvl="0">
      <w:start w:val="1"/>
      <w:numFmt w:val="decimal"/>
      <w:lvlText w:val="%1)"/>
      <w:lvlJc w:val="left"/>
      <w:pPr>
        <w:tabs>
          <w:tab w:val="num" w:pos="360"/>
        </w:tabs>
        <w:ind w:left="284" w:hanging="284"/>
      </w:pPr>
    </w:lvl>
  </w:abstractNum>
  <w:abstractNum w:abstractNumId="502">
    <w:nsid w:val="74B047D4"/>
    <w:multiLevelType w:val="singleLevel"/>
    <w:tmpl w:val="0419000F"/>
    <w:lvl w:ilvl="0">
      <w:start w:val="1"/>
      <w:numFmt w:val="decimal"/>
      <w:lvlText w:val="%1."/>
      <w:lvlJc w:val="left"/>
      <w:pPr>
        <w:tabs>
          <w:tab w:val="num" w:pos="360"/>
        </w:tabs>
        <w:ind w:left="360" w:hanging="360"/>
      </w:pPr>
    </w:lvl>
  </w:abstractNum>
  <w:abstractNum w:abstractNumId="503">
    <w:nsid w:val="74B0651B"/>
    <w:multiLevelType w:val="multilevel"/>
    <w:tmpl w:val="25A6983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4">
    <w:nsid w:val="756616D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505">
    <w:nsid w:val="75936514"/>
    <w:multiLevelType w:val="singleLevel"/>
    <w:tmpl w:val="67D01C16"/>
    <w:lvl w:ilvl="0">
      <w:start w:val="293"/>
      <w:numFmt w:val="decimal"/>
      <w:lvlText w:val="%1."/>
      <w:lvlJc w:val="left"/>
      <w:pPr>
        <w:tabs>
          <w:tab w:val="num" w:pos="360"/>
        </w:tabs>
        <w:ind w:left="360" w:hanging="360"/>
      </w:pPr>
    </w:lvl>
  </w:abstractNum>
  <w:abstractNum w:abstractNumId="506">
    <w:nsid w:val="75982AC3"/>
    <w:multiLevelType w:val="singleLevel"/>
    <w:tmpl w:val="34F0284C"/>
    <w:lvl w:ilvl="0">
      <w:numFmt w:val="bullet"/>
      <w:lvlText w:val="·"/>
      <w:lvlJc w:val="left"/>
      <w:pPr>
        <w:tabs>
          <w:tab w:val="num" w:pos="720"/>
        </w:tabs>
        <w:ind w:left="0" w:firstLine="360"/>
      </w:pPr>
      <w:rPr>
        <w:rFonts w:ascii="Symbol" w:hAnsi="Symbol" w:hint="default"/>
      </w:rPr>
    </w:lvl>
  </w:abstractNum>
  <w:abstractNum w:abstractNumId="507">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508">
    <w:nsid w:val="75FC0CBD"/>
    <w:multiLevelType w:val="singleLevel"/>
    <w:tmpl w:val="D98C7C6A"/>
    <w:lvl w:ilvl="0">
      <w:numFmt w:val="bullet"/>
      <w:lvlText w:val="-"/>
      <w:lvlJc w:val="left"/>
      <w:pPr>
        <w:tabs>
          <w:tab w:val="num" w:pos="360"/>
        </w:tabs>
        <w:ind w:left="360" w:hanging="360"/>
      </w:pPr>
      <w:rPr>
        <w:rFonts w:hint="default"/>
      </w:rPr>
    </w:lvl>
  </w:abstractNum>
  <w:abstractNum w:abstractNumId="509">
    <w:nsid w:val="75FE575E"/>
    <w:multiLevelType w:val="singleLevel"/>
    <w:tmpl w:val="0419000F"/>
    <w:lvl w:ilvl="0">
      <w:start w:val="1"/>
      <w:numFmt w:val="decimal"/>
      <w:lvlText w:val="%1."/>
      <w:lvlJc w:val="left"/>
      <w:pPr>
        <w:tabs>
          <w:tab w:val="num" w:pos="360"/>
        </w:tabs>
        <w:ind w:left="360" w:hanging="360"/>
      </w:pPr>
    </w:lvl>
  </w:abstractNum>
  <w:abstractNum w:abstractNumId="510">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1">
    <w:nsid w:val="761C51BE"/>
    <w:multiLevelType w:val="singleLevel"/>
    <w:tmpl w:val="7C52DBE2"/>
    <w:lvl w:ilvl="0">
      <w:start w:val="159"/>
      <w:numFmt w:val="decimal"/>
      <w:lvlText w:val="%1."/>
      <w:lvlJc w:val="left"/>
      <w:pPr>
        <w:tabs>
          <w:tab w:val="num" w:pos="360"/>
        </w:tabs>
        <w:ind w:left="360" w:hanging="360"/>
      </w:pPr>
    </w:lvl>
  </w:abstractNum>
  <w:abstractNum w:abstractNumId="512">
    <w:nsid w:val="761E2CFF"/>
    <w:multiLevelType w:val="singleLevel"/>
    <w:tmpl w:val="FAB823DA"/>
    <w:lvl w:ilvl="0">
      <w:start w:val="328"/>
      <w:numFmt w:val="decimal"/>
      <w:lvlText w:val="%1."/>
      <w:lvlJc w:val="left"/>
      <w:pPr>
        <w:tabs>
          <w:tab w:val="num" w:pos="360"/>
        </w:tabs>
        <w:ind w:left="360" w:hanging="360"/>
      </w:pPr>
    </w:lvl>
  </w:abstractNum>
  <w:abstractNum w:abstractNumId="513">
    <w:nsid w:val="762670AA"/>
    <w:multiLevelType w:val="singleLevel"/>
    <w:tmpl w:val="11ECFD04"/>
    <w:lvl w:ilvl="0">
      <w:numFmt w:val="bullet"/>
      <w:lvlText w:val="–"/>
      <w:lvlJc w:val="left"/>
      <w:pPr>
        <w:tabs>
          <w:tab w:val="num" w:pos="360"/>
        </w:tabs>
        <w:ind w:left="360" w:hanging="360"/>
      </w:pPr>
      <w:rPr>
        <w:rFonts w:hint="default"/>
      </w:rPr>
    </w:lvl>
  </w:abstractNum>
  <w:abstractNum w:abstractNumId="514">
    <w:nsid w:val="76336711"/>
    <w:multiLevelType w:val="singleLevel"/>
    <w:tmpl w:val="B6E647CC"/>
    <w:lvl w:ilvl="0">
      <w:start w:val="233"/>
      <w:numFmt w:val="decimal"/>
      <w:lvlText w:val="%1."/>
      <w:lvlJc w:val="left"/>
      <w:pPr>
        <w:tabs>
          <w:tab w:val="num" w:pos="360"/>
        </w:tabs>
        <w:ind w:left="360" w:hanging="360"/>
      </w:pPr>
    </w:lvl>
  </w:abstractNum>
  <w:abstractNum w:abstractNumId="515">
    <w:nsid w:val="765A3F49"/>
    <w:multiLevelType w:val="singleLevel"/>
    <w:tmpl w:val="0419000F"/>
    <w:lvl w:ilvl="0">
      <w:start w:val="1"/>
      <w:numFmt w:val="decimal"/>
      <w:lvlText w:val="%1."/>
      <w:lvlJc w:val="left"/>
      <w:pPr>
        <w:tabs>
          <w:tab w:val="num" w:pos="360"/>
        </w:tabs>
        <w:ind w:left="360" w:hanging="360"/>
      </w:pPr>
    </w:lvl>
  </w:abstractNum>
  <w:abstractNum w:abstractNumId="516">
    <w:nsid w:val="76B1386D"/>
    <w:multiLevelType w:val="singleLevel"/>
    <w:tmpl w:val="B3A6698C"/>
    <w:lvl w:ilvl="0">
      <w:start w:val="350"/>
      <w:numFmt w:val="decimal"/>
      <w:lvlText w:val="%1."/>
      <w:lvlJc w:val="left"/>
      <w:pPr>
        <w:tabs>
          <w:tab w:val="num" w:pos="360"/>
        </w:tabs>
        <w:ind w:left="360" w:hanging="360"/>
      </w:pPr>
    </w:lvl>
  </w:abstractNum>
  <w:abstractNum w:abstractNumId="517">
    <w:nsid w:val="76B30109"/>
    <w:multiLevelType w:val="singleLevel"/>
    <w:tmpl w:val="0419000F"/>
    <w:lvl w:ilvl="0">
      <w:start w:val="1"/>
      <w:numFmt w:val="decimal"/>
      <w:lvlText w:val="%1."/>
      <w:lvlJc w:val="left"/>
      <w:pPr>
        <w:tabs>
          <w:tab w:val="num" w:pos="360"/>
        </w:tabs>
        <w:ind w:left="360" w:hanging="360"/>
      </w:pPr>
    </w:lvl>
  </w:abstractNum>
  <w:abstractNum w:abstractNumId="518">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19">
    <w:nsid w:val="772A65CB"/>
    <w:multiLevelType w:val="singleLevel"/>
    <w:tmpl w:val="BDCCEA6E"/>
    <w:lvl w:ilvl="0">
      <w:start w:val="123"/>
      <w:numFmt w:val="decimal"/>
      <w:lvlText w:val="%1."/>
      <w:lvlJc w:val="left"/>
      <w:pPr>
        <w:tabs>
          <w:tab w:val="num" w:pos="360"/>
        </w:tabs>
        <w:ind w:left="360" w:hanging="360"/>
      </w:pPr>
    </w:lvl>
  </w:abstractNum>
  <w:abstractNum w:abstractNumId="520">
    <w:nsid w:val="77524E97"/>
    <w:multiLevelType w:val="singleLevel"/>
    <w:tmpl w:val="0C8471B8"/>
    <w:lvl w:ilvl="0">
      <w:start w:val="60"/>
      <w:numFmt w:val="decimal"/>
      <w:lvlText w:val="%1."/>
      <w:lvlJc w:val="left"/>
      <w:pPr>
        <w:tabs>
          <w:tab w:val="num" w:pos="360"/>
        </w:tabs>
        <w:ind w:left="340" w:hanging="340"/>
      </w:pPr>
    </w:lvl>
  </w:abstractNum>
  <w:abstractNum w:abstractNumId="521">
    <w:nsid w:val="77B06D4B"/>
    <w:multiLevelType w:val="singleLevel"/>
    <w:tmpl w:val="41F01350"/>
    <w:lvl w:ilvl="0">
      <w:start w:val="359"/>
      <w:numFmt w:val="bullet"/>
      <w:lvlText w:val="-"/>
      <w:lvlJc w:val="left"/>
      <w:pPr>
        <w:tabs>
          <w:tab w:val="num" w:pos="644"/>
        </w:tabs>
        <w:ind w:left="644" w:hanging="360"/>
      </w:pPr>
      <w:rPr>
        <w:rFonts w:hint="default"/>
      </w:rPr>
    </w:lvl>
  </w:abstractNum>
  <w:abstractNum w:abstractNumId="522">
    <w:nsid w:val="77F0144B"/>
    <w:multiLevelType w:val="singleLevel"/>
    <w:tmpl w:val="D98C7C6A"/>
    <w:lvl w:ilvl="0">
      <w:numFmt w:val="bullet"/>
      <w:lvlText w:val="-"/>
      <w:lvlJc w:val="left"/>
      <w:pPr>
        <w:tabs>
          <w:tab w:val="num" w:pos="360"/>
        </w:tabs>
        <w:ind w:left="360" w:hanging="360"/>
      </w:pPr>
      <w:rPr>
        <w:rFonts w:hint="default"/>
      </w:rPr>
    </w:lvl>
  </w:abstractNum>
  <w:abstractNum w:abstractNumId="523">
    <w:nsid w:val="78121EF6"/>
    <w:multiLevelType w:val="singleLevel"/>
    <w:tmpl w:val="20E6903C"/>
    <w:lvl w:ilvl="0">
      <w:start w:val="183"/>
      <w:numFmt w:val="decimal"/>
      <w:lvlText w:val="%1."/>
      <w:lvlJc w:val="left"/>
      <w:pPr>
        <w:tabs>
          <w:tab w:val="num" w:pos="360"/>
        </w:tabs>
        <w:ind w:left="360" w:hanging="360"/>
      </w:pPr>
    </w:lvl>
  </w:abstractNum>
  <w:abstractNum w:abstractNumId="524">
    <w:nsid w:val="78175D7F"/>
    <w:multiLevelType w:val="singleLevel"/>
    <w:tmpl w:val="1484923E"/>
    <w:lvl w:ilvl="0">
      <w:start w:val="36"/>
      <w:numFmt w:val="decimal"/>
      <w:lvlText w:val="%1."/>
      <w:lvlJc w:val="left"/>
      <w:pPr>
        <w:tabs>
          <w:tab w:val="num" w:pos="360"/>
        </w:tabs>
        <w:ind w:left="360" w:hanging="360"/>
      </w:pPr>
    </w:lvl>
  </w:abstractNum>
  <w:abstractNum w:abstractNumId="525">
    <w:nsid w:val="786F1A4B"/>
    <w:multiLevelType w:val="singleLevel"/>
    <w:tmpl w:val="F45E5A54"/>
    <w:lvl w:ilvl="0">
      <w:start w:val="52"/>
      <w:numFmt w:val="decimal"/>
      <w:lvlText w:val="%1."/>
      <w:lvlJc w:val="left"/>
      <w:pPr>
        <w:tabs>
          <w:tab w:val="num" w:pos="360"/>
        </w:tabs>
        <w:ind w:left="360" w:hanging="360"/>
      </w:pPr>
    </w:lvl>
  </w:abstractNum>
  <w:abstractNum w:abstractNumId="526">
    <w:nsid w:val="78B46F49"/>
    <w:multiLevelType w:val="singleLevel"/>
    <w:tmpl w:val="286887F8"/>
    <w:lvl w:ilvl="0">
      <w:start w:val="289"/>
      <w:numFmt w:val="decimal"/>
      <w:lvlText w:val="%1."/>
      <w:lvlJc w:val="left"/>
      <w:pPr>
        <w:tabs>
          <w:tab w:val="num" w:pos="360"/>
        </w:tabs>
        <w:ind w:left="360" w:hanging="360"/>
      </w:pPr>
    </w:lvl>
  </w:abstractNum>
  <w:abstractNum w:abstractNumId="527">
    <w:nsid w:val="791D19CD"/>
    <w:multiLevelType w:val="singleLevel"/>
    <w:tmpl w:val="67D01C16"/>
    <w:lvl w:ilvl="0">
      <w:start w:val="293"/>
      <w:numFmt w:val="decimal"/>
      <w:lvlText w:val="%1."/>
      <w:lvlJc w:val="left"/>
      <w:pPr>
        <w:tabs>
          <w:tab w:val="num" w:pos="360"/>
        </w:tabs>
        <w:ind w:left="360" w:hanging="360"/>
      </w:pPr>
    </w:lvl>
  </w:abstractNum>
  <w:abstractNum w:abstractNumId="528">
    <w:nsid w:val="793D5898"/>
    <w:multiLevelType w:val="singleLevel"/>
    <w:tmpl w:val="B0765612"/>
    <w:lvl w:ilvl="0">
      <w:start w:val="188"/>
      <w:numFmt w:val="decimal"/>
      <w:lvlText w:val="%1."/>
      <w:lvlJc w:val="left"/>
      <w:pPr>
        <w:tabs>
          <w:tab w:val="num" w:pos="360"/>
        </w:tabs>
        <w:ind w:left="360" w:hanging="360"/>
      </w:pPr>
    </w:lvl>
  </w:abstractNum>
  <w:abstractNum w:abstractNumId="529">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530">
    <w:nsid w:val="7A613CE5"/>
    <w:multiLevelType w:val="singleLevel"/>
    <w:tmpl w:val="9D4A8EBE"/>
    <w:lvl w:ilvl="0">
      <w:start w:val="277"/>
      <w:numFmt w:val="decimal"/>
      <w:lvlText w:val="%1. "/>
      <w:legacy w:legacy="1" w:legacySpace="0" w:legacyIndent="283"/>
      <w:lvlJc w:val="left"/>
      <w:pPr>
        <w:ind w:left="567" w:hanging="283"/>
      </w:pPr>
      <w:rPr>
        <w:b w:val="0"/>
        <w:i w:val="0"/>
        <w:sz w:val="24"/>
      </w:rPr>
    </w:lvl>
  </w:abstractNum>
  <w:abstractNum w:abstractNumId="531">
    <w:nsid w:val="7A764853"/>
    <w:multiLevelType w:val="singleLevel"/>
    <w:tmpl w:val="82B49A10"/>
    <w:lvl w:ilvl="0">
      <w:start w:val="229"/>
      <w:numFmt w:val="decimal"/>
      <w:lvlText w:val="%1."/>
      <w:lvlJc w:val="left"/>
      <w:pPr>
        <w:tabs>
          <w:tab w:val="num" w:pos="360"/>
        </w:tabs>
        <w:ind w:left="360" w:hanging="360"/>
      </w:pPr>
    </w:lvl>
  </w:abstractNum>
  <w:abstractNum w:abstractNumId="532">
    <w:nsid w:val="7AB721D4"/>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533">
    <w:nsid w:val="7ABE2788"/>
    <w:multiLevelType w:val="singleLevel"/>
    <w:tmpl w:val="100E6E1E"/>
    <w:lvl w:ilvl="0">
      <w:start w:val="268"/>
      <w:numFmt w:val="decimal"/>
      <w:lvlText w:val="%1."/>
      <w:lvlJc w:val="left"/>
      <w:pPr>
        <w:tabs>
          <w:tab w:val="num" w:pos="360"/>
        </w:tabs>
        <w:ind w:left="360" w:hanging="360"/>
      </w:pPr>
    </w:lvl>
  </w:abstractNum>
  <w:abstractNum w:abstractNumId="534">
    <w:nsid w:val="7B3451D5"/>
    <w:multiLevelType w:val="singleLevel"/>
    <w:tmpl w:val="B0FA0884"/>
    <w:lvl w:ilvl="0">
      <w:start w:val="401"/>
      <w:numFmt w:val="decimal"/>
      <w:lvlText w:val="%1."/>
      <w:lvlJc w:val="left"/>
      <w:pPr>
        <w:tabs>
          <w:tab w:val="num" w:pos="360"/>
        </w:tabs>
        <w:ind w:left="360" w:hanging="360"/>
      </w:pPr>
    </w:lvl>
  </w:abstractNum>
  <w:abstractNum w:abstractNumId="535">
    <w:nsid w:val="7B734262"/>
    <w:multiLevelType w:val="multilevel"/>
    <w:tmpl w:val="F4BA451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6">
    <w:nsid w:val="7BC80516"/>
    <w:multiLevelType w:val="singleLevel"/>
    <w:tmpl w:val="AA20346C"/>
    <w:lvl w:ilvl="0">
      <w:start w:val="235"/>
      <w:numFmt w:val="decimal"/>
      <w:lvlText w:val="%1. "/>
      <w:legacy w:legacy="1" w:legacySpace="0" w:legacyIndent="283"/>
      <w:lvlJc w:val="left"/>
      <w:pPr>
        <w:ind w:left="567" w:hanging="283"/>
      </w:pPr>
      <w:rPr>
        <w:b w:val="0"/>
        <w:i w:val="0"/>
        <w:sz w:val="24"/>
      </w:rPr>
    </w:lvl>
  </w:abstractNum>
  <w:abstractNum w:abstractNumId="537">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538">
    <w:nsid w:val="7C022BFC"/>
    <w:multiLevelType w:val="singleLevel"/>
    <w:tmpl w:val="2B4C8064"/>
    <w:lvl w:ilvl="0">
      <w:start w:val="305"/>
      <w:numFmt w:val="decimal"/>
      <w:lvlText w:val="%1."/>
      <w:lvlJc w:val="left"/>
      <w:pPr>
        <w:tabs>
          <w:tab w:val="num" w:pos="360"/>
        </w:tabs>
        <w:ind w:left="360" w:hanging="360"/>
      </w:pPr>
    </w:lvl>
  </w:abstractNum>
  <w:abstractNum w:abstractNumId="539">
    <w:nsid w:val="7C6B6DBF"/>
    <w:multiLevelType w:val="singleLevel"/>
    <w:tmpl w:val="0419000F"/>
    <w:lvl w:ilvl="0">
      <w:start w:val="1"/>
      <w:numFmt w:val="decimal"/>
      <w:lvlText w:val="%1."/>
      <w:lvlJc w:val="left"/>
      <w:pPr>
        <w:tabs>
          <w:tab w:val="num" w:pos="360"/>
        </w:tabs>
        <w:ind w:left="360" w:hanging="360"/>
      </w:pPr>
    </w:lvl>
  </w:abstractNum>
  <w:abstractNum w:abstractNumId="540">
    <w:nsid w:val="7CC67DC2"/>
    <w:multiLevelType w:val="multilevel"/>
    <w:tmpl w:val="985A3D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1">
    <w:nsid w:val="7D46307E"/>
    <w:multiLevelType w:val="singleLevel"/>
    <w:tmpl w:val="9AEA7A36"/>
    <w:lvl w:ilvl="0">
      <w:start w:val="1"/>
      <w:numFmt w:val="lowerLetter"/>
      <w:lvlText w:val="%1)"/>
      <w:lvlJc w:val="left"/>
      <w:pPr>
        <w:tabs>
          <w:tab w:val="num" w:pos="360"/>
        </w:tabs>
        <w:ind w:left="360" w:hanging="360"/>
      </w:pPr>
    </w:lvl>
  </w:abstractNum>
  <w:abstractNum w:abstractNumId="542">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543">
    <w:nsid w:val="7D9C267E"/>
    <w:multiLevelType w:val="singleLevel"/>
    <w:tmpl w:val="18EEEBE4"/>
    <w:lvl w:ilvl="0">
      <w:start w:val="223"/>
      <w:numFmt w:val="decimal"/>
      <w:lvlText w:val="%1. "/>
      <w:legacy w:legacy="1" w:legacySpace="0" w:legacyIndent="283"/>
      <w:lvlJc w:val="left"/>
      <w:pPr>
        <w:ind w:left="567" w:hanging="283"/>
      </w:pPr>
      <w:rPr>
        <w:b w:val="0"/>
        <w:i w:val="0"/>
        <w:sz w:val="24"/>
      </w:rPr>
    </w:lvl>
  </w:abstractNum>
  <w:abstractNum w:abstractNumId="544">
    <w:nsid w:val="7DAE56FE"/>
    <w:multiLevelType w:val="singleLevel"/>
    <w:tmpl w:val="0419000F"/>
    <w:lvl w:ilvl="0">
      <w:start w:val="1"/>
      <w:numFmt w:val="decimal"/>
      <w:lvlText w:val="%1."/>
      <w:lvlJc w:val="left"/>
      <w:pPr>
        <w:tabs>
          <w:tab w:val="num" w:pos="360"/>
        </w:tabs>
        <w:ind w:left="360" w:hanging="360"/>
      </w:pPr>
    </w:lvl>
  </w:abstractNum>
  <w:abstractNum w:abstractNumId="545">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546">
    <w:nsid w:val="7E776B23"/>
    <w:multiLevelType w:val="singleLevel"/>
    <w:tmpl w:val="CED42B1C"/>
    <w:lvl w:ilvl="0">
      <w:numFmt w:val="bullet"/>
      <w:lvlText w:val="·"/>
      <w:lvlJc w:val="left"/>
      <w:pPr>
        <w:tabs>
          <w:tab w:val="num" w:pos="720"/>
        </w:tabs>
        <w:ind w:left="0" w:firstLine="360"/>
      </w:pPr>
      <w:rPr>
        <w:rFonts w:ascii="Symbol" w:hAnsi="Symbol" w:hint="default"/>
      </w:rPr>
    </w:lvl>
  </w:abstractNum>
  <w:abstractNum w:abstractNumId="547">
    <w:nsid w:val="7E7B1307"/>
    <w:multiLevelType w:val="singleLevel"/>
    <w:tmpl w:val="80D87F62"/>
    <w:lvl w:ilvl="0">
      <w:start w:val="334"/>
      <w:numFmt w:val="decimal"/>
      <w:lvlText w:val="%1."/>
      <w:lvlJc w:val="left"/>
      <w:pPr>
        <w:tabs>
          <w:tab w:val="num" w:pos="360"/>
        </w:tabs>
        <w:ind w:left="360" w:hanging="360"/>
      </w:pPr>
    </w:lvl>
  </w:abstractNum>
  <w:abstractNum w:abstractNumId="548">
    <w:nsid w:val="7E901B9C"/>
    <w:multiLevelType w:val="singleLevel"/>
    <w:tmpl w:val="0419000F"/>
    <w:lvl w:ilvl="0">
      <w:start w:val="1"/>
      <w:numFmt w:val="decimal"/>
      <w:lvlText w:val="%1."/>
      <w:lvlJc w:val="left"/>
      <w:pPr>
        <w:tabs>
          <w:tab w:val="num" w:pos="360"/>
        </w:tabs>
        <w:ind w:left="360" w:hanging="360"/>
      </w:pPr>
    </w:lvl>
  </w:abstractNum>
  <w:abstractNum w:abstractNumId="549">
    <w:nsid w:val="7EA37FAB"/>
    <w:multiLevelType w:val="singleLevel"/>
    <w:tmpl w:val="EA72D116"/>
    <w:lvl w:ilvl="0">
      <w:start w:val="320"/>
      <w:numFmt w:val="decimal"/>
      <w:lvlText w:val="%1."/>
      <w:lvlJc w:val="left"/>
      <w:pPr>
        <w:tabs>
          <w:tab w:val="num" w:pos="360"/>
        </w:tabs>
        <w:ind w:left="360" w:hanging="360"/>
      </w:pPr>
    </w:lvl>
  </w:abstractNum>
  <w:abstractNum w:abstractNumId="550">
    <w:nsid w:val="7EED12A5"/>
    <w:multiLevelType w:val="singleLevel"/>
    <w:tmpl w:val="755E186A"/>
    <w:lvl w:ilvl="0">
      <w:start w:val="110"/>
      <w:numFmt w:val="decimal"/>
      <w:lvlText w:val="%1."/>
      <w:lvlJc w:val="left"/>
      <w:pPr>
        <w:tabs>
          <w:tab w:val="num" w:pos="360"/>
        </w:tabs>
        <w:ind w:left="360" w:hanging="360"/>
      </w:pPr>
    </w:lvl>
  </w:abstractNum>
  <w:abstractNum w:abstractNumId="551">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552">
    <w:nsid w:val="7F4425FD"/>
    <w:multiLevelType w:val="singleLevel"/>
    <w:tmpl w:val="98B265B2"/>
    <w:lvl w:ilvl="0">
      <w:start w:val="424"/>
      <w:numFmt w:val="decimal"/>
      <w:lvlText w:val="%1."/>
      <w:lvlJc w:val="left"/>
      <w:pPr>
        <w:tabs>
          <w:tab w:val="num" w:pos="360"/>
        </w:tabs>
        <w:ind w:left="360" w:hanging="360"/>
      </w:pPr>
    </w:lvl>
  </w:abstractNum>
  <w:abstractNum w:abstractNumId="553">
    <w:nsid w:val="7F5D701A"/>
    <w:multiLevelType w:val="singleLevel"/>
    <w:tmpl w:val="FBD0EE7A"/>
    <w:lvl w:ilvl="0">
      <w:start w:val="205"/>
      <w:numFmt w:val="decimal"/>
      <w:lvlText w:val="%1."/>
      <w:lvlJc w:val="left"/>
      <w:pPr>
        <w:tabs>
          <w:tab w:val="num" w:pos="360"/>
        </w:tabs>
        <w:ind w:left="360" w:hanging="360"/>
      </w:pPr>
    </w:lvl>
  </w:abstractNum>
  <w:abstractNum w:abstractNumId="554">
    <w:nsid w:val="7F8B39E2"/>
    <w:multiLevelType w:val="singleLevel"/>
    <w:tmpl w:val="55EA754A"/>
    <w:lvl w:ilvl="0">
      <w:start w:val="284"/>
      <w:numFmt w:val="decimal"/>
      <w:lvlText w:val="%1."/>
      <w:lvlJc w:val="left"/>
      <w:pPr>
        <w:tabs>
          <w:tab w:val="num" w:pos="360"/>
        </w:tabs>
        <w:ind w:left="360" w:hanging="360"/>
      </w:pPr>
    </w:lvl>
  </w:abstractNum>
  <w:abstractNum w:abstractNumId="555">
    <w:nsid w:val="7F8B4C22"/>
    <w:multiLevelType w:val="singleLevel"/>
    <w:tmpl w:val="61F69BBC"/>
    <w:lvl w:ilvl="0">
      <w:start w:val="114"/>
      <w:numFmt w:val="decimal"/>
      <w:lvlText w:val="%1."/>
      <w:lvlJc w:val="left"/>
      <w:pPr>
        <w:tabs>
          <w:tab w:val="num" w:pos="360"/>
        </w:tabs>
        <w:ind w:left="360" w:hanging="360"/>
      </w:pPr>
    </w:lvl>
  </w:abstractNum>
  <w:num w:numId="1">
    <w:abstractNumId w:val="422"/>
  </w:num>
  <w:num w:numId="2">
    <w:abstractNumId w:val="49"/>
  </w:num>
  <w:num w:numId="3">
    <w:abstractNumId w:val="338"/>
  </w:num>
  <w:num w:numId="4">
    <w:abstractNumId w:val="116"/>
  </w:num>
  <w:num w:numId="5">
    <w:abstractNumId w:val="510"/>
  </w:num>
  <w:num w:numId="6">
    <w:abstractNumId w:val="382"/>
  </w:num>
  <w:num w:numId="7">
    <w:abstractNumId w:val="10"/>
  </w:num>
  <w:num w:numId="8">
    <w:abstractNumId w:val="57"/>
  </w:num>
  <w:num w:numId="9">
    <w:abstractNumId w:val="315"/>
  </w:num>
  <w:num w:numId="10">
    <w:abstractNumId w:val="15"/>
  </w:num>
  <w:num w:numId="11">
    <w:abstractNumId w:val="181"/>
  </w:num>
  <w:num w:numId="12">
    <w:abstractNumId w:val="442"/>
  </w:num>
  <w:num w:numId="13">
    <w:abstractNumId w:val="28"/>
  </w:num>
  <w:num w:numId="14">
    <w:abstractNumId w:val="474"/>
  </w:num>
  <w:num w:numId="15">
    <w:abstractNumId w:val="118"/>
  </w:num>
  <w:num w:numId="16">
    <w:abstractNumId w:val="198"/>
  </w:num>
  <w:num w:numId="17">
    <w:abstractNumId w:val="82"/>
  </w:num>
  <w:num w:numId="18">
    <w:abstractNumId w:val="481"/>
  </w:num>
  <w:num w:numId="19">
    <w:abstractNumId w:val="313"/>
  </w:num>
  <w:num w:numId="20">
    <w:abstractNumId w:val="480"/>
  </w:num>
  <w:num w:numId="21">
    <w:abstractNumId w:val="318"/>
  </w:num>
  <w:num w:numId="22">
    <w:abstractNumId w:val="41"/>
  </w:num>
  <w:num w:numId="23">
    <w:abstractNumId w:val="233"/>
  </w:num>
  <w:num w:numId="24">
    <w:abstractNumId w:val="487"/>
  </w:num>
  <w:num w:numId="25">
    <w:abstractNumId w:val="114"/>
  </w:num>
  <w:num w:numId="26">
    <w:abstractNumId w:val="217"/>
  </w:num>
  <w:num w:numId="27">
    <w:abstractNumId w:val="64"/>
  </w:num>
  <w:num w:numId="28">
    <w:abstractNumId w:val="479"/>
  </w:num>
  <w:num w:numId="29">
    <w:abstractNumId w:val="449"/>
  </w:num>
  <w:num w:numId="30">
    <w:abstractNumId w:val="260"/>
  </w:num>
  <w:num w:numId="31">
    <w:abstractNumId w:val="180"/>
  </w:num>
  <w:num w:numId="32">
    <w:abstractNumId w:val="541"/>
  </w:num>
  <w:num w:numId="33">
    <w:abstractNumId w:val="18"/>
  </w:num>
  <w:num w:numId="34">
    <w:abstractNumId w:val="415"/>
  </w:num>
  <w:num w:numId="35">
    <w:abstractNumId w:val="311"/>
  </w:num>
  <w:num w:numId="36">
    <w:abstractNumId w:val="379"/>
  </w:num>
  <w:num w:numId="37">
    <w:abstractNumId w:val="172"/>
  </w:num>
  <w:num w:numId="38">
    <w:abstractNumId w:val="324"/>
  </w:num>
  <w:num w:numId="39">
    <w:abstractNumId w:val="238"/>
  </w:num>
  <w:num w:numId="40">
    <w:abstractNumId w:val="524"/>
  </w:num>
  <w:num w:numId="41">
    <w:abstractNumId w:val="303"/>
  </w:num>
  <w:num w:numId="42">
    <w:abstractNumId w:val="275"/>
  </w:num>
  <w:num w:numId="43">
    <w:abstractNumId w:val="220"/>
  </w:num>
  <w:num w:numId="44">
    <w:abstractNumId w:val="443"/>
  </w:num>
  <w:num w:numId="45">
    <w:abstractNumId w:val="548"/>
  </w:num>
  <w:num w:numId="46">
    <w:abstractNumId w:val="24"/>
  </w:num>
  <w:num w:numId="47">
    <w:abstractNumId w:val="420"/>
  </w:num>
  <w:num w:numId="48">
    <w:abstractNumId w:val="11"/>
  </w:num>
  <w:num w:numId="49">
    <w:abstractNumId w:val="285"/>
  </w:num>
  <w:num w:numId="50">
    <w:abstractNumId w:val="436"/>
  </w:num>
  <w:num w:numId="51">
    <w:abstractNumId w:val="228"/>
  </w:num>
  <w:num w:numId="52">
    <w:abstractNumId w:val="477"/>
  </w:num>
  <w:num w:numId="53">
    <w:abstractNumId w:val="419"/>
  </w:num>
  <w:num w:numId="54">
    <w:abstractNumId w:val="498"/>
  </w:num>
  <w:num w:numId="55">
    <w:abstractNumId w:val="457"/>
  </w:num>
  <w:num w:numId="56">
    <w:abstractNumId w:val="525"/>
  </w:num>
  <w:num w:numId="57">
    <w:abstractNumId w:val="520"/>
  </w:num>
  <w:num w:numId="58">
    <w:abstractNumId w:val="17"/>
  </w:num>
  <w:num w:numId="59">
    <w:abstractNumId w:val="204"/>
  </w:num>
  <w:num w:numId="60">
    <w:abstractNumId w:val="123"/>
  </w:num>
  <w:num w:numId="61">
    <w:abstractNumId w:val="71"/>
  </w:num>
  <w:num w:numId="62">
    <w:abstractNumId w:val="45"/>
  </w:num>
  <w:num w:numId="63">
    <w:abstractNumId w:val="171"/>
  </w:num>
  <w:num w:numId="64">
    <w:abstractNumId w:val="416"/>
  </w:num>
  <w:num w:numId="65">
    <w:abstractNumId w:val="115"/>
  </w:num>
  <w:num w:numId="66">
    <w:abstractNumId w:val="277"/>
  </w:num>
  <w:num w:numId="67">
    <w:abstractNumId w:val="106"/>
  </w:num>
  <w:num w:numId="68">
    <w:abstractNumId w:val="489"/>
  </w:num>
  <w:num w:numId="69">
    <w:abstractNumId w:val="350"/>
  </w:num>
  <w:num w:numId="70">
    <w:abstractNumId w:val="283"/>
  </w:num>
  <w:num w:numId="71">
    <w:abstractNumId w:val="340"/>
  </w:num>
  <w:num w:numId="72">
    <w:abstractNumId w:val="202"/>
  </w:num>
  <w:num w:numId="73">
    <w:abstractNumId w:val="288"/>
  </w:num>
  <w:num w:numId="74">
    <w:abstractNumId w:val="332"/>
  </w:num>
  <w:num w:numId="75">
    <w:abstractNumId w:val="309"/>
  </w:num>
  <w:num w:numId="76">
    <w:abstractNumId w:val="325"/>
  </w:num>
  <w:num w:numId="77">
    <w:abstractNumId w:val="502"/>
  </w:num>
  <w:num w:numId="78">
    <w:abstractNumId w:val="108"/>
  </w:num>
  <w:num w:numId="79">
    <w:abstractNumId w:val="354"/>
  </w:num>
  <w:num w:numId="80">
    <w:abstractNumId w:val="149"/>
  </w:num>
  <w:num w:numId="81">
    <w:abstractNumId w:val="329"/>
  </w:num>
  <w:num w:numId="82">
    <w:abstractNumId w:val="308"/>
  </w:num>
  <w:num w:numId="83">
    <w:abstractNumId w:val="81"/>
  </w:num>
  <w:num w:numId="84">
    <w:abstractNumId w:val="133"/>
  </w:num>
  <w:num w:numId="85">
    <w:abstractNumId w:val="207"/>
  </w:num>
  <w:num w:numId="86">
    <w:abstractNumId w:val="97"/>
  </w:num>
  <w:num w:numId="87">
    <w:abstractNumId w:val="472"/>
  </w:num>
  <w:num w:numId="88">
    <w:abstractNumId w:val="386"/>
  </w:num>
  <w:num w:numId="89">
    <w:abstractNumId w:val="48"/>
  </w:num>
  <w:num w:numId="90">
    <w:abstractNumId w:val="201"/>
  </w:num>
  <w:num w:numId="91">
    <w:abstractNumId w:val="36"/>
  </w:num>
  <w:num w:numId="92">
    <w:abstractNumId w:val="158"/>
  </w:num>
  <w:num w:numId="93">
    <w:abstractNumId w:val="58"/>
  </w:num>
  <w:num w:numId="94">
    <w:abstractNumId w:val="23"/>
  </w:num>
  <w:num w:numId="95">
    <w:abstractNumId w:val="515"/>
  </w:num>
  <w:num w:numId="96">
    <w:abstractNumId w:val="196"/>
  </w:num>
  <w:num w:numId="97">
    <w:abstractNumId w:val="146"/>
  </w:num>
  <w:num w:numId="98">
    <w:abstractNumId w:val="295"/>
  </w:num>
  <w:num w:numId="99">
    <w:abstractNumId w:val="310"/>
  </w:num>
  <w:num w:numId="100">
    <w:abstractNumId w:val="272"/>
  </w:num>
  <w:num w:numId="101">
    <w:abstractNumId w:val="151"/>
  </w:num>
  <w:num w:numId="102">
    <w:abstractNumId w:val="281"/>
  </w:num>
  <w:num w:numId="103">
    <w:abstractNumId w:val="494"/>
  </w:num>
  <w:num w:numId="104">
    <w:abstractNumId w:val="294"/>
  </w:num>
  <w:num w:numId="105">
    <w:abstractNumId w:val="461"/>
  </w:num>
  <w:num w:numId="106">
    <w:abstractNumId w:val="132"/>
  </w:num>
  <w:num w:numId="107">
    <w:abstractNumId w:val="267"/>
  </w:num>
  <w:num w:numId="108">
    <w:abstractNumId w:val="462"/>
  </w:num>
  <w:num w:numId="109">
    <w:abstractNumId w:val="92"/>
  </w:num>
  <w:num w:numId="110">
    <w:abstractNumId w:val="360"/>
  </w:num>
  <w:num w:numId="111">
    <w:abstractNumId w:val="168"/>
  </w:num>
  <w:num w:numId="112">
    <w:abstractNumId w:val="555"/>
  </w:num>
  <w:num w:numId="113">
    <w:abstractNumId w:val="465"/>
  </w:num>
  <w:num w:numId="114">
    <w:abstractNumId w:val="299"/>
  </w:num>
  <w:num w:numId="115">
    <w:abstractNumId w:val="458"/>
  </w:num>
  <w:num w:numId="116">
    <w:abstractNumId w:val="148"/>
  </w:num>
  <w:num w:numId="117">
    <w:abstractNumId w:val="519"/>
  </w:num>
  <w:num w:numId="118">
    <w:abstractNumId w:val="469"/>
  </w:num>
  <w:num w:numId="119">
    <w:abstractNumId w:val="246"/>
  </w:num>
  <w:num w:numId="120">
    <w:abstractNumId w:val="497"/>
  </w:num>
  <w:num w:numId="121">
    <w:abstractNumId w:val="72"/>
  </w:num>
  <w:num w:numId="122">
    <w:abstractNumId w:val="413"/>
  </w:num>
  <w:num w:numId="123">
    <w:abstractNumId w:val="300"/>
  </w:num>
  <w:num w:numId="124">
    <w:abstractNumId w:val="346"/>
  </w:num>
  <w:num w:numId="125">
    <w:abstractNumId w:val="400"/>
  </w:num>
  <w:num w:numId="126">
    <w:abstractNumId w:val="408"/>
  </w:num>
  <w:num w:numId="127">
    <w:abstractNumId w:val="191"/>
  </w:num>
  <w:num w:numId="128">
    <w:abstractNumId w:val="304"/>
  </w:num>
  <w:num w:numId="129">
    <w:abstractNumId w:val="167"/>
  </w:num>
  <w:num w:numId="130">
    <w:abstractNumId w:val="378"/>
  </w:num>
  <w:num w:numId="131">
    <w:abstractNumId w:val="499"/>
  </w:num>
  <w:num w:numId="132">
    <w:abstractNumId w:val="131"/>
  </w:num>
  <w:num w:numId="133">
    <w:abstractNumId w:val="43"/>
  </w:num>
  <w:num w:numId="134">
    <w:abstractNumId w:val="544"/>
  </w:num>
  <w:num w:numId="135">
    <w:abstractNumId w:val="155"/>
  </w:num>
  <w:num w:numId="136">
    <w:abstractNumId w:val="297"/>
  </w:num>
  <w:num w:numId="137">
    <w:abstractNumId w:val="417"/>
  </w:num>
  <w:num w:numId="138">
    <w:abstractNumId w:val="352"/>
  </w:num>
  <w:num w:numId="139">
    <w:abstractNumId w:val="76"/>
  </w:num>
  <w:num w:numId="140">
    <w:abstractNumId w:val="429"/>
  </w:num>
  <w:num w:numId="141">
    <w:abstractNumId w:val="93"/>
  </w:num>
  <w:num w:numId="142">
    <w:abstractNumId w:val="145"/>
  </w:num>
  <w:num w:numId="143">
    <w:abstractNumId w:val="255"/>
  </w:num>
  <w:num w:numId="144">
    <w:abstractNumId w:val="229"/>
  </w:num>
  <w:num w:numId="145">
    <w:abstractNumId w:val="511"/>
  </w:num>
  <w:num w:numId="146">
    <w:abstractNumId w:val="169"/>
  </w:num>
  <w:num w:numId="147">
    <w:abstractNumId w:val="513"/>
  </w:num>
  <w:num w:numId="148">
    <w:abstractNumId w:val="437"/>
  </w:num>
  <w:num w:numId="149">
    <w:abstractNumId w:val="176"/>
  </w:num>
  <w:num w:numId="150">
    <w:abstractNumId w:val="451"/>
  </w:num>
  <w:num w:numId="151">
    <w:abstractNumId w:val="427"/>
  </w:num>
  <w:num w:numId="152">
    <w:abstractNumId w:val="431"/>
  </w:num>
  <w:num w:numId="153">
    <w:abstractNumId w:val="27"/>
  </w:num>
  <w:num w:numId="154">
    <w:abstractNumId w:val="435"/>
  </w:num>
  <w:num w:numId="155">
    <w:abstractNumId w:val="159"/>
  </w:num>
  <w:num w:numId="156">
    <w:abstractNumId w:val="357"/>
  </w:num>
  <w:num w:numId="157">
    <w:abstractNumId w:val="368"/>
  </w:num>
  <w:num w:numId="158">
    <w:abstractNumId w:val="323"/>
  </w:num>
  <w:num w:numId="159">
    <w:abstractNumId w:val="365"/>
  </w:num>
  <w:num w:numId="160">
    <w:abstractNumId w:val="373"/>
  </w:num>
  <w:num w:numId="161">
    <w:abstractNumId w:val="163"/>
  </w:num>
  <w:num w:numId="162">
    <w:abstractNumId w:val="279"/>
  </w:num>
  <w:num w:numId="163">
    <w:abstractNumId w:val="380"/>
  </w:num>
  <w:num w:numId="164">
    <w:abstractNumId w:val="258"/>
  </w:num>
  <w:num w:numId="165">
    <w:abstractNumId w:val="135"/>
  </w:num>
  <w:num w:numId="166">
    <w:abstractNumId w:val="182"/>
  </w:num>
  <w:num w:numId="167">
    <w:abstractNumId w:val="523"/>
  </w:num>
  <w:num w:numId="168">
    <w:abstractNumId w:val="75"/>
  </w:num>
  <w:num w:numId="169">
    <w:abstractNumId w:val="29"/>
  </w:num>
  <w:num w:numId="170">
    <w:abstractNumId w:val="121"/>
  </w:num>
  <w:num w:numId="171">
    <w:abstractNumId w:val="212"/>
  </w:num>
  <w:num w:numId="172">
    <w:abstractNumId w:val="528"/>
  </w:num>
  <w:num w:numId="173">
    <w:abstractNumId w:val="358"/>
  </w:num>
  <w:num w:numId="174">
    <w:abstractNumId w:val="65"/>
  </w:num>
  <w:num w:numId="175">
    <w:abstractNumId w:val="184"/>
  </w:num>
  <w:num w:numId="176">
    <w:abstractNumId w:val="553"/>
  </w:num>
  <w:num w:numId="177">
    <w:abstractNumId w:val="441"/>
  </w:num>
  <w:num w:numId="178">
    <w:abstractNumId w:val="509"/>
  </w:num>
  <w:num w:numId="179">
    <w:abstractNumId w:val="483"/>
  </w:num>
  <w:num w:numId="180">
    <w:abstractNumId w:val="252"/>
  </w:num>
  <w:num w:numId="181">
    <w:abstractNumId w:val="289"/>
  </w:num>
  <w:num w:numId="182">
    <w:abstractNumId w:val="91"/>
  </w:num>
  <w:num w:numId="183">
    <w:abstractNumId w:val="20"/>
  </w:num>
  <w:num w:numId="184">
    <w:abstractNumId w:val="460"/>
  </w:num>
  <w:num w:numId="185">
    <w:abstractNumId w:val="188"/>
  </w:num>
  <w:num w:numId="186">
    <w:abstractNumId w:val="179"/>
  </w:num>
  <w:num w:numId="187">
    <w:abstractNumId w:val="104"/>
  </w:num>
  <w:num w:numId="188">
    <w:abstractNumId w:val="531"/>
  </w:num>
  <w:num w:numId="189">
    <w:abstractNumId w:val="375"/>
  </w:num>
  <w:num w:numId="190">
    <w:abstractNumId w:val="514"/>
  </w:num>
  <w:num w:numId="191">
    <w:abstractNumId w:val="245"/>
  </w:num>
  <w:num w:numId="192">
    <w:abstractNumId w:val="68"/>
  </w:num>
  <w:num w:numId="193">
    <w:abstractNumId w:val="287"/>
  </w:num>
  <w:num w:numId="194">
    <w:abstractNumId w:val="314"/>
  </w:num>
  <w:num w:numId="195">
    <w:abstractNumId w:val="298"/>
  </w:num>
  <w:num w:numId="196">
    <w:abstractNumId w:val="248"/>
  </w:num>
  <w:num w:numId="197">
    <w:abstractNumId w:val="353"/>
  </w:num>
  <w:num w:numId="198">
    <w:abstractNumId w:val="322"/>
  </w:num>
  <w:num w:numId="199">
    <w:abstractNumId w:val="80"/>
  </w:num>
  <w:num w:numId="200">
    <w:abstractNumId w:val="175"/>
  </w:num>
  <w:num w:numId="201">
    <w:abstractNumId w:val="364"/>
  </w:num>
  <w:num w:numId="202">
    <w:abstractNumId w:val="199"/>
  </w:num>
  <w:num w:numId="203">
    <w:abstractNumId w:val="342"/>
  </w:num>
  <w:num w:numId="204">
    <w:abstractNumId w:val="440"/>
  </w:num>
  <w:num w:numId="205">
    <w:abstractNumId w:val="331"/>
  </w:num>
  <w:num w:numId="206">
    <w:abstractNumId w:val="134"/>
  </w:num>
  <w:num w:numId="207">
    <w:abstractNumId w:val="336"/>
  </w:num>
  <w:num w:numId="208">
    <w:abstractNumId w:val="459"/>
  </w:num>
  <w:num w:numId="209">
    <w:abstractNumId w:val="533"/>
  </w:num>
  <w:num w:numId="210">
    <w:abstractNumId w:val="369"/>
  </w:num>
  <w:num w:numId="211">
    <w:abstractNumId w:val="129"/>
  </w:num>
  <w:num w:numId="212">
    <w:abstractNumId w:val="264"/>
  </w:num>
  <w:num w:numId="213">
    <w:abstractNumId w:val="119"/>
  </w:num>
  <w:num w:numId="214">
    <w:abstractNumId w:val="187"/>
  </w:num>
  <w:num w:numId="215">
    <w:abstractNumId w:val="35"/>
  </w:num>
  <w:num w:numId="216">
    <w:abstractNumId w:val="69"/>
  </w:num>
  <w:num w:numId="217">
    <w:abstractNumId w:val="240"/>
  </w:num>
  <w:num w:numId="218">
    <w:abstractNumId w:val="463"/>
  </w:num>
  <w:num w:numId="219">
    <w:abstractNumId w:val="554"/>
  </w:num>
  <w:num w:numId="220">
    <w:abstractNumId w:val="330"/>
  </w:num>
  <w:num w:numId="221">
    <w:abstractNumId w:val="473"/>
  </w:num>
  <w:num w:numId="222">
    <w:abstractNumId w:val="128"/>
  </w:num>
  <w:num w:numId="223">
    <w:abstractNumId w:val="526"/>
  </w:num>
  <w:num w:numId="224">
    <w:abstractNumId w:val="234"/>
  </w:num>
  <w:num w:numId="225">
    <w:abstractNumId w:val="19"/>
  </w:num>
  <w:num w:numId="226">
    <w:abstractNumId w:val="424"/>
  </w:num>
  <w:num w:numId="227">
    <w:abstractNumId w:val="426"/>
  </w:num>
  <w:num w:numId="228">
    <w:abstractNumId w:val="8"/>
  </w:num>
  <w:num w:numId="229">
    <w:abstractNumId w:val="209"/>
  </w:num>
  <w:num w:numId="230">
    <w:abstractNumId w:val="550"/>
  </w:num>
  <w:num w:numId="231">
    <w:abstractNumId w:val="46"/>
  </w:num>
  <w:num w:numId="232">
    <w:abstractNumId w:val="102"/>
  </w:num>
  <w:num w:numId="233">
    <w:abstractNumId w:val="508"/>
  </w:num>
  <w:num w:numId="234">
    <w:abstractNumId w:val="394"/>
  </w:num>
  <w:num w:numId="235">
    <w:abstractNumId w:val="468"/>
  </w:num>
  <w:num w:numId="236">
    <w:abstractNumId w:val="88"/>
  </w:num>
  <w:num w:numId="237">
    <w:abstractNumId w:val="490"/>
  </w:num>
  <w:num w:numId="238">
    <w:abstractNumId w:val="218"/>
  </w:num>
  <w:num w:numId="239">
    <w:abstractNumId w:val="239"/>
  </w:num>
  <w:num w:numId="240">
    <w:abstractNumId w:val="527"/>
  </w:num>
  <w:num w:numId="241">
    <w:abstractNumId w:val="505"/>
  </w:num>
  <w:num w:numId="242">
    <w:abstractNumId w:val="507"/>
  </w:num>
  <w:num w:numId="243">
    <w:abstractNumId w:val="33"/>
  </w:num>
  <w:num w:numId="244">
    <w:abstractNumId w:val="453"/>
  </w:num>
  <w:num w:numId="245">
    <w:abstractNumId w:val="407"/>
  </w:num>
  <w:num w:numId="246">
    <w:abstractNumId w:val="211"/>
  </w:num>
  <w:num w:numId="247">
    <w:abstractNumId w:val="454"/>
  </w:num>
  <w:num w:numId="248">
    <w:abstractNumId w:val="236"/>
  </w:num>
  <w:num w:numId="249">
    <w:abstractNumId w:val="351"/>
  </w:num>
  <w:num w:numId="250">
    <w:abstractNumId w:val="421"/>
  </w:num>
  <w:num w:numId="251">
    <w:abstractNumId w:val="486"/>
  </w:num>
  <w:num w:numId="252">
    <w:abstractNumId w:val="478"/>
  </w:num>
  <w:num w:numId="253">
    <w:abstractNumId w:val="549"/>
  </w:num>
  <w:num w:numId="254">
    <w:abstractNumId w:val="410"/>
  </w:num>
  <w:num w:numId="255">
    <w:abstractNumId w:val="185"/>
  </w:num>
  <w:num w:numId="256">
    <w:abstractNumId w:val="348"/>
  </w:num>
  <w:num w:numId="257">
    <w:abstractNumId w:val="319"/>
  </w:num>
  <w:num w:numId="258">
    <w:abstractNumId w:val="512"/>
  </w:num>
  <w:num w:numId="259">
    <w:abstractNumId w:val="164"/>
  </w:num>
  <w:num w:numId="260">
    <w:abstractNumId w:val="475"/>
  </w:num>
  <w:num w:numId="261">
    <w:abstractNumId w:val="215"/>
  </w:num>
  <w:num w:numId="262">
    <w:abstractNumId w:val="547"/>
  </w:num>
  <w:num w:numId="263">
    <w:abstractNumId w:val="183"/>
  </w:num>
  <w:num w:numId="264">
    <w:abstractNumId w:val="147"/>
  </w:num>
  <w:num w:numId="265">
    <w:abstractNumId w:val="89"/>
  </w:num>
  <w:num w:numId="266">
    <w:abstractNumId w:val="210"/>
  </w:num>
  <w:num w:numId="267">
    <w:abstractNumId w:val="208"/>
  </w:num>
  <w:num w:numId="268">
    <w:abstractNumId w:val="5"/>
  </w:num>
  <w:num w:numId="269">
    <w:abstractNumId w:val="411"/>
  </w:num>
  <w:num w:numId="270">
    <w:abstractNumId w:val="21"/>
  </w:num>
  <w:num w:numId="271">
    <w:abstractNumId w:val="60"/>
  </w:num>
  <w:num w:numId="272">
    <w:abstractNumId w:val="249"/>
  </w:num>
  <w:num w:numId="273">
    <w:abstractNumId w:val="90"/>
  </w:num>
  <w:num w:numId="274">
    <w:abstractNumId w:val="367"/>
  </w:num>
  <w:num w:numId="275">
    <w:abstractNumId w:val="447"/>
  </w:num>
  <w:num w:numId="276">
    <w:abstractNumId w:val="414"/>
  </w:num>
  <w:num w:numId="277">
    <w:abstractNumId w:val="251"/>
  </w:num>
  <w:num w:numId="278">
    <w:abstractNumId w:val="312"/>
  </w:num>
  <w:num w:numId="279">
    <w:abstractNumId w:val="301"/>
  </w:num>
  <w:num w:numId="280">
    <w:abstractNumId w:val="51"/>
  </w:num>
  <w:num w:numId="281">
    <w:abstractNumId w:val="2"/>
  </w:num>
  <w:num w:numId="282">
    <w:abstractNumId w:val="259"/>
  </w:num>
  <w:num w:numId="283">
    <w:abstractNumId w:val="341"/>
  </w:num>
  <w:num w:numId="284">
    <w:abstractNumId w:val="266"/>
  </w:num>
  <w:num w:numId="285">
    <w:abstractNumId w:val="137"/>
  </w:num>
  <w:num w:numId="286">
    <w:abstractNumId w:val="32"/>
  </w:num>
  <w:num w:numId="287">
    <w:abstractNumId w:val="203"/>
  </w:num>
  <w:num w:numId="288">
    <w:abstractNumId w:val="100"/>
  </w:num>
  <w:num w:numId="289">
    <w:abstractNumId w:val="250"/>
  </w:num>
  <w:num w:numId="290">
    <w:abstractNumId w:val="4"/>
  </w:num>
  <w:num w:numId="291">
    <w:abstractNumId w:val="66"/>
  </w:num>
  <w:num w:numId="292">
    <w:abstractNumId w:val="150"/>
  </w:num>
  <w:num w:numId="293">
    <w:abstractNumId w:val="55"/>
  </w:num>
  <w:num w:numId="294">
    <w:abstractNumId w:val="385"/>
  </w:num>
  <w:num w:numId="295">
    <w:abstractNumId w:val="433"/>
  </w:num>
  <w:num w:numId="296">
    <w:abstractNumId w:val="518"/>
  </w:num>
  <w:num w:numId="297">
    <w:abstractNumId w:val="219"/>
  </w:num>
  <w:num w:numId="298">
    <w:abstractNumId w:val="425"/>
  </w:num>
  <w:num w:numId="299">
    <w:abstractNumId w:val="280"/>
  </w:num>
  <w:num w:numId="300">
    <w:abstractNumId w:val="243"/>
  </w:num>
  <w:num w:numId="301">
    <w:abstractNumId w:val="537"/>
  </w:num>
  <w:num w:numId="302">
    <w:abstractNumId w:val="517"/>
  </w:num>
  <w:num w:numId="303">
    <w:abstractNumId w:val="516"/>
  </w:num>
  <w:num w:numId="304">
    <w:abstractNumId w:val="395"/>
  </w:num>
  <w:num w:numId="305">
    <w:abstractNumId w:val="271"/>
  </w:num>
  <w:num w:numId="306">
    <w:abstractNumId w:val="377"/>
  </w:num>
  <w:num w:numId="307">
    <w:abstractNumId w:val="242"/>
  </w:num>
  <w:num w:numId="308">
    <w:abstractNumId w:val="296"/>
  </w:num>
  <w:num w:numId="309">
    <w:abstractNumId w:val="282"/>
  </w:num>
  <w:num w:numId="310">
    <w:abstractNumId w:val="125"/>
  </w:num>
  <w:num w:numId="311">
    <w:abstractNumId w:val="409"/>
  </w:num>
  <w:num w:numId="312">
    <w:abstractNumId w:val="95"/>
  </w:num>
  <w:num w:numId="313">
    <w:abstractNumId w:val="231"/>
  </w:num>
  <w:num w:numId="314">
    <w:abstractNumId w:val="355"/>
  </w:num>
  <w:num w:numId="315">
    <w:abstractNumId w:val="177"/>
  </w:num>
  <w:num w:numId="316">
    <w:abstractNumId w:val="269"/>
  </w:num>
  <w:num w:numId="317">
    <w:abstractNumId w:val="471"/>
  </w:num>
  <w:num w:numId="318">
    <w:abstractNumId w:val="344"/>
  </w:num>
  <w:num w:numId="319">
    <w:abstractNumId w:val="124"/>
  </w:num>
  <w:num w:numId="320">
    <w:abstractNumId w:val="392"/>
  </w:num>
  <w:num w:numId="321">
    <w:abstractNumId w:val="47"/>
  </w:num>
  <w:num w:numId="322">
    <w:abstractNumId w:val="534"/>
  </w:num>
  <w:num w:numId="323">
    <w:abstractNumId w:val="84"/>
  </w:num>
  <w:num w:numId="324">
    <w:abstractNumId w:val="363"/>
  </w:num>
  <w:num w:numId="325">
    <w:abstractNumId w:val="482"/>
  </w:num>
  <w:num w:numId="326">
    <w:abstractNumId w:val="111"/>
  </w:num>
  <w:num w:numId="327">
    <w:abstractNumId w:val="154"/>
  </w:num>
  <w:num w:numId="328">
    <w:abstractNumId w:val="361"/>
  </w:num>
  <w:num w:numId="329">
    <w:abstractNumId w:val="467"/>
  </w:num>
  <w:num w:numId="330">
    <w:abstractNumId w:val="193"/>
  </w:num>
  <w:num w:numId="331">
    <w:abstractNumId w:val="79"/>
  </w:num>
  <w:num w:numId="332">
    <w:abstractNumId w:val="538"/>
  </w:num>
  <w:num w:numId="333">
    <w:abstractNumId w:val="110"/>
  </w:num>
  <w:num w:numId="334">
    <w:abstractNumId w:val="83"/>
  </w:num>
  <w:num w:numId="335">
    <w:abstractNumId w:val="500"/>
  </w:num>
  <w:num w:numId="336">
    <w:abstractNumId w:val="455"/>
  </w:num>
  <w:num w:numId="337">
    <w:abstractNumId w:val="393"/>
  </w:num>
  <w:num w:numId="338">
    <w:abstractNumId w:val="224"/>
  </w:num>
  <w:num w:numId="339">
    <w:abstractNumId w:val="12"/>
  </w:num>
  <w:num w:numId="340">
    <w:abstractNumId w:val="253"/>
  </w:num>
  <w:num w:numId="341">
    <w:abstractNumId w:val="256"/>
  </w:num>
  <w:num w:numId="342">
    <w:abstractNumId w:val="270"/>
  </w:num>
  <w:num w:numId="343">
    <w:abstractNumId w:val="493"/>
  </w:num>
  <w:num w:numId="344">
    <w:abstractNumId w:val="390"/>
  </w:num>
  <w:num w:numId="345">
    <w:abstractNumId w:val="268"/>
  </w:num>
  <w:num w:numId="346">
    <w:abstractNumId w:val="186"/>
  </w:num>
  <w:num w:numId="347">
    <w:abstractNumId w:val="120"/>
  </w:num>
  <w:num w:numId="348">
    <w:abstractNumId w:val="448"/>
  </w:num>
  <w:num w:numId="349">
    <w:abstractNumId w:val="430"/>
  </w:num>
  <w:num w:numId="350">
    <w:abstractNumId w:val="418"/>
  </w:num>
  <w:num w:numId="351">
    <w:abstractNumId w:val="293"/>
  </w:num>
  <w:num w:numId="352">
    <w:abstractNumId w:val="552"/>
  </w:num>
  <w:num w:numId="353">
    <w:abstractNumId w:val="153"/>
  </w:num>
  <w:num w:numId="354">
    <w:abstractNumId w:val="9"/>
  </w:num>
  <w:num w:numId="355">
    <w:abstractNumId w:val="213"/>
  </w:num>
  <w:num w:numId="356">
    <w:abstractNumId w:val="160"/>
  </w:num>
  <w:num w:numId="357">
    <w:abstractNumId w:val="402"/>
  </w:num>
  <w:num w:numId="358">
    <w:abstractNumId w:val="42"/>
  </w:num>
  <w:num w:numId="359">
    <w:abstractNumId w:val="25"/>
  </w:num>
  <w:num w:numId="360">
    <w:abstractNumId w:val="74"/>
  </w:num>
  <w:num w:numId="361">
    <w:abstractNumId w:val="366"/>
  </w:num>
  <w:num w:numId="362">
    <w:abstractNumId w:val="13"/>
  </w:num>
  <w:num w:numId="363">
    <w:abstractNumId w:val="372"/>
  </w:num>
  <w:num w:numId="364">
    <w:abstractNumId w:val="54"/>
  </w:num>
  <w:num w:numId="365">
    <w:abstractNumId w:val="30"/>
  </w:num>
  <w:num w:numId="366">
    <w:abstractNumId w:val="214"/>
  </w:num>
  <w:num w:numId="367">
    <w:abstractNumId w:val="197"/>
  </w:num>
  <w:num w:numId="368">
    <w:abstractNumId w:val="61"/>
  </w:num>
  <w:num w:numId="369">
    <w:abstractNumId w:val="235"/>
  </w:num>
  <w:num w:numId="370">
    <w:abstractNumId w:val="328"/>
  </w:num>
  <w:num w:numId="371">
    <w:abstractNumId w:val="192"/>
  </w:num>
  <w:num w:numId="372">
    <w:abstractNumId w:val="450"/>
  </w:num>
  <w:num w:numId="373">
    <w:abstractNumId w:val="127"/>
  </w:num>
  <w:num w:numId="374">
    <w:abstractNumId w:val="545"/>
  </w:num>
  <w:num w:numId="375">
    <w:abstractNumId w:val="117"/>
  </w:num>
  <w:num w:numId="376">
    <w:abstractNumId w:val="522"/>
  </w:num>
  <w:num w:numId="377">
    <w:abstractNumId w:val="142"/>
  </w:num>
  <w:num w:numId="378">
    <w:abstractNumId w:val="317"/>
  </w:num>
  <w:num w:numId="379">
    <w:abstractNumId w:val="156"/>
  </w:num>
  <w:num w:numId="380">
    <w:abstractNumId w:val="170"/>
  </w:num>
  <w:num w:numId="381">
    <w:abstractNumId w:val="286"/>
  </w:num>
  <w:num w:numId="382">
    <w:abstractNumId w:val="401"/>
  </w:num>
  <w:num w:numId="383">
    <w:abstractNumId w:val="200"/>
  </w:num>
  <w:num w:numId="384">
    <w:abstractNumId w:val="501"/>
  </w:num>
  <w:num w:numId="385">
    <w:abstractNumId w:val="412"/>
  </w:num>
  <w:num w:numId="386">
    <w:abstractNumId w:val="399"/>
  </w:num>
  <w:num w:numId="387">
    <w:abstractNumId w:val="152"/>
  </w:num>
  <w:num w:numId="388">
    <w:abstractNumId w:val="257"/>
  </w:num>
  <w:num w:numId="389">
    <w:abstractNumId w:val="126"/>
  </w:num>
  <w:num w:numId="390">
    <w:abstractNumId w:val="227"/>
  </w:num>
  <w:num w:numId="391">
    <w:abstractNumId w:val="99"/>
  </w:num>
  <w:num w:numId="392">
    <w:abstractNumId w:val="37"/>
  </w:num>
  <w:num w:numId="393">
    <w:abstractNumId w:val="274"/>
  </w:num>
  <w:num w:numId="394">
    <w:abstractNumId w:val="274"/>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6"/>
  </w:num>
  <w:num w:numId="396">
    <w:abstractNumId w:val="26"/>
    <w:lvlOverride w:ilvl="0">
      <w:lvl w:ilvl="0">
        <w:start w:val="1"/>
        <w:numFmt w:val="decimal"/>
        <w:lvlText w:val="%1. "/>
        <w:legacy w:legacy="1" w:legacySpace="0" w:legacyIndent="283"/>
        <w:lvlJc w:val="left"/>
        <w:pPr>
          <w:ind w:left="283" w:hanging="283"/>
        </w:pPr>
        <w:rPr>
          <w:b w:val="0"/>
          <w:i w:val="0"/>
          <w:sz w:val="24"/>
        </w:rPr>
      </w:lvl>
    </w:lvlOverride>
  </w:num>
  <w:num w:numId="397">
    <w:abstractNumId w:val="138"/>
  </w:num>
  <w:num w:numId="398">
    <w:abstractNumId w:val="138"/>
    <w:lvlOverride w:ilvl="0">
      <w:lvl w:ilvl="0">
        <w:start w:val="1"/>
        <w:numFmt w:val="decimal"/>
        <w:lvlText w:val="%1. "/>
        <w:legacy w:legacy="1" w:legacySpace="0" w:legacyIndent="283"/>
        <w:lvlJc w:val="left"/>
        <w:pPr>
          <w:ind w:left="283" w:hanging="283"/>
        </w:pPr>
        <w:rPr>
          <w:b w:val="0"/>
          <w:i w:val="0"/>
          <w:sz w:val="24"/>
        </w:rPr>
      </w:lvl>
    </w:lvlOverride>
  </w:num>
  <w:num w:numId="399">
    <w:abstractNumId w:val="223"/>
  </w:num>
  <w:num w:numId="400">
    <w:abstractNumId w:val="439"/>
  </w:num>
  <w:num w:numId="401">
    <w:abstractNumId w:val="362"/>
  </w:num>
  <w:num w:numId="402">
    <w:abstractNumId w:val="464"/>
  </w:num>
  <w:num w:numId="403">
    <w:abstractNumId w:val="165"/>
  </w:num>
  <w:num w:numId="404">
    <w:abstractNumId w:val="87"/>
  </w:num>
  <w:num w:numId="405">
    <w:abstractNumId w:val="529"/>
  </w:num>
  <w:num w:numId="406">
    <w:abstractNumId w:val="52"/>
  </w:num>
  <w:num w:numId="407">
    <w:abstractNumId w:val="225"/>
  </w:num>
  <w:num w:numId="408">
    <w:abstractNumId w:val="226"/>
  </w:num>
  <w:num w:numId="409">
    <w:abstractNumId w:val="434"/>
  </w:num>
  <w:num w:numId="410">
    <w:abstractNumId w:val="539"/>
  </w:num>
  <w:num w:numId="411">
    <w:abstractNumId w:val="59"/>
  </w:num>
  <w:num w:numId="412">
    <w:abstractNumId w:val="291"/>
  </w:num>
  <w:num w:numId="413">
    <w:abstractNumId w:val="551"/>
  </w:num>
  <w:num w:numId="414">
    <w:abstractNumId w:val="376"/>
  </w:num>
  <w:num w:numId="415">
    <w:abstractNumId w:val="305"/>
  </w:num>
  <w:num w:numId="416">
    <w:abstractNumId w:val="3"/>
  </w:num>
  <w:num w:numId="417">
    <w:abstractNumId w:val="261"/>
  </w:num>
  <w:num w:numId="418">
    <w:abstractNumId w:val="405"/>
  </w:num>
  <w:num w:numId="419">
    <w:abstractNumId w:val="174"/>
  </w:num>
  <w:num w:numId="420">
    <w:abstractNumId w:val="232"/>
  </w:num>
  <w:num w:numId="421">
    <w:abstractNumId w:val="387"/>
  </w:num>
  <w:num w:numId="422">
    <w:abstractNumId w:val="335"/>
  </w:num>
  <w:num w:numId="423">
    <w:abstractNumId w:val="85"/>
  </w:num>
  <w:num w:numId="424">
    <w:abstractNumId w:val="349"/>
  </w:num>
  <w:num w:numId="425">
    <w:abstractNumId w:val="139"/>
  </w:num>
  <w:num w:numId="426">
    <w:abstractNumId w:val="542"/>
  </w:num>
  <w:num w:numId="427">
    <w:abstractNumId w:val="39"/>
  </w:num>
  <w:num w:numId="428">
    <w:abstractNumId w:val="205"/>
  </w:num>
  <w:num w:numId="429">
    <w:abstractNumId w:val="391"/>
  </w:num>
  <w:num w:numId="430">
    <w:abstractNumId w:val="1"/>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31">
    <w:abstractNumId w:val="339"/>
  </w:num>
  <w:num w:numId="432">
    <w:abstractNumId w:val="1"/>
    <w:lvlOverride w:ilvl="0">
      <w:lvl w:ilvl="0">
        <w:start w:val="1"/>
        <w:numFmt w:val="bullet"/>
        <w:lvlText w:val=""/>
        <w:legacy w:legacy="1" w:legacySpace="0" w:legacyIndent="283"/>
        <w:lvlJc w:val="left"/>
        <w:pPr>
          <w:ind w:left="283" w:hanging="283"/>
        </w:pPr>
        <w:rPr>
          <w:rFonts w:ascii="Symbol" w:hAnsi="Symbol" w:hint="default"/>
          <w:b w:val="0"/>
          <w:i w:val="0"/>
          <w:sz w:val="28"/>
          <w:u w:val="none"/>
        </w:rPr>
      </w:lvl>
    </w:lvlOverride>
  </w:num>
  <w:num w:numId="433">
    <w:abstractNumId w:val="316"/>
  </w:num>
  <w:num w:numId="434">
    <w:abstractNumId w:val="144"/>
  </w:num>
  <w:num w:numId="435">
    <w:abstractNumId w:val="532"/>
  </w:num>
  <w:num w:numId="436">
    <w:abstractNumId w:val="504"/>
  </w:num>
  <w:num w:numId="437">
    <w:abstractNumId w:val="404"/>
  </w:num>
  <w:num w:numId="438">
    <w:abstractNumId w:val="1"/>
    <w:lvlOverride w:ilvl="0">
      <w:lvl w:ilvl="0">
        <w:start w:val="1"/>
        <w:numFmt w:val="bullet"/>
        <w:lvlText w:val=""/>
        <w:legacy w:legacy="1" w:legacySpace="0" w:legacyIndent="283"/>
        <w:lvlJc w:val="left"/>
        <w:pPr>
          <w:ind w:left="567" w:hanging="283"/>
        </w:pPr>
        <w:rPr>
          <w:rFonts w:ascii="Wingdings" w:hAnsi="Wingdings" w:hint="default"/>
          <w:b w:val="0"/>
          <w:i w:val="0"/>
          <w:sz w:val="28"/>
        </w:rPr>
      </w:lvl>
    </w:lvlOverride>
  </w:num>
  <w:num w:numId="439">
    <w:abstractNumId w:val="404"/>
    <w:lvlOverride w:ilvl="0">
      <w:lvl w:ilvl="0">
        <w:start w:val="191"/>
        <w:numFmt w:val="decimal"/>
        <w:lvlText w:val="%1. "/>
        <w:legacy w:legacy="1" w:legacySpace="0" w:legacyIndent="283"/>
        <w:lvlJc w:val="left"/>
        <w:pPr>
          <w:ind w:left="567" w:hanging="283"/>
        </w:pPr>
        <w:rPr>
          <w:b w:val="0"/>
          <w:i w:val="0"/>
          <w:sz w:val="28"/>
        </w:rPr>
      </w:lvl>
    </w:lvlOverride>
  </w:num>
  <w:num w:numId="440">
    <w:abstractNumId w:val="343"/>
  </w:num>
  <w:num w:numId="441">
    <w:abstractNumId w:val="343"/>
    <w:lvlOverride w:ilvl="0">
      <w:lvl w:ilvl="0">
        <w:start w:val="1"/>
        <w:numFmt w:val="decimal"/>
        <w:lvlText w:val="%1. "/>
        <w:legacy w:legacy="1" w:legacySpace="0" w:legacyIndent="283"/>
        <w:lvlJc w:val="left"/>
        <w:pPr>
          <w:ind w:left="567" w:hanging="283"/>
        </w:pPr>
        <w:rPr>
          <w:b w:val="0"/>
          <w:i w:val="0"/>
          <w:sz w:val="28"/>
        </w:rPr>
      </w:lvl>
    </w:lvlOverride>
  </w:num>
  <w:num w:numId="442">
    <w:abstractNumId w:val="306"/>
  </w:num>
  <w:num w:numId="443">
    <w:abstractNumId w:val="1"/>
    <w:lvlOverride w:ilvl="0">
      <w:lvl w:ilvl="0">
        <w:start w:val="1"/>
        <w:numFmt w:val="bullet"/>
        <w:lvlText w:val=""/>
        <w:legacy w:legacy="1" w:legacySpace="0" w:legacyIndent="283"/>
        <w:lvlJc w:val="left"/>
        <w:pPr>
          <w:ind w:left="567" w:hanging="283"/>
        </w:pPr>
        <w:rPr>
          <w:rFonts w:ascii="Wingdings" w:hAnsi="Wingdings" w:hint="default"/>
          <w:b w:val="0"/>
          <w:i w:val="0"/>
          <w:sz w:val="24"/>
        </w:rPr>
      </w:lvl>
    </w:lvlOverride>
  </w:num>
  <w:num w:numId="444">
    <w:abstractNumId w:val="345"/>
  </w:num>
  <w:num w:numId="445">
    <w:abstractNumId w:val="265"/>
  </w:num>
  <w:num w:numId="446">
    <w:abstractNumId w:val="543"/>
  </w:num>
  <w:num w:numId="447">
    <w:abstractNumId w:val="321"/>
  </w:num>
  <w:num w:numId="448">
    <w:abstractNumId w:val="321"/>
    <w:lvlOverride w:ilvl="0">
      <w:lvl w:ilvl="0">
        <w:start w:val="1"/>
        <w:numFmt w:val="decimal"/>
        <w:lvlText w:val="%1. "/>
        <w:legacy w:legacy="1" w:legacySpace="0" w:legacyIndent="283"/>
        <w:lvlJc w:val="left"/>
        <w:pPr>
          <w:ind w:left="567" w:hanging="283"/>
        </w:pPr>
        <w:rPr>
          <w:b w:val="0"/>
          <w:i w:val="0"/>
          <w:sz w:val="24"/>
        </w:rPr>
      </w:lvl>
    </w:lvlOverride>
  </w:num>
  <w:num w:numId="449">
    <w:abstractNumId w:val="423"/>
  </w:num>
  <w:num w:numId="450">
    <w:abstractNumId w:val="14"/>
  </w:num>
  <w:num w:numId="451">
    <w:abstractNumId w:val="162"/>
  </w:num>
  <w:num w:numId="452">
    <w:abstractNumId w:val="536"/>
  </w:num>
  <w:num w:numId="453">
    <w:abstractNumId w:val="536"/>
    <w:lvlOverride w:ilvl="0">
      <w:lvl w:ilvl="0">
        <w:start w:val="232"/>
        <w:numFmt w:val="decimal"/>
        <w:lvlText w:val="%1. "/>
        <w:legacy w:legacy="1" w:legacySpace="0" w:legacyIndent="283"/>
        <w:lvlJc w:val="left"/>
        <w:pPr>
          <w:ind w:left="567" w:hanging="283"/>
        </w:pPr>
        <w:rPr>
          <w:b w:val="0"/>
          <w:i w:val="0"/>
          <w:sz w:val="24"/>
        </w:rPr>
      </w:lvl>
    </w:lvlOverride>
  </w:num>
  <w:num w:numId="454">
    <w:abstractNumId w:val="359"/>
  </w:num>
  <w:num w:numId="455">
    <w:abstractNumId w:val="359"/>
    <w:lvlOverride w:ilvl="0">
      <w:lvl w:ilvl="0">
        <w:start w:val="1"/>
        <w:numFmt w:val="decimal"/>
        <w:lvlText w:val="%1. "/>
        <w:legacy w:legacy="1" w:legacySpace="0" w:legacyIndent="283"/>
        <w:lvlJc w:val="left"/>
        <w:pPr>
          <w:ind w:left="567" w:hanging="283"/>
        </w:pPr>
        <w:rPr>
          <w:b w:val="0"/>
          <w:i w:val="0"/>
          <w:sz w:val="24"/>
        </w:rPr>
      </w:lvl>
    </w:lvlOverride>
  </w:num>
  <w:num w:numId="456">
    <w:abstractNumId w:val="244"/>
  </w:num>
  <w:num w:numId="457">
    <w:abstractNumId w:val="244"/>
    <w:lvlOverride w:ilvl="0">
      <w:lvl w:ilvl="0">
        <w:start w:val="1"/>
        <w:numFmt w:val="decimal"/>
        <w:lvlText w:val="%1. "/>
        <w:legacy w:legacy="1" w:legacySpace="0" w:legacyIndent="283"/>
        <w:lvlJc w:val="left"/>
        <w:pPr>
          <w:ind w:left="567" w:hanging="283"/>
        </w:pPr>
        <w:rPr>
          <w:b w:val="0"/>
          <w:i w:val="0"/>
          <w:sz w:val="24"/>
        </w:rPr>
      </w:lvl>
    </w:lvlOverride>
  </w:num>
  <w:num w:numId="458">
    <w:abstractNumId w:val="56"/>
  </w:num>
  <w:num w:numId="459">
    <w:abstractNumId w:val="56"/>
    <w:lvlOverride w:ilvl="0">
      <w:lvl w:ilvl="0">
        <w:start w:val="257"/>
        <w:numFmt w:val="decimal"/>
        <w:lvlText w:val="%1. "/>
        <w:legacy w:legacy="1" w:legacySpace="0" w:legacyIndent="283"/>
        <w:lvlJc w:val="left"/>
        <w:pPr>
          <w:ind w:left="567" w:hanging="283"/>
        </w:pPr>
        <w:rPr>
          <w:b w:val="0"/>
          <w:i w:val="0"/>
          <w:sz w:val="24"/>
        </w:rPr>
      </w:lvl>
    </w:lvlOverride>
  </w:num>
  <w:num w:numId="460">
    <w:abstractNumId w:val="6"/>
  </w:num>
  <w:num w:numId="461">
    <w:abstractNumId w:val="6"/>
    <w:lvlOverride w:ilvl="0">
      <w:lvl w:ilvl="0">
        <w:start w:val="1"/>
        <w:numFmt w:val="decimal"/>
        <w:lvlText w:val="%1. "/>
        <w:legacy w:legacy="1" w:legacySpace="0" w:legacyIndent="283"/>
        <w:lvlJc w:val="left"/>
        <w:pPr>
          <w:ind w:left="567" w:hanging="283"/>
        </w:pPr>
        <w:rPr>
          <w:b w:val="0"/>
          <w:i w:val="0"/>
          <w:sz w:val="24"/>
        </w:rPr>
      </w:lvl>
    </w:lvlOverride>
  </w:num>
  <w:num w:numId="462">
    <w:abstractNumId w:val="374"/>
  </w:num>
  <w:num w:numId="463">
    <w:abstractNumId w:val="374"/>
    <w:lvlOverride w:ilvl="0">
      <w:lvl w:ilvl="0">
        <w:start w:val="1"/>
        <w:numFmt w:val="decimal"/>
        <w:lvlText w:val="%1. "/>
        <w:legacy w:legacy="1" w:legacySpace="0" w:legacyIndent="283"/>
        <w:lvlJc w:val="left"/>
        <w:pPr>
          <w:ind w:left="567" w:hanging="283"/>
        </w:pPr>
        <w:rPr>
          <w:b w:val="0"/>
          <w:i w:val="0"/>
          <w:sz w:val="24"/>
        </w:rPr>
      </w:lvl>
    </w:lvlOverride>
  </w:num>
  <w:num w:numId="464">
    <w:abstractNumId w:val="470"/>
  </w:num>
  <w:num w:numId="465">
    <w:abstractNumId w:val="530"/>
  </w:num>
  <w:num w:numId="466">
    <w:abstractNumId w:val="530"/>
    <w:lvlOverride w:ilvl="0">
      <w:lvl w:ilvl="0">
        <w:start w:val="1"/>
        <w:numFmt w:val="decimal"/>
        <w:lvlText w:val="%1. "/>
        <w:legacy w:legacy="1" w:legacySpace="0" w:legacyIndent="283"/>
        <w:lvlJc w:val="left"/>
        <w:pPr>
          <w:ind w:left="567" w:hanging="283"/>
        </w:pPr>
        <w:rPr>
          <w:b w:val="0"/>
          <w:i w:val="0"/>
          <w:sz w:val="24"/>
        </w:rPr>
      </w:lvl>
    </w:lvlOverride>
  </w:num>
  <w:num w:numId="467">
    <w:abstractNumId w:val="206"/>
  </w:num>
  <w:num w:numId="468">
    <w:abstractNumId w:val="173"/>
  </w:num>
  <w:num w:numId="469">
    <w:abstractNumId w:val="495"/>
  </w:num>
  <w:num w:numId="470">
    <w:abstractNumId w:val="452"/>
  </w:num>
  <w:num w:numId="471">
    <w:abstractNumId w:val="370"/>
  </w:num>
  <w:num w:numId="472">
    <w:abstractNumId w:val="356"/>
  </w:num>
  <w:num w:numId="473">
    <w:abstractNumId w:val="50"/>
  </w:num>
  <w:num w:numId="474">
    <w:abstractNumId w:val="62"/>
  </w:num>
  <w:num w:numId="475">
    <w:abstractNumId w:val="166"/>
  </w:num>
  <w:num w:numId="476">
    <w:abstractNumId w:val="70"/>
  </w:num>
  <w:num w:numId="477">
    <w:abstractNumId w:val="195"/>
  </w:num>
  <w:num w:numId="478">
    <w:abstractNumId w:val="190"/>
  </w:num>
  <w:num w:numId="479">
    <w:abstractNumId w:val="320"/>
  </w:num>
  <w:num w:numId="480">
    <w:abstractNumId w:val="3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82">
    <w:abstractNumId w:val="438"/>
  </w:num>
  <w:num w:numId="483">
    <w:abstractNumId w:val="403"/>
  </w:num>
  <w:num w:numId="484">
    <w:abstractNumId w:val="4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5">
    <w:abstractNumId w:val="130"/>
  </w:num>
  <w:num w:numId="486">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7">
    <w:abstractNumId w:val="446"/>
  </w:num>
  <w:num w:numId="488">
    <w:abstractNumId w:val="4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9">
    <w:abstractNumId w:val="16"/>
  </w:num>
  <w:num w:numId="490">
    <w:abstractNumId w:val="38"/>
  </w:num>
  <w:num w:numId="491">
    <w:abstractNumId w:val="284"/>
  </w:num>
  <w:num w:numId="492">
    <w:abstractNumId w:val="2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93">
    <w:abstractNumId w:val="445"/>
  </w:num>
  <w:num w:numId="494">
    <w:abstractNumId w:val="4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95">
    <w:abstractNumId w:val="290"/>
  </w:num>
  <w:num w:numId="496">
    <w:abstractNumId w:val="2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97">
    <w:abstractNumId w:val="44"/>
  </w:num>
  <w:num w:numId="498">
    <w:abstractNumId w:val="136"/>
  </w:num>
  <w:num w:numId="499">
    <w:abstractNumId w:val="492"/>
  </w:num>
  <w:num w:numId="500">
    <w:abstractNumId w:val="112"/>
  </w:num>
  <w:num w:numId="501">
    <w:abstractNumId w:val="292"/>
  </w:num>
  <w:num w:numId="502">
    <w:abstractNumId w:val="484"/>
  </w:num>
  <w:num w:numId="503">
    <w:abstractNumId w:val="278"/>
  </w:num>
  <w:num w:numId="504">
    <w:abstractNumId w:val="143"/>
  </w:num>
  <w:num w:numId="505">
    <w:abstractNumId w:val="276"/>
  </w:num>
  <w:num w:numId="506">
    <w:abstractNumId w:val="157"/>
  </w:num>
  <w:num w:numId="507">
    <w:abstractNumId w:val="77"/>
  </w:num>
  <w:num w:numId="508">
    <w:abstractNumId w:val="337"/>
  </w:num>
  <w:num w:numId="509">
    <w:abstractNumId w:val="105"/>
  </w:num>
  <w:num w:numId="510">
    <w:abstractNumId w:val="73"/>
  </w:num>
  <w:num w:numId="511">
    <w:abstractNumId w:val="94"/>
  </w:num>
  <w:num w:numId="512">
    <w:abstractNumId w:val="466"/>
  </w:num>
  <w:num w:numId="513">
    <w:abstractNumId w:val="237"/>
  </w:num>
  <w:num w:numId="514">
    <w:abstractNumId w:val="109"/>
  </w:num>
  <w:num w:numId="515">
    <w:abstractNumId w:val="161"/>
  </w:num>
  <w:num w:numId="516">
    <w:abstractNumId w:val="398"/>
  </w:num>
  <w:num w:numId="517">
    <w:abstractNumId w:val="397"/>
  </w:num>
  <w:num w:numId="518">
    <w:abstractNumId w:val="535"/>
  </w:num>
  <w:num w:numId="519">
    <w:abstractNumId w:val="263"/>
  </w:num>
  <w:num w:numId="520">
    <w:abstractNumId w:val="96"/>
  </w:num>
  <w:num w:numId="521">
    <w:abstractNumId w:val="383"/>
  </w:num>
  <w:num w:numId="522">
    <w:abstractNumId w:val="103"/>
  </w:num>
  <w:num w:numId="523">
    <w:abstractNumId w:val="86"/>
  </w:num>
  <w:num w:numId="524">
    <w:abstractNumId w:val="194"/>
  </w:num>
  <w:num w:numId="525">
    <w:abstractNumId w:val="384"/>
  </w:num>
  <w:num w:numId="526">
    <w:abstractNumId w:val="406"/>
  </w:num>
  <w:num w:numId="527">
    <w:abstractNumId w:val="0"/>
  </w:num>
  <w:num w:numId="528">
    <w:abstractNumId w:val="307"/>
  </w:num>
  <w:num w:numId="529">
    <w:abstractNumId w:val="521"/>
  </w:num>
  <w:num w:numId="530">
    <w:abstractNumId w:val="31"/>
  </w:num>
  <w:num w:numId="531">
    <w:abstractNumId w:val="7"/>
  </w:num>
  <w:num w:numId="532">
    <w:abstractNumId w:val="254"/>
  </w:num>
  <w:num w:numId="533">
    <w:abstractNumId w:val="107"/>
  </w:num>
  <w:num w:numId="534">
    <w:abstractNumId w:val="326"/>
  </w:num>
  <w:num w:numId="535">
    <w:abstractNumId w:val="216"/>
  </w:num>
  <w:num w:numId="536">
    <w:abstractNumId w:val="67"/>
  </w:num>
  <w:num w:numId="537">
    <w:abstractNumId w:val="396"/>
  </w:num>
  <w:num w:numId="538">
    <w:abstractNumId w:val="230"/>
  </w:num>
  <w:num w:numId="539">
    <w:abstractNumId w:val="540"/>
  </w:num>
  <w:num w:numId="540">
    <w:abstractNumId w:val="485"/>
  </w:num>
  <w:num w:numId="541">
    <w:abstractNumId w:val="98"/>
  </w:num>
  <w:num w:numId="542">
    <w:abstractNumId w:val="63"/>
  </w:num>
  <w:num w:numId="543">
    <w:abstractNumId w:val="241"/>
  </w:num>
  <w:num w:numId="544">
    <w:abstractNumId w:val="178"/>
  </w:num>
  <w:num w:numId="545">
    <w:abstractNumId w:val="141"/>
  </w:num>
  <w:num w:numId="546">
    <w:abstractNumId w:val="189"/>
  </w:num>
  <w:num w:numId="547">
    <w:abstractNumId w:val="302"/>
  </w:num>
  <w:num w:numId="548">
    <w:abstractNumId w:val="388"/>
  </w:num>
  <w:num w:numId="549">
    <w:abstractNumId w:val="113"/>
  </w:num>
  <w:num w:numId="550">
    <w:abstractNumId w:val="333"/>
  </w:num>
  <w:num w:numId="551">
    <w:abstractNumId w:val="506"/>
  </w:num>
  <w:num w:numId="552">
    <w:abstractNumId w:val="273"/>
  </w:num>
  <w:num w:numId="553">
    <w:abstractNumId w:val="327"/>
  </w:num>
  <w:num w:numId="554">
    <w:abstractNumId w:val="53"/>
  </w:num>
  <w:num w:numId="555">
    <w:abstractNumId w:val="347"/>
  </w:num>
  <w:num w:numId="556">
    <w:abstractNumId w:val="222"/>
  </w:num>
  <w:num w:numId="557">
    <w:abstractNumId w:val="40"/>
  </w:num>
  <w:num w:numId="558">
    <w:abstractNumId w:val="22"/>
  </w:num>
  <w:num w:numId="559">
    <w:abstractNumId w:val="140"/>
  </w:num>
  <w:num w:numId="560">
    <w:abstractNumId w:val="122"/>
  </w:num>
  <w:num w:numId="561">
    <w:abstractNumId w:val="221"/>
  </w:num>
  <w:num w:numId="562">
    <w:abstractNumId w:val="456"/>
  </w:num>
  <w:num w:numId="563">
    <w:abstractNumId w:val="101"/>
  </w:num>
  <w:num w:numId="564">
    <w:abstractNumId w:val="546"/>
  </w:num>
  <w:num w:numId="565">
    <w:abstractNumId w:val="444"/>
  </w:num>
  <w:num w:numId="566">
    <w:abstractNumId w:val="247"/>
  </w:num>
  <w:num w:numId="567">
    <w:abstractNumId w:val="262"/>
  </w:num>
  <w:num w:numId="568">
    <w:abstractNumId w:val="432"/>
  </w:num>
  <w:num w:numId="569">
    <w:abstractNumId w:val="491"/>
  </w:num>
  <w:num w:numId="570">
    <w:abstractNumId w:val="78"/>
  </w:num>
  <w:num w:numId="571">
    <w:abstractNumId w:val="488"/>
  </w:num>
  <w:num w:numId="572">
    <w:abstractNumId w:val="34"/>
  </w:num>
  <w:num w:numId="573">
    <w:abstractNumId w:val="428"/>
  </w:num>
  <w:num w:numId="574">
    <w:abstractNumId w:val="371"/>
  </w:num>
  <w:num w:numId="575">
    <w:abstractNumId w:val="389"/>
  </w:num>
  <w:num w:numId="576">
    <w:abstractNumId w:val="496"/>
  </w:num>
  <w:num w:numId="577">
    <w:abstractNumId w:val="334"/>
  </w:num>
  <w:num w:numId="578">
    <w:abstractNumId w:val="381"/>
  </w:num>
  <w:num w:numId="579">
    <w:abstractNumId w:val="476"/>
  </w:num>
  <w:num w:numId="580">
    <w:abstractNumId w:val="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en-US" w:vendorID="8" w:dllVersion="513" w:checkStyle="1"/>
  <w:doNotTrackMoves/>
  <w:defaultTabStop w:val="720"/>
  <w:displayHorizontalDrawingGridEvery w:val="0"/>
  <w:displayVerticalDrawingGridEvery w:val="0"/>
  <w:doNotUseMarginsForDrawingGridOrigin/>
  <w:noPunctuationKerning/>
  <w:characterSpacingControl w:val="doNotCompress"/>
  <w:footnotePr>
    <w:numStart w:val="4"/>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silver,#777,#ddd"/>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 w:val="left" w:pos="680"/>
        <w:tab w:val="left" w:pos="1021"/>
      </w:tabs>
      <w:spacing w:after="240"/>
    </w:pPr>
    <w:rPr>
      <w:lang w:val="ru-RU" w:eastAsia="ru-RU"/>
    </w:rPr>
  </w:style>
  <w:style w:type="paragraph" w:styleId="Heading1">
    <w:name w:val="heading 1"/>
    <w:basedOn w:val="Normal"/>
    <w:next w:val="Normal"/>
    <w:qFormat/>
    <w:pPr>
      <w:keepNext/>
      <w:tabs>
        <w:tab w:val="clear" w:pos="680"/>
        <w:tab w:val="clear" w:pos="1021"/>
        <w:tab w:val="left" w:pos="397"/>
      </w:tabs>
      <w:spacing w:after="360"/>
      <w:jc w:val="center"/>
      <w:outlineLvl w:val="0"/>
    </w:pPr>
    <w:rPr>
      <w:b/>
      <w:sz w:val="24"/>
    </w:rPr>
  </w:style>
  <w:style w:type="paragraph" w:styleId="Heading2">
    <w:name w:val="heading 2"/>
    <w:basedOn w:val="Heading1"/>
    <w:next w:val="Normal"/>
    <w:qFormat/>
    <w:pPr>
      <w:outlineLvl w:val="1"/>
    </w:pPr>
  </w:style>
  <w:style w:type="paragraph" w:styleId="Heading3">
    <w:name w:val="heading 3"/>
    <w:next w:val="Normal"/>
    <w:qFormat/>
    <w:pPr>
      <w:tabs>
        <w:tab w:val="left" w:pos="567"/>
      </w:tabs>
      <w:spacing w:before="240" w:after="240"/>
      <w:outlineLvl w:val="2"/>
    </w:pPr>
    <w:rPr>
      <w:b/>
      <w:noProof/>
      <w:sz w:val="22"/>
    </w:rPr>
  </w:style>
  <w:style w:type="paragraph" w:styleId="Heading4">
    <w:name w:val="heading 4"/>
    <w:basedOn w:val="Normal"/>
    <w:next w:val="Normal"/>
    <w:qFormat/>
    <w:pPr>
      <w:keepNext/>
      <w:spacing w:before="120"/>
      <w:outlineLvl w:val="3"/>
    </w:pPr>
    <w:rPr>
      <w:b/>
      <w:i/>
    </w:rPr>
  </w:style>
  <w:style w:type="paragraph" w:styleId="Heading5">
    <w:name w:val="heading 5"/>
    <w:basedOn w:val="Normal"/>
    <w:next w:val="Normal"/>
    <w:qFormat/>
    <w:pPr>
      <w:keepNext/>
      <w:ind w:left="2160"/>
      <w:outlineLvl w:val="4"/>
    </w:pPr>
    <w:rPr>
      <w:i/>
      <w:color w:val="000000"/>
      <w:sz w:val="24"/>
      <w:lang w:val="fr-FR"/>
    </w:rPr>
  </w:style>
  <w:style w:type="paragraph" w:styleId="Heading6">
    <w:name w:val="heading 6"/>
    <w:basedOn w:val="Normal"/>
    <w:next w:val="Normal"/>
    <w:qFormat/>
    <w:pPr>
      <w:keepNext/>
      <w:tabs>
        <w:tab w:val="clear" w:pos="680"/>
        <w:tab w:val="clear" w:pos="1021"/>
      </w:tabs>
      <w:spacing w:before="40" w:after="0"/>
      <w:ind w:firstLine="275"/>
      <w:outlineLvl w:val="5"/>
    </w:pPr>
    <w:rPr>
      <w:b/>
    </w:rPr>
  </w:style>
  <w:style w:type="paragraph" w:styleId="Heading7">
    <w:name w:val="heading 7"/>
    <w:basedOn w:val="Normal"/>
    <w:next w:val="Normal"/>
    <w:qFormat/>
    <w:pPr>
      <w:keepNext/>
      <w:ind w:left="680" w:hanging="680"/>
      <w:outlineLvl w:val="6"/>
    </w:pPr>
    <w:rPr>
      <w:b/>
    </w:rPr>
  </w:style>
  <w:style w:type="paragraph" w:styleId="Heading8">
    <w:name w:val="heading 8"/>
    <w:basedOn w:val="Normal"/>
    <w:next w:val="Normal"/>
    <w:qFormat/>
    <w:pPr>
      <w:keepNext/>
      <w:outlineLvl w:val="7"/>
    </w:pPr>
    <w:rPr>
      <w:i/>
      <w:noProof/>
      <w:color w:val="000000"/>
      <w:lang w:val="fr-FR"/>
    </w:rPr>
  </w:style>
  <w:style w:type="paragraph" w:styleId="Heading9">
    <w:name w:val="heading 9"/>
    <w:basedOn w:val="Normal"/>
    <w:next w:val="Normal"/>
    <w:qFormat/>
    <w:pPr>
      <w:keepNext/>
      <w:jc w:val="center"/>
      <w:outlineLvl w:val="8"/>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customStyle="1" w:styleId="a">
    <w:name w:val="Часть"/>
    <w:basedOn w:val="Normal"/>
    <w:pPr>
      <w:jc w:val="center"/>
    </w:pPr>
    <w:rPr>
      <w:b/>
      <w:sz w:val="26"/>
    </w:rPr>
  </w:style>
  <w:style w:type="paragraph" w:styleId="FootnoteText">
    <w:name w:val="footnote text"/>
    <w:next w:val="Normal"/>
    <w:semiHidden/>
    <w:pPr>
      <w:tabs>
        <w:tab w:val="left" w:pos="170"/>
      </w:tabs>
    </w:pPr>
    <w:rPr>
      <w:color w:val="000000"/>
      <w:sz w:val="18"/>
      <w:lang w:val="ru-RU"/>
    </w:rPr>
  </w:style>
  <w:style w:type="character" w:styleId="FootnoteReference">
    <w:name w:val="footnote reference"/>
    <w:semiHidden/>
    <w:rPr>
      <w:vertAlign w:val="superscript"/>
    </w:rPr>
  </w:style>
  <w:style w:type="character" w:styleId="CommentReference">
    <w:name w:val="annotation reference"/>
    <w:semiHidden/>
    <w:rPr>
      <w:sz w:val="16"/>
    </w:rPr>
  </w:style>
  <w:style w:type="paragraph" w:styleId="CommentText">
    <w:name w:val="annotation text"/>
    <w:basedOn w:val="Normal"/>
    <w:semiHidden/>
  </w:style>
  <w:style w:type="paragraph" w:customStyle="1" w:styleId="a0">
    <w:name w:val="Заголовок с номером"/>
    <w:basedOn w:val="Normal"/>
    <w:pPr>
      <w:tabs>
        <w:tab w:val="clear" w:pos="680"/>
        <w:tab w:val="clear" w:pos="1021"/>
        <w:tab w:val="left" w:pos="1560"/>
      </w:tabs>
      <w:spacing w:before="240"/>
      <w:ind w:left="1021" w:right="737"/>
    </w:pPr>
    <w:rPr>
      <w:b/>
      <w:sz w:val="18"/>
    </w:rPr>
  </w:style>
  <w:style w:type="paragraph" w:styleId="BodyTextIndent">
    <w:name w:val="Body Text Indent"/>
    <w:basedOn w:val="Normal"/>
    <w:semiHidden/>
    <w:pPr>
      <w:tabs>
        <w:tab w:val="clear" w:pos="680"/>
        <w:tab w:val="left" w:pos="284"/>
      </w:tabs>
      <w:ind w:left="284"/>
    </w:pPr>
    <w:rPr>
      <w:i/>
    </w:rPr>
  </w:style>
  <w:style w:type="paragraph" w:customStyle="1" w:styleId="5">
    <w:name w:val="Отступ с точкой 5 мм"/>
    <w:basedOn w:val="Normal"/>
    <w:pPr>
      <w:tabs>
        <w:tab w:val="clear" w:pos="680"/>
        <w:tab w:val="left" w:pos="284"/>
      </w:tabs>
      <w:ind w:left="284" w:hanging="284"/>
    </w:pPr>
  </w:style>
  <w:style w:type="paragraph" w:styleId="BodyTextIndent2">
    <w:name w:val="Body Text Indent 2"/>
    <w:basedOn w:val="Normal"/>
    <w:semiHidden/>
    <w:pPr>
      <w:tabs>
        <w:tab w:val="clear" w:pos="680"/>
        <w:tab w:val="left" w:pos="284"/>
      </w:tabs>
      <w:ind w:left="568" w:hanging="284"/>
    </w:pPr>
  </w:style>
  <w:style w:type="paragraph" w:styleId="BodyTextIndent3">
    <w:name w:val="Body Text Indent 3"/>
    <w:basedOn w:val="Normal"/>
    <w:semiHidden/>
    <w:pPr>
      <w:tabs>
        <w:tab w:val="clear" w:pos="680"/>
        <w:tab w:val="left" w:pos="284"/>
      </w:tabs>
      <w:ind w:left="567" w:hanging="567"/>
    </w:pPr>
  </w:style>
  <w:style w:type="paragraph" w:styleId="BodyText">
    <w:name w:val="Body Text"/>
    <w:basedOn w:val="Normal"/>
    <w:semiHidden/>
    <w:pPr>
      <w:tabs>
        <w:tab w:val="clear" w:pos="680"/>
      </w:tabs>
      <w:spacing w:before="60" w:after="60"/>
    </w:pPr>
    <w:rPr>
      <w:b/>
    </w:rPr>
  </w:style>
  <w:style w:type="paragraph" w:styleId="BodyText2">
    <w:name w:val="Body Text 2"/>
    <w:basedOn w:val="Normal"/>
    <w:semiHidden/>
    <w:rPr>
      <w:b/>
      <w:caps/>
    </w:rPr>
  </w:style>
  <w:style w:type="paragraph" w:styleId="BlockText">
    <w:name w:val="Block Text"/>
    <w:basedOn w:val="Normal"/>
    <w:semiHidden/>
    <w:pPr>
      <w:ind w:left="1758" w:right="1708"/>
    </w:pPr>
    <w:rPr>
      <w:rFonts w:ascii="Arial" w:hAnsi="Arial"/>
      <w:sz w:val="16"/>
    </w:rPr>
  </w:style>
  <w:style w:type="paragraph" w:styleId="BodyText3">
    <w:name w:val="Body Text 3"/>
    <w:basedOn w:val="Normal"/>
    <w:semiHidden/>
    <w:rPr>
      <w:sz w:val="18"/>
    </w:rPr>
  </w:style>
  <w:style w:type="paragraph" w:customStyle="1" w:styleId="a1">
    <w:name w:val="Таблица"/>
    <w:basedOn w:val="Normal"/>
    <w:pPr>
      <w:spacing w:before="60" w:after="60"/>
    </w:pPr>
  </w:style>
  <w:style w:type="paragraph" w:customStyle="1" w:styleId="a2">
    <w:name w:val="Источник"/>
    <w:basedOn w:val="Normal"/>
    <w:pPr>
      <w:spacing w:after="120"/>
    </w:pPr>
    <w:rPr>
      <w:sz w:val="18"/>
    </w:rPr>
  </w:style>
  <w:style w:type="paragraph" w:styleId="Footer">
    <w:name w:val="footer"/>
    <w:basedOn w:val="Normal"/>
    <w:semiHidden/>
    <w:pPr>
      <w:tabs>
        <w:tab w:val="clear" w:pos="567"/>
        <w:tab w:val="clear" w:pos="680"/>
        <w:tab w:val="clear" w:pos="1021"/>
        <w:tab w:val="center" w:pos="4153"/>
        <w:tab w:val="right" w:pos="8306"/>
      </w:tabs>
    </w:p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www.inegi.gov.mx" TargetMode="External"/><Relationship Id="rId22" Type="http://schemas.openxmlformats.org/officeDocument/2006/relationships/image" Target="media/image9.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77321</Words>
  <Characters>440734</Characters>
  <Application>Microsoft Office Word</Application>
  <DocSecurity>4</DocSecurity>
  <Lines>3672</Lines>
  <Paragraphs>881</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541252</CharactersWithSpaces>
  <SharedDoc>false</SharedDoc>
  <HLinks>
    <vt:vector size="78" baseType="variant">
      <vt:variant>
        <vt:i4>1900622</vt:i4>
      </vt:variant>
      <vt:variant>
        <vt:i4>0</vt:i4>
      </vt:variant>
      <vt:variant>
        <vt:i4>0</vt:i4>
      </vt:variant>
      <vt:variant>
        <vt:i4>5</vt:i4>
      </vt:variant>
      <vt:variant>
        <vt:lpwstr>http://www.inegi.gov.mx/</vt:lpwstr>
      </vt:variant>
      <vt:variant>
        <vt:lpwstr/>
      </vt:variant>
      <vt:variant>
        <vt:i4>2883674</vt:i4>
      </vt:variant>
      <vt:variant>
        <vt:i4>375912</vt:i4>
      </vt:variant>
      <vt:variant>
        <vt:i4>1026</vt:i4>
      </vt:variant>
      <vt:variant>
        <vt:i4>1</vt:i4>
      </vt:variant>
      <vt:variant>
        <vt:lpwstr>D:\NEW-YORK\2001\m-951\tif\Graphic-1.tif</vt:lpwstr>
      </vt:variant>
      <vt:variant>
        <vt:lpwstr/>
      </vt:variant>
      <vt:variant>
        <vt:i4>3080282</vt:i4>
      </vt:variant>
      <vt:variant>
        <vt:i4>377400</vt:i4>
      </vt:variant>
      <vt:variant>
        <vt:i4>1027</vt:i4>
      </vt:variant>
      <vt:variant>
        <vt:i4>1</vt:i4>
      </vt:variant>
      <vt:variant>
        <vt:lpwstr>D:\NEW-YORK\2001\m-951\tif\Graphic-2.tif</vt:lpwstr>
      </vt:variant>
      <vt:variant>
        <vt:lpwstr/>
      </vt:variant>
      <vt:variant>
        <vt:i4>3014746</vt:i4>
      </vt:variant>
      <vt:variant>
        <vt:i4>457642</vt:i4>
      </vt:variant>
      <vt:variant>
        <vt:i4>1028</vt:i4>
      </vt:variant>
      <vt:variant>
        <vt:i4>1</vt:i4>
      </vt:variant>
      <vt:variant>
        <vt:lpwstr>D:\NEW-YORK\2001\m-951\tif\Graphic-3.tif</vt:lpwstr>
      </vt:variant>
      <vt:variant>
        <vt:lpwstr/>
      </vt:variant>
      <vt:variant>
        <vt:i4>2687066</vt:i4>
      </vt:variant>
      <vt:variant>
        <vt:i4>466342</vt:i4>
      </vt:variant>
      <vt:variant>
        <vt:i4>1029</vt:i4>
      </vt:variant>
      <vt:variant>
        <vt:i4>1</vt:i4>
      </vt:variant>
      <vt:variant>
        <vt:lpwstr>D:\NEW-YORK\2001\m-951\tif\Graphic-4.tif</vt:lpwstr>
      </vt:variant>
      <vt:variant>
        <vt:lpwstr/>
      </vt:variant>
      <vt:variant>
        <vt:i4>2621530</vt:i4>
      </vt:variant>
      <vt:variant>
        <vt:i4>469610</vt:i4>
      </vt:variant>
      <vt:variant>
        <vt:i4>1030</vt:i4>
      </vt:variant>
      <vt:variant>
        <vt:i4>1</vt:i4>
      </vt:variant>
      <vt:variant>
        <vt:lpwstr>D:\NEW-YORK\2001\m-951\tif\Graphic-5.tif</vt:lpwstr>
      </vt:variant>
      <vt:variant>
        <vt:lpwstr/>
      </vt:variant>
      <vt:variant>
        <vt:i4>2818138</vt:i4>
      </vt:variant>
      <vt:variant>
        <vt:i4>472148</vt:i4>
      </vt:variant>
      <vt:variant>
        <vt:i4>1031</vt:i4>
      </vt:variant>
      <vt:variant>
        <vt:i4>1</vt:i4>
      </vt:variant>
      <vt:variant>
        <vt:lpwstr>D:\NEW-YORK\2001\m-951\tif\Graphic-6.tif</vt:lpwstr>
      </vt:variant>
      <vt:variant>
        <vt:lpwstr/>
      </vt:variant>
      <vt:variant>
        <vt:i4>2752602</vt:i4>
      </vt:variant>
      <vt:variant>
        <vt:i4>473878</vt:i4>
      </vt:variant>
      <vt:variant>
        <vt:i4>1032</vt:i4>
      </vt:variant>
      <vt:variant>
        <vt:i4>1</vt:i4>
      </vt:variant>
      <vt:variant>
        <vt:lpwstr>D:\NEW-YORK\2001\m-951\tif\Graphic-7.tif</vt:lpwstr>
      </vt:variant>
      <vt:variant>
        <vt:lpwstr/>
      </vt:variant>
      <vt:variant>
        <vt:i4>2424922</vt:i4>
      </vt:variant>
      <vt:variant>
        <vt:i4>475216</vt:i4>
      </vt:variant>
      <vt:variant>
        <vt:i4>1033</vt:i4>
      </vt:variant>
      <vt:variant>
        <vt:i4>1</vt:i4>
      </vt:variant>
      <vt:variant>
        <vt:lpwstr>D:\NEW-YORK\2001\m-951\tif\Graphic-8.tif</vt:lpwstr>
      </vt:variant>
      <vt:variant>
        <vt:lpwstr/>
      </vt:variant>
      <vt:variant>
        <vt:i4>2359386</vt:i4>
      </vt:variant>
      <vt:variant>
        <vt:i4>481086</vt:i4>
      </vt:variant>
      <vt:variant>
        <vt:i4>1034</vt:i4>
      </vt:variant>
      <vt:variant>
        <vt:i4>1</vt:i4>
      </vt:variant>
      <vt:variant>
        <vt:lpwstr>D:\NEW-YORK\2001\m-951\tif\Graphic-9.tif</vt:lpwstr>
      </vt:variant>
      <vt:variant>
        <vt:lpwstr/>
      </vt:variant>
      <vt:variant>
        <vt:i4>7929945</vt:i4>
      </vt:variant>
      <vt:variant>
        <vt:i4>508530</vt:i4>
      </vt:variant>
      <vt:variant>
        <vt:i4>1035</vt:i4>
      </vt:variant>
      <vt:variant>
        <vt:i4>1</vt:i4>
      </vt:variant>
      <vt:variant>
        <vt:lpwstr>D:\NEW-YORK\2001\m-951\tif\Graphic-10.tif</vt:lpwstr>
      </vt:variant>
      <vt:variant>
        <vt:lpwstr/>
      </vt:variant>
      <vt:variant>
        <vt:i4>7929944</vt:i4>
      </vt:variant>
      <vt:variant>
        <vt:i4>509444</vt:i4>
      </vt:variant>
      <vt:variant>
        <vt:i4>1036</vt:i4>
      </vt:variant>
      <vt:variant>
        <vt:i4>1</vt:i4>
      </vt:variant>
      <vt:variant>
        <vt:lpwstr>D:\NEW-YORK\2001\m-951\tif\Graphic-11.tif</vt:lpwstr>
      </vt:variant>
      <vt:variant>
        <vt:lpwstr/>
      </vt:variant>
      <vt:variant>
        <vt:i4>7929947</vt:i4>
      </vt:variant>
      <vt:variant>
        <vt:i4>647548</vt:i4>
      </vt:variant>
      <vt:variant>
        <vt:i4>1037</vt:i4>
      </vt:variant>
      <vt:variant>
        <vt:i4>1</vt:i4>
      </vt:variant>
      <vt:variant>
        <vt:lpwstr>D:\NEW-YORK\2001\m-951\tif\Graphic-12.tif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DGAACS User</cp:lastModifiedBy>
  <cp:revision>5</cp:revision>
  <cp:lastPrinted>2001-04-18T08:33:00Z</cp:lastPrinted>
  <dcterms:created xsi:type="dcterms:W3CDTF">2001-04-18T08:34:00Z</dcterms:created>
  <dcterms:modified xsi:type="dcterms:W3CDTF">2001-04-18T08:49:00Z</dcterms:modified>
</cp:coreProperties>
</file>