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6267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CRC/C/TCD/2</w:t>
            </w:r>
            <w:bookmarkStart w:id="1" w:name="a3"/>
            <w:r>
              <w:br/>
              <w:t>26 juin</w:t>
            </w:r>
            <w:bookmarkEnd w:id="1"/>
            <w:r>
              <w:t xml:space="preserve"> 2007</w:t>
            </w:r>
          </w:p>
          <w:p w:rsidR="00000000" w:rsidRDefault="00000000">
            <w:pPr>
              <w:spacing w:after="120"/>
              <w:ind w:left="618"/>
            </w:pPr>
            <w:r>
              <w:t>Original: FRANÇAIS</w:t>
            </w:r>
          </w:p>
        </w:tc>
      </w:tr>
    </w:tbl>
    <w:p w:rsidR="00000000" w:rsidRDefault="00000000">
      <w:pPr>
        <w:spacing w:before="240" w:after="720"/>
        <w:rPr>
          <w:szCs w:val="23"/>
        </w:rPr>
      </w:pPr>
      <w:r>
        <w:rPr>
          <w:szCs w:val="23"/>
        </w:rPr>
        <w:t>COMITÉ DES DROITS DE L’ENFANT</w:t>
      </w:r>
    </w:p>
    <w:p w:rsidR="00000000" w:rsidRDefault="00000000">
      <w:pPr>
        <w:spacing w:after="240"/>
        <w:jc w:val="center"/>
        <w:rPr>
          <w:b/>
          <w:bCs/>
          <w:szCs w:val="23"/>
        </w:rPr>
      </w:pPr>
      <w:r>
        <w:rPr>
          <w:b/>
          <w:bCs/>
          <w:szCs w:val="23"/>
        </w:rPr>
        <w:t>EXAMEN DES RAPPORTS PRÉSENTÉS PAR LES ÉTATS PARTIES</w:t>
      </w:r>
      <w:r>
        <w:rPr>
          <w:b/>
          <w:bCs/>
          <w:szCs w:val="23"/>
        </w:rPr>
        <w:br/>
        <w:t>EN APPLICATION DE L’ARTICLE 44 DE LA CONVENTION</w:t>
      </w:r>
    </w:p>
    <w:p w:rsidR="00000000" w:rsidRDefault="00000000">
      <w:pPr>
        <w:spacing w:after="240"/>
        <w:jc w:val="center"/>
        <w:rPr>
          <w:b/>
          <w:bCs/>
          <w:szCs w:val="23"/>
        </w:rPr>
      </w:pPr>
      <w:r>
        <w:rPr>
          <w:b/>
          <w:bCs/>
          <w:szCs w:val="23"/>
        </w:rPr>
        <w:t>Deuxièmes rapports périodiques des États parties devant être soumis en 1997</w:t>
      </w:r>
    </w:p>
    <w:p w:rsidR="00000000" w:rsidRDefault="00000000">
      <w:pPr>
        <w:spacing w:after="240"/>
        <w:jc w:val="center"/>
        <w:rPr>
          <w:b/>
          <w:bCs/>
        </w:rPr>
      </w:pPr>
      <w:r>
        <w:rPr>
          <w:b/>
          <w:bCs/>
        </w:rPr>
        <w:t>TCHAD</w:t>
      </w:r>
      <w:r>
        <w:rPr>
          <w:rStyle w:val="FootnoteReference"/>
          <w:b w:val="0"/>
          <w:bCs/>
        </w:rPr>
        <w:footnoteReference w:customMarkFollows="1" w:id="1"/>
        <w:t>*</w:t>
      </w:r>
      <w:r>
        <w:rPr>
          <w:bCs/>
          <w:vertAlign w:val="superscript"/>
        </w:rPr>
        <w:t xml:space="preserve">, </w:t>
      </w:r>
      <w:r>
        <w:rPr>
          <w:rStyle w:val="FootnoteReference"/>
          <w:bCs/>
        </w:rPr>
        <w:footnoteReference w:customMarkFollows="1" w:id="2"/>
        <w:t>**</w:t>
      </w:r>
      <w:r>
        <w:rPr>
          <w:b/>
          <w:bCs/>
        </w:rPr>
        <w:t xml:space="preserve"> **</w:t>
      </w:r>
    </w:p>
    <w:p w:rsidR="00000000" w:rsidRDefault="00000000">
      <w:pPr>
        <w:spacing w:after="240"/>
        <w:jc w:val="right"/>
        <w:rPr>
          <w:szCs w:val="23"/>
        </w:rPr>
      </w:pPr>
      <w:r>
        <w:rPr>
          <w:szCs w:val="23"/>
        </w:rPr>
        <w:t>[7 juin 2007]</w:t>
      </w:r>
    </w:p>
    <w:p w:rsidR="00000000" w:rsidRDefault="00000000">
      <w:pPr>
        <w:spacing w:after="240"/>
        <w:jc w:val="center"/>
        <w:rPr>
          <w:b/>
          <w:bCs/>
        </w:rPr>
      </w:pPr>
      <w:r>
        <w:rPr>
          <w:color w:val="000000"/>
          <w:sz w:val="20"/>
        </w:rP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8520"/>
          <w:tab w:val="right" w:pos="9299"/>
        </w:tabs>
        <w:spacing w:after="240"/>
      </w:pPr>
      <w:r>
        <w:t>LISTE DES ACRONYMES</w:t>
      </w:r>
      <w:r>
        <w:tab/>
      </w:r>
      <w:r>
        <w:tab/>
        <w:t>5</w:t>
      </w:r>
    </w:p>
    <w:p w:rsidR="00000000" w:rsidRDefault="00000000">
      <w:pPr>
        <w:tabs>
          <w:tab w:val="right" w:leader="dot" w:pos="8520"/>
          <w:tab w:val="right" w:pos="9299"/>
        </w:tabs>
        <w:spacing w:after="240"/>
      </w:pPr>
      <w:r>
        <w:t>DONNÉES DE BASE SUR LE TCHAD</w:t>
      </w:r>
      <w:r>
        <w:tab/>
      </w:r>
      <w:r>
        <w:tab/>
        <w:t>7</w:t>
      </w:r>
    </w:p>
    <w:p w:rsidR="00000000" w:rsidRDefault="00000000">
      <w:pPr>
        <w:tabs>
          <w:tab w:val="right" w:leader="dot" w:pos="7371"/>
          <w:tab w:val="center" w:pos="8051"/>
          <w:tab w:val="right" w:pos="9299"/>
        </w:tabs>
        <w:spacing w:after="240"/>
        <w:ind w:left="567" w:hanging="567"/>
      </w:pPr>
      <w:r>
        <w:t>INTRODUCTION</w:t>
      </w:r>
      <w:r>
        <w:tab/>
      </w:r>
      <w:r>
        <w:tab/>
        <w:t>1 – 13</w:t>
      </w:r>
      <w:r>
        <w:tab/>
        <w:t>13</w:t>
      </w:r>
    </w:p>
    <w:p w:rsidR="00000000" w:rsidRDefault="00000000">
      <w:pPr>
        <w:tabs>
          <w:tab w:val="right" w:leader="dot" w:pos="7371"/>
          <w:tab w:val="center" w:pos="8051"/>
          <w:tab w:val="right" w:pos="9299"/>
        </w:tabs>
        <w:spacing w:after="240"/>
        <w:ind w:left="567" w:hanging="567"/>
      </w:pPr>
      <w:r>
        <w:t>I.</w:t>
      </w:r>
      <w:r>
        <w:tab/>
        <w:t xml:space="preserve">MESURES D’APPLICATION GÉNÉRALE (art. 4, 42 et 44, </w:t>
      </w:r>
      <w:r>
        <w:rPr>
          <w:color w:val="000000"/>
        </w:rPr>
        <w:t>par. 6</w:t>
      </w:r>
      <w:r>
        <w:rPr>
          <w:bCs/>
          <w:color w:val="000000"/>
        </w:rPr>
        <w:t>)</w:t>
      </w:r>
      <w:r>
        <w:tab/>
      </w:r>
      <w:r>
        <w:tab/>
        <w:t xml:space="preserve">14 − 44 </w:t>
      </w:r>
      <w:r>
        <w:tab/>
        <w:t>14</w:t>
      </w:r>
    </w:p>
    <w:p w:rsidR="00000000" w:rsidRDefault="00000000">
      <w:pPr>
        <w:tabs>
          <w:tab w:val="right" w:leader="dot" w:pos="7371"/>
          <w:tab w:val="center" w:pos="8051"/>
          <w:tab w:val="right" w:pos="9299"/>
        </w:tabs>
        <w:spacing w:after="240"/>
        <w:ind w:left="567" w:hanging="567"/>
      </w:pPr>
      <w:r>
        <w:t>II.</w:t>
      </w:r>
      <w:r>
        <w:tab/>
        <w:t>DÉFINITION DE L’ENFANT (art 1</w:t>
      </w:r>
      <w:r>
        <w:rPr>
          <w:vertAlign w:val="superscript"/>
        </w:rPr>
        <w:t>er</w:t>
      </w:r>
      <w:r>
        <w:t>)</w:t>
      </w:r>
      <w:r>
        <w:tab/>
      </w:r>
      <w:r>
        <w:tab/>
        <w:t>45 – 55</w:t>
      </w:r>
      <w:r>
        <w:tab/>
        <w:t>20</w:t>
      </w:r>
    </w:p>
    <w:p w:rsidR="00000000" w:rsidRDefault="00000000">
      <w:pPr>
        <w:tabs>
          <w:tab w:val="right" w:leader="dot" w:pos="7371"/>
          <w:tab w:val="center" w:pos="8051"/>
          <w:tab w:val="right" w:pos="9299"/>
        </w:tabs>
        <w:spacing w:after="240"/>
        <w:ind w:left="567" w:hanging="567"/>
      </w:pPr>
      <w:r>
        <w:t>III.</w:t>
      </w:r>
      <w:r>
        <w:tab/>
        <w:t>PRINCIPES GÉNÉRAUX</w:t>
      </w:r>
      <w:r>
        <w:tab/>
      </w:r>
      <w:r>
        <w:tab/>
        <w:t>56 – 87</w:t>
      </w:r>
      <w:r>
        <w:tab/>
        <w:t>21</w:t>
      </w:r>
    </w:p>
    <w:p w:rsidR="00000000" w:rsidRDefault="00000000">
      <w:pPr>
        <w:tabs>
          <w:tab w:val="left" w:pos="1080"/>
          <w:tab w:val="right" w:leader="dot" w:pos="7371"/>
          <w:tab w:val="center" w:pos="8051"/>
          <w:tab w:val="right" w:pos="9299"/>
        </w:tabs>
        <w:ind w:left="1701" w:hanging="1134"/>
      </w:pPr>
      <w:r>
        <w:t>A.</w:t>
      </w:r>
      <w:r>
        <w:tab/>
        <w:t>La non-discrimination (art. 2)</w:t>
      </w:r>
      <w:r>
        <w:tab/>
      </w:r>
      <w:r>
        <w:tab/>
        <w:t>56 – 67</w:t>
      </w:r>
      <w:r>
        <w:tab/>
        <w:t>21</w:t>
      </w:r>
    </w:p>
    <w:p w:rsidR="00000000" w:rsidRDefault="00000000">
      <w:pPr>
        <w:tabs>
          <w:tab w:val="left" w:pos="1080"/>
          <w:tab w:val="right" w:leader="dot" w:pos="7371"/>
          <w:tab w:val="center" w:pos="8051"/>
          <w:tab w:val="right" w:pos="9299"/>
        </w:tabs>
        <w:ind w:left="1701" w:hanging="1134"/>
      </w:pPr>
      <w:r>
        <w:t>B.</w:t>
      </w:r>
      <w:r>
        <w:tab/>
        <w:t>L’intérêt supérieur de l’enfant (art. 3)</w:t>
      </w:r>
      <w:r>
        <w:tab/>
      </w:r>
      <w:r>
        <w:tab/>
        <w:t>68 – 71</w:t>
      </w:r>
      <w:r>
        <w:tab/>
        <w:t>22</w:t>
      </w:r>
    </w:p>
    <w:p w:rsidR="00000000" w:rsidRDefault="00000000">
      <w:pPr>
        <w:tabs>
          <w:tab w:val="left" w:pos="1080"/>
          <w:tab w:val="right" w:leader="dot" w:pos="7371"/>
          <w:tab w:val="center" w:pos="8051"/>
          <w:tab w:val="right" w:pos="9299"/>
        </w:tabs>
        <w:ind w:left="1701" w:hanging="1134"/>
      </w:pPr>
      <w:r>
        <w:t>C.</w:t>
      </w:r>
      <w:r>
        <w:tab/>
        <w:t>Le droit à la vie, à la survie et au développement (art. 6)</w:t>
      </w:r>
      <w:r>
        <w:tab/>
      </w:r>
      <w:r>
        <w:tab/>
        <w:t>72 – 83</w:t>
      </w:r>
      <w:r>
        <w:tab/>
        <w:t>22</w:t>
      </w:r>
    </w:p>
    <w:p w:rsidR="00000000" w:rsidRDefault="00000000">
      <w:pPr>
        <w:tabs>
          <w:tab w:val="left" w:pos="1080"/>
          <w:tab w:val="right" w:leader="dot" w:pos="7371"/>
          <w:tab w:val="center" w:pos="8051"/>
          <w:tab w:val="right" w:pos="9299"/>
        </w:tabs>
        <w:spacing w:after="240"/>
        <w:ind w:left="1701" w:hanging="1134"/>
      </w:pPr>
      <w:r>
        <w:t>D.</w:t>
      </w:r>
      <w:r>
        <w:tab/>
        <w:t>Le respect des opinions de l’enfant (art. 12)</w:t>
      </w:r>
      <w:r>
        <w:tab/>
      </w:r>
      <w:r>
        <w:tab/>
        <w:t>84 – 87</w:t>
      </w:r>
      <w:r>
        <w:tab/>
        <w:t>24</w:t>
      </w:r>
    </w:p>
    <w:p w:rsidR="00000000" w:rsidRDefault="00000000">
      <w:pPr>
        <w:tabs>
          <w:tab w:val="left" w:pos="1080"/>
          <w:tab w:val="right" w:leader="dot" w:pos="7371"/>
          <w:tab w:val="center" w:pos="8051"/>
          <w:tab w:val="right" w:pos="9299"/>
        </w:tabs>
        <w:spacing w:after="240"/>
        <w:ind w:left="567" w:hanging="567"/>
      </w:pPr>
      <w:r>
        <w:t>IV.</w:t>
      </w:r>
      <w:r>
        <w:tab/>
        <w:t xml:space="preserve">DROITS CIVILS ET LIBERTÉS </w:t>
      </w:r>
      <w:r>
        <w:tab/>
      </w:r>
      <w:r>
        <w:tab/>
        <w:t>88 – 123</w:t>
      </w:r>
      <w:r>
        <w:tab/>
        <w:t>24</w:t>
      </w:r>
    </w:p>
    <w:p w:rsidR="00000000" w:rsidRDefault="00000000">
      <w:pPr>
        <w:tabs>
          <w:tab w:val="right" w:leader="dot" w:pos="7371"/>
          <w:tab w:val="center" w:pos="8051"/>
          <w:tab w:val="right" w:pos="9299"/>
        </w:tabs>
        <w:ind w:left="1134" w:hanging="567"/>
      </w:pPr>
      <w:r>
        <w:t>A.</w:t>
      </w:r>
      <w:r>
        <w:tab/>
        <w:t>Le nom et la nationalité (art. 7)</w:t>
      </w:r>
      <w:r>
        <w:tab/>
      </w:r>
      <w:r>
        <w:tab/>
        <w:t>88 – 92</w:t>
      </w:r>
      <w:r>
        <w:tab/>
        <w:t>24</w:t>
      </w:r>
    </w:p>
    <w:p w:rsidR="00000000" w:rsidRDefault="00000000">
      <w:pPr>
        <w:tabs>
          <w:tab w:val="right" w:leader="dot" w:pos="7371"/>
          <w:tab w:val="center" w:pos="8051"/>
          <w:tab w:val="right" w:pos="9299"/>
        </w:tabs>
        <w:ind w:left="1134" w:hanging="567"/>
      </w:pPr>
      <w:r>
        <w:t>B.</w:t>
      </w:r>
      <w:r>
        <w:tab/>
        <w:t>La préservation de l’identité (art 13)</w:t>
      </w:r>
      <w:r>
        <w:tab/>
      </w:r>
      <w:r>
        <w:tab/>
      </w:r>
      <w:r>
        <w:tab/>
        <w:t>25</w:t>
      </w:r>
    </w:p>
    <w:p w:rsidR="00000000" w:rsidRDefault="00000000">
      <w:pPr>
        <w:tabs>
          <w:tab w:val="right" w:leader="dot" w:pos="7371"/>
          <w:tab w:val="center" w:pos="8051"/>
          <w:tab w:val="right" w:pos="9299"/>
        </w:tabs>
        <w:ind w:left="1134" w:hanging="567"/>
      </w:pPr>
      <w:r>
        <w:t>C.</w:t>
      </w:r>
      <w:r>
        <w:tab/>
        <w:t>La liberté d’expression (art. 13)</w:t>
      </w:r>
      <w:r>
        <w:tab/>
      </w:r>
      <w:r>
        <w:tab/>
        <w:t>93 – 96</w:t>
      </w:r>
      <w:r>
        <w:tab/>
        <w:t>25</w:t>
      </w:r>
    </w:p>
    <w:p w:rsidR="00000000" w:rsidRDefault="00000000">
      <w:pPr>
        <w:tabs>
          <w:tab w:val="right" w:leader="dot" w:pos="7371"/>
          <w:tab w:val="center" w:pos="8051"/>
          <w:tab w:val="right" w:pos="9299"/>
        </w:tabs>
        <w:ind w:left="1134" w:hanging="567"/>
      </w:pPr>
      <w:r>
        <w:t>D.</w:t>
      </w:r>
      <w:r>
        <w:tab/>
        <w:t>La liberté de pensée, de conscience et de religion (art. 14)</w:t>
      </w:r>
      <w:r>
        <w:tab/>
      </w:r>
      <w:r>
        <w:tab/>
        <w:t>97 – 100</w:t>
      </w:r>
      <w:r>
        <w:tab/>
        <w:t>26</w:t>
      </w:r>
    </w:p>
    <w:p w:rsidR="00000000" w:rsidRDefault="00000000">
      <w:pPr>
        <w:tabs>
          <w:tab w:val="right" w:leader="dot" w:pos="7371"/>
          <w:tab w:val="center" w:pos="8051"/>
          <w:tab w:val="right" w:pos="9299"/>
        </w:tabs>
        <w:ind w:left="1134" w:hanging="567"/>
      </w:pPr>
      <w:r>
        <w:t>E.</w:t>
      </w:r>
      <w:r>
        <w:tab/>
        <w:t>La liberté d’association et</w:t>
      </w:r>
      <w:r>
        <w:rPr>
          <w:bCs/>
          <w:iCs/>
        </w:rPr>
        <w:t xml:space="preserve"> </w:t>
      </w:r>
      <w:r>
        <w:t>la liberté de réunion pacifique</w:t>
      </w:r>
      <w:r>
        <w:br/>
        <w:t>(art. 15)</w:t>
      </w:r>
      <w:r>
        <w:tab/>
      </w:r>
      <w:r>
        <w:tab/>
        <w:t>101 – 106</w:t>
      </w:r>
      <w:r>
        <w:tab/>
        <w:t>26</w:t>
      </w:r>
    </w:p>
    <w:p w:rsidR="00000000" w:rsidRDefault="00000000">
      <w:pPr>
        <w:tabs>
          <w:tab w:val="right" w:leader="dot" w:pos="7371"/>
          <w:tab w:val="center" w:pos="8051"/>
          <w:tab w:val="right" w:pos="9299"/>
        </w:tabs>
        <w:ind w:left="1134" w:hanging="567"/>
      </w:pPr>
      <w:r>
        <w:t>F.</w:t>
      </w:r>
      <w:r>
        <w:tab/>
        <w:t>La protection de la vie privée (art. 16)</w:t>
      </w:r>
      <w:r>
        <w:tab/>
      </w:r>
      <w:r>
        <w:tab/>
        <w:t>107 – 108</w:t>
      </w:r>
      <w:r>
        <w:tab/>
        <w:t>27</w:t>
      </w:r>
    </w:p>
    <w:p w:rsidR="00000000" w:rsidRDefault="00000000">
      <w:pPr>
        <w:tabs>
          <w:tab w:val="right" w:leader="dot" w:pos="7371"/>
          <w:tab w:val="center" w:pos="8051"/>
          <w:tab w:val="right" w:pos="9299"/>
        </w:tabs>
        <w:ind w:left="1134" w:hanging="567"/>
      </w:pPr>
      <w:r>
        <w:t>G.</w:t>
      </w:r>
      <w:r>
        <w:tab/>
        <w:t>L’accès à une information appropriée (art.17)</w:t>
      </w:r>
      <w:r>
        <w:tab/>
      </w:r>
      <w:r>
        <w:tab/>
        <w:t>109 – 116</w:t>
      </w:r>
      <w:r>
        <w:tab/>
        <w:t>27</w:t>
      </w:r>
    </w:p>
    <w:p w:rsidR="00000000" w:rsidRDefault="00000000">
      <w:pPr>
        <w:tabs>
          <w:tab w:val="right" w:leader="dot" w:pos="7371"/>
          <w:tab w:val="center" w:pos="8051"/>
          <w:tab w:val="right" w:pos="9299"/>
        </w:tabs>
        <w:spacing w:after="240"/>
        <w:ind w:left="1134" w:hanging="567"/>
        <w:rPr>
          <w:iCs/>
        </w:rPr>
      </w:pPr>
      <w:r>
        <w:rPr>
          <w:iCs/>
        </w:rPr>
        <w:t>H.</w:t>
      </w:r>
      <w:r>
        <w:rPr>
          <w:iCs/>
        </w:rPr>
        <w:tab/>
        <w:t xml:space="preserve">Le droit de ne pas </w:t>
      </w:r>
      <w:r>
        <w:t>être</w:t>
      </w:r>
      <w:r>
        <w:rPr>
          <w:iCs/>
        </w:rPr>
        <w:t xml:space="preserve"> soumis à la torture ni à des peines</w:t>
      </w:r>
      <w:r>
        <w:rPr>
          <w:iCs/>
        </w:rPr>
        <w:br/>
        <w:t>ou traitements cruels, inhumains ou dégradants (art. 37)</w:t>
      </w:r>
      <w:r>
        <w:rPr>
          <w:iCs/>
        </w:rPr>
        <w:tab/>
      </w:r>
      <w:r>
        <w:rPr>
          <w:iCs/>
        </w:rPr>
        <w:tab/>
        <w:t>117 – 123</w:t>
      </w:r>
      <w:r>
        <w:rPr>
          <w:iCs/>
        </w:rPr>
        <w:tab/>
        <w:t>28</w:t>
      </w:r>
    </w:p>
    <w:p w:rsidR="00000000" w:rsidRDefault="00000000">
      <w:pPr>
        <w:tabs>
          <w:tab w:val="left" w:pos="1080"/>
          <w:tab w:val="right" w:leader="dot" w:pos="7371"/>
          <w:tab w:val="center" w:pos="8051"/>
          <w:tab w:val="right" w:pos="9299"/>
        </w:tabs>
        <w:spacing w:after="240"/>
        <w:ind w:left="567" w:hanging="567"/>
      </w:pPr>
      <w:r>
        <w:t>V.</w:t>
      </w:r>
      <w:r>
        <w:tab/>
        <w:t>MILIEU FAMILIAL ET PROTECTION DE REMPLACEMENT</w:t>
      </w:r>
      <w:r>
        <w:tab/>
      </w:r>
      <w:r>
        <w:tab/>
        <w:t>124 – 151</w:t>
      </w:r>
      <w:r>
        <w:tab/>
        <w:t>29</w:t>
      </w:r>
    </w:p>
    <w:p w:rsidR="00000000" w:rsidRDefault="00000000">
      <w:pPr>
        <w:tabs>
          <w:tab w:val="right" w:leader="dot" w:pos="7371"/>
          <w:tab w:val="center" w:pos="8051"/>
          <w:tab w:val="right" w:pos="9299"/>
        </w:tabs>
        <w:ind w:left="1134" w:hanging="567"/>
      </w:pPr>
      <w:r>
        <w:t>A.</w:t>
      </w:r>
      <w:r>
        <w:tab/>
        <w:t>L’orientation parentale (art 5)</w:t>
      </w:r>
      <w:r>
        <w:tab/>
      </w:r>
      <w:r>
        <w:tab/>
        <w:t>124 – 125</w:t>
      </w:r>
      <w:r>
        <w:tab/>
        <w:t>29</w:t>
      </w:r>
    </w:p>
    <w:p w:rsidR="00000000" w:rsidRDefault="00000000">
      <w:pPr>
        <w:tabs>
          <w:tab w:val="right" w:leader="dot" w:pos="7371"/>
          <w:tab w:val="center" w:pos="8051"/>
          <w:tab w:val="right" w:pos="9299"/>
        </w:tabs>
        <w:ind w:left="1134" w:hanging="567"/>
      </w:pPr>
      <w:r>
        <w:t>B.</w:t>
      </w:r>
      <w:r>
        <w:tab/>
        <w:t>La responsabilité parentale (art. 18)</w:t>
      </w:r>
      <w:r>
        <w:tab/>
      </w:r>
      <w:r>
        <w:tab/>
        <w:t>126</w:t>
      </w:r>
      <w:r>
        <w:tab/>
        <w:t>29</w:t>
      </w:r>
    </w:p>
    <w:p w:rsidR="00000000" w:rsidRDefault="00000000">
      <w:pPr>
        <w:tabs>
          <w:tab w:val="right" w:leader="dot" w:pos="7371"/>
          <w:tab w:val="center" w:pos="8051"/>
          <w:tab w:val="right" w:pos="9299"/>
        </w:tabs>
        <w:ind w:left="1134" w:hanging="567"/>
      </w:pPr>
      <w:r>
        <w:t>C.</w:t>
      </w:r>
      <w:r>
        <w:tab/>
        <w:t>La séparation d’avec les parents (art. 9)</w:t>
      </w:r>
      <w:r>
        <w:tab/>
      </w:r>
      <w:r>
        <w:tab/>
        <w:t>127 – 129</w:t>
      </w:r>
      <w:r>
        <w:tab/>
        <w:t>29</w:t>
      </w:r>
    </w:p>
    <w:p w:rsidR="00000000" w:rsidRDefault="00000000">
      <w:pPr>
        <w:tabs>
          <w:tab w:val="right" w:leader="dot" w:pos="7371"/>
          <w:tab w:val="center" w:pos="8051"/>
          <w:tab w:val="right" w:pos="9299"/>
        </w:tabs>
        <w:ind w:left="1134" w:hanging="567"/>
      </w:pPr>
      <w:r>
        <w:t>D.</w:t>
      </w:r>
      <w:r>
        <w:tab/>
        <w:t>La réunification familiale (art. 10)</w:t>
      </w:r>
      <w:r>
        <w:tab/>
      </w:r>
      <w:r>
        <w:tab/>
        <w:t>130</w:t>
      </w:r>
      <w:r>
        <w:tab/>
        <w:t>29</w:t>
      </w:r>
    </w:p>
    <w:p w:rsidR="00000000" w:rsidRDefault="00000000">
      <w:pPr>
        <w:tabs>
          <w:tab w:val="right" w:leader="dot" w:pos="7371"/>
          <w:tab w:val="center" w:pos="8051"/>
          <w:tab w:val="right" w:pos="9299"/>
        </w:tabs>
        <w:ind w:left="1134" w:hanging="567"/>
      </w:pPr>
      <w:r>
        <w:t>E.</w:t>
      </w:r>
      <w:r>
        <w:tab/>
        <w:t>Le recouvrement de la pension alimentaire (art. 27)</w:t>
      </w:r>
      <w:r>
        <w:tab/>
      </w:r>
      <w:r>
        <w:tab/>
        <w:t>131 – 134</w:t>
      </w:r>
      <w:r>
        <w:tab/>
        <w:t>29</w:t>
      </w:r>
    </w:p>
    <w:p w:rsidR="00000000" w:rsidRDefault="00000000">
      <w:pPr>
        <w:tabs>
          <w:tab w:val="right" w:leader="dot" w:pos="7371"/>
          <w:tab w:val="center" w:pos="8051"/>
          <w:tab w:val="right" w:pos="9299"/>
        </w:tabs>
        <w:ind w:left="1134" w:hanging="567"/>
      </w:pPr>
      <w:r>
        <w:t>F.</w:t>
      </w:r>
      <w:r>
        <w:tab/>
        <w:t>L’enfant privé de milieu familial (art. 20)</w:t>
      </w:r>
      <w:r>
        <w:tab/>
      </w:r>
      <w:r>
        <w:tab/>
        <w:t>135 – 137</w:t>
      </w:r>
      <w:r>
        <w:tab/>
        <w:t>30</w:t>
      </w:r>
    </w:p>
    <w:p w:rsidR="00000000" w:rsidRDefault="00000000">
      <w:pPr>
        <w:tabs>
          <w:tab w:val="right" w:leader="dot" w:pos="7371"/>
          <w:tab w:val="center" w:pos="8051"/>
          <w:tab w:val="right" w:pos="9299"/>
        </w:tabs>
        <w:ind w:left="1134" w:hanging="567"/>
        <w:rPr>
          <w:lang w:val="en-GB"/>
        </w:rPr>
      </w:pPr>
      <w:r>
        <w:rPr>
          <w:lang w:val="en-GB"/>
        </w:rPr>
        <w:t>G.</w:t>
      </w:r>
      <w:r>
        <w:rPr>
          <w:lang w:val="en-GB"/>
        </w:rPr>
        <w:tab/>
      </w:r>
      <w:proofErr w:type="spellStart"/>
      <w:r>
        <w:rPr>
          <w:lang w:val="en-GB"/>
        </w:rPr>
        <w:t>L’adoption</w:t>
      </w:r>
      <w:proofErr w:type="spellEnd"/>
      <w:r>
        <w:rPr>
          <w:lang w:val="en-GB"/>
        </w:rPr>
        <w:t xml:space="preserve"> (art. 21)</w:t>
      </w:r>
      <w:r>
        <w:rPr>
          <w:lang w:val="en-GB"/>
        </w:rPr>
        <w:tab/>
      </w:r>
      <w:r>
        <w:rPr>
          <w:lang w:val="en-GB"/>
        </w:rPr>
        <w:tab/>
        <w:t>138 – 141</w:t>
      </w:r>
      <w:r>
        <w:rPr>
          <w:lang w:val="en-GB"/>
        </w:rPr>
        <w:tab/>
        <w:t>30</w:t>
      </w:r>
    </w:p>
    <w:p w:rsidR="00000000" w:rsidRDefault="00000000">
      <w:pPr>
        <w:tabs>
          <w:tab w:val="right" w:leader="dot" w:pos="7371"/>
          <w:tab w:val="center" w:pos="8051"/>
          <w:tab w:val="right" w:pos="9299"/>
        </w:tabs>
        <w:ind w:left="1134" w:hanging="567"/>
      </w:pPr>
      <w:r>
        <w:t>H.</w:t>
      </w:r>
      <w:r>
        <w:tab/>
        <w:t>Le déplacement et le non retour (art. 11)</w:t>
      </w:r>
      <w:r>
        <w:tab/>
      </w:r>
      <w:r>
        <w:tab/>
        <w:t>142 – 144</w:t>
      </w:r>
      <w:r>
        <w:tab/>
        <w:t>30</w:t>
      </w:r>
    </w:p>
    <w:p w:rsidR="00000000" w:rsidRDefault="00000000">
      <w:pPr>
        <w:tabs>
          <w:tab w:val="right" w:leader="dot" w:pos="7371"/>
          <w:tab w:val="center" w:pos="8051"/>
          <w:tab w:val="right" w:pos="9299"/>
        </w:tabs>
        <w:ind w:left="1134" w:hanging="567"/>
      </w:pPr>
      <w:r>
        <w:t>I.</w:t>
      </w:r>
      <w:r>
        <w:tab/>
        <w:t xml:space="preserve">Les sévices ou le délaissement (art.19) </w:t>
      </w:r>
      <w:r>
        <w:rPr>
          <w:i/>
          <w:iCs/>
        </w:rPr>
        <w:tab/>
      </w:r>
      <w:r>
        <w:rPr>
          <w:i/>
          <w:iCs/>
        </w:rPr>
        <w:tab/>
      </w:r>
      <w:r>
        <w:t>145 – 147</w:t>
      </w:r>
      <w:r>
        <w:tab/>
        <w:t>31</w:t>
      </w:r>
    </w:p>
    <w:p w:rsidR="00000000" w:rsidRDefault="00000000">
      <w:pPr>
        <w:tabs>
          <w:tab w:val="right" w:leader="dot" w:pos="7371"/>
          <w:tab w:val="center" w:pos="8051"/>
          <w:tab w:val="right" w:pos="9299"/>
        </w:tabs>
        <w:ind w:left="1134" w:hanging="567"/>
      </w:pPr>
      <w:r>
        <w:t>J.</w:t>
      </w:r>
      <w:r>
        <w:tab/>
        <w:t>La réadaptation physique et psychologique et</w:t>
      </w:r>
      <w:r>
        <w:br/>
        <w:t>la réinsertion sociale (art.39</w:t>
      </w:r>
      <w:r>
        <w:rPr>
          <w:i/>
          <w:iCs/>
        </w:rPr>
        <w:t>)</w:t>
      </w:r>
      <w:r>
        <w:tab/>
      </w:r>
      <w:r>
        <w:tab/>
        <w:t>148 – 151</w:t>
      </w:r>
      <w:r>
        <w:tab/>
        <w:t>31</w:t>
      </w:r>
    </w:p>
    <w:p w:rsidR="00000000" w:rsidRDefault="00000000">
      <w:pPr>
        <w:tabs>
          <w:tab w:val="right" w:leader="dot" w:pos="7371"/>
          <w:tab w:val="center" w:pos="8051"/>
          <w:tab w:val="right" w:pos="9299"/>
        </w:tabs>
        <w:spacing w:after="240"/>
        <w:ind w:left="1134" w:hanging="567"/>
        <w:rPr>
          <w:iCs/>
        </w:rPr>
      </w:pPr>
      <w:r>
        <w:t>K.</w:t>
      </w:r>
      <w:r>
        <w:tab/>
      </w:r>
      <w:r>
        <w:rPr>
          <w:iCs/>
        </w:rPr>
        <w:t xml:space="preserve">L’examen </w:t>
      </w:r>
      <w:r>
        <w:t>périodique</w:t>
      </w:r>
      <w:r>
        <w:rPr>
          <w:iCs/>
        </w:rPr>
        <w:t xml:space="preserve"> du placement</w:t>
      </w:r>
      <w:r>
        <w:rPr>
          <w:iCs/>
        </w:rPr>
        <w:tab/>
      </w:r>
      <w:r>
        <w:rPr>
          <w:iCs/>
        </w:rPr>
        <w:tab/>
        <w:t>152 – 157</w:t>
      </w:r>
      <w:r>
        <w:rPr>
          <w:iCs/>
        </w:rPr>
        <w:tab/>
        <w:t>32</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left" w:pos="1080"/>
          <w:tab w:val="right" w:leader="dot" w:pos="7371"/>
          <w:tab w:val="center" w:pos="8051"/>
          <w:tab w:val="right" w:pos="9299"/>
        </w:tabs>
        <w:spacing w:after="240"/>
        <w:ind w:left="567" w:hanging="567"/>
      </w:pPr>
      <w:r>
        <w:t>VI.</w:t>
      </w:r>
      <w:r>
        <w:tab/>
        <w:t>SANTÉ ET BIEN-ÊTRE</w:t>
      </w:r>
      <w:r>
        <w:tab/>
      </w:r>
      <w:r>
        <w:tab/>
        <w:t>158 – 219</w:t>
      </w:r>
      <w:r>
        <w:tab/>
        <w:t>32</w:t>
      </w:r>
    </w:p>
    <w:p w:rsidR="00000000" w:rsidRDefault="00000000">
      <w:pPr>
        <w:tabs>
          <w:tab w:val="right" w:leader="dot" w:pos="7371"/>
          <w:tab w:val="center" w:pos="8051"/>
          <w:tab w:val="right" w:pos="9299"/>
        </w:tabs>
        <w:ind w:left="1134" w:hanging="567"/>
      </w:pPr>
      <w:r>
        <w:t>A.</w:t>
      </w:r>
      <w:r>
        <w:tab/>
      </w:r>
      <w:r>
        <w:rPr>
          <w:iCs/>
        </w:rPr>
        <w:t xml:space="preserve">La </w:t>
      </w:r>
      <w:r>
        <w:t>survie</w:t>
      </w:r>
      <w:r>
        <w:rPr>
          <w:iCs/>
        </w:rPr>
        <w:t xml:space="preserve"> et le développement de l’enfant (art. 6, par. 2)</w:t>
      </w:r>
      <w:r>
        <w:rPr>
          <w:iCs/>
        </w:rPr>
        <w:tab/>
      </w:r>
      <w:r>
        <w:rPr>
          <w:iCs/>
        </w:rPr>
        <w:tab/>
        <w:t>158 – 164</w:t>
      </w:r>
      <w:r>
        <w:rPr>
          <w:iCs/>
        </w:rPr>
        <w:tab/>
        <w:t>32</w:t>
      </w:r>
    </w:p>
    <w:p w:rsidR="00000000" w:rsidRDefault="00000000">
      <w:pPr>
        <w:tabs>
          <w:tab w:val="right" w:leader="dot" w:pos="7371"/>
          <w:tab w:val="center" w:pos="8051"/>
          <w:tab w:val="right" w:pos="9299"/>
        </w:tabs>
        <w:ind w:left="1134" w:hanging="567"/>
        <w:rPr>
          <w:iCs/>
        </w:rPr>
      </w:pPr>
      <w:r>
        <w:rPr>
          <w:iCs/>
        </w:rPr>
        <w:t>B.</w:t>
      </w:r>
      <w:r>
        <w:rPr>
          <w:iCs/>
        </w:rPr>
        <w:tab/>
        <w:t>Les enfants handicapés (art. 23</w:t>
      </w:r>
      <w:r>
        <w:rPr>
          <w:i/>
        </w:rPr>
        <w:t xml:space="preserve">) </w:t>
      </w:r>
      <w:r>
        <w:rPr>
          <w:i/>
        </w:rPr>
        <w:tab/>
      </w:r>
      <w:r>
        <w:rPr>
          <w:i/>
        </w:rPr>
        <w:tab/>
      </w:r>
      <w:r>
        <w:rPr>
          <w:iCs/>
        </w:rPr>
        <w:t>165 – 173</w:t>
      </w:r>
      <w:r>
        <w:rPr>
          <w:iCs/>
        </w:rPr>
        <w:tab/>
        <w:t>33</w:t>
      </w:r>
    </w:p>
    <w:p w:rsidR="00000000" w:rsidRDefault="00000000">
      <w:pPr>
        <w:tabs>
          <w:tab w:val="right" w:leader="dot" w:pos="7371"/>
          <w:tab w:val="center" w:pos="8051"/>
          <w:tab w:val="right" w:pos="9299"/>
        </w:tabs>
        <w:ind w:left="1134" w:hanging="567"/>
        <w:rPr>
          <w:iCs/>
        </w:rPr>
      </w:pPr>
      <w:r>
        <w:rPr>
          <w:iCs/>
        </w:rPr>
        <w:t>C.</w:t>
      </w:r>
      <w:r>
        <w:rPr>
          <w:i/>
        </w:rPr>
        <w:tab/>
      </w:r>
      <w:r>
        <w:rPr>
          <w:iCs/>
        </w:rPr>
        <w:t>La santé et les services de santé (art. 24)</w:t>
      </w:r>
      <w:r>
        <w:rPr>
          <w:iCs/>
        </w:rPr>
        <w:tab/>
      </w:r>
      <w:r>
        <w:rPr>
          <w:iCs/>
        </w:rPr>
        <w:tab/>
        <w:t>174 – 214</w:t>
      </w:r>
      <w:r>
        <w:rPr>
          <w:iCs/>
        </w:rPr>
        <w:tab/>
        <w:t>34</w:t>
      </w:r>
    </w:p>
    <w:p w:rsidR="00000000" w:rsidRDefault="00000000">
      <w:pPr>
        <w:tabs>
          <w:tab w:val="right" w:leader="dot" w:pos="7371"/>
          <w:tab w:val="center" w:pos="8051"/>
          <w:tab w:val="right" w:pos="9299"/>
        </w:tabs>
        <w:ind w:left="1134" w:hanging="567"/>
      </w:pPr>
      <w:r>
        <w:t>D.</w:t>
      </w:r>
      <w:r>
        <w:tab/>
        <w:t xml:space="preserve">La sécurité sociale et les services et </w:t>
      </w:r>
      <w:r>
        <w:br/>
        <w:t>établissements de garde d’enfants</w:t>
      </w:r>
      <w:r>
        <w:tab/>
      </w:r>
      <w:r>
        <w:tab/>
        <w:t>215</w:t>
      </w:r>
      <w:r>
        <w:tab/>
        <w:t>44</w:t>
      </w:r>
    </w:p>
    <w:p w:rsidR="00000000" w:rsidRDefault="00000000">
      <w:pPr>
        <w:tabs>
          <w:tab w:val="right" w:leader="dot" w:pos="7371"/>
          <w:tab w:val="center" w:pos="8051"/>
          <w:tab w:val="right" w:pos="9299"/>
        </w:tabs>
        <w:spacing w:after="240"/>
        <w:ind w:left="1134" w:hanging="567"/>
      </w:pPr>
      <w:r>
        <w:t>E.</w:t>
      </w:r>
      <w:r>
        <w:tab/>
        <w:t>Le niveau de vie (art 27, par.1 à 3)</w:t>
      </w:r>
      <w:r>
        <w:tab/>
      </w:r>
      <w:r>
        <w:tab/>
        <w:t>216 – 219</w:t>
      </w:r>
      <w:r>
        <w:tab/>
        <w:t>45</w:t>
      </w:r>
    </w:p>
    <w:p w:rsidR="00000000" w:rsidRDefault="00000000">
      <w:pPr>
        <w:tabs>
          <w:tab w:val="left" w:pos="1080"/>
          <w:tab w:val="right" w:leader="dot" w:pos="7371"/>
          <w:tab w:val="center" w:pos="8051"/>
          <w:tab w:val="right" w:pos="9299"/>
        </w:tabs>
        <w:spacing w:after="240"/>
        <w:ind w:left="567" w:hanging="567"/>
      </w:pPr>
      <w:r>
        <w:rPr>
          <w:bCs/>
        </w:rPr>
        <w:t>VII.</w:t>
      </w:r>
      <w:r>
        <w:rPr>
          <w:bCs/>
        </w:rPr>
        <w:tab/>
      </w:r>
      <w:r>
        <w:t>ÉDUCATION</w:t>
      </w:r>
      <w:r>
        <w:rPr>
          <w:bCs/>
        </w:rPr>
        <w:t>, LOISIRS ET ACTIVITÉS CULTURELLES ……</w:t>
      </w:r>
      <w:r>
        <w:rPr>
          <w:bCs/>
        </w:rPr>
        <w:tab/>
        <w:t>…</w:t>
      </w:r>
      <w:r>
        <w:rPr>
          <w:bCs/>
        </w:rPr>
        <w:tab/>
        <w:t>220 – 231</w:t>
      </w:r>
      <w:r>
        <w:rPr>
          <w:bCs/>
        </w:rPr>
        <w:tab/>
        <w:t>45</w:t>
      </w:r>
    </w:p>
    <w:p w:rsidR="00000000" w:rsidRDefault="00000000">
      <w:pPr>
        <w:tabs>
          <w:tab w:val="right" w:leader="dot" w:pos="7371"/>
          <w:tab w:val="center" w:pos="8051"/>
          <w:tab w:val="right" w:pos="9299"/>
        </w:tabs>
        <w:ind w:left="1134" w:hanging="567"/>
      </w:pPr>
      <w:r>
        <w:t>A.</w:t>
      </w:r>
      <w:r>
        <w:tab/>
        <w:t>L’éducation, y compris la formation et</w:t>
      </w:r>
      <w:r>
        <w:br/>
        <w:t xml:space="preserve">l’orientation professionnelles (art. 28) </w:t>
      </w:r>
      <w:r>
        <w:tab/>
      </w:r>
      <w:r>
        <w:tab/>
        <w:t>220 – 223</w:t>
      </w:r>
      <w:r>
        <w:tab/>
        <w:t>45</w:t>
      </w:r>
    </w:p>
    <w:p w:rsidR="00000000" w:rsidRDefault="00000000">
      <w:pPr>
        <w:tabs>
          <w:tab w:val="right" w:leader="dot" w:pos="7371"/>
          <w:tab w:val="center" w:pos="8051"/>
          <w:tab w:val="right" w:pos="9299"/>
        </w:tabs>
        <w:ind w:left="1134" w:hanging="567"/>
      </w:pPr>
      <w:r>
        <w:t>B.</w:t>
      </w:r>
      <w:r>
        <w:tab/>
        <w:t>Les buts de l’éducation (art 29), y compris la qualité de</w:t>
      </w:r>
      <w:r>
        <w:br/>
        <w:t>l’éducation</w:t>
      </w:r>
      <w:r>
        <w:tab/>
      </w:r>
      <w:r>
        <w:tab/>
        <w:t>224 – 226</w:t>
      </w:r>
      <w:r>
        <w:tab/>
        <w:t>51</w:t>
      </w:r>
    </w:p>
    <w:p w:rsidR="00000000" w:rsidRDefault="00000000">
      <w:pPr>
        <w:tabs>
          <w:tab w:val="right" w:leader="dot" w:pos="7371"/>
          <w:tab w:val="center" w:pos="8051"/>
          <w:tab w:val="right" w:pos="9299"/>
        </w:tabs>
        <w:spacing w:after="240"/>
        <w:ind w:left="1134" w:hanging="567"/>
      </w:pPr>
      <w:r>
        <w:t>C.</w:t>
      </w:r>
      <w:r>
        <w:tab/>
        <w:t>Le repos, les loisirs et les activités récréatives et culturelles</w:t>
      </w:r>
      <w:r>
        <w:br/>
        <w:t>(art. 31)</w:t>
      </w:r>
      <w:r>
        <w:tab/>
      </w:r>
      <w:r>
        <w:tab/>
        <w:t>227 – 231</w:t>
      </w:r>
      <w:r>
        <w:tab/>
        <w:t>52</w:t>
      </w:r>
    </w:p>
    <w:p w:rsidR="00000000" w:rsidRDefault="00000000">
      <w:pPr>
        <w:tabs>
          <w:tab w:val="left" w:pos="1080"/>
          <w:tab w:val="right" w:leader="dot" w:pos="7371"/>
          <w:tab w:val="center" w:pos="8051"/>
          <w:tab w:val="right" w:pos="9299"/>
        </w:tabs>
        <w:spacing w:after="240"/>
        <w:ind w:left="567" w:hanging="567"/>
      </w:pPr>
      <w:r>
        <w:t>VIII.</w:t>
      </w:r>
      <w:r>
        <w:tab/>
        <w:t>MESURES DE PROTECTION SPÉCIALE</w:t>
      </w:r>
      <w:r>
        <w:tab/>
      </w:r>
      <w:r>
        <w:tab/>
        <w:t>232 – 302</w:t>
      </w:r>
      <w:r>
        <w:tab/>
        <w:t>52</w:t>
      </w:r>
    </w:p>
    <w:p w:rsidR="00000000" w:rsidRDefault="00000000">
      <w:pPr>
        <w:tabs>
          <w:tab w:val="right" w:leader="dot" w:pos="7371"/>
          <w:tab w:val="center" w:pos="8051"/>
          <w:tab w:val="right" w:pos="9299"/>
        </w:tabs>
        <w:ind w:left="1134" w:hanging="567"/>
      </w:pPr>
      <w:r>
        <w:t>A.</w:t>
      </w:r>
      <w:r>
        <w:tab/>
        <w:t>Les enfants en situation d’urgence</w:t>
      </w:r>
      <w:r>
        <w:tab/>
      </w:r>
      <w:r>
        <w:tab/>
        <w:t>232 – 253</w:t>
      </w:r>
      <w:r>
        <w:tab/>
        <w:t>52</w:t>
      </w:r>
    </w:p>
    <w:p w:rsidR="00000000" w:rsidRDefault="00000000">
      <w:pPr>
        <w:tabs>
          <w:tab w:val="left" w:pos="1680"/>
          <w:tab w:val="right" w:leader="dot" w:pos="7371"/>
          <w:tab w:val="center" w:pos="8051"/>
          <w:tab w:val="right" w:pos="9299"/>
        </w:tabs>
        <w:ind w:left="2268" w:hanging="1134"/>
      </w:pPr>
      <w:r>
        <w:t>1.</w:t>
      </w:r>
      <w:r>
        <w:tab/>
        <w:t>Les enfants réfugiés (art 22)</w:t>
      </w:r>
      <w:r>
        <w:tab/>
      </w:r>
      <w:r>
        <w:tab/>
        <w:t>232 – 242</w:t>
      </w:r>
      <w:r>
        <w:tab/>
        <w:t>52</w:t>
      </w:r>
    </w:p>
    <w:p w:rsidR="00000000" w:rsidRDefault="00000000">
      <w:pPr>
        <w:tabs>
          <w:tab w:val="left" w:pos="1680"/>
          <w:tab w:val="right" w:leader="dot" w:pos="7371"/>
          <w:tab w:val="center" w:pos="8051"/>
          <w:tab w:val="right" w:pos="9299"/>
        </w:tabs>
        <w:ind w:left="2268" w:hanging="1134"/>
      </w:pPr>
      <w:r>
        <w:t>2.</w:t>
      </w:r>
      <w:r>
        <w:tab/>
        <w:t>Les enfants touchés par des conflits armés (art. 38)</w:t>
      </w:r>
      <w:r>
        <w:tab/>
      </w:r>
      <w:r>
        <w:tab/>
        <w:t>243 – 253</w:t>
      </w:r>
      <w:r>
        <w:tab/>
        <w:t>54</w:t>
      </w:r>
    </w:p>
    <w:p w:rsidR="00000000" w:rsidRDefault="00000000">
      <w:pPr>
        <w:tabs>
          <w:tab w:val="right" w:leader="dot" w:pos="7371"/>
          <w:tab w:val="center" w:pos="8051"/>
          <w:tab w:val="right" w:pos="9299"/>
        </w:tabs>
        <w:ind w:left="1134" w:hanging="567"/>
      </w:pPr>
      <w:r>
        <w:t>B.</w:t>
      </w:r>
      <w:r>
        <w:tab/>
        <w:t>Les enfants en situation de conflit avec la loi</w:t>
      </w:r>
      <w:r>
        <w:tab/>
      </w:r>
      <w:r>
        <w:tab/>
        <w:t>254 – 273</w:t>
      </w:r>
      <w:r>
        <w:tab/>
        <w:t>54</w:t>
      </w:r>
    </w:p>
    <w:p w:rsidR="00000000" w:rsidRDefault="00000000">
      <w:pPr>
        <w:tabs>
          <w:tab w:val="left" w:pos="1680"/>
          <w:tab w:val="right" w:leader="dot" w:pos="7371"/>
          <w:tab w:val="center" w:pos="8051"/>
          <w:tab w:val="right" w:pos="9299"/>
        </w:tabs>
        <w:ind w:left="2268" w:hanging="1134"/>
      </w:pPr>
      <w:r>
        <w:t>1.</w:t>
      </w:r>
      <w:r>
        <w:tab/>
        <w:t>L’administration de la justice pour mineurs (art. 40)</w:t>
      </w:r>
      <w:r>
        <w:tab/>
      </w:r>
      <w:r>
        <w:tab/>
        <w:t>245 – 257</w:t>
      </w:r>
      <w:r>
        <w:tab/>
        <w:t>54</w:t>
      </w:r>
    </w:p>
    <w:p w:rsidR="00000000" w:rsidRDefault="00000000">
      <w:pPr>
        <w:tabs>
          <w:tab w:val="right" w:leader="dot" w:pos="7371"/>
          <w:tab w:val="center" w:pos="8051"/>
          <w:tab w:val="right" w:pos="9299"/>
        </w:tabs>
        <w:ind w:left="1701" w:hanging="567"/>
      </w:pPr>
      <w:r>
        <w:t>2.</w:t>
      </w:r>
      <w:r>
        <w:tab/>
        <w:t>Les enfants privés de liberté, y compris les enfants soumis</w:t>
      </w:r>
      <w:r>
        <w:br/>
        <w:t xml:space="preserve">à toute forme de détention (art 37, </w:t>
      </w:r>
      <w:r>
        <w:rPr>
          <w:i/>
          <w:iCs/>
        </w:rPr>
        <w:t>b</w:t>
      </w:r>
      <w:r>
        <w:t xml:space="preserve">, </w:t>
      </w:r>
      <w:r>
        <w:rPr>
          <w:i/>
          <w:iCs/>
        </w:rPr>
        <w:t>c</w:t>
      </w:r>
      <w:r>
        <w:t xml:space="preserve"> et </w:t>
      </w:r>
      <w:r>
        <w:rPr>
          <w:i/>
          <w:iCs/>
        </w:rPr>
        <w:t>d</w:t>
      </w:r>
      <w:r>
        <w:t>)</w:t>
      </w:r>
      <w:r>
        <w:tab/>
      </w:r>
      <w:r>
        <w:tab/>
        <w:t>258 – 270</w:t>
      </w:r>
      <w:r>
        <w:tab/>
        <w:t>55</w:t>
      </w:r>
    </w:p>
    <w:p w:rsidR="00000000" w:rsidRDefault="00000000">
      <w:pPr>
        <w:tabs>
          <w:tab w:val="left" w:pos="1680"/>
          <w:tab w:val="right" w:leader="dot" w:pos="7371"/>
          <w:tab w:val="center" w:pos="8051"/>
          <w:tab w:val="right" w:pos="9299"/>
        </w:tabs>
        <w:ind w:left="1701" w:hanging="567"/>
      </w:pPr>
      <w:r>
        <w:t>3.</w:t>
      </w:r>
      <w:r>
        <w:tab/>
        <w:t>Les condamnations des jeunes délinquants, en particulier</w:t>
      </w:r>
      <w:r>
        <w:br/>
        <w:t>l’interdiction de la peine capitale et  d’emprisonnement</w:t>
      </w:r>
      <w:r>
        <w:br/>
        <w:t>à vie (art. 37)</w:t>
      </w:r>
      <w:r>
        <w:tab/>
      </w:r>
      <w:r>
        <w:tab/>
        <w:t>271 – 272</w:t>
      </w:r>
      <w:r>
        <w:tab/>
        <w:t>58</w:t>
      </w:r>
    </w:p>
    <w:p w:rsidR="00000000" w:rsidRDefault="00000000">
      <w:pPr>
        <w:tabs>
          <w:tab w:val="left" w:pos="1680"/>
          <w:tab w:val="right" w:leader="dot" w:pos="7371"/>
          <w:tab w:val="center" w:pos="8051"/>
          <w:tab w:val="right" w:pos="9299"/>
        </w:tabs>
        <w:ind w:left="1701" w:hanging="567"/>
      </w:pPr>
      <w:r>
        <w:t>4.</w:t>
      </w:r>
      <w:r>
        <w:tab/>
        <w:t>La réadaptation physique, psychologique et réinsertion</w:t>
      </w:r>
      <w:r>
        <w:br/>
        <w:t>sociale (art. 39)</w:t>
      </w:r>
      <w:r>
        <w:tab/>
      </w:r>
      <w:r>
        <w:tab/>
        <w:t>273</w:t>
      </w:r>
      <w:r>
        <w:tab/>
        <w:t>58</w:t>
      </w:r>
    </w:p>
    <w:p w:rsidR="00000000" w:rsidRDefault="00000000">
      <w:pPr>
        <w:tabs>
          <w:tab w:val="left" w:pos="1080"/>
          <w:tab w:val="right" w:leader="dot" w:pos="7371"/>
          <w:tab w:val="center" w:pos="8051"/>
          <w:tab w:val="right" w:pos="9299"/>
        </w:tabs>
        <w:ind w:left="567" w:hanging="567"/>
      </w:pPr>
      <w:r>
        <w:tab/>
        <w:t>C.</w:t>
      </w:r>
      <w:r>
        <w:tab/>
        <w:t>Les enfants en situation d’exploitation</w:t>
      </w:r>
      <w:r>
        <w:tab/>
      </w:r>
      <w:r>
        <w:tab/>
        <w:t>274 – 300</w:t>
      </w:r>
      <w:r>
        <w:tab/>
        <w:t>58</w:t>
      </w:r>
    </w:p>
    <w:p w:rsidR="00000000" w:rsidRDefault="00000000">
      <w:pPr>
        <w:tabs>
          <w:tab w:val="left" w:pos="1680"/>
          <w:tab w:val="right" w:leader="dot" w:pos="7371"/>
          <w:tab w:val="center" w:pos="8051"/>
          <w:tab w:val="right" w:pos="9299"/>
        </w:tabs>
        <w:ind w:left="1701" w:hanging="567"/>
      </w:pPr>
      <w:r>
        <w:t>1.</w:t>
      </w:r>
      <w:r>
        <w:tab/>
        <w:t>L’exploitation économique, notamment le travail</w:t>
      </w:r>
      <w:r>
        <w:br/>
        <w:t>des enfants (art.. 32)</w:t>
      </w:r>
      <w:r>
        <w:tab/>
      </w:r>
      <w:r>
        <w:tab/>
        <w:t>274 – 280</w:t>
      </w:r>
      <w:r>
        <w:tab/>
        <w:t>58</w:t>
      </w:r>
    </w:p>
    <w:p w:rsidR="00000000" w:rsidRDefault="00000000">
      <w:pPr>
        <w:tabs>
          <w:tab w:val="left" w:pos="1680"/>
          <w:tab w:val="right" w:leader="dot" w:pos="7371"/>
          <w:tab w:val="center" w:pos="8051"/>
          <w:tab w:val="right" w:pos="9299"/>
        </w:tabs>
        <w:ind w:left="1701" w:hanging="567"/>
      </w:pPr>
      <w:r>
        <w:t>2.</w:t>
      </w:r>
      <w:r>
        <w:tab/>
        <w:t>L’usage des stupéfiants (art.33)</w:t>
      </w:r>
      <w:r>
        <w:tab/>
      </w:r>
      <w:r>
        <w:tab/>
        <w:t>281</w:t>
      </w:r>
      <w:r>
        <w:tab/>
        <w:t>59</w:t>
      </w:r>
    </w:p>
    <w:p w:rsidR="00000000" w:rsidRDefault="00000000">
      <w:pPr>
        <w:tabs>
          <w:tab w:val="left" w:pos="1680"/>
          <w:tab w:val="right" w:leader="dot" w:pos="7371"/>
          <w:tab w:val="center" w:pos="8051"/>
          <w:tab w:val="right" w:pos="9299"/>
        </w:tabs>
        <w:ind w:left="1701" w:hanging="567"/>
      </w:pPr>
      <w:r>
        <w:t>3.</w:t>
      </w:r>
      <w:r>
        <w:tab/>
        <w:t>L’exploitation et les violences sexuelles (art. 34)</w:t>
      </w:r>
      <w:r>
        <w:tab/>
      </w:r>
      <w:r>
        <w:tab/>
        <w:t>282 – 291</w:t>
      </w:r>
      <w:r>
        <w:tab/>
        <w:t>59</w:t>
      </w:r>
    </w:p>
    <w:p w:rsidR="00000000" w:rsidRDefault="00000000">
      <w:pPr>
        <w:tabs>
          <w:tab w:val="left" w:pos="1680"/>
          <w:tab w:val="right" w:leader="dot" w:pos="7371"/>
          <w:tab w:val="center" w:pos="8051"/>
          <w:tab w:val="right" w:pos="9299"/>
        </w:tabs>
        <w:ind w:left="1701" w:hanging="567"/>
      </w:pPr>
      <w:r>
        <w:t>4.</w:t>
      </w:r>
      <w:r>
        <w:tab/>
        <w:t>Les autres formes d’exploitation (art. 36)</w:t>
      </w:r>
      <w:r>
        <w:tab/>
      </w:r>
      <w:r>
        <w:tab/>
        <w:t>292 – 293</w:t>
      </w:r>
      <w:r>
        <w:tab/>
        <w:t>60</w:t>
      </w:r>
    </w:p>
    <w:p w:rsidR="00000000" w:rsidRDefault="00000000">
      <w:pPr>
        <w:tabs>
          <w:tab w:val="left" w:pos="1680"/>
          <w:tab w:val="right" w:leader="dot" w:pos="7371"/>
          <w:tab w:val="center" w:pos="8051"/>
          <w:tab w:val="right" w:pos="9299"/>
        </w:tabs>
        <w:ind w:left="1701" w:hanging="567"/>
      </w:pPr>
      <w:r>
        <w:t>5.</w:t>
      </w:r>
      <w:r>
        <w:tab/>
        <w:t>La vente, la traite et l’enlèvement d’enfants (art. 35)</w:t>
      </w:r>
      <w:r>
        <w:tab/>
      </w:r>
      <w:r>
        <w:tab/>
        <w:t>294 – 300</w:t>
      </w:r>
      <w:r>
        <w:tab/>
        <w:t>61</w:t>
      </w:r>
    </w:p>
    <w:p w:rsidR="00000000" w:rsidRDefault="00000000">
      <w:pPr>
        <w:tabs>
          <w:tab w:val="right" w:leader="dot" w:pos="7371"/>
          <w:tab w:val="center" w:pos="8051"/>
          <w:tab w:val="right" w:pos="9299"/>
        </w:tabs>
        <w:ind w:left="1134" w:hanging="567"/>
      </w:pPr>
      <w:r>
        <w:t>D.</w:t>
      </w:r>
      <w:r>
        <w:tab/>
        <w:t>Les enfants appartenant à une minorité ou  à un groupe</w:t>
      </w:r>
      <w:r>
        <w:br/>
        <w:t>autochtone (art. 30)</w:t>
      </w:r>
      <w:r>
        <w:tab/>
      </w:r>
      <w:r>
        <w:tab/>
      </w:r>
      <w:r>
        <w:tab/>
        <w:t>61</w:t>
      </w:r>
    </w:p>
    <w:p w:rsidR="00000000" w:rsidRDefault="00000000">
      <w:pPr>
        <w:tabs>
          <w:tab w:val="left" w:pos="1080"/>
          <w:tab w:val="right" w:leader="dot" w:pos="7371"/>
          <w:tab w:val="center" w:pos="8051"/>
          <w:tab w:val="right" w:pos="9299"/>
        </w:tabs>
        <w:spacing w:after="240"/>
        <w:ind w:left="567" w:hanging="567"/>
      </w:pPr>
      <w:r>
        <w:tab/>
        <w:t>E.</w:t>
      </w:r>
      <w:r>
        <w:tab/>
        <w:t>Les enfants vivant ou travaillant dans la rue</w:t>
      </w:r>
      <w:r>
        <w:tab/>
      </w:r>
      <w:r>
        <w:tab/>
        <w:t>301 – 302</w:t>
      </w:r>
      <w:r>
        <w:tab/>
        <w:t>61</w:t>
      </w:r>
    </w:p>
    <w:p w:rsidR="00000000" w:rsidRDefault="00000000">
      <w:pPr>
        <w:keepNext/>
        <w:spacing w:after="240"/>
        <w:jc w:val="center"/>
        <w:rPr>
          <w:b/>
          <w:bCs/>
        </w:rPr>
      </w:pPr>
      <w:r>
        <w:rPr>
          <w:b/>
          <w:bCs/>
        </w:rPr>
        <w:t>TABLE DES MATIÈRES (</w:t>
      </w:r>
      <w:r>
        <w:rPr>
          <w:b/>
          <w:bCs/>
          <w:i/>
          <w:iCs/>
        </w:rPr>
        <w:t>suite</w:t>
      </w:r>
      <w:r>
        <w:rPr>
          <w:b/>
          <w:bCs/>
        </w:rPr>
        <w:t>)</w:t>
      </w:r>
    </w:p>
    <w:p w:rsidR="00000000" w:rsidRDefault="00000000">
      <w:pPr>
        <w:keepNext/>
        <w:tabs>
          <w:tab w:val="left" w:pos="1080"/>
          <w:tab w:val="right" w:leader="dot" w:pos="7371"/>
          <w:tab w:val="center" w:pos="8051"/>
          <w:tab w:val="right" w:pos="9299"/>
        </w:tabs>
        <w:spacing w:after="240"/>
        <w:ind w:left="567" w:hanging="567"/>
        <w:jc w:val="center"/>
      </w:pPr>
      <w:r>
        <w:t>Liste des tableaux</w:t>
      </w:r>
    </w:p>
    <w:p w:rsidR="00000000" w:rsidRDefault="00000000">
      <w:pPr>
        <w:keepNext/>
        <w:tabs>
          <w:tab w:val="right" w:leader="dot" w:pos="7371"/>
          <w:tab w:val="center" w:pos="8051"/>
          <w:tab w:val="right" w:pos="9299"/>
        </w:tabs>
        <w:spacing w:after="240"/>
        <w:ind w:left="1418" w:hanging="1418"/>
      </w:pPr>
      <w:r>
        <w:t>Tableau 1:</w:t>
      </w:r>
      <w:r>
        <w:tab/>
        <w:t>Données</w:t>
      </w:r>
      <w:r>
        <w:rPr>
          <w:rFonts w:cs="Arial"/>
          <w:bCs/>
        </w:rPr>
        <w:t xml:space="preserve"> de base sur le Tchad</w:t>
      </w:r>
    </w:p>
    <w:p w:rsidR="00000000" w:rsidRDefault="00000000">
      <w:pPr>
        <w:tabs>
          <w:tab w:val="right" w:leader="dot" w:pos="7371"/>
          <w:tab w:val="center" w:pos="8051"/>
          <w:tab w:val="right" w:pos="9299"/>
        </w:tabs>
        <w:spacing w:after="240"/>
        <w:ind w:left="1418" w:hanging="1418"/>
      </w:pPr>
      <w:r>
        <w:rPr>
          <w:szCs w:val="22"/>
        </w:rPr>
        <w:t>Tableau 2:</w:t>
      </w:r>
      <w:r>
        <w:rPr>
          <w:szCs w:val="22"/>
        </w:rPr>
        <w:tab/>
      </w:r>
      <w:r>
        <w:t>Allocation</w:t>
      </w:r>
      <w:r>
        <w:rPr>
          <w:szCs w:val="22"/>
        </w:rPr>
        <w:t xml:space="preserve"> du budget de l’État</w:t>
      </w:r>
    </w:p>
    <w:p w:rsidR="00000000" w:rsidRDefault="00000000">
      <w:pPr>
        <w:tabs>
          <w:tab w:val="right" w:leader="dot" w:pos="7371"/>
          <w:tab w:val="center" w:pos="8051"/>
          <w:tab w:val="right" w:pos="9299"/>
        </w:tabs>
        <w:spacing w:after="240"/>
        <w:ind w:left="1418" w:hanging="1418"/>
      </w:pPr>
      <w:r>
        <w:rPr>
          <w:szCs w:val="22"/>
        </w:rPr>
        <w:t>Tableau 3:</w:t>
      </w:r>
      <w:r>
        <w:rPr>
          <w:szCs w:val="22"/>
        </w:rPr>
        <w:tab/>
      </w:r>
      <w:r>
        <w:t>Répartition</w:t>
      </w:r>
      <w:r>
        <w:rPr>
          <w:szCs w:val="22"/>
        </w:rPr>
        <w:t xml:space="preserve"> par catégories de handicap</w:t>
      </w:r>
    </w:p>
    <w:p w:rsidR="00000000" w:rsidRDefault="00000000">
      <w:pPr>
        <w:tabs>
          <w:tab w:val="right" w:leader="dot" w:pos="7371"/>
          <w:tab w:val="center" w:pos="8051"/>
          <w:tab w:val="right" w:pos="9299"/>
        </w:tabs>
        <w:spacing w:after="240"/>
        <w:ind w:left="1418" w:hanging="1418"/>
      </w:pPr>
      <w:r>
        <w:rPr>
          <w:iCs/>
          <w:szCs w:val="22"/>
        </w:rPr>
        <w:t>Tableau 4:</w:t>
      </w:r>
      <w:r>
        <w:rPr>
          <w:iCs/>
          <w:szCs w:val="22"/>
        </w:rPr>
        <w:tab/>
      </w:r>
      <w:r>
        <w:t>Budget</w:t>
      </w:r>
      <w:r>
        <w:rPr>
          <w:iCs/>
          <w:szCs w:val="22"/>
        </w:rPr>
        <w:t xml:space="preserve"> du Ministère de la Santé publique </w:t>
      </w:r>
    </w:p>
    <w:p w:rsidR="00000000" w:rsidRDefault="00000000">
      <w:pPr>
        <w:tabs>
          <w:tab w:val="right" w:leader="dot" w:pos="7371"/>
          <w:tab w:val="center" w:pos="8051"/>
          <w:tab w:val="right" w:pos="9299"/>
        </w:tabs>
        <w:spacing w:after="240"/>
        <w:ind w:left="1418" w:hanging="1418"/>
      </w:pPr>
      <w:r>
        <w:t>Tableau 5:</w:t>
      </w:r>
      <w:r>
        <w:tab/>
        <w:t>Recettes et dépenses des délégations préfectorales sanitaires</w:t>
      </w:r>
    </w:p>
    <w:p w:rsidR="00000000" w:rsidRDefault="00000000">
      <w:pPr>
        <w:tabs>
          <w:tab w:val="right" w:leader="dot" w:pos="7371"/>
          <w:tab w:val="center" w:pos="8051"/>
          <w:tab w:val="right" w:pos="9299"/>
        </w:tabs>
        <w:spacing w:after="240"/>
        <w:ind w:left="1418" w:hanging="1418"/>
      </w:pPr>
      <w:r>
        <w:t>Tableau 6:</w:t>
      </w:r>
      <w:r>
        <w:tab/>
        <w:t xml:space="preserve">Quotient de mortalité néonatale, post-néonatale, infantile, juvénile et </w:t>
      </w:r>
      <w:proofErr w:type="spellStart"/>
      <w:r>
        <w:t>infanto</w:t>
      </w:r>
      <w:r>
        <w:noBreakHyphen/>
        <w:t>juvénile</w:t>
      </w:r>
      <w:proofErr w:type="spellEnd"/>
    </w:p>
    <w:p w:rsidR="00000000" w:rsidRDefault="00000000">
      <w:pPr>
        <w:tabs>
          <w:tab w:val="right" w:leader="dot" w:pos="7371"/>
          <w:tab w:val="center" w:pos="8051"/>
          <w:tab w:val="right" w:pos="9299"/>
        </w:tabs>
        <w:spacing w:after="240"/>
        <w:ind w:left="1418" w:hanging="1418"/>
      </w:pPr>
      <w:r>
        <w:t>Tableau 7:</w:t>
      </w:r>
      <w:r>
        <w:tab/>
        <w:t>Enfants atteints de malnutrition</w:t>
      </w:r>
    </w:p>
    <w:p w:rsidR="00000000" w:rsidRDefault="00000000">
      <w:pPr>
        <w:tabs>
          <w:tab w:val="right" w:leader="dot" w:pos="7371"/>
          <w:tab w:val="center" w:pos="8051"/>
          <w:tab w:val="right" w:pos="9299"/>
        </w:tabs>
        <w:spacing w:after="240"/>
        <w:ind w:left="1418" w:hanging="1418"/>
        <w:rPr>
          <w:bCs/>
        </w:rPr>
      </w:pPr>
      <w:r>
        <w:rPr>
          <w:bCs/>
        </w:rPr>
        <w:t>Tableau 8:</w:t>
      </w:r>
      <w:r>
        <w:rPr>
          <w:bCs/>
        </w:rPr>
        <w:tab/>
      </w:r>
      <w:r>
        <w:t>Pourcentage</w:t>
      </w:r>
      <w:r>
        <w:rPr>
          <w:bCs/>
        </w:rPr>
        <w:t xml:space="preserve"> d’enfants de moins de 5 ans accusant un retard de croissance</w:t>
      </w:r>
    </w:p>
    <w:p w:rsidR="00000000" w:rsidRDefault="00000000">
      <w:pPr>
        <w:tabs>
          <w:tab w:val="right" w:leader="dot" w:pos="7371"/>
          <w:tab w:val="center" w:pos="8051"/>
          <w:tab w:val="right" w:pos="9299"/>
        </w:tabs>
        <w:spacing w:after="240"/>
        <w:ind w:left="1418" w:hanging="1418"/>
      </w:pPr>
      <w:r>
        <w:rPr>
          <w:bCs/>
          <w:iCs/>
          <w:szCs w:val="22"/>
        </w:rPr>
        <w:t>Tableau 9:</w:t>
      </w:r>
      <w:r>
        <w:rPr>
          <w:bCs/>
          <w:iCs/>
          <w:szCs w:val="22"/>
        </w:rPr>
        <w:tab/>
      </w:r>
      <w:r>
        <w:t>Ressources</w:t>
      </w:r>
      <w:r>
        <w:rPr>
          <w:bCs/>
          <w:iCs/>
          <w:szCs w:val="22"/>
        </w:rPr>
        <w:t xml:space="preserve"> de l’État consacrées à l’Éducation nationale</w:t>
      </w:r>
    </w:p>
    <w:p w:rsidR="00000000" w:rsidRDefault="00000000">
      <w:pPr>
        <w:tabs>
          <w:tab w:val="right" w:leader="dot" w:pos="7371"/>
          <w:tab w:val="center" w:pos="8051"/>
          <w:tab w:val="right" w:pos="9299"/>
        </w:tabs>
        <w:spacing w:after="240"/>
        <w:ind w:left="1418" w:hanging="1418"/>
      </w:pPr>
      <w:r>
        <w:t>Tableau 10:</w:t>
      </w:r>
      <w:r>
        <w:tab/>
        <w:t>Les taux bruts de scolarisation au premier et second cycle de l’enseignement secondaire général</w:t>
      </w:r>
    </w:p>
    <w:p w:rsidR="00000000" w:rsidRDefault="00000000">
      <w:pPr>
        <w:tabs>
          <w:tab w:val="right" w:leader="dot" w:pos="7371"/>
          <w:tab w:val="center" w:pos="8051"/>
          <w:tab w:val="right" w:pos="9299"/>
        </w:tabs>
        <w:spacing w:after="240"/>
        <w:ind w:left="1418" w:hanging="1418"/>
      </w:pPr>
      <w:r>
        <w:t>Tableau 11:</w:t>
      </w:r>
      <w:r>
        <w:tab/>
        <w:t xml:space="preserve">Les taux de rétention et le pourcentage d’abandon pour le primaire </w:t>
      </w:r>
    </w:p>
    <w:p w:rsidR="00000000" w:rsidRDefault="00000000">
      <w:pPr>
        <w:tabs>
          <w:tab w:val="right" w:leader="dot" w:pos="7371"/>
          <w:tab w:val="center" w:pos="8051"/>
          <w:tab w:val="right" w:pos="9299"/>
        </w:tabs>
        <w:spacing w:after="240"/>
        <w:ind w:left="1418" w:hanging="1418"/>
        <w:rPr>
          <w:u w:val="single"/>
        </w:rPr>
      </w:pPr>
      <w:r>
        <w:t>Tableau 12:</w:t>
      </w:r>
      <w:r>
        <w:tab/>
        <w:t>Les taux de rendement interne dans l’enseignement secondaire général</w:t>
      </w:r>
    </w:p>
    <w:p w:rsidR="00000000" w:rsidRDefault="00000000">
      <w:pPr>
        <w:tabs>
          <w:tab w:val="right" w:leader="dot" w:pos="7371"/>
          <w:tab w:val="center" w:pos="8051"/>
          <w:tab w:val="right" w:pos="9299"/>
        </w:tabs>
        <w:spacing w:after="240"/>
        <w:ind w:left="1418" w:hanging="1418"/>
      </w:pPr>
      <w:r>
        <w:t>Tableau</w:t>
      </w:r>
      <w:r>
        <w:rPr>
          <w:bCs/>
          <w:iCs/>
        </w:rPr>
        <w:t xml:space="preserve"> </w:t>
      </w:r>
      <w:r>
        <w:t>13:</w:t>
      </w:r>
      <w:r>
        <w:tab/>
        <w:t>Nombre d’élèves par enseignant</w:t>
      </w:r>
      <w:r>
        <w:rPr>
          <w:i/>
        </w:rPr>
        <w:t xml:space="preserve"> </w:t>
      </w:r>
      <w:r>
        <w:t>au primaire</w:t>
      </w:r>
    </w:p>
    <w:p w:rsidR="00000000" w:rsidRDefault="00000000">
      <w:pPr>
        <w:tabs>
          <w:tab w:val="right" w:leader="dot" w:pos="7371"/>
          <w:tab w:val="center" w:pos="8051"/>
          <w:tab w:val="right" w:pos="9299"/>
        </w:tabs>
        <w:spacing w:after="240"/>
        <w:ind w:left="1418" w:hanging="1418"/>
      </w:pPr>
      <w:r>
        <w:rPr>
          <w:bCs/>
        </w:rPr>
        <w:t xml:space="preserve">Tableau </w:t>
      </w:r>
      <w:r>
        <w:t>14</w:t>
      </w:r>
      <w:r>
        <w:rPr>
          <w:bCs/>
        </w:rPr>
        <w:t>:</w:t>
      </w:r>
      <w:r>
        <w:rPr>
          <w:bCs/>
        </w:rPr>
        <w:tab/>
        <w:t>Ratio élèves/enseignants qualifiés pour le secondaire</w:t>
      </w:r>
    </w:p>
    <w:p w:rsidR="00000000" w:rsidRDefault="00000000">
      <w:pPr>
        <w:tabs>
          <w:tab w:val="right" w:leader="dot" w:pos="7371"/>
          <w:tab w:val="center" w:pos="8051"/>
          <w:tab w:val="right" w:pos="9299"/>
        </w:tabs>
        <w:spacing w:after="240"/>
        <w:ind w:left="1418" w:hanging="1418"/>
      </w:pPr>
      <w:r>
        <w:rPr>
          <w:bCs/>
        </w:rPr>
        <w:t>Tableau 15:</w:t>
      </w:r>
      <w:r>
        <w:rPr>
          <w:bCs/>
        </w:rPr>
        <w:tab/>
      </w:r>
      <w:r>
        <w:t>Répartition</w:t>
      </w:r>
      <w:r>
        <w:rPr>
          <w:bCs/>
        </w:rPr>
        <w:t xml:space="preserve"> des enfants privés de liberté par institution de détention</w:t>
      </w:r>
    </w:p>
    <w:p w:rsidR="00000000" w:rsidRDefault="00000000">
      <w:pPr>
        <w:tabs>
          <w:tab w:val="right" w:leader="dot" w:pos="7371"/>
          <w:tab w:val="center" w:pos="8051"/>
          <w:tab w:val="right" w:pos="9299"/>
        </w:tabs>
        <w:spacing w:after="240"/>
        <w:ind w:left="1418" w:hanging="1418"/>
      </w:pPr>
      <w:r>
        <w:rPr>
          <w:bCs/>
          <w:szCs w:val="22"/>
        </w:rPr>
        <w:t>Tableau 16:</w:t>
      </w:r>
      <w:r>
        <w:rPr>
          <w:bCs/>
          <w:szCs w:val="22"/>
        </w:rPr>
        <w:tab/>
      </w:r>
      <w:r>
        <w:t>Répartition</w:t>
      </w:r>
      <w:r>
        <w:rPr>
          <w:bCs/>
          <w:szCs w:val="22"/>
        </w:rPr>
        <w:t xml:space="preserve"> des enfants privés de liberté selon leur lieu de détention au niveau du commissariat ou de la gendarmerie</w:t>
      </w:r>
    </w:p>
    <w:p w:rsidR="00000000" w:rsidRDefault="00000000">
      <w:pPr>
        <w:tabs>
          <w:tab w:val="right" w:leader="dot" w:pos="7371"/>
          <w:tab w:val="center" w:pos="8051"/>
          <w:tab w:val="right" w:pos="9299"/>
        </w:tabs>
        <w:spacing w:after="240"/>
        <w:ind w:left="1418" w:hanging="1418"/>
        <w:rPr>
          <w:bCs/>
          <w:szCs w:val="22"/>
        </w:rPr>
      </w:pPr>
      <w:r>
        <w:rPr>
          <w:bCs/>
          <w:szCs w:val="22"/>
        </w:rPr>
        <w:t>Tableau 17:</w:t>
      </w:r>
      <w:r>
        <w:rPr>
          <w:bCs/>
          <w:szCs w:val="22"/>
        </w:rPr>
        <w:tab/>
      </w:r>
      <w:r>
        <w:t>Répartition</w:t>
      </w:r>
      <w:r>
        <w:rPr>
          <w:bCs/>
          <w:szCs w:val="22"/>
        </w:rPr>
        <w:t xml:space="preserve"> des enfants privés de liberté selon les motifs de l’arrestation</w:t>
      </w:r>
    </w:p>
    <w:p w:rsidR="00000000" w:rsidRDefault="00000000">
      <w:pPr>
        <w:tabs>
          <w:tab w:val="right" w:leader="dot" w:pos="7371"/>
          <w:tab w:val="center" w:pos="8051"/>
          <w:tab w:val="right" w:pos="9299"/>
        </w:tabs>
        <w:spacing w:after="240"/>
        <w:ind w:left="1418" w:hanging="1418"/>
        <w:rPr>
          <w:sz w:val="22"/>
          <w:szCs w:val="22"/>
        </w:rPr>
      </w:pPr>
      <w:r>
        <w:rPr>
          <w:bCs/>
          <w:szCs w:val="22"/>
        </w:rPr>
        <w:t>Tableau 18:</w:t>
      </w:r>
      <w:r>
        <w:rPr>
          <w:bCs/>
          <w:szCs w:val="22"/>
        </w:rPr>
        <w:tab/>
      </w:r>
      <w:r>
        <w:t>Répartition</w:t>
      </w:r>
      <w:r>
        <w:rPr>
          <w:bCs/>
          <w:szCs w:val="22"/>
        </w:rPr>
        <w:t xml:space="preserve"> des enfants recensés vivant dans la rue et vivant de la rue</w:t>
      </w:r>
    </w:p>
    <w:p w:rsidR="00000000" w:rsidRDefault="00000000">
      <w:pPr>
        <w:spacing w:after="240"/>
        <w:jc w:val="center"/>
        <w:rPr>
          <w:b/>
          <w:bCs/>
          <w:szCs w:val="22"/>
        </w:rPr>
      </w:pPr>
      <w:r>
        <w:rPr>
          <w:sz w:val="22"/>
          <w:szCs w:val="22"/>
        </w:rPr>
        <w:br w:type="page"/>
      </w:r>
      <w:r>
        <w:rPr>
          <w:b/>
          <w:bCs/>
          <w:szCs w:val="22"/>
        </w:rPr>
        <w:t>LISTE DES ACRONYMES</w:t>
      </w:r>
    </w:p>
    <w:p w:rsidR="00000000" w:rsidRDefault="00000000">
      <w:pPr>
        <w:tabs>
          <w:tab w:val="left" w:pos="1440"/>
        </w:tabs>
        <w:spacing w:after="200"/>
        <w:rPr>
          <w:szCs w:val="22"/>
        </w:rPr>
      </w:pPr>
      <w:r>
        <w:rPr>
          <w:bCs/>
          <w:szCs w:val="22"/>
        </w:rPr>
        <w:t>AFJT:</w:t>
      </w:r>
      <w:r>
        <w:rPr>
          <w:szCs w:val="22"/>
        </w:rPr>
        <w:tab/>
        <w:t>Association des Femmes juristes du Tchad</w:t>
      </w:r>
    </w:p>
    <w:p w:rsidR="00000000" w:rsidRDefault="00000000">
      <w:pPr>
        <w:tabs>
          <w:tab w:val="left" w:pos="1440"/>
        </w:tabs>
        <w:spacing w:after="200"/>
        <w:rPr>
          <w:szCs w:val="22"/>
        </w:rPr>
      </w:pPr>
      <w:r>
        <w:rPr>
          <w:bCs/>
          <w:szCs w:val="22"/>
        </w:rPr>
        <w:t>BID:</w:t>
      </w:r>
      <w:r>
        <w:rPr>
          <w:szCs w:val="22"/>
        </w:rPr>
        <w:tab/>
        <w:t>Banque islamique de Développement</w:t>
      </w:r>
    </w:p>
    <w:p w:rsidR="00000000" w:rsidRDefault="00000000">
      <w:pPr>
        <w:tabs>
          <w:tab w:val="left" w:pos="1440"/>
        </w:tabs>
        <w:spacing w:after="200"/>
        <w:rPr>
          <w:color w:val="000000"/>
          <w:szCs w:val="22"/>
        </w:rPr>
      </w:pPr>
      <w:r>
        <w:rPr>
          <w:color w:val="000000"/>
          <w:szCs w:val="22"/>
        </w:rPr>
        <w:t>BEAC:</w:t>
      </w:r>
      <w:r>
        <w:rPr>
          <w:color w:val="000000"/>
          <w:szCs w:val="22"/>
        </w:rPr>
        <w:tab/>
        <w:t>Banque des États de l’Afrique centrale</w:t>
      </w:r>
    </w:p>
    <w:p w:rsidR="00000000" w:rsidRDefault="00000000">
      <w:pPr>
        <w:tabs>
          <w:tab w:val="left" w:pos="1440"/>
        </w:tabs>
        <w:spacing w:after="200"/>
        <w:rPr>
          <w:szCs w:val="22"/>
        </w:rPr>
      </w:pPr>
      <w:r>
        <w:rPr>
          <w:szCs w:val="22"/>
        </w:rPr>
        <w:t>CADE:</w:t>
      </w:r>
      <w:r>
        <w:rPr>
          <w:szCs w:val="22"/>
        </w:rPr>
        <w:tab/>
        <w:t>Charte africaine des droits et du bien être de l’enfant africain</w:t>
      </w:r>
    </w:p>
    <w:p w:rsidR="00000000" w:rsidRDefault="00000000">
      <w:pPr>
        <w:tabs>
          <w:tab w:val="left" w:pos="1440"/>
        </w:tabs>
        <w:spacing w:after="200"/>
        <w:rPr>
          <w:szCs w:val="22"/>
        </w:rPr>
      </w:pPr>
      <w:r>
        <w:rPr>
          <w:bCs/>
          <w:szCs w:val="22"/>
        </w:rPr>
        <w:t>CCSRP:</w:t>
      </w:r>
      <w:r>
        <w:rPr>
          <w:szCs w:val="22"/>
        </w:rPr>
        <w:tab/>
        <w:t xml:space="preserve">Collège de Contrôle et de Surveillance des Ressources Pétrolières </w:t>
      </w:r>
    </w:p>
    <w:p w:rsidR="00000000" w:rsidRDefault="00000000">
      <w:pPr>
        <w:tabs>
          <w:tab w:val="left" w:pos="1440"/>
        </w:tabs>
        <w:spacing w:after="200"/>
        <w:rPr>
          <w:szCs w:val="22"/>
        </w:rPr>
      </w:pPr>
      <w:r>
        <w:rPr>
          <w:bCs/>
          <w:szCs w:val="22"/>
        </w:rPr>
        <w:t>CEDEAO</w:t>
      </w:r>
      <w:r>
        <w:rPr>
          <w:szCs w:val="22"/>
        </w:rPr>
        <w:t>:</w:t>
      </w:r>
      <w:r>
        <w:rPr>
          <w:szCs w:val="22"/>
        </w:rPr>
        <w:tab/>
        <w:t>Communauté économique des États de l’Afrique de l’Ouest</w:t>
      </w:r>
    </w:p>
    <w:p w:rsidR="00000000" w:rsidRDefault="00000000">
      <w:pPr>
        <w:tabs>
          <w:tab w:val="left" w:pos="1440"/>
        </w:tabs>
        <w:spacing w:after="200"/>
        <w:rPr>
          <w:szCs w:val="22"/>
        </w:rPr>
      </w:pPr>
      <w:r>
        <w:rPr>
          <w:szCs w:val="22"/>
        </w:rPr>
        <w:t>CDE:</w:t>
      </w:r>
      <w:r>
        <w:rPr>
          <w:bCs/>
          <w:szCs w:val="22"/>
        </w:rPr>
        <w:tab/>
        <w:t>Convention relative aux droits de l’enfant</w:t>
      </w:r>
    </w:p>
    <w:p w:rsidR="00000000" w:rsidRDefault="00000000">
      <w:pPr>
        <w:tabs>
          <w:tab w:val="left" w:pos="1440"/>
        </w:tabs>
        <w:spacing w:after="200"/>
        <w:rPr>
          <w:color w:val="000000"/>
          <w:szCs w:val="22"/>
        </w:rPr>
      </w:pPr>
      <w:r>
        <w:rPr>
          <w:szCs w:val="22"/>
        </w:rPr>
        <w:t>CDV:</w:t>
      </w:r>
      <w:r>
        <w:rPr>
          <w:szCs w:val="22"/>
        </w:rPr>
        <w:tab/>
      </w:r>
      <w:r>
        <w:rPr>
          <w:color w:val="000000"/>
          <w:szCs w:val="22"/>
        </w:rPr>
        <w:t>Centre de Dépistage volontaire</w:t>
      </w:r>
    </w:p>
    <w:p w:rsidR="00000000" w:rsidRDefault="00000000">
      <w:pPr>
        <w:tabs>
          <w:tab w:val="left" w:pos="1440"/>
        </w:tabs>
        <w:spacing w:after="200"/>
        <w:rPr>
          <w:szCs w:val="22"/>
        </w:rPr>
      </w:pPr>
      <w:r>
        <w:rPr>
          <w:bCs/>
          <w:szCs w:val="22"/>
        </w:rPr>
        <w:t>CEEAC:</w:t>
      </w:r>
      <w:r>
        <w:rPr>
          <w:szCs w:val="22"/>
        </w:rPr>
        <w:tab/>
        <w:t xml:space="preserve">Communauté économique des États de l’Afrique centrale </w:t>
      </w:r>
    </w:p>
    <w:p w:rsidR="00000000" w:rsidRDefault="00000000">
      <w:pPr>
        <w:tabs>
          <w:tab w:val="left" w:pos="1440"/>
        </w:tabs>
        <w:spacing w:after="200"/>
        <w:rPr>
          <w:szCs w:val="22"/>
        </w:rPr>
      </w:pPr>
      <w:r>
        <w:rPr>
          <w:bCs/>
          <w:szCs w:val="22"/>
        </w:rPr>
        <w:t>CELIAF</w:t>
      </w:r>
      <w:r>
        <w:rPr>
          <w:szCs w:val="22"/>
        </w:rPr>
        <w:t>:</w:t>
      </w:r>
      <w:r>
        <w:rPr>
          <w:szCs w:val="22"/>
        </w:rPr>
        <w:tab/>
        <w:t>Cellule de Liaison des Associations féminines</w:t>
      </w:r>
    </w:p>
    <w:p w:rsidR="00000000" w:rsidRDefault="00000000">
      <w:pPr>
        <w:tabs>
          <w:tab w:val="left" w:pos="1440"/>
        </w:tabs>
        <w:spacing w:after="200"/>
        <w:rPr>
          <w:szCs w:val="22"/>
        </w:rPr>
      </w:pPr>
      <w:r>
        <w:rPr>
          <w:bCs/>
          <w:szCs w:val="22"/>
        </w:rPr>
        <w:t>CEMAC:</w:t>
      </w:r>
      <w:r>
        <w:rPr>
          <w:szCs w:val="22"/>
        </w:rPr>
        <w:tab/>
        <w:t>Communauté économique et monétaire de l’Afrique centrale</w:t>
      </w:r>
    </w:p>
    <w:p w:rsidR="00000000" w:rsidRDefault="00000000">
      <w:pPr>
        <w:tabs>
          <w:tab w:val="left" w:pos="1440"/>
        </w:tabs>
        <w:spacing w:after="200"/>
        <w:rPr>
          <w:bCs/>
          <w:szCs w:val="22"/>
        </w:rPr>
      </w:pPr>
      <w:r>
        <w:rPr>
          <w:bCs/>
          <w:color w:val="000000"/>
          <w:szCs w:val="22"/>
        </w:rPr>
        <w:t>CENSAD:</w:t>
      </w:r>
      <w:r>
        <w:rPr>
          <w:color w:val="000000"/>
          <w:szCs w:val="22"/>
        </w:rPr>
        <w:tab/>
        <w:t xml:space="preserve">Communauté des Nations </w:t>
      </w:r>
      <w:proofErr w:type="spellStart"/>
      <w:r>
        <w:rPr>
          <w:color w:val="000000"/>
          <w:szCs w:val="22"/>
        </w:rPr>
        <w:t>sahélo</w:t>
      </w:r>
      <w:proofErr w:type="spellEnd"/>
      <w:r>
        <w:rPr>
          <w:color w:val="000000"/>
          <w:szCs w:val="22"/>
        </w:rPr>
        <w:t xml:space="preserve"> sahariennes pour le Développement</w:t>
      </w:r>
    </w:p>
    <w:p w:rsidR="00000000" w:rsidRDefault="00000000">
      <w:pPr>
        <w:tabs>
          <w:tab w:val="left" w:pos="1440"/>
        </w:tabs>
        <w:spacing w:after="200"/>
        <w:rPr>
          <w:szCs w:val="22"/>
        </w:rPr>
      </w:pPr>
      <w:r>
        <w:rPr>
          <w:bCs/>
          <w:szCs w:val="22"/>
        </w:rPr>
        <w:t>CNCJ:</w:t>
      </w:r>
      <w:r>
        <w:rPr>
          <w:szCs w:val="22"/>
        </w:rPr>
        <w:tab/>
        <w:t xml:space="preserve">Conseil national consultatif des Jeunes </w:t>
      </w:r>
    </w:p>
    <w:p w:rsidR="00000000" w:rsidRDefault="00000000">
      <w:pPr>
        <w:tabs>
          <w:tab w:val="left" w:pos="1440"/>
        </w:tabs>
        <w:spacing w:after="200"/>
        <w:rPr>
          <w:szCs w:val="22"/>
        </w:rPr>
      </w:pPr>
      <w:r>
        <w:rPr>
          <w:bCs/>
          <w:szCs w:val="22"/>
        </w:rPr>
        <w:t>CNAR</w:t>
      </w:r>
      <w:r>
        <w:rPr>
          <w:szCs w:val="22"/>
        </w:rPr>
        <w:t>:</w:t>
      </w:r>
      <w:r>
        <w:rPr>
          <w:iCs/>
          <w:szCs w:val="22"/>
        </w:rPr>
        <w:tab/>
      </w:r>
      <w:r>
        <w:rPr>
          <w:szCs w:val="22"/>
        </w:rPr>
        <w:t xml:space="preserve">Commission nationale d’Accueil des Réfugiés </w:t>
      </w:r>
    </w:p>
    <w:p w:rsidR="00000000" w:rsidRDefault="00000000">
      <w:pPr>
        <w:tabs>
          <w:tab w:val="left" w:pos="1440"/>
        </w:tabs>
        <w:spacing w:after="200"/>
        <w:ind w:left="1440" w:hanging="1440"/>
        <w:rPr>
          <w:szCs w:val="22"/>
        </w:rPr>
      </w:pPr>
      <w:r>
        <w:rPr>
          <w:bCs/>
          <w:szCs w:val="22"/>
        </w:rPr>
        <w:t>CONFEJES:</w:t>
      </w:r>
      <w:r>
        <w:rPr>
          <w:szCs w:val="22"/>
        </w:rPr>
        <w:tab/>
        <w:t>Conférence des Ministres de la Jeunesse et des Sports ayant en partage la Francophonie</w:t>
      </w:r>
    </w:p>
    <w:p w:rsidR="00000000" w:rsidRDefault="00000000">
      <w:pPr>
        <w:tabs>
          <w:tab w:val="left" w:pos="1440"/>
        </w:tabs>
        <w:spacing w:after="200"/>
        <w:rPr>
          <w:szCs w:val="22"/>
        </w:rPr>
      </w:pPr>
      <w:r>
        <w:rPr>
          <w:bCs/>
          <w:szCs w:val="22"/>
        </w:rPr>
        <w:t>DIJET</w:t>
      </w:r>
      <w:r>
        <w:rPr>
          <w:szCs w:val="22"/>
        </w:rPr>
        <w:t>:</w:t>
      </w:r>
      <w:r>
        <w:rPr>
          <w:szCs w:val="22"/>
        </w:rPr>
        <w:tab/>
        <w:t>Développement intégral du jeune enfant tchadien</w:t>
      </w:r>
    </w:p>
    <w:p w:rsidR="00000000" w:rsidRDefault="00000000">
      <w:pPr>
        <w:tabs>
          <w:tab w:val="left" w:pos="1440"/>
        </w:tabs>
        <w:spacing w:after="200"/>
        <w:rPr>
          <w:szCs w:val="22"/>
        </w:rPr>
      </w:pPr>
      <w:r>
        <w:rPr>
          <w:bCs/>
          <w:szCs w:val="22"/>
        </w:rPr>
        <w:t>DSRP:</w:t>
      </w:r>
      <w:r>
        <w:rPr>
          <w:szCs w:val="22"/>
        </w:rPr>
        <w:tab/>
        <w:t xml:space="preserve">Document de Stratégie de Réduction de la Pauvreté </w:t>
      </w:r>
    </w:p>
    <w:p w:rsidR="00000000" w:rsidRDefault="00000000">
      <w:pPr>
        <w:tabs>
          <w:tab w:val="left" w:pos="1440"/>
        </w:tabs>
        <w:spacing w:after="200"/>
        <w:rPr>
          <w:szCs w:val="22"/>
        </w:rPr>
      </w:pPr>
      <w:r>
        <w:rPr>
          <w:bCs/>
          <w:szCs w:val="22"/>
        </w:rPr>
        <w:t>EDST</w:t>
      </w:r>
      <w:r>
        <w:rPr>
          <w:szCs w:val="22"/>
        </w:rPr>
        <w:t>:</w:t>
      </w:r>
      <w:r>
        <w:rPr>
          <w:szCs w:val="22"/>
        </w:rPr>
        <w:tab/>
        <w:t>Enquête démographique et de santé au Tchad</w:t>
      </w:r>
    </w:p>
    <w:p w:rsidR="00000000" w:rsidRDefault="00000000">
      <w:pPr>
        <w:tabs>
          <w:tab w:val="left" w:pos="1440"/>
        </w:tabs>
        <w:spacing w:after="200"/>
        <w:rPr>
          <w:color w:val="000000"/>
          <w:szCs w:val="22"/>
        </w:rPr>
      </w:pPr>
      <w:r>
        <w:rPr>
          <w:bCs/>
          <w:color w:val="000000"/>
          <w:szCs w:val="22"/>
        </w:rPr>
        <w:t>EIMT:</w:t>
      </w:r>
      <w:r>
        <w:rPr>
          <w:color w:val="000000"/>
          <w:szCs w:val="22"/>
        </w:rPr>
        <w:tab/>
        <w:t xml:space="preserve">Enquête sur les Indicateurs multiples au Tchad </w:t>
      </w:r>
    </w:p>
    <w:p w:rsidR="00000000" w:rsidRDefault="00000000">
      <w:pPr>
        <w:tabs>
          <w:tab w:val="left" w:pos="1440"/>
        </w:tabs>
        <w:spacing w:after="200"/>
        <w:rPr>
          <w:iCs/>
          <w:color w:val="000000"/>
          <w:szCs w:val="22"/>
        </w:rPr>
      </w:pPr>
      <w:r>
        <w:rPr>
          <w:bCs/>
          <w:iCs/>
          <w:color w:val="000000"/>
          <w:szCs w:val="22"/>
        </w:rPr>
        <w:t>ENASS</w:t>
      </w:r>
      <w:r>
        <w:rPr>
          <w:iCs/>
          <w:color w:val="000000"/>
          <w:szCs w:val="22"/>
        </w:rPr>
        <w:t>:</w:t>
      </w:r>
      <w:r>
        <w:rPr>
          <w:iCs/>
          <w:color w:val="000000"/>
          <w:szCs w:val="22"/>
        </w:rPr>
        <w:tab/>
        <w:t xml:space="preserve">École nationale des Agents sociaux et sanitaires </w:t>
      </w:r>
    </w:p>
    <w:p w:rsidR="00000000" w:rsidRDefault="00000000">
      <w:pPr>
        <w:tabs>
          <w:tab w:val="left" w:pos="1440"/>
        </w:tabs>
        <w:spacing w:after="200"/>
        <w:rPr>
          <w:color w:val="000000"/>
          <w:szCs w:val="22"/>
        </w:rPr>
      </w:pPr>
      <w:r>
        <w:rPr>
          <w:color w:val="000000"/>
          <w:szCs w:val="22"/>
        </w:rPr>
        <w:t>ENPS:</w:t>
      </w:r>
      <w:r>
        <w:rPr>
          <w:color w:val="000000"/>
          <w:szCs w:val="22"/>
        </w:rPr>
        <w:tab/>
        <w:t>Enfant nécessitant une Protection spéciale</w:t>
      </w:r>
    </w:p>
    <w:p w:rsidR="00000000" w:rsidRDefault="00000000">
      <w:pPr>
        <w:tabs>
          <w:tab w:val="left" w:pos="1440"/>
        </w:tabs>
        <w:spacing w:after="200"/>
        <w:rPr>
          <w:color w:val="000000"/>
          <w:szCs w:val="22"/>
        </w:rPr>
      </w:pPr>
      <w:r>
        <w:rPr>
          <w:color w:val="000000"/>
          <w:szCs w:val="22"/>
        </w:rPr>
        <w:t>FID</w:t>
      </w:r>
      <w:r>
        <w:rPr>
          <w:color w:val="000000"/>
          <w:szCs w:val="22"/>
        </w:rPr>
        <w:tab/>
        <w:t>Formation initiale décentralisée</w:t>
      </w:r>
    </w:p>
    <w:p w:rsidR="00000000" w:rsidRDefault="00000000">
      <w:pPr>
        <w:tabs>
          <w:tab w:val="left" w:pos="1440"/>
        </w:tabs>
        <w:spacing w:after="200"/>
        <w:rPr>
          <w:color w:val="000000"/>
          <w:szCs w:val="22"/>
        </w:rPr>
      </w:pPr>
      <w:r>
        <w:rPr>
          <w:bCs/>
          <w:color w:val="000000"/>
          <w:szCs w:val="22"/>
        </w:rPr>
        <w:t>FOSAP</w:t>
      </w:r>
      <w:r>
        <w:rPr>
          <w:color w:val="000000"/>
          <w:szCs w:val="22"/>
        </w:rPr>
        <w:t>:</w:t>
      </w:r>
      <w:r>
        <w:rPr>
          <w:color w:val="000000"/>
          <w:szCs w:val="22"/>
        </w:rPr>
        <w:tab/>
        <w:t xml:space="preserve">Fonds de Soutien aux Activités en matière des Populations </w:t>
      </w:r>
    </w:p>
    <w:p w:rsidR="00000000" w:rsidRDefault="00000000">
      <w:pPr>
        <w:tabs>
          <w:tab w:val="left" w:pos="1440"/>
        </w:tabs>
        <w:spacing w:after="200"/>
        <w:rPr>
          <w:color w:val="000000"/>
          <w:szCs w:val="22"/>
        </w:rPr>
      </w:pPr>
      <w:r>
        <w:rPr>
          <w:bCs/>
          <w:color w:val="000000"/>
          <w:szCs w:val="22"/>
        </w:rPr>
        <w:t>FNUAP</w:t>
      </w:r>
      <w:r>
        <w:rPr>
          <w:color w:val="000000"/>
          <w:szCs w:val="22"/>
        </w:rPr>
        <w:t>:</w:t>
      </w:r>
      <w:r>
        <w:rPr>
          <w:color w:val="000000"/>
          <w:szCs w:val="22"/>
        </w:rPr>
        <w:tab/>
        <w:t xml:space="preserve">Fonds des Nations Unies pour la Population </w:t>
      </w:r>
    </w:p>
    <w:p w:rsidR="00000000" w:rsidRDefault="00000000">
      <w:pPr>
        <w:tabs>
          <w:tab w:val="left" w:pos="1440"/>
        </w:tabs>
        <w:spacing w:after="200"/>
        <w:rPr>
          <w:color w:val="000000"/>
          <w:szCs w:val="22"/>
        </w:rPr>
      </w:pPr>
      <w:r>
        <w:rPr>
          <w:bCs/>
          <w:color w:val="000000"/>
          <w:szCs w:val="22"/>
        </w:rPr>
        <w:t>HCR:</w:t>
      </w:r>
      <w:r>
        <w:rPr>
          <w:color w:val="000000"/>
          <w:szCs w:val="22"/>
        </w:rPr>
        <w:tab/>
        <w:t>Haut Commissariat des Nations Unies pour les Réfugiés</w:t>
      </w:r>
    </w:p>
    <w:p w:rsidR="00000000" w:rsidRDefault="00000000">
      <w:pPr>
        <w:tabs>
          <w:tab w:val="left" w:pos="1440"/>
        </w:tabs>
        <w:spacing w:after="200"/>
        <w:rPr>
          <w:color w:val="000000"/>
          <w:szCs w:val="22"/>
        </w:rPr>
      </w:pPr>
      <w:r>
        <w:rPr>
          <w:color w:val="000000"/>
          <w:szCs w:val="22"/>
        </w:rPr>
        <w:t>IDH:</w:t>
      </w:r>
      <w:r>
        <w:rPr>
          <w:color w:val="000000"/>
          <w:szCs w:val="22"/>
        </w:rPr>
        <w:tab/>
        <w:t>Indice de Développement humain</w:t>
      </w:r>
    </w:p>
    <w:p w:rsidR="00000000" w:rsidRDefault="00000000">
      <w:pPr>
        <w:tabs>
          <w:tab w:val="left" w:pos="1440"/>
        </w:tabs>
        <w:spacing w:after="200"/>
        <w:rPr>
          <w:color w:val="000000"/>
          <w:szCs w:val="22"/>
        </w:rPr>
      </w:pPr>
      <w:r>
        <w:rPr>
          <w:iCs/>
          <w:color w:val="000000"/>
          <w:szCs w:val="22"/>
        </w:rPr>
        <w:t>IUSTA:</w:t>
      </w:r>
      <w:r>
        <w:rPr>
          <w:iCs/>
          <w:color w:val="000000"/>
          <w:szCs w:val="22"/>
        </w:rPr>
        <w:tab/>
      </w:r>
      <w:r>
        <w:t>Institut universitaire des sciences et techniques d’Abéché (région du Logone)</w:t>
      </w:r>
    </w:p>
    <w:p w:rsidR="00000000" w:rsidRDefault="00000000">
      <w:pPr>
        <w:tabs>
          <w:tab w:val="left" w:pos="1440"/>
        </w:tabs>
        <w:spacing w:after="200"/>
        <w:rPr>
          <w:color w:val="000000"/>
          <w:szCs w:val="22"/>
        </w:rPr>
      </w:pPr>
      <w:r>
        <w:rPr>
          <w:bCs/>
          <w:color w:val="000000"/>
          <w:szCs w:val="22"/>
        </w:rPr>
        <w:t xml:space="preserve">INSEED: </w:t>
      </w:r>
      <w:r>
        <w:rPr>
          <w:bCs/>
          <w:color w:val="000000"/>
          <w:szCs w:val="22"/>
        </w:rPr>
        <w:tab/>
      </w:r>
      <w:r>
        <w:rPr>
          <w:color w:val="000000"/>
          <w:szCs w:val="22"/>
        </w:rPr>
        <w:t>Institut National des Statistiques des Études économiques et démographiques</w:t>
      </w:r>
    </w:p>
    <w:p w:rsidR="00000000" w:rsidRDefault="00000000">
      <w:pPr>
        <w:tabs>
          <w:tab w:val="left" w:pos="1440"/>
        </w:tabs>
        <w:spacing w:after="200"/>
        <w:rPr>
          <w:color w:val="000000"/>
          <w:szCs w:val="22"/>
        </w:rPr>
      </w:pPr>
      <w:r>
        <w:rPr>
          <w:color w:val="000000"/>
          <w:szCs w:val="22"/>
        </w:rPr>
        <w:t>MASF:</w:t>
      </w:r>
      <w:r>
        <w:rPr>
          <w:color w:val="000000"/>
          <w:szCs w:val="22"/>
        </w:rPr>
        <w:tab/>
        <w:t xml:space="preserve">Ministère de l’Action sociale et de la Famille </w:t>
      </w:r>
    </w:p>
    <w:p w:rsidR="00000000" w:rsidRDefault="00000000">
      <w:pPr>
        <w:tabs>
          <w:tab w:val="left" w:pos="1440"/>
        </w:tabs>
        <w:spacing w:after="200"/>
        <w:rPr>
          <w:color w:val="000000"/>
          <w:szCs w:val="22"/>
        </w:rPr>
      </w:pPr>
      <w:r>
        <w:rPr>
          <w:color w:val="000000"/>
          <w:szCs w:val="22"/>
        </w:rPr>
        <w:t>MAT:</w:t>
      </w:r>
      <w:r>
        <w:rPr>
          <w:color w:val="000000"/>
          <w:szCs w:val="22"/>
        </w:rPr>
        <w:tab/>
        <w:t xml:space="preserve">Ministère de l’Administration du Territoire </w:t>
      </w:r>
    </w:p>
    <w:p w:rsidR="00000000" w:rsidRDefault="00000000">
      <w:pPr>
        <w:tabs>
          <w:tab w:val="left" w:pos="1440"/>
        </w:tabs>
        <w:spacing w:after="200"/>
        <w:rPr>
          <w:color w:val="000000"/>
          <w:szCs w:val="22"/>
        </w:rPr>
      </w:pPr>
      <w:r>
        <w:rPr>
          <w:color w:val="000000"/>
          <w:szCs w:val="22"/>
        </w:rPr>
        <w:t xml:space="preserve">MEN: </w:t>
      </w:r>
      <w:r>
        <w:rPr>
          <w:color w:val="000000"/>
          <w:szCs w:val="22"/>
        </w:rPr>
        <w:tab/>
        <w:t>Ministère de l’Éducation nationale</w:t>
      </w:r>
    </w:p>
    <w:p w:rsidR="00000000" w:rsidRDefault="00000000">
      <w:pPr>
        <w:tabs>
          <w:tab w:val="left" w:pos="1440"/>
        </w:tabs>
        <w:spacing w:after="200"/>
        <w:rPr>
          <w:color w:val="000000"/>
          <w:szCs w:val="22"/>
        </w:rPr>
      </w:pPr>
      <w:r>
        <w:rPr>
          <w:color w:val="000000"/>
          <w:szCs w:val="22"/>
        </w:rPr>
        <w:t xml:space="preserve">MLD/IRA: </w:t>
      </w:r>
      <w:r>
        <w:rPr>
          <w:color w:val="000000"/>
          <w:szCs w:val="22"/>
        </w:rPr>
        <w:tab/>
        <w:t xml:space="preserve">Maladies diarrhéiques et Infections respiratoires </w:t>
      </w:r>
      <w:proofErr w:type="spellStart"/>
      <w:r>
        <w:rPr>
          <w:color w:val="000000"/>
          <w:szCs w:val="22"/>
        </w:rPr>
        <w:t>aigües</w:t>
      </w:r>
      <w:proofErr w:type="spellEnd"/>
    </w:p>
    <w:p w:rsidR="00000000" w:rsidRDefault="00000000">
      <w:pPr>
        <w:tabs>
          <w:tab w:val="left" w:pos="1440"/>
        </w:tabs>
        <w:spacing w:after="200"/>
        <w:rPr>
          <w:bCs/>
          <w:color w:val="000000"/>
          <w:szCs w:val="22"/>
        </w:rPr>
      </w:pPr>
      <w:r>
        <w:rPr>
          <w:bCs/>
          <w:color w:val="000000"/>
          <w:szCs w:val="22"/>
        </w:rPr>
        <w:t>MGF</w:t>
      </w:r>
      <w:r>
        <w:rPr>
          <w:color w:val="000000"/>
          <w:szCs w:val="22"/>
        </w:rPr>
        <w:t>:</w:t>
      </w:r>
      <w:r>
        <w:rPr>
          <w:color w:val="000000"/>
          <w:szCs w:val="22"/>
        </w:rPr>
        <w:tab/>
      </w:r>
      <w:r>
        <w:rPr>
          <w:bCs/>
          <w:color w:val="000000"/>
          <w:szCs w:val="22"/>
        </w:rPr>
        <w:t>Mutilation génitale féminine</w:t>
      </w:r>
    </w:p>
    <w:p w:rsidR="00000000" w:rsidRDefault="00000000">
      <w:pPr>
        <w:tabs>
          <w:tab w:val="left" w:pos="1440"/>
        </w:tabs>
        <w:spacing w:after="200"/>
        <w:rPr>
          <w:color w:val="000000"/>
          <w:szCs w:val="22"/>
        </w:rPr>
      </w:pPr>
      <w:r>
        <w:rPr>
          <w:color w:val="000000"/>
          <w:szCs w:val="22"/>
        </w:rPr>
        <w:t>OEV:</w:t>
      </w:r>
      <w:r>
        <w:rPr>
          <w:color w:val="000000"/>
          <w:szCs w:val="22"/>
        </w:rPr>
        <w:tab/>
        <w:t>Orphelins et Enfants rendus vulnérables par le SIDA</w:t>
      </w:r>
    </w:p>
    <w:p w:rsidR="00000000" w:rsidRDefault="00000000">
      <w:pPr>
        <w:tabs>
          <w:tab w:val="left" w:pos="1440"/>
        </w:tabs>
        <w:spacing w:after="200"/>
        <w:rPr>
          <w:color w:val="000000"/>
          <w:szCs w:val="22"/>
        </w:rPr>
      </w:pPr>
      <w:r>
        <w:rPr>
          <w:bCs/>
          <w:color w:val="000000"/>
          <w:szCs w:val="22"/>
        </w:rPr>
        <w:t>OIT:</w:t>
      </w:r>
      <w:r>
        <w:rPr>
          <w:color w:val="000000"/>
          <w:szCs w:val="22"/>
        </w:rPr>
        <w:tab/>
        <w:t>Organisation internationale du Travail</w:t>
      </w:r>
    </w:p>
    <w:p w:rsidR="00000000" w:rsidRDefault="00000000">
      <w:pPr>
        <w:tabs>
          <w:tab w:val="left" w:pos="1440"/>
        </w:tabs>
        <w:spacing w:after="200"/>
        <w:rPr>
          <w:color w:val="000000"/>
          <w:szCs w:val="22"/>
        </w:rPr>
      </w:pPr>
      <w:r>
        <w:rPr>
          <w:color w:val="000000"/>
          <w:szCs w:val="22"/>
        </w:rPr>
        <w:t>OMS</w:t>
      </w:r>
      <w:r>
        <w:rPr>
          <w:color w:val="000000"/>
          <w:szCs w:val="22"/>
        </w:rPr>
        <w:tab/>
        <w:t>Organisation mondiale de la santé</w:t>
      </w:r>
    </w:p>
    <w:p w:rsidR="00000000" w:rsidRDefault="00000000">
      <w:pPr>
        <w:tabs>
          <w:tab w:val="left" w:pos="1440"/>
        </w:tabs>
        <w:spacing w:after="200"/>
        <w:rPr>
          <w:color w:val="000000"/>
          <w:szCs w:val="22"/>
        </w:rPr>
      </w:pPr>
      <w:r>
        <w:rPr>
          <w:bCs/>
          <w:color w:val="000000"/>
          <w:szCs w:val="22"/>
        </w:rPr>
        <w:t>ONG:</w:t>
      </w:r>
      <w:r>
        <w:rPr>
          <w:color w:val="000000"/>
          <w:szCs w:val="22"/>
        </w:rPr>
        <w:tab/>
        <w:t xml:space="preserve">Organisation non gouvernementale </w:t>
      </w:r>
    </w:p>
    <w:p w:rsidR="00000000" w:rsidRDefault="00000000">
      <w:pPr>
        <w:tabs>
          <w:tab w:val="left" w:pos="1440"/>
        </w:tabs>
        <w:spacing w:after="200"/>
        <w:rPr>
          <w:bCs/>
          <w:color w:val="000000"/>
          <w:szCs w:val="22"/>
        </w:rPr>
      </w:pPr>
      <w:r>
        <w:rPr>
          <w:bCs/>
          <w:color w:val="000000"/>
          <w:szCs w:val="22"/>
        </w:rPr>
        <w:t>PEV:</w:t>
      </w:r>
      <w:r>
        <w:rPr>
          <w:bCs/>
          <w:color w:val="000000"/>
          <w:szCs w:val="22"/>
        </w:rPr>
        <w:tab/>
      </w:r>
      <w:r>
        <w:rPr>
          <w:color w:val="000000"/>
          <w:szCs w:val="22"/>
        </w:rPr>
        <w:t>Programme élargi de vaccination</w:t>
      </w:r>
      <w:r>
        <w:rPr>
          <w:bCs/>
          <w:color w:val="000000"/>
          <w:szCs w:val="22"/>
        </w:rPr>
        <w:t xml:space="preserve"> </w:t>
      </w:r>
    </w:p>
    <w:p w:rsidR="00000000" w:rsidRDefault="00000000">
      <w:pPr>
        <w:tabs>
          <w:tab w:val="left" w:pos="1440"/>
        </w:tabs>
        <w:spacing w:after="200"/>
        <w:rPr>
          <w:bCs/>
          <w:color w:val="000000"/>
          <w:szCs w:val="22"/>
        </w:rPr>
      </w:pPr>
      <w:r>
        <w:rPr>
          <w:bCs/>
          <w:iCs/>
          <w:color w:val="000000"/>
          <w:szCs w:val="22"/>
        </w:rPr>
        <w:t>PCIME</w:t>
      </w:r>
      <w:r>
        <w:rPr>
          <w:iCs/>
          <w:color w:val="000000"/>
          <w:szCs w:val="22"/>
        </w:rPr>
        <w:t>:</w:t>
      </w:r>
      <w:r>
        <w:rPr>
          <w:iCs/>
          <w:color w:val="000000"/>
          <w:szCs w:val="22"/>
        </w:rPr>
        <w:tab/>
        <w:t xml:space="preserve">Prise en Charge intégrée de la Maladie de l’Enfant </w:t>
      </w:r>
    </w:p>
    <w:p w:rsidR="00000000" w:rsidRDefault="00000000">
      <w:pPr>
        <w:tabs>
          <w:tab w:val="left" w:pos="1440"/>
        </w:tabs>
        <w:spacing w:after="200"/>
        <w:rPr>
          <w:color w:val="000000"/>
          <w:szCs w:val="22"/>
        </w:rPr>
      </w:pPr>
      <w:r>
        <w:rPr>
          <w:color w:val="000000"/>
          <w:szCs w:val="22"/>
        </w:rPr>
        <w:t>PIB:</w:t>
      </w:r>
      <w:r>
        <w:rPr>
          <w:color w:val="000000"/>
          <w:szCs w:val="22"/>
        </w:rPr>
        <w:tab/>
        <w:t>Produit intérieur brut</w:t>
      </w:r>
    </w:p>
    <w:p w:rsidR="00000000" w:rsidRDefault="00000000">
      <w:pPr>
        <w:tabs>
          <w:tab w:val="left" w:pos="1440"/>
        </w:tabs>
        <w:spacing w:after="200"/>
        <w:rPr>
          <w:color w:val="000000"/>
          <w:szCs w:val="22"/>
        </w:rPr>
      </w:pPr>
      <w:r>
        <w:rPr>
          <w:color w:val="000000"/>
          <w:szCs w:val="22"/>
        </w:rPr>
        <w:t xml:space="preserve">PIC: </w:t>
      </w:r>
      <w:r>
        <w:rPr>
          <w:color w:val="000000"/>
          <w:szCs w:val="22"/>
        </w:rPr>
        <w:tab/>
        <w:t>Plan intégré de Communication</w:t>
      </w:r>
    </w:p>
    <w:p w:rsidR="00000000" w:rsidRDefault="00000000">
      <w:pPr>
        <w:tabs>
          <w:tab w:val="left" w:pos="1440"/>
        </w:tabs>
        <w:spacing w:after="200"/>
        <w:rPr>
          <w:color w:val="000000"/>
          <w:szCs w:val="22"/>
        </w:rPr>
      </w:pPr>
      <w:r>
        <w:rPr>
          <w:bCs/>
          <w:color w:val="000000"/>
          <w:szCs w:val="22"/>
        </w:rPr>
        <w:t>PNLS:</w:t>
      </w:r>
      <w:r>
        <w:rPr>
          <w:color w:val="000000"/>
          <w:szCs w:val="22"/>
        </w:rPr>
        <w:tab/>
        <w:t xml:space="preserve">Programme national de lutte contre le VIH /SIDA </w:t>
      </w:r>
    </w:p>
    <w:p w:rsidR="00000000" w:rsidRDefault="00000000">
      <w:pPr>
        <w:tabs>
          <w:tab w:val="left" w:pos="1440"/>
        </w:tabs>
        <w:spacing w:after="200"/>
        <w:rPr>
          <w:color w:val="000000"/>
          <w:szCs w:val="22"/>
        </w:rPr>
      </w:pPr>
      <w:r>
        <w:rPr>
          <w:color w:val="000000"/>
          <w:szCs w:val="22"/>
        </w:rPr>
        <w:t xml:space="preserve">PNUD: </w:t>
      </w:r>
      <w:r>
        <w:rPr>
          <w:color w:val="000000"/>
          <w:szCs w:val="22"/>
        </w:rPr>
        <w:tab/>
        <w:t>Programme des Nations Unies pour le Développement</w:t>
      </w:r>
    </w:p>
    <w:p w:rsidR="00000000" w:rsidRDefault="00000000">
      <w:pPr>
        <w:tabs>
          <w:tab w:val="left" w:pos="1440"/>
        </w:tabs>
        <w:spacing w:after="200"/>
        <w:rPr>
          <w:color w:val="000000"/>
          <w:szCs w:val="22"/>
        </w:rPr>
      </w:pPr>
      <w:r>
        <w:rPr>
          <w:bCs/>
          <w:color w:val="000000"/>
          <w:szCs w:val="22"/>
        </w:rPr>
        <w:t>PRA</w:t>
      </w:r>
      <w:r>
        <w:rPr>
          <w:color w:val="000000"/>
          <w:szCs w:val="22"/>
        </w:rPr>
        <w:t>:</w:t>
      </w:r>
      <w:r>
        <w:rPr>
          <w:color w:val="000000"/>
          <w:szCs w:val="22"/>
        </w:rPr>
        <w:tab/>
        <w:t xml:space="preserve">Pharmacies régionales d’Approvisionnements </w:t>
      </w:r>
    </w:p>
    <w:p w:rsidR="00000000" w:rsidRDefault="00000000">
      <w:pPr>
        <w:tabs>
          <w:tab w:val="left" w:pos="1440"/>
        </w:tabs>
        <w:spacing w:after="200"/>
        <w:rPr>
          <w:color w:val="000000"/>
          <w:szCs w:val="22"/>
        </w:rPr>
      </w:pPr>
      <w:r>
        <w:rPr>
          <w:bCs/>
          <w:color w:val="000000"/>
          <w:szCs w:val="22"/>
        </w:rPr>
        <w:t>RCA:</w:t>
      </w:r>
      <w:r>
        <w:rPr>
          <w:color w:val="000000"/>
          <w:szCs w:val="22"/>
        </w:rPr>
        <w:tab/>
        <w:t>République centrafricaine</w:t>
      </w:r>
    </w:p>
    <w:p w:rsidR="00000000" w:rsidRDefault="00000000">
      <w:pPr>
        <w:tabs>
          <w:tab w:val="left" w:pos="1440"/>
        </w:tabs>
        <w:spacing w:after="200"/>
        <w:rPr>
          <w:color w:val="000000"/>
          <w:szCs w:val="22"/>
        </w:rPr>
      </w:pPr>
      <w:r>
        <w:rPr>
          <w:color w:val="000000"/>
          <w:szCs w:val="22"/>
        </w:rPr>
        <w:t>RDC:</w:t>
      </w:r>
      <w:r>
        <w:rPr>
          <w:color w:val="000000"/>
          <w:szCs w:val="22"/>
        </w:rPr>
        <w:tab/>
        <w:t>République démocratique du Congo</w:t>
      </w:r>
    </w:p>
    <w:p w:rsidR="00000000" w:rsidRDefault="00000000">
      <w:pPr>
        <w:tabs>
          <w:tab w:val="left" w:pos="1440"/>
        </w:tabs>
        <w:spacing w:after="200"/>
        <w:rPr>
          <w:color w:val="000000"/>
          <w:szCs w:val="22"/>
        </w:rPr>
      </w:pPr>
      <w:r>
        <w:rPr>
          <w:color w:val="000000"/>
          <w:szCs w:val="22"/>
        </w:rPr>
        <w:t>RDH:</w:t>
      </w:r>
      <w:r>
        <w:rPr>
          <w:color w:val="000000"/>
          <w:szCs w:val="22"/>
        </w:rPr>
        <w:tab/>
        <w:t>Rapport sur le Développement humain</w:t>
      </w:r>
    </w:p>
    <w:p w:rsidR="00000000" w:rsidRDefault="00000000">
      <w:pPr>
        <w:tabs>
          <w:tab w:val="left" w:pos="1440"/>
        </w:tabs>
        <w:spacing w:after="200"/>
        <w:rPr>
          <w:iCs/>
          <w:color w:val="000000"/>
          <w:szCs w:val="22"/>
        </w:rPr>
      </w:pPr>
      <w:r>
        <w:rPr>
          <w:color w:val="000000"/>
          <w:szCs w:val="22"/>
        </w:rPr>
        <w:t>RGPH:</w:t>
      </w:r>
      <w:r>
        <w:rPr>
          <w:color w:val="000000"/>
          <w:szCs w:val="22"/>
        </w:rPr>
        <w:tab/>
        <w:t>Recensement général sur la Population et l’Habitant</w:t>
      </w:r>
    </w:p>
    <w:p w:rsidR="00000000" w:rsidRDefault="00000000">
      <w:pPr>
        <w:tabs>
          <w:tab w:val="left" w:pos="1440"/>
        </w:tabs>
        <w:spacing w:after="200"/>
        <w:rPr>
          <w:iCs/>
          <w:color w:val="000000"/>
          <w:szCs w:val="22"/>
        </w:rPr>
      </w:pPr>
      <w:r>
        <w:rPr>
          <w:bCs/>
          <w:color w:val="000000"/>
          <w:szCs w:val="22"/>
        </w:rPr>
        <w:t>SASDE:</w:t>
      </w:r>
      <w:r>
        <w:rPr>
          <w:color w:val="000000"/>
          <w:szCs w:val="22"/>
        </w:rPr>
        <w:tab/>
        <w:t xml:space="preserve">Stratégie d’Accélération de la Survie et du Développement de l’Enfant </w:t>
      </w:r>
    </w:p>
    <w:p w:rsidR="00000000" w:rsidRDefault="00000000">
      <w:pPr>
        <w:tabs>
          <w:tab w:val="left" w:pos="1440"/>
        </w:tabs>
        <w:spacing w:after="200"/>
        <w:rPr>
          <w:color w:val="000000"/>
          <w:szCs w:val="22"/>
        </w:rPr>
      </w:pPr>
      <w:r>
        <w:rPr>
          <w:bCs/>
          <w:color w:val="000000"/>
          <w:szCs w:val="22"/>
        </w:rPr>
        <w:t>SNBG:</w:t>
      </w:r>
      <w:r>
        <w:rPr>
          <w:color w:val="000000"/>
          <w:szCs w:val="22"/>
        </w:rPr>
        <w:tab/>
        <w:t xml:space="preserve">Stratégie Nationale de Bonne Gouvernance </w:t>
      </w:r>
    </w:p>
    <w:p w:rsidR="00000000" w:rsidRDefault="00000000">
      <w:pPr>
        <w:tabs>
          <w:tab w:val="left" w:pos="1440"/>
        </w:tabs>
        <w:spacing w:after="200"/>
        <w:rPr>
          <w:color w:val="000000"/>
          <w:szCs w:val="22"/>
        </w:rPr>
      </w:pPr>
      <w:r>
        <w:rPr>
          <w:color w:val="000000"/>
          <w:szCs w:val="22"/>
        </w:rPr>
        <w:t>UNICEF:</w:t>
      </w:r>
      <w:r>
        <w:rPr>
          <w:color w:val="000000"/>
          <w:szCs w:val="22"/>
        </w:rPr>
        <w:tab/>
        <w:t>Fonds des Nations Unies pour l’Enfance</w:t>
      </w:r>
    </w:p>
    <w:p w:rsidR="00000000" w:rsidRDefault="00000000">
      <w:pPr>
        <w:tabs>
          <w:tab w:val="left" w:pos="1440"/>
        </w:tabs>
        <w:spacing w:after="200"/>
        <w:rPr>
          <w:szCs w:val="22"/>
        </w:rPr>
      </w:pPr>
      <w:r>
        <w:rPr>
          <w:color w:val="000000"/>
          <w:szCs w:val="22"/>
        </w:rPr>
        <w:t>USAID:</w:t>
      </w:r>
      <w:r>
        <w:rPr>
          <w:color w:val="000000"/>
          <w:szCs w:val="22"/>
        </w:rPr>
        <w:tab/>
        <w:t>Agence Américaine pour le Développement</w:t>
      </w:r>
    </w:p>
    <w:p w:rsidR="00000000" w:rsidRDefault="00000000">
      <w:pPr>
        <w:tabs>
          <w:tab w:val="left" w:pos="1440"/>
        </w:tabs>
        <w:spacing w:after="200"/>
        <w:rPr>
          <w:color w:val="000000"/>
          <w:szCs w:val="22"/>
        </w:rPr>
      </w:pPr>
      <w:r>
        <w:rPr>
          <w:color w:val="000000"/>
          <w:szCs w:val="22"/>
        </w:rPr>
        <w:t>VIH/SIDA:</w:t>
      </w:r>
      <w:r>
        <w:rPr>
          <w:color w:val="000000"/>
          <w:szCs w:val="22"/>
        </w:rPr>
        <w:tab/>
        <w:t>Virus de l’Immunodéficience Humaine/Syndrome d’Immunodéficience Acquise</w:t>
      </w:r>
    </w:p>
    <w:bookmarkStart w:id="2" w:name="_MON_1248676536"/>
    <w:bookmarkStart w:id="3" w:name="_MON_1248676594"/>
    <w:bookmarkEnd w:id="2"/>
    <w:bookmarkEnd w:id="3"/>
    <w:p w:rsidR="00000000" w:rsidRDefault="00000000">
      <w:pPr>
        <w:spacing w:after="240"/>
        <w:rPr>
          <w:color w:val="000000"/>
          <w:sz w:val="22"/>
          <w:szCs w:val="22"/>
        </w:rPr>
      </w:pPr>
      <w:r>
        <w:object w:dxaOrig="8830" w:dyaOrig="13356">
          <v:shape id="_x0000_i1026" type="#_x0000_t75" style="width:411.75pt;height:624pt" o:ole="">
            <v:imagedata r:id="rId9" o:title="" croptop="751f" cropleft="2735f" cropright="799f"/>
          </v:shape>
          <o:OLEObject Type="Embed" ProgID="Word.Picture.8" ShapeID="_x0000_i1026" DrawAspect="Content" ObjectID="_1394862673" r:id="rId10"/>
        </w:object>
      </w:r>
    </w:p>
    <w:p w:rsidR="00000000" w:rsidRDefault="00000000">
      <w:pPr>
        <w:keepNext/>
        <w:spacing w:after="240"/>
        <w:jc w:val="center"/>
        <w:rPr>
          <w:b/>
          <w:bCs/>
        </w:rPr>
      </w:pPr>
      <w:r>
        <w:rPr>
          <w:b/>
          <w:bCs/>
        </w:rPr>
        <w:t>Tableau 1. Données de base sur le Tchad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60"/>
        <w:gridCol w:w="3351"/>
        <w:gridCol w:w="1312"/>
        <w:gridCol w:w="1319"/>
        <w:gridCol w:w="2950"/>
      </w:tblGrid>
      <w:tr w:rsidR="00000000">
        <w:trPr>
          <w:trHeight w:val="300"/>
          <w:tblHeader/>
        </w:trPr>
        <w:tc>
          <w:tcPr>
            <w:tcW w:w="270" w:type="pct"/>
            <w:vAlign w:val="center"/>
          </w:tcPr>
          <w:p w:rsidR="00000000" w:rsidRDefault="00000000">
            <w:pPr>
              <w:keepNext/>
              <w:spacing w:before="60" w:after="60"/>
              <w:jc w:val="center"/>
            </w:pPr>
          </w:p>
        </w:tc>
        <w:tc>
          <w:tcPr>
            <w:tcW w:w="1951" w:type="pct"/>
            <w:vAlign w:val="center"/>
          </w:tcPr>
          <w:p w:rsidR="00000000" w:rsidRDefault="00000000">
            <w:pPr>
              <w:keepNext/>
              <w:spacing w:before="60" w:after="60"/>
              <w:jc w:val="center"/>
            </w:pPr>
            <w:r>
              <w:t>Indicateurs</w:t>
            </w:r>
          </w:p>
        </w:tc>
        <w:tc>
          <w:tcPr>
            <w:tcW w:w="877" w:type="pct"/>
            <w:noWrap/>
            <w:vAlign w:val="center"/>
          </w:tcPr>
          <w:p w:rsidR="00000000" w:rsidRDefault="00000000">
            <w:pPr>
              <w:keepNext/>
              <w:spacing w:before="60" w:after="60"/>
              <w:jc w:val="center"/>
            </w:pPr>
            <w:r>
              <w:t>Valeur</w:t>
            </w:r>
          </w:p>
        </w:tc>
        <w:tc>
          <w:tcPr>
            <w:tcW w:w="880" w:type="pct"/>
            <w:noWrap/>
            <w:vAlign w:val="center"/>
          </w:tcPr>
          <w:p w:rsidR="00000000" w:rsidRDefault="00000000">
            <w:pPr>
              <w:keepNext/>
              <w:spacing w:before="60" w:after="60"/>
              <w:jc w:val="center"/>
            </w:pPr>
            <w:r>
              <w:t>Année</w:t>
            </w:r>
          </w:p>
        </w:tc>
        <w:tc>
          <w:tcPr>
            <w:tcW w:w="1022" w:type="pct"/>
            <w:vAlign w:val="center"/>
          </w:tcPr>
          <w:p w:rsidR="00000000" w:rsidRDefault="00000000">
            <w:pPr>
              <w:keepNext/>
              <w:spacing w:before="60" w:after="60"/>
              <w:jc w:val="center"/>
            </w:pPr>
            <w:r>
              <w:t>Sources</w:t>
            </w:r>
          </w:p>
        </w:tc>
      </w:tr>
      <w:tr w:rsidR="00000000">
        <w:trPr>
          <w:cantSplit/>
          <w:trHeight w:val="300"/>
        </w:trPr>
        <w:tc>
          <w:tcPr>
            <w:tcW w:w="270" w:type="pct"/>
            <w:vMerge w:val="restart"/>
            <w:textDirection w:val="btLr"/>
            <w:vAlign w:val="center"/>
          </w:tcPr>
          <w:p w:rsidR="00000000" w:rsidRDefault="00000000">
            <w:pPr>
              <w:spacing w:before="60" w:after="60"/>
              <w:jc w:val="center"/>
            </w:pPr>
            <w:r>
              <w:t>Donnes administratives</w:t>
            </w:r>
          </w:p>
        </w:tc>
        <w:tc>
          <w:tcPr>
            <w:tcW w:w="1951" w:type="pct"/>
            <w:shd w:val="clear" w:color="9999FF" w:fill="C0C0C0"/>
            <w:vAlign w:val="center"/>
          </w:tcPr>
          <w:p w:rsidR="00000000" w:rsidRDefault="00000000">
            <w:pPr>
              <w:spacing w:before="60" w:after="60"/>
            </w:pPr>
            <w:r>
              <w:t>Superficie (Km2)</w:t>
            </w:r>
          </w:p>
        </w:tc>
        <w:tc>
          <w:tcPr>
            <w:tcW w:w="877" w:type="pct"/>
            <w:shd w:val="clear" w:color="9999FF" w:fill="C0C0C0"/>
            <w:noWrap/>
            <w:vAlign w:val="center"/>
          </w:tcPr>
          <w:p w:rsidR="00000000" w:rsidRDefault="00000000">
            <w:pPr>
              <w:spacing w:before="60" w:after="60"/>
              <w:jc w:val="center"/>
            </w:pPr>
            <w:r>
              <w:t>1,284,000</w:t>
            </w:r>
          </w:p>
        </w:tc>
        <w:tc>
          <w:tcPr>
            <w:tcW w:w="880" w:type="pct"/>
            <w:shd w:val="clear" w:color="9999FF" w:fill="C0C0C0"/>
            <w:noWrap/>
            <w:vAlign w:val="center"/>
          </w:tcPr>
          <w:p w:rsidR="00000000" w:rsidRDefault="00000000">
            <w:pPr>
              <w:spacing w:before="60" w:after="60"/>
              <w:jc w:val="center"/>
            </w:pPr>
          </w:p>
        </w:tc>
        <w:tc>
          <w:tcPr>
            <w:tcW w:w="1022" w:type="pct"/>
            <w:shd w:val="clear" w:color="9999FF" w:fill="C0C0C0"/>
            <w:vAlign w:val="center"/>
          </w:tcPr>
          <w:p w:rsidR="00000000" w:rsidRDefault="00000000">
            <w:pPr>
              <w:spacing w:before="60" w:after="60"/>
              <w:jc w:val="center"/>
            </w:pP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Régions</w:t>
            </w:r>
          </w:p>
        </w:tc>
        <w:tc>
          <w:tcPr>
            <w:tcW w:w="877" w:type="pct"/>
            <w:shd w:val="clear" w:color="9999FF" w:fill="FFFFFF"/>
            <w:noWrap/>
            <w:vAlign w:val="center"/>
          </w:tcPr>
          <w:p w:rsidR="00000000" w:rsidRDefault="00000000">
            <w:pPr>
              <w:spacing w:before="60" w:after="60"/>
              <w:jc w:val="center"/>
            </w:pPr>
            <w:r>
              <w:t>18</w:t>
            </w:r>
          </w:p>
        </w:tc>
        <w:tc>
          <w:tcPr>
            <w:tcW w:w="880" w:type="pct"/>
            <w:shd w:val="clear" w:color="9999FF" w:fill="FFFFFF"/>
            <w:noWrap/>
            <w:vAlign w:val="center"/>
          </w:tcPr>
          <w:p w:rsidR="00000000" w:rsidRDefault="00000000">
            <w:pPr>
              <w:spacing w:before="60" w:after="60"/>
              <w:jc w:val="center"/>
            </w:pPr>
            <w:r>
              <w:t>2002</w:t>
            </w:r>
          </w:p>
        </w:tc>
        <w:tc>
          <w:tcPr>
            <w:tcW w:w="1022" w:type="pct"/>
            <w:shd w:val="clear" w:color="9999FF" w:fill="FFFFFF"/>
            <w:vAlign w:val="center"/>
          </w:tcPr>
          <w:p w:rsidR="00000000" w:rsidRDefault="00000000">
            <w:pPr>
              <w:spacing w:before="60" w:after="60"/>
              <w:jc w:val="center"/>
            </w:pPr>
            <w:r>
              <w:t>MAT</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Département</w:t>
            </w:r>
          </w:p>
        </w:tc>
        <w:tc>
          <w:tcPr>
            <w:tcW w:w="877" w:type="pct"/>
            <w:shd w:val="clear" w:color="9999FF" w:fill="C0C0C0"/>
            <w:noWrap/>
            <w:vAlign w:val="center"/>
          </w:tcPr>
          <w:p w:rsidR="00000000" w:rsidRDefault="00000000">
            <w:pPr>
              <w:spacing w:before="60" w:after="60"/>
              <w:jc w:val="center"/>
            </w:pPr>
            <w:r>
              <w:t>47</w:t>
            </w:r>
          </w:p>
        </w:tc>
        <w:tc>
          <w:tcPr>
            <w:tcW w:w="880" w:type="pct"/>
            <w:shd w:val="clear" w:color="9999FF" w:fill="C0C0C0"/>
            <w:noWrap/>
            <w:vAlign w:val="center"/>
          </w:tcPr>
          <w:p w:rsidR="00000000" w:rsidRDefault="00000000">
            <w:pPr>
              <w:spacing w:before="60" w:after="60"/>
              <w:jc w:val="center"/>
            </w:pPr>
            <w:r>
              <w:t>2002</w:t>
            </w:r>
          </w:p>
        </w:tc>
        <w:tc>
          <w:tcPr>
            <w:tcW w:w="1022" w:type="pct"/>
            <w:shd w:val="clear" w:color="9999FF" w:fill="C0C0C0"/>
            <w:vAlign w:val="center"/>
          </w:tcPr>
          <w:p w:rsidR="00000000" w:rsidRDefault="00000000">
            <w:pPr>
              <w:spacing w:before="60" w:after="60"/>
              <w:jc w:val="center"/>
            </w:pPr>
            <w:r>
              <w:t>MAT</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Sous-préfecture</w:t>
            </w:r>
          </w:p>
        </w:tc>
        <w:tc>
          <w:tcPr>
            <w:tcW w:w="877" w:type="pct"/>
            <w:shd w:val="clear" w:color="9999FF" w:fill="FFFFFF"/>
            <w:vAlign w:val="center"/>
          </w:tcPr>
          <w:p w:rsidR="00000000" w:rsidRDefault="00000000">
            <w:pPr>
              <w:spacing w:before="60" w:after="60"/>
              <w:jc w:val="center"/>
            </w:pPr>
            <w:r>
              <w:t>199</w:t>
            </w:r>
          </w:p>
        </w:tc>
        <w:tc>
          <w:tcPr>
            <w:tcW w:w="880" w:type="pct"/>
            <w:shd w:val="clear" w:color="9999FF" w:fill="FFFFFF"/>
            <w:vAlign w:val="center"/>
          </w:tcPr>
          <w:p w:rsidR="00000000" w:rsidRDefault="00000000">
            <w:pPr>
              <w:spacing w:before="60" w:after="60"/>
              <w:jc w:val="center"/>
            </w:pPr>
            <w:r>
              <w:t>2002</w:t>
            </w:r>
          </w:p>
        </w:tc>
        <w:tc>
          <w:tcPr>
            <w:tcW w:w="1022" w:type="pct"/>
            <w:shd w:val="clear" w:color="9999FF" w:fill="FFFFFF"/>
            <w:vAlign w:val="center"/>
          </w:tcPr>
          <w:p w:rsidR="00000000" w:rsidRDefault="00000000">
            <w:pPr>
              <w:spacing w:before="60" w:after="60"/>
              <w:jc w:val="center"/>
            </w:pPr>
            <w:r>
              <w:t>MAT</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Délégation de la santé</w:t>
            </w:r>
          </w:p>
        </w:tc>
        <w:tc>
          <w:tcPr>
            <w:tcW w:w="877" w:type="pct"/>
            <w:shd w:val="clear" w:color="9999FF" w:fill="C0C0C0"/>
            <w:noWrap/>
            <w:vAlign w:val="center"/>
          </w:tcPr>
          <w:p w:rsidR="00000000" w:rsidRDefault="00000000">
            <w:pPr>
              <w:spacing w:before="60" w:after="60"/>
              <w:jc w:val="center"/>
            </w:pPr>
            <w:r>
              <w:t>14</w:t>
            </w:r>
          </w:p>
        </w:tc>
        <w:tc>
          <w:tcPr>
            <w:tcW w:w="880" w:type="pct"/>
            <w:shd w:val="clear" w:color="9999FF" w:fill="C0C0C0"/>
            <w:noWrap/>
            <w:vAlign w:val="center"/>
          </w:tcPr>
          <w:p w:rsidR="00000000" w:rsidRDefault="00000000">
            <w:pPr>
              <w:spacing w:before="60" w:after="60"/>
              <w:jc w:val="center"/>
            </w:pPr>
            <w:r>
              <w:t>2002</w:t>
            </w:r>
          </w:p>
        </w:tc>
        <w:tc>
          <w:tcPr>
            <w:tcW w:w="1022" w:type="pct"/>
            <w:shd w:val="clear" w:color="9999FF" w:fill="C0C0C0"/>
            <w:vAlign w:val="center"/>
          </w:tcPr>
          <w:p w:rsidR="00000000" w:rsidRDefault="00000000">
            <w:pPr>
              <w:spacing w:before="60" w:after="60"/>
              <w:jc w:val="center"/>
            </w:pPr>
            <w:r>
              <w:t>MSP</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Délégation départementale de l’éducation</w:t>
            </w:r>
          </w:p>
        </w:tc>
        <w:tc>
          <w:tcPr>
            <w:tcW w:w="877" w:type="pct"/>
            <w:shd w:val="clear" w:color="9999FF" w:fill="FFFFFF"/>
            <w:noWrap/>
            <w:vAlign w:val="center"/>
          </w:tcPr>
          <w:p w:rsidR="00000000" w:rsidRDefault="00000000">
            <w:pPr>
              <w:spacing w:before="60" w:after="60"/>
              <w:jc w:val="center"/>
            </w:pPr>
            <w:r>
              <w:t>29</w:t>
            </w:r>
          </w:p>
        </w:tc>
        <w:tc>
          <w:tcPr>
            <w:tcW w:w="880" w:type="pct"/>
            <w:shd w:val="clear" w:color="9999FF" w:fill="FFFFFF"/>
            <w:noWrap/>
            <w:vAlign w:val="center"/>
          </w:tcPr>
          <w:p w:rsidR="00000000" w:rsidRDefault="00000000">
            <w:pPr>
              <w:spacing w:before="60" w:after="60"/>
              <w:jc w:val="center"/>
            </w:pPr>
            <w:r>
              <w:t>2003-2004</w:t>
            </w:r>
          </w:p>
        </w:tc>
        <w:tc>
          <w:tcPr>
            <w:tcW w:w="1022" w:type="pct"/>
            <w:shd w:val="clear" w:color="9999FF" w:fill="FFFFFF"/>
            <w:vAlign w:val="center"/>
          </w:tcPr>
          <w:p w:rsidR="00000000" w:rsidRDefault="00000000">
            <w:pPr>
              <w:spacing w:before="60" w:after="60"/>
              <w:jc w:val="center"/>
            </w:pPr>
            <w:r>
              <w:t>MEN</w:t>
            </w:r>
          </w:p>
        </w:tc>
      </w:tr>
      <w:tr w:rsidR="00000000">
        <w:trPr>
          <w:trHeight w:val="60"/>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Structures de la population</w:t>
            </w:r>
          </w:p>
        </w:tc>
        <w:tc>
          <w:tcPr>
            <w:tcW w:w="1951" w:type="pct"/>
            <w:shd w:val="clear" w:color="9999FF" w:fill="FFFFFF"/>
            <w:vAlign w:val="center"/>
          </w:tcPr>
          <w:p w:rsidR="00000000" w:rsidRDefault="00000000">
            <w:pPr>
              <w:spacing w:before="60" w:after="60"/>
            </w:pPr>
            <w:r>
              <w:t>Population (en milliers)</w:t>
            </w:r>
          </w:p>
        </w:tc>
        <w:tc>
          <w:tcPr>
            <w:tcW w:w="877" w:type="pct"/>
            <w:shd w:val="clear" w:color="9999FF" w:fill="FFFFFF"/>
            <w:noWrap/>
            <w:vAlign w:val="center"/>
          </w:tcPr>
          <w:p w:rsidR="00000000" w:rsidRDefault="00000000">
            <w:pPr>
              <w:spacing w:before="60" w:after="60"/>
              <w:jc w:val="center"/>
            </w:pPr>
            <w:r>
              <w:t>9,273</w:t>
            </w:r>
          </w:p>
        </w:tc>
        <w:tc>
          <w:tcPr>
            <w:tcW w:w="880" w:type="pct"/>
            <w:shd w:val="clear" w:color="9999FF" w:fill="FFFFFF"/>
            <w:noWrap/>
            <w:vAlign w:val="center"/>
          </w:tcPr>
          <w:p w:rsidR="00000000" w:rsidRDefault="00000000">
            <w:pPr>
              <w:spacing w:before="60" w:after="60"/>
              <w:jc w:val="center"/>
            </w:pPr>
            <w:r>
              <w:t>2005</w:t>
            </w:r>
          </w:p>
        </w:tc>
        <w:tc>
          <w:tcPr>
            <w:tcW w:w="1022" w:type="pct"/>
            <w:shd w:val="clear" w:color="9999FF" w:fill="FFFFFF"/>
            <w:vAlign w:val="center"/>
          </w:tcPr>
          <w:p w:rsidR="00000000" w:rsidRDefault="00000000">
            <w:pPr>
              <w:spacing w:before="60" w:after="60"/>
              <w:jc w:val="center"/>
            </w:pPr>
            <w:r>
              <w:t>DCAP/MEPC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xml:space="preserve">Population de moins de 0-1 ans </w:t>
            </w:r>
          </w:p>
        </w:tc>
        <w:tc>
          <w:tcPr>
            <w:tcW w:w="877" w:type="pct"/>
            <w:shd w:val="clear" w:color="9999FF" w:fill="C0C0C0"/>
            <w:noWrap/>
            <w:vAlign w:val="center"/>
          </w:tcPr>
          <w:p w:rsidR="00000000" w:rsidRDefault="00000000">
            <w:pPr>
              <w:spacing w:before="60" w:after="60"/>
              <w:jc w:val="center"/>
            </w:pPr>
            <w:r>
              <w:t>391</w:t>
            </w:r>
          </w:p>
        </w:tc>
        <w:tc>
          <w:tcPr>
            <w:tcW w:w="880" w:type="pct"/>
            <w:shd w:val="clear" w:color="9999FF" w:fill="C0C0C0"/>
            <w:noWrap/>
            <w:vAlign w:val="center"/>
          </w:tcPr>
          <w:p w:rsidR="00000000" w:rsidRDefault="00000000">
            <w:pPr>
              <w:spacing w:before="60" w:after="60"/>
              <w:jc w:val="center"/>
            </w:pPr>
            <w:r>
              <w:t>2005</w:t>
            </w:r>
          </w:p>
        </w:tc>
        <w:tc>
          <w:tcPr>
            <w:tcW w:w="1022" w:type="pct"/>
            <w:shd w:val="clear" w:color="9999FF" w:fill="C0C0C0"/>
            <w:vAlign w:val="center"/>
          </w:tcPr>
          <w:p w:rsidR="00000000" w:rsidRDefault="00000000">
            <w:pPr>
              <w:spacing w:before="60" w:after="60"/>
              <w:jc w:val="center"/>
            </w:pPr>
            <w:r>
              <w:t>DCAP/MEPC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Population de 6-11 ans</w:t>
            </w:r>
          </w:p>
        </w:tc>
        <w:tc>
          <w:tcPr>
            <w:tcW w:w="877" w:type="pct"/>
            <w:shd w:val="clear" w:color="9999FF" w:fill="FFFFFF"/>
            <w:noWrap/>
            <w:vAlign w:val="center"/>
          </w:tcPr>
          <w:p w:rsidR="00000000" w:rsidRDefault="00000000">
            <w:pPr>
              <w:spacing w:before="60" w:after="60"/>
              <w:jc w:val="center"/>
            </w:pPr>
            <w:r>
              <w:t>1,610.5</w:t>
            </w:r>
          </w:p>
        </w:tc>
        <w:tc>
          <w:tcPr>
            <w:tcW w:w="880" w:type="pct"/>
            <w:shd w:val="clear" w:color="9999FF" w:fill="FFFFFF"/>
            <w:noWrap/>
            <w:vAlign w:val="center"/>
          </w:tcPr>
          <w:p w:rsidR="00000000" w:rsidRDefault="00000000">
            <w:pPr>
              <w:spacing w:before="60" w:after="60"/>
              <w:jc w:val="center"/>
            </w:pPr>
            <w:r>
              <w:t>2005</w:t>
            </w:r>
          </w:p>
        </w:tc>
        <w:tc>
          <w:tcPr>
            <w:tcW w:w="1022" w:type="pct"/>
            <w:shd w:val="clear" w:color="9999FF" w:fill="FFFFFF"/>
            <w:vAlign w:val="center"/>
          </w:tcPr>
          <w:p w:rsidR="00000000" w:rsidRDefault="00000000">
            <w:pPr>
              <w:spacing w:before="60" w:after="60"/>
              <w:jc w:val="center"/>
            </w:pPr>
            <w:r>
              <w:t>DCAP/MEPC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xml:space="preserve">Population de 0- 18 ans </w:t>
            </w:r>
          </w:p>
        </w:tc>
        <w:tc>
          <w:tcPr>
            <w:tcW w:w="877" w:type="pct"/>
            <w:shd w:val="clear" w:color="9999FF" w:fill="C0C0C0"/>
            <w:noWrap/>
            <w:vAlign w:val="center"/>
          </w:tcPr>
          <w:p w:rsidR="00000000" w:rsidRDefault="00000000">
            <w:pPr>
              <w:spacing w:before="60" w:after="60"/>
              <w:jc w:val="center"/>
            </w:pPr>
            <w:r>
              <w:t>5,032</w:t>
            </w:r>
          </w:p>
        </w:tc>
        <w:tc>
          <w:tcPr>
            <w:tcW w:w="880" w:type="pct"/>
            <w:shd w:val="clear" w:color="9999FF" w:fill="C0C0C0"/>
            <w:noWrap/>
            <w:vAlign w:val="center"/>
          </w:tcPr>
          <w:p w:rsidR="00000000" w:rsidRDefault="00000000">
            <w:pPr>
              <w:spacing w:before="60" w:after="60"/>
              <w:jc w:val="center"/>
            </w:pPr>
            <w:r>
              <w:t>2005</w:t>
            </w:r>
          </w:p>
        </w:tc>
        <w:tc>
          <w:tcPr>
            <w:tcW w:w="1022" w:type="pct"/>
            <w:shd w:val="clear" w:color="9999FF" w:fill="C0C0C0"/>
            <w:vAlign w:val="center"/>
          </w:tcPr>
          <w:p w:rsidR="00000000" w:rsidRDefault="00000000">
            <w:pPr>
              <w:spacing w:before="60" w:after="60"/>
              <w:jc w:val="center"/>
            </w:pPr>
            <w:r>
              <w:t>DCAP/MEPC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Population féminine (%)</w:t>
            </w:r>
          </w:p>
        </w:tc>
        <w:tc>
          <w:tcPr>
            <w:tcW w:w="877" w:type="pct"/>
            <w:shd w:val="clear" w:color="9999FF" w:fill="FFFFFF"/>
            <w:noWrap/>
            <w:vAlign w:val="center"/>
          </w:tcPr>
          <w:p w:rsidR="00000000" w:rsidRDefault="00000000">
            <w:pPr>
              <w:spacing w:before="60" w:after="60"/>
              <w:jc w:val="center"/>
            </w:pPr>
            <w:r>
              <w:t>52</w:t>
            </w:r>
          </w:p>
        </w:tc>
        <w:tc>
          <w:tcPr>
            <w:tcW w:w="880" w:type="pct"/>
            <w:shd w:val="clear" w:color="9999FF" w:fill="FFFFFF"/>
            <w:noWrap/>
            <w:vAlign w:val="center"/>
          </w:tcPr>
          <w:p w:rsidR="00000000" w:rsidRDefault="00000000">
            <w:pPr>
              <w:spacing w:before="60" w:after="60"/>
              <w:jc w:val="center"/>
            </w:pPr>
            <w:r>
              <w:t>1993</w:t>
            </w:r>
          </w:p>
        </w:tc>
        <w:tc>
          <w:tcPr>
            <w:tcW w:w="1022" w:type="pct"/>
            <w:shd w:val="clear" w:color="9999FF" w:fill="FFFFFF"/>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Population rurale (%)</w:t>
            </w:r>
          </w:p>
        </w:tc>
        <w:tc>
          <w:tcPr>
            <w:tcW w:w="877" w:type="pct"/>
            <w:shd w:val="clear" w:color="9999FF" w:fill="C0C0C0"/>
            <w:noWrap/>
            <w:vAlign w:val="center"/>
          </w:tcPr>
          <w:p w:rsidR="00000000" w:rsidRDefault="00000000">
            <w:pPr>
              <w:spacing w:before="60" w:after="60"/>
              <w:jc w:val="center"/>
            </w:pPr>
            <w:r>
              <w:t>80</w:t>
            </w:r>
          </w:p>
        </w:tc>
        <w:tc>
          <w:tcPr>
            <w:tcW w:w="880" w:type="pct"/>
            <w:shd w:val="clear" w:color="9999FF" w:fill="C0C0C0"/>
            <w:noWrap/>
            <w:vAlign w:val="center"/>
          </w:tcPr>
          <w:p w:rsidR="00000000" w:rsidRDefault="00000000">
            <w:pPr>
              <w:spacing w:before="60" w:after="60"/>
              <w:jc w:val="center"/>
            </w:pPr>
            <w:r>
              <w:t>1993</w:t>
            </w:r>
          </w:p>
        </w:tc>
        <w:tc>
          <w:tcPr>
            <w:tcW w:w="1022" w:type="pct"/>
            <w:shd w:val="clear" w:color="9999FF" w:fill="C0C0C0"/>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population urbaine (%)</w:t>
            </w:r>
          </w:p>
        </w:tc>
        <w:tc>
          <w:tcPr>
            <w:tcW w:w="877" w:type="pct"/>
            <w:shd w:val="clear" w:color="9999FF" w:fill="FFFFFF"/>
            <w:noWrap/>
            <w:vAlign w:val="center"/>
          </w:tcPr>
          <w:p w:rsidR="00000000" w:rsidRDefault="00000000">
            <w:pPr>
              <w:spacing w:before="60" w:after="60"/>
              <w:jc w:val="center"/>
            </w:pPr>
            <w:r>
              <w:t>20</w:t>
            </w:r>
          </w:p>
        </w:tc>
        <w:tc>
          <w:tcPr>
            <w:tcW w:w="880" w:type="pct"/>
            <w:shd w:val="clear" w:color="9999FF" w:fill="FFFFFF"/>
            <w:noWrap/>
            <w:vAlign w:val="center"/>
          </w:tcPr>
          <w:p w:rsidR="00000000" w:rsidRDefault="00000000">
            <w:pPr>
              <w:spacing w:before="60" w:after="60"/>
              <w:jc w:val="center"/>
            </w:pPr>
            <w:r>
              <w:t>1993</w:t>
            </w:r>
          </w:p>
        </w:tc>
        <w:tc>
          <w:tcPr>
            <w:tcW w:w="1022" w:type="pct"/>
            <w:shd w:val="clear" w:color="9999FF" w:fill="FFFFFF"/>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d’accroissement naturel</w:t>
            </w:r>
          </w:p>
        </w:tc>
        <w:tc>
          <w:tcPr>
            <w:tcW w:w="877" w:type="pct"/>
            <w:shd w:val="clear" w:color="9999FF" w:fill="C0C0C0"/>
            <w:noWrap/>
            <w:vAlign w:val="center"/>
          </w:tcPr>
          <w:p w:rsidR="00000000" w:rsidRDefault="00000000">
            <w:pPr>
              <w:spacing w:before="60" w:after="60"/>
              <w:jc w:val="center"/>
              <w:rPr>
                <w:lang w:val="nl-NL"/>
              </w:rPr>
            </w:pPr>
            <w:r>
              <w:rPr>
                <w:lang w:val="nl-NL"/>
              </w:rPr>
              <w:t>3.2</w:t>
            </w:r>
          </w:p>
        </w:tc>
        <w:tc>
          <w:tcPr>
            <w:tcW w:w="880" w:type="pct"/>
            <w:shd w:val="clear" w:color="9999FF" w:fill="C0C0C0"/>
            <w:noWrap/>
            <w:vAlign w:val="center"/>
          </w:tcPr>
          <w:p w:rsidR="00000000" w:rsidRDefault="00000000">
            <w:pPr>
              <w:spacing w:before="60" w:after="60"/>
              <w:jc w:val="center"/>
              <w:rPr>
                <w:lang w:val="nl-NL"/>
              </w:rPr>
            </w:pPr>
            <w:r>
              <w:rPr>
                <w:lang w:val="nl-NL"/>
              </w:rPr>
              <w:t>2000</w:t>
            </w:r>
          </w:p>
        </w:tc>
        <w:tc>
          <w:tcPr>
            <w:tcW w:w="1022" w:type="pct"/>
            <w:shd w:val="clear" w:color="9999FF" w:fill="C0C0C0"/>
            <w:vAlign w:val="center"/>
          </w:tcPr>
          <w:p w:rsidR="00000000" w:rsidRDefault="00000000">
            <w:pPr>
              <w:spacing w:before="60" w:after="60"/>
              <w:jc w:val="center"/>
              <w:rPr>
                <w:lang w:val="nl-NL"/>
              </w:rPr>
            </w:pPr>
            <w:r>
              <w:rPr>
                <w:lang w:val="nl-NL"/>
              </w:rPr>
              <w:t>DCAP/MEPC</w:t>
            </w:r>
          </w:p>
        </w:tc>
      </w:tr>
      <w:tr w:rsidR="00000000">
        <w:trPr>
          <w:trHeight w:val="75"/>
        </w:trPr>
        <w:tc>
          <w:tcPr>
            <w:tcW w:w="270" w:type="pct"/>
            <w:textDirection w:val="btLr"/>
            <w:vAlign w:val="center"/>
          </w:tcPr>
          <w:p w:rsidR="00000000" w:rsidRDefault="00000000">
            <w:pPr>
              <w:spacing w:before="60" w:after="60"/>
              <w:rPr>
                <w:lang w:val="nl-NL"/>
              </w:rPr>
            </w:pPr>
            <w:r>
              <w:rPr>
                <w:lang w:val="nl-NL"/>
              </w:rPr>
              <w:t> </w:t>
            </w:r>
          </w:p>
        </w:tc>
        <w:tc>
          <w:tcPr>
            <w:tcW w:w="1951" w:type="pct"/>
            <w:shd w:val="clear" w:color="9999FF" w:fill="FFFFFF"/>
            <w:vAlign w:val="center"/>
          </w:tcPr>
          <w:p w:rsidR="00000000" w:rsidRDefault="00000000">
            <w:pPr>
              <w:spacing w:before="60" w:after="60"/>
              <w:rPr>
                <w:lang w:val="nl-NL"/>
              </w:rPr>
            </w:pPr>
            <w:r>
              <w:rPr>
                <w:lang w:val="nl-NL"/>
              </w:rPr>
              <w:t> </w:t>
            </w:r>
          </w:p>
        </w:tc>
        <w:tc>
          <w:tcPr>
            <w:tcW w:w="877" w:type="pct"/>
            <w:shd w:val="clear" w:color="9999FF" w:fill="FFFFFF"/>
            <w:noWrap/>
            <w:vAlign w:val="center"/>
          </w:tcPr>
          <w:p w:rsidR="00000000" w:rsidRDefault="00000000">
            <w:pPr>
              <w:spacing w:before="60" w:after="60"/>
              <w:jc w:val="center"/>
              <w:rPr>
                <w:lang w:val="nl-NL"/>
              </w:rPr>
            </w:pPr>
          </w:p>
        </w:tc>
        <w:tc>
          <w:tcPr>
            <w:tcW w:w="880" w:type="pct"/>
            <w:shd w:val="clear" w:color="9999FF" w:fill="FFFFFF"/>
            <w:noWrap/>
            <w:vAlign w:val="center"/>
          </w:tcPr>
          <w:p w:rsidR="00000000" w:rsidRDefault="00000000">
            <w:pPr>
              <w:spacing w:before="60" w:after="60"/>
              <w:jc w:val="center"/>
              <w:rPr>
                <w:lang w:val="nl-NL"/>
              </w:rPr>
            </w:pPr>
          </w:p>
        </w:tc>
        <w:tc>
          <w:tcPr>
            <w:tcW w:w="1022" w:type="pct"/>
            <w:shd w:val="clear" w:color="9999FF" w:fill="FFFFFF"/>
            <w:vAlign w:val="center"/>
          </w:tcPr>
          <w:p w:rsidR="00000000" w:rsidRDefault="00000000">
            <w:pPr>
              <w:spacing w:before="60" w:after="60"/>
              <w:jc w:val="center"/>
              <w:rPr>
                <w:lang w:val="nl-NL"/>
              </w:rPr>
            </w:pPr>
          </w:p>
        </w:tc>
      </w:tr>
      <w:tr w:rsidR="00000000">
        <w:trPr>
          <w:cantSplit/>
          <w:trHeight w:val="300"/>
        </w:trPr>
        <w:tc>
          <w:tcPr>
            <w:tcW w:w="270" w:type="pct"/>
            <w:vMerge w:val="restart"/>
            <w:textDirection w:val="btLr"/>
            <w:vAlign w:val="center"/>
          </w:tcPr>
          <w:p w:rsidR="00000000" w:rsidRDefault="00000000">
            <w:pPr>
              <w:spacing w:before="60" w:after="60"/>
              <w:jc w:val="center"/>
              <w:rPr>
                <w:lang w:val="nl-NL"/>
              </w:rPr>
            </w:pPr>
            <w:r>
              <w:rPr>
                <w:lang w:val="nl-NL"/>
              </w:rPr>
              <w:t>Economie</w:t>
            </w:r>
          </w:p>
        </w:tc>
        <w:tc>
          <w:tcPr>
            <w:tcW w:w="1951" w:type="pct"/>
            <w:shd w:val="clear" w:color="9999FF" w:fill="FFFFFF"/>
            <w:vAlign w:val="center"/>
          </w:tcPr>
          <w:p w:rsidR="00000000" w:rsidRDefault="00000000">
            <w:pPr>
              <w:spacing w:before="60" w:after="60"/>
            </w:pPr>
            <w:r>
              <w:t>PIB nominal (en milliard de FCFA)</w:t>
            </w:r>
          </w:p>
        </w:tc>
        <w:tc>
          <w:tcPr>
            <w:tcW w:w="877" w:type="pct"/>
            <w:shd w:val="clear" w:color="9999FF" w:fill="FFFFFF"/>
            <w:noWrap/>
            <w:vAlign w:val="center"/>
          </w:tcPr>
          <w:p w:rsidR="00000000" w:rsidRDefault="00000000">
            <w:pPr>
              <w:spacing w:before="60" w:after="60"/>
              <w:jc w:val="center"/>
            </w:pPr>
            <w:r>
              <w:t>2,062.7</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BEAC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PIB nominal non pétrolier (en milliards de FCFA)</w:t>
            </w:r>
          </w:p>
        </w:tc>
        <w:tc>
          <w:tcPr>
            <w:tcW w:w="877" w:type="pct"/>
            <w:shd w:val="clear" w:color="9999FF" w:fill="C0C0C0"/>
            <w:noWrap/>
            <w:vAlign w:val="center"/>
          </w:tcPr>
          <w:p w:rsidR="00000000" w:rsidRDefault="00000000">
            <w:pPr>
              <w:spacing w:before="60" w:after="60"/>
              <w:jc w:val="center"/>
            </w:pPr>
            <w:r>
              <w:t>1,387</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BEAC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PIB par tête d’habitant ($US)</w:t>
            </w:r>
          </w:p>
        </w:tc>
        <w:tc>
          <w:tcPr>
            <w:tcW w:w="877" w:type="pct"/>
            <w:shd w:val="clear" w:color="9999FF" w:fill="FFFFFF"/>
            <w:noWrap/>
            <w:vAlign w:val="center"/>
          </w:tcPr>
          <w:p w:rsidR="00000000" w:rsidRDefault="00000000">
            <w:pPr>
              <w:spacing w:before="60" w:after="60"/>
              <w:jc w:val="center"/>
            </w:pPr>
            <w:r>
              <w:t>495</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BEAC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de croissance (PIB réel)</w:t>
            </w:r>
          </w:p>
        </w:tc>
        <w:tc>
          <w:tcPr>
            <w:tcW w:w="877" w:type="pct"/>
            <w:shd w:val="clear" w:color="9999FF" w:fill="C0C0C0"/>
            <w:noWrap/>
            <w:vAlign w:val="center"/>
          </w:tcPr>
          <w:p w:rsidR="00000000" w:rsidRDefault="00000000">
            <w:pPr>
              <w:spacing w:before="60" w:after="60"/>
              <w:jc w:val="center"/>
            </w:pPr>
            <w:r>
              <w:t>36</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BEAC</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Taux d’inflation (%) (Prévision)</w:t>
            </w:r>
          </w:p>
        </w:tc>
        <w:tc>
          <w:tcPr>
            <w:tcW w:w="877" w:type="pct"/>
            <w:shd w:val="clear" w:color="9999FF" w:fill="FFFFFF"/>
            <w:noWrap/>
            <w:vAlign w:val="center"/>
          </w:tcPr>
          <w:p w:rsidR="00000000" w:rsidRDefault="00000000">
            <w:pPr>
              <w:spacing w:before="60" w:after="60"/>
              <w:jc w:val="center"/>
            </w:pPr>
            <w:r>
              <w:t>3</w:t>
            </w:r>
          </w:p>
        </w:tc>
        <w:tc>
          <w:tcPr>
            <w:tcW w:w="880" w:type="pct"/>
            <w:shd w:val="clear" w:color="9999FF" w:fill="FFFFFF"/>
            <w:noWrap/>
            <w:vAlign w:val="center"/>
          </w:tcPr>
          <w:p w:rsidR="00000000" w:rsidRDefault="00000000">
            <w:pPr>
              <w:spacing w:before="60" w:after="60"/>
              <w:jc w:val="center"/>
            </w:pPr>
            <w:r>
              <w:t>2005</w:t>
            </w:r>
          </w:p>
        </w:tc>
        <w:tc>
          <w:tcPr>
            <w:tcW w:w="1022" w:type="pct"/>
            <w:shd w:val="clear" w:color="9999FF" w:fill="FFFFFF"/>
            <w:vAlign w:val="center"/>
          </w:tcPr>
          <w:p w:rsidR="00000000" w:rsidRDefault="00000000">
            <w:pPr>
              <w:spacing w:before="60" w:after="60"/>
              <w:jc w:val="center"/>
            </w:pPr>
            <w:r>
              <w:t>BEAC</w:t>
            </w:r>
          </w:p>
        </w:tc>
      </w:tr>
      <w:tr w:rsidR="00000000">
        <w:trPr>
          <w:trHeight w:val="75"/>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Conditions de vie</w:t>
            </w:r>
          </w:p>
        </w:tc>
        <w:tc>
          <w:tcPr>
            <w:tcW w:w="1951" w:type="pct"/>
            <w:shd w:val="clear" w:color="9999FF" w:fill="FFFFFF"/>
            <w:vAlign w:val="center"/>
          </w:tcPr>
          <w:p w:rsidR="00000000" w:rsidRDefault="00000000">
            <w:pPr>
              <w:spacing w:before="60" w:after="60"/>
            </w:pPr>
            <w:r>
              <w:t>Classement IDH</w:t>
            </w:r>
          </w:p>
        </w:tc>
        <w:tc>
          <w:tcPr>
            <w:tcW w:w="877" w:type="pct"/>
            <w:shd w:val="clear" w:color="9999FF" w:fill="FFFFFF"/>
            <w:noWrap/>
            <w:vAlign w:val="center"/>
          </w:tcPr>
          <w:p w:rsidR="00000000" w:rsidRDefault="00000000">
            <w:pPr>
              <w:spacing w:before="60" w:after="60"/>
              <w:jc w:val="center"/>
            </w:pPr>
            <w:r>
              <w:t>173 sur 177</w:t>
            </w:r>
          </w:p>
        </w:tc>
        <w:tc>
          <w:tcPr>
            <w:tcW w:w="880" w:type="pct"/>
            <w:shd w:val="clear" w:color="9999FF" w:fill="FFFFFF"/>
            <w:noWrap/>
            <w:vAlign w:val="center"/>
          </w:tcPr>
          <w:p w:rsidR="00000000" w:rsidRDefault="00000000">
            <w:pPr>
              <w:spacing w:before="60" w:after="60"/>
              <w:jc w:val="center"/>
            </w:pPr>
            <w:r>
              <w:t>2003</w:t>
            </w:r>
          </w:p>
        </w:tc>
        <w:tc>
          <w:tcPr>
            <w:tcW w:w="1022" w:type="pct"/>
            <w:shd w:val="clear" w:color="9999FF" w:fill="FFFFFF"/>
            <w:vAlign w:val="center"/>
          </w:tcPr>
          <w:p w:rsidR="00000000" w:rsidRDefault="00000000">
            <w:pPr>
              <w:spacing w:before="60" w:after="60"/>
              <w:jc w:val="center"/>
            </w:pPr>
            <w:r>
              <w:t>PNUD, RDH 2005</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Population en deçà du seuil de pauvreté monétaire (1 à 2 $ par jour) %</w:t>
            </w:r>
          </w:p>
        </w:tc>
        <w:tc>
          <w:tcPr>
            <w:tcW w:w="877" w:type="pct"/>
            <w:shd w:val="clear" w:color="9999FF" w:fill="C0C0C0"/>
            <w:noWrap/>
            <w:vAlign w:val="center"/>
          </w:tcPr>
          <w:p w:rsidR="00000000" w:rsidRDefault="00000000">
            <w:pPr>
              <w:spacing w:before="60" w:after="60"/>
              <w:jc w:val="center"/>
            </w:pPr>
            <w:r>
              <w:t>64</w:t>
            </w:r>
          </w:p>
        </w:tc>
        <w:tc>
          <w:tcPr>
            <w:tcW w:w="880" w:type="pct"/>
            <w:shd w:val="clear" w:color="9999FF" w:fill="C0C0C0"/>
            <w:noWrap/>
            <w:vAlign w:val="center"/>
          </w:tcPr>
          <w:p w:rsidR="00000000" w:rsidRDefault="00000000">
            <w:pPr>
              <w:spacing w:before="60" w:after="60"/>
              <w:jc w:val="center"/>
            </w:pPr>
            <w:r>
              <w:t>1990-2002</w:t>
            </w:r>
          </w:p>
        </w:tc>
        <w:tc>
          <w:tcPr>
            <w:tcW w:w="1022" w:type="pct"/>
            <w:shd w:val="clear" w:color="9999FF" w:fill="C0C0C0"/>
            <w:vAlign w:val="center"/>
          </w:tcPr>
          <w:p w:rsidR="00000000" w:rsidRDefault="00000000">
            <w:pPr>
              <w:spacing w:before="60" w:after="60"/>
              <w:jc w:val="center"/>
            </w:pPr>
            <w:r>
              <w:t>PNUD, RDH 2005</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population ayant accès à l’eau potable (%)</w:t>
            </w:r>
          </w:p>
        </w:tc>
        <w:tc>
          <w:tcPr>
            <w:tcW w:w="877" w:type="pct"/>
            <w:shd w:val="clear" w:color="9999FF" w:fill="FFFFFF"/>
            <w:noWrap/>
            <w:vAlign w:val="center"/>
          </w:tcPr>
          <w:p w:rsidR="00000000" w:rsidRDefault="00000000">
            <w:pPr>
              <w:spacing w:before="60" w:after="60"/>
              <w:jc w:val="center"/>
              <w:rPr>
                <w:lang w:val="en-GB"/>
              </w:rPr>
            </w:pPr>
            <w:r>
              <w:rPr>
                <w:lang w:val="en-GB"/>
              </w:rPr>
              <w:t>36</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keepNext/>
              <w:spacing w:before="60" w:after="60"/>
              <w:rPr>
                <w:lang w:val="en-GB"/>
              </w:rPr>
            </w:pPr>
            <w:proofErr w:type="spellStart"/>
            <w:r>
              <w:rPr>
                <w:lang w:val="en-GB"/>
              </w:rPr>
              <w:t>Urbain</w:t>
            </w:r>
            <w:proofErr w:type="spellEnd"/>
          </w:p>
        </w:tc>
        <w:tc>
          <w:tcPr>
            <w:tcW w:w="877" w:type="pct"/>
            <w:shd w:val="clear" w:color="9999FF" w:fill="C0C0C0"/>
            <w:noWrap/>
            <w:vAlign w:val="center"/>
          </w:tcPr>
          <w:p w:rsidR="00000000" w:rsidRDefault="00000000">
            <w:pPr>
              <w:spacing w:before="60" w:after="60"/>
              <w:jc w:val="center"/>
              <w:rPr>
                <w:lang w:val="en-GB"/>
              </w:rPr>
            </w:pPr>
            <w:r>
              <w:rPr>
                <w:lang w:val="en-GB"/>
              </w:rPr>
              <w:t>57</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keepNext/>
              <w:spacing w:before="60" w:after="60"/>
              <w:rPr>
                <w:lang w:val="en-GB"/>
              </w:rPr>
            </w:pPr>
            <w:r>
              <w:rPr>
                <w:lang w:val="en-GB"/>
              </w:rPr>
              <w:t>Rural</w:t>
            </w:r>
          </w:p>
        </w:tc>
        <w:tc>
          <w:tcPr>
            <w:tcW w:w="877" w:type="pct"/>
            <w:shd w:val="clear" w:color="9999FF" w:fill="FFFFFF"/>
            <w:noWrap/>
            <w:vAlign w:val="center"/>
          </w:tcPr>
          <w:p w:rsidR="00000000" w:rsidRDefault="00000000">
            <w:pPr>
              <w:spacing w:before="60" w:after="60"/>
              <w:jc w:val="center"/>
            </w:pPr>
            <w:r>
              <w:t>30</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51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Pourcentage de la population disposant de latrines améliorées ou chasse d’eau</w:t>
            </w:r>
          </w:p>
        </w:tc>
        <w:tc>
          <w:tcPr>
            <w:tcW w:w="877" w:type="pct"/>
            <w:shd w:val="clear" w:color="9999FF" w:fill="C0C0C0"/>
            <w:noWrap/>
            <w:vAlign w:val="center"/>
          </w:tcPr>
          <w:p w:rsidR="00000000" w:rsidRDefault="00000000">
            <w:pPr>
              <w:spacing w:before="60" w:after="60"/>
              <w:jc w:val="center"/>
              <w:rPr>
                <w:lang w:val="en-GB"/>
              </w:rPr>
            </w:pPr>
            <w:r>
              <w:rPr>
                <w:lang w:val="en-GB"/>
              </w:rPr>
              <w:t>4</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proofErr w:type="spellStart"/>
            <w:r>
              <w:rPr>
                <w:lang w:val="en-GB"/>
              </w:rPr>
              <w:t>Urbain</w:t>
            </w:r>
            <w:proofErr w:type="spellEnd"/>
          </w:p>
        </w:tc>
        <w:tc>
          <w:tcPr>
            <w:tcW w:w="877" w:type="pct"/>
            <w:shd w:val="clear" w:color="9999FF" w:fill="FFFFFF"/>
            <w:noWrap/>
            <w:vAlign w:val="center"/>
          </w:tcPr>
          <w:p w:rsidR="00000000" w:rsidRDefault="00000000">
            <w:pPr>
              <w:spacing w:before="60" w:after="60"/>
              <w:jc w:val="center"/>
              <w:rPr>
                <w:lang w:val="en-GB"/>
              </w:rPr>
            </w:pPr>
            <w:r>
              <w:rPr>
                <w:lang w:val="en-GB"/>
              </w:rPr>
              <w:t>17</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spacing w:before="60" w:after="60"/>
              <w:rPr>
                <w:lang w:val="en-GB"/>
              </w:rPr>
            </w:pPr>
            <w:r>
              <w:rPr>
                <w:lang w:val="en-GB"/>
              </w:rPr>
              <w:t>Rural</w:t>
            </w:r>
          </w:p>
        </w:tc>
        <w:tc>
          <w:tcPr>
            <w:tcW w:w="877" w:type="pct"/>
            <w:shd w:val="clear" w:color="9999FF" w:fill="C0C0C0"/>
            <w:noWrap/>
            <w:vAlign w:val="center"/>
          </w:tcPr>
          <w:p w:rsidR="00000000" w:rsidRDefault="00000000">
            <w:pPr>
              <w:spacing w:before="60" w:after="60"/>
              <w:jc w:val="center"/>
            </w:pPr>
            <w:r>
              <w:t>1</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trHeight w:val="90"/>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Mortalité - fécondité</w:t>
            </w:r>
          </w:p>
        </w:tc>
        <w:tc>
          <w:tcPr>
            <w:tcW w:w="1951" w:type="pct"/>
            <w:shd w:val="clear" w:color="9999FF" w:fill="FFFFFF"/>
            <w:vAlign w:val="center"/>
          </w:tcPr>
          <w:p w:rsidR="00000000" w:rsidRDefault="00000000">
            <w:pPr>
              <w:spacing w:before="60" w:after="60"/>
            </w:pPr>
            <w:r>
              <w:t>Taux de mortalité infantile (pour mille)</w:t>
            </w:r>
          </w:p>
        </w:tc>
        <w:tc>
          <w:tcPr>
            <w:tcW w:w="877" w:type="pct"/>
            <w:shd w:val="clear" w:color="9999FF" w:fill="FFFFFF"/>
            <w:vAlign w:val="center"/>
          </w:tcPr>
          <w:p w:rsidR="00000000" w:rsidRDefault="00000000">
            <w:pPr>
              <w:spacing w:before="60" w:after="60"/>
              <w:jc w:val="center"/>
              <w:rPr>
                <w:lang w:val="en-GB"/>
              </w:rPr>
            </w:pPr>
            <w:r>
              <w:rPr>
                <w:lang w:val="en-GB"/>
              </w:rPr>
              <w:t>102</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spacing w:before="60" w:after="60"/>
              <w:rPr>
                <w:lang w:val="en-GB"/>
              </w:rPr>
            </w:pPr>
            <w:proofErr w:type="spellStart"/>
            <w:r>
              <w:rPr>
                <w:lang w:val="en-GB"/>
              </w:rPr>
              <w:t>Urbain</w:t>
            </w:r>
            <w:proofErr w:type="spellEnd"/>
          </w:p>
        </w:tc>
        <w:tc>
          <w:tcPr>
            <w:tcW w:w="877" w:type="pct"/>
            <w:shd w:val="clear" w:color="9999FF" w:fill="C0C0C0"/>
            <w:noWrap/>
            <w:vAlign w:val="center"/>
          </w:tcPr>
          <w:p w:rsidR="00000000" w:rsidRDefault="00000000">
            <w:pPr>
              <w:spacing w:before="60" w:after="60"/>
              <w:jc w:val="center"/>
              <w:rPr>
                <w:lang w:val="en-GB"/>
              </w:rPr>
            </w:pPr>
            <w:r>
              <w:rPr>
                <w:lang w:val="en-GB"/>
              </w:rPr>
              <w:t>94</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r>
              <w:rPr>
                <w:lang w:val="en-GB"/>
              </w:rPr>
              <w:t>Rural</w:t>
            </w:r>
          </w:p>
        </w:tc>
        <w:tc>
          <w:tcPr>
            <w:tcW w:w="877" w:type="pct"/>
            <w:shd w:val="clear" w:color="9999FF" w:fill="FFFFFF"/>
            <w:noWrap/>
            <w:vAlign w:val="center"/>
          </w:tcPr>
          <w:p w:rsidR="00000000" w:rsidRDefault="00000000">
            <w:pPr>
              <w:spacing w:before="60" w:after="60"/>
              <w:jc w:val="center"/>
            </w:pPr>
            <w:r>
              <w:t>120</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xml:space="preserve">Taux de mortalité </w:t>
            </w:r>
            <w:proofErr w:type="spellStart"/>
            <w:r>
              <w:t>infanto-juvenile</w:t>
            </w:r>
            <w:proofErr w:type="spellEnd"/>
            <w:r>
              <w:t xml:space="preserve"> (pour mille)</w:t>
            </w:r>
          </w:p>
        </w:tc>
        <w:tc>
          <w:tcPr>
            <w:tcW w:w="877" w:type="pct"/>
            <w:shd w:val="clear" w:color="9999FF" w:fill="C0C0C0"/>
            <w:noWrap/>
            <w:vAlign w:val="center"/>
          </w:tcPr>
          <w:p w:rsidR="00000000" w:rsidRDefault="00000000">
            <w:pPr>
              <w:spacing w:before="60" w:after="60"/>
              <w:jc w:val="center"/>
              <w:rPr>
                <w:lang w:val="en-GB"/>
              </w:rPr>
            </w:pPr>
            <w:r>
              <w:rPr>
                <w:lang w:val="en-GB"/>
              </w:rPr>
              <w:t>191</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proofErr w:type="spellStart"/>
            <w:r>
              <w:rPr>
                <w:lang w:val="en-GB"/>
              </w:rPr>
              <w:t>Urbain</w:t>
            </w:r>
            <w:proofErr w:type="spellEnd"/>
          </w:p>
        </w:tc>
        <w:tc>
          <w:tcPr>
            <w:tcW w:w="877" w:type="pct"/>
            <w:shd w:val="clear" w:color="9999FF" w:fill="FFFFFF"/>
            <w:noWrap/>
            <w:vAlign w:val="center"/>
          </w:tcPr>
          <w:p w:rsidR="00000000" w:rsidRDefault="00000000">
            <w:pPr>
              <w:spacing w:before="60" w:after="60"/>
              <w:jc w:val="center"/>
              <w:rPr>
                <w:lang w:val="en-GB"/>
              </w:rPr>
            </w:pPr>
            <w:r>
              <w:rPr>
                <w:lang w:val="en-GB"/>
              </w:rPr>
              <w:t>179</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spacing w:before="60" w:after="60"/>
              <w:rPr>
                <w:lang w:val="en-GB"/>
              </w:rPr>
            </w:pPr>
            <w:r>
              <w:rPr>
                <w:lang w:val="en-GB"/>
              </w:rPr>
              <w:t>Rural</w:t>
            </w:r>
          </w:p>
        </w:tc>
        <w:tc>
          <w:tcPr>
            <w:tcW w:w="877" w:type="pct"/>
            <w:shd w:val="clear" w:color="9999FF" w:fill="C0C0C0"/>
            <w:noWrap/>
            <w:vAlign w:val="center"/>
          </w:tcPr>
          <w:p w:rsidR="00000000" w:rsidRDefault="00000000">
            <w:pPr>
              <w:spacing w:before="60" w:after="60"/>
              <w:jc w:val="center"/>
            </w:pPr>
            <w:r>
              <w:t>208</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Indicateurs</w:t>
            </w:r>
          </w:p>
        </w:tc>
        <w:tc>
          <w:tcPr>
            <w:tcW w:w="877" w:type="pct"/>
            <w:shd w:val="clear" w:color="9999FF" w:fill="FFFFFF"/>
            <w:noWrap/>
            <w:vAlign w:val="center"/>
          </w:tcPr>
          <w:p w:rsidR="00000000" w:rsidRDefault="00000000">
            <w:pPr>
              <w:spacing w:before="60" w:after="60"/>
              <w:jc w:val="center"/>
            </w:pPr>
            <w:r>
              <w:t>Valeur</w:t>
            </w:r>
          </w:p>
        </w:tc>
        <w:tc>
          <w:tcPr>
            <w:tcW w:w="880" w:type="pct"/>
            <w:shd w:val="clear" w:color="9999FF" w:fill="FFFFFF"/>
            <w:noWrap/>
            <w:vAlign w:val="center"/>
          </w:tcPr>
          <w:p w:rsidR="00000000" w:rsidRDefault="00000000">
            <w:pPr>
              <w:spacing w:before="60" w:after="60"/>
              <w:jc w:val="center"/>
            </w:pPr>
            <w:r>
              <w:t>Année</w:t>
            </w:r>
          </w:p>
        </w:tc>
        <w:tc>
          <w:tcPr>
            <w:tcW w:w="1022" w:type="pct"/>
            <w:shd w:val="clear" w:color="9999FF" w:fill="FFFFFF"/>
            <w:vAlign w:val="center"/>
          </w:tcPr>
          <w:p w:rsidR="00000000" w:rsidRDefault="00000000">
            <w:pPr>
              <w:spacing w:before="60" w:after="60"/>
              <w:jc w:val="center"/>
            </w:pPr>
            <w:r>
              <w:t>Sources</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Taux de mortalité juvénile (pour mille)</w:t>
            </w:r>
          </w:p>
        </w:tc>
        <w:tc>
          <w:tcPr>
            <w:tcW w:w="877" w:type="pct"/>
            <w:shd w:val="clear" w:color="9999FF" w:fill="FFFFFF"/>
            <w:noWrap/>
            <w:vAlign w:val="center"/>
          </w:tcPr>
          <w:p w:rsidR="00000000" w:rsidRDefault="00000000">
            <w:pPr>
              <w:spacing w:before="60" w:after="60"/>
              <w:jc w:val="center"/>
              <w:rPr>
                <w:lang w:val="en-GB"/>
              </w:rPr>
            </w:pPr>
            <w:r>
              <w:rPr>
                <w:lang w:val="en-GB"/>
              </w:rPr>
              <w:t>99</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spacing w:before="60" w:after="60"/>
              <w:rPr>
                <w:lang w:val="en-GB"/>
              </w:rPr>
            </w:pPr>
            <w:proofErr w:type="spellStart"/>
            <w:r>
              <w:rPr>
                <w:lang w:val="en-GB"/>
              </w:rPr>
              <w:t>Urbain</w:t>
            </w:r>
            <w:proofErr w:type="spellEnd"/>
          </w:p>
        </w:tc>
        <w:tc>
          <w:tcPr>
            <w:tcW w:w="877" w:type="pct"/>
            <w:shd w:val="clear" w:color="9999FF" w:fill="C0C0C0"/>
            <w:noWrap/>
            <w:vAlign w:val="center"/>
          </w:tcPr>
          <w:p w:rsidR="00000000" w:rsidRDefault="00000000">
            <w:pPr>
              <w:spacing w:before="60" w:after="60"/>
              <w:jc w:val="center"/>
              <w:rPr>
                <w:lang w:val="en-GB"/>
              </w:rPr>
            </w:pPr>
            <w:r>
              <w:rPr>
                <w:lang w:val="en-GB"/>
              </w:rPr>
              <w:t>94</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r>
              <w:rPr>
                <w:lang w:val="en-GB"/>
              </w:rPr>
              <w:t xml:space="preserve"> Rural</w:t>
            </w:r>
          </w:p>
        </w:tc>
        <w:tc>
          <w:tcPr>
            <w:tcW w:w="877" w:type="pct"/>
            <w:shd w:val="clear" w:color="9999FF" w:fill="FFFFFF"/>
            <w:noWrap/>
            <w:vAlign w:val="center"/>
          </w:tcPr>
          <w:p w:rsidR="00000000" w:rsidRDefault="00000000">
            <w:pPr>
              <w:spacing w:before="60" w:after="60"/>
              <w:jc w:val="center"/>
            </w:pPr>
            <w:r>
              <w:t>100</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de mortalité maternelle (pour 100 000 naissances)</w:t>
            </w:r>
          </w:p>
        </w:tc>
        <w:tc>
          <w:tcPr>
            <w:tcW w:w="877" w:type="pct"/>
            <w:shd w:val="clear" w:color="9999FF" w:fill="C0C0C0"/>
            <w:noWrap/>
            <w:vAlign w:val="center"/>
          </w:tcPr>
          <w:p w:rsidR="00000000" w:rsidRDefault="00000000">
            <w:pPr>
              <w:spacing w:before="60" w:after="60"/>
              <w:jc w:val="center"/>
            </w:pPr>
            <w:r>
              <w:t>1099</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Espérance de vie (ans)</w:t>
            </w:r>
          </w:p>
        </w:tc>
        <w:tc>
          <w:tcPr>
            <w:tcW w:w="877" w:type="pct"/>
            <w:shd w:val="clear" w:color="9999FF" w:fill="FFFFFF"/>
            <w:noWrap/>
            <w:vAlign w:val="center"/>
          </w:tcPr>
          <w:p w:rsidR="00000000" w:rsidRDefault="00000000">
            <w:pPr>
              <w:spacing w:before="60" w:after="60"/>
              <w:jc w:val="center"/>
            </w:pPr>
            <w:r>
              <w:t>50</w:t>
            </w:r>
          </w:p>
        </w:tc>
        <w:tc>
          <w:tcPr>
            <w:tcW w:w="880" w:type="pct"/>
            <w:shd w:val="clear" w:color="9999FF" w:fill="FFFFFF"/>
            <w:noWrap/>
            <w:vAlign w:val="center"/>
          </w:tcPr>
          <w:p w:rsidR="00000000" w:rsidRDefault="00000000">
            <w:pPr>
              <w:spacing w:before="60" w:after="60"/>
              <w:jc w:val="center"/>
            </w:pPr>
            <w:r>
              <w:t>1993</w:t>
            </w:r>
          </w:p>
        </w:tc>
        <w:tc>
          <w:tcPr>
            <w:tcW w:w="1022" w:type="pct"/>
            <w:shd w:val="clear" w:color="9999FF" w:fill="FFFFFF"/>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Hommes</w:t>
            </w:r>
          </w:p>
        </w:tc>
        <w:tc>
          <w:tcPr>
            <w:tcW w:w="877" w:type="pct"/>
            <w:shd w:val="clear" w:color="9999FF" w:fill="C0C0C0"/>
            <w:noWrap/>
            <w:vAlign w:val="center"/>
          </w:tcPr>
          <w:p w:rsidR="00000000" w:rsidRDefault="00000000">
            <w:pPr>
              <w:spacing w:before="60" w:after="60"/>
              <w:jc w:val="center"/>
            </w:pPr>
            <w:r>
              <w:t>47</w:t>
            </w:r>
          </w:p>
        </w:tc>
        <w:tc>
          <w:tcPr>
            <w:tcW w:w="880" w:type="pct"/>
            <w:shd w:val="clear" w:color="9999FF" w:fill="C0C0C0"/>
            <w:noWrap/>
            <w:vAlign w:val="center"/>
          </w:tcPr>
          <w:p w:rsidR="00000000" w:rsidRDefault="00000000">
            <w:pPr>
              <w:spacing w:before="60" w:after="60"/>
              <w:jc w:val="center"/>
            </w:pPr>
            <w:r>
              <w:t>1993</w:t>
            </w:r>
          </w:p>
        </w:tc>
        <w:tc>
          <w:tcPr>
            <w:tcW w:w="1022" w:type="pct"/>
            <w:shd w:val="clear" w:color="9999FF" w:fill="C0C0C0"/>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Femmes</w:t>
            </w:r>
          </w:p>
        </w:tc>
        <w:tc>
          <w:tcPr>
            <w:tcW w:w="877" w:type="pct"/>
            <w:shd w:val="clear" w:color="9999FF" w:fill="FFFFFF"/>
            <w:noWrap/>
            <w:vAlign w:val="center"/>
          </w:tcPr>
          <w:p w:rsidR="00000000" w:rsidRDefault="00000000">
            <w:pPr>
              <w:spacing w:before="60" w:after="60"/>
              <w:jc w:val="center"/>
            </w:pPr>
            <w:r>
              <w:t>54.5</w:t>
            </w:r>
          </w:p>
        </w:tc>
        <w:tc>
          <w:tcPr>
            <w:tcW w:w="880" w:type="pct"/>
            <w:shd w:val="clear" w:color="9999FF" w:fill="FFFFFF"/>
            <w:noWrap/>
            <w:vAlign w:val="center"/>
          </w:tcPr>
          <w:p w:rsidR="00000000" w:rsidRDefault="00000000">
            <w:pPr>
              <w:spacing w:before="60" w:after="60"/>
              <w:jc w:val="center"/>
            </w:pPr>
            <w:r>
              <w:t>1993</w:t>
            </w:r>
          </w:p>
        </w:tc>
        <w:tc>
          <w:tcPr>
            <w:tcW w:w="1022" w:type="pct"/>
            <w:shd w:val="clear" w:color="9999FF" w:fill="FFFFFF"/>
            <w:vAlign w:val="center"/>
          </w:tcPr>
          <w:p w:rsidR="00000000" w:rsidRDefault="00000000">
            <w:pPr>
              <w:spacing w:before="60" w:after="60"/>
              <w:jc w:val="center"/>
            </w:pPr>
            <w:r>
              <w:t>RGPH</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Indice synthétique de fécondité (nombre moyen d’enfants)</w:t>
            </w:r>
          </w:p>
        </w:tc>
        <w:tc>
          <w:tcPr>
            <w:tcW w:w="877" w:type="pct"/>
            <w:shd w:val="clear" w:color="9999FF" w:fill="C0C0C0"/>
            <w:noWrap/>
            <w:vAlign w:val="center"/>
          </w:tcPr>
          <w:p w:rsidR="00000000" w:rsidRDefault="00000000">
            <w:pPr>
              <w:spacing w:before="60" w:after="60"/>
              <w:jc w:val="center"/>
            </w:pPr>
            <w:r>
              <w:t>6.3</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trHeight w:val="75"/>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Santé et Nutrition</w:t>
            </w:r>
          </w:p>
        </w:tc>
        <w:tc>
          <w:tcPr>
            <w:tcW w:w="1951" w:type="pct"/>
            <w:shd w:val="clear" w:color="9999FF" w:fill="FFFFFF"/>
            <w:vAlign w:val="center"/>
          </w:tcPr>
          <w:p w:rsidR="00000000" w:rsidRDefault="00000000">
            <w:pPr>
              <w:spacing w:before="60" w:after="60"/>
            </w:pPr>
            <w:r>
              <w:t xml:space="preserve">Enfants de moins de 5 ans présentant une insuffisance pondérale. </w:t>
            </w:r>
          </w:p>
        </w:tc>
        <w:tc>
          <w:tcPr>
            <w:tcW w:w="877" w:type="pct"/>
            <w:shd w:val="clear" w:color="9999FF" w:fill="FFFFFF"/>
            <w:noWrap/>
            <w:vAlign w:val="center"/>
          </w:tcPr>
          <w:p w:rsidR="00000000" w:rsidRDefault="00000000">
            <w:pPr>
              <w:spacing w:before="60" w:after="60"/>
              <w:jc w:val="center"/>
            </w:pPr>
            <w:r>
              <w:t>37</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xml:space="preserve">Enfants souffrant de retard de croissance </w:t>
            </w:r>
          </w:p>
        </w:tc>
        <w:tc>
          <w:tcPr>
            <w:tcW w:w="877" w:type="pct"/>
            <w:shd w:val="clear" w:color="9999FF" w:fill="C0C0C0"/>
            <w:noWrap/>
            <w:vAlign w:val="center"/>
          </w:tcPr>
          <w:p w:rsidR="00000000" w:rsidRDefault="00000000">
            <w:pPr>
              <w:spacing w:before="60" w:after="60"/>
              <w:jc w:val="center"/>
            </w:pPr>
            <w:r>
              <w:t>41</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Enfants de moins de 5 ans souffrant d’émaciation</w:t>
            </w:r>
          </w:p>
        </w:tc>
        <w:tc>
          <w:tcPr>
            <w:tcW w:w="877" w:type="pct"/>
            <w:shd w:val="clear" w:color="9999FF" w:fill="FFFFFF"/>
            <w:noWrap/>
            <w:vAlign w:val="center"/>
          </w:tcPr>
          <w:p w:rsidR="00000000" w:rsidRDefault="00000000">
            <w:pPr>
              <w:spacing w:before="60" w:after="60"/>
              <w:jc w:val="center"/>
            </w:pPr>
            <w:r>
              <w:t>14</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Enfant de 6-59 mois ayant reçu un supplément en Vit A</w:t>
            </w:r>
          </w:p>
        </w:tc>
        <w:tc>
          <w:tcPr>
            <w:tcW w:w="877" w:type="pct"/>
            <w:shd w:val="clear" w:color="9999FF" w:fill="C0C0C0"/>
            <w:noWrap/>
            <w:vAlign w:val="center"/>
          </w:tcPr>
          <w:p w:rsidR="00000000" w:rsidRDefault="00000000">
            <w:pPr>
              <w:spacing w:before="60" w:after="60"/>
              <w:jc w:val="center"/>
            </w:pPr>
            <w:r>
              <w:t>32</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Enfants de 12-23 mois vaccinés contre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282"/>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rPr>
                <w:lang w:val="nl-NL"/>
              </w:rPr>
            </w:pPr>
            <w:r>
              <w:rPr>
                <w:lang w:val="nl-NL"/>
              </w:rPr>
              <w:t>BCG</w:t>
            </w:r>
          </w:p>
        </w:tc>
        <w:tc>
          <w:tcPr>
            <w:tcW w:w="877" w:type="pct"/>
            <w:shd w:val="clear" w:color="9999FF" w:fill="C0C0C0"/>
            <w:noWrap/>
            <w:vAlign w:val="center"/>
          </w:tcPr>
          <w:p w:rsidR="00000000" w:rsidRDefault="00000000">
            <w:pPr>
              <w:spacing w:before="60" w:after="60"/>
              <w:jc w:val="center"/>
              <w:rPr>
                <w:lang w:val="nl-NL"/>
              </w:rPr>
            </w:pPr>
            <w:r>
              <w:rPr>
                <w:lang w:val="nl-NL"/>
              </w:rPr>
              <w:t>40</w:t>
            </w:r>
          </w:p>
        </w:tc>
        <w:tc>
          <w:tcPr>
            <w:tcW w:w="880" w:type="pct"/>
            <w:shd w:val="clear" w:color="9999FF" w:fill="C0C0C0"/>
            <w:noWrap/>
            <w:vAlign w:val="center"/>
          </w:tcPr>
          <w:p w:rsidR="00000000" w:rsidRDefault="00000000">
            <w:pPr>
              <w:spacing w:before="60" w:after="60"/>
              <w:jc w:val="center"/>
              <w:rPr>
                <w:lang w:val="nl-NL"/>
              </w:rPr>
            </w:pPr>
            <w:r>
              <w:rPr>
                <w:lang w:val="nl-NL"/>
              </w:rPr>
              <w:t>2004</w:t>
            </w:r>
          </w:p>
        </w:tc>
        <w:tc>
          <w:tcPr>
            <w:tcW w:w="1022" w:type="pct"/>
            <w:shd w:val="clear" w:color="9999FF" w:fill="C0C0C0"/>
            <w:vAlign w:val="center"/>
          </w:tcPr>
          <w:p w:rsidR="00000000" w:rsidRDefault="00000000">
            <w:pPr>
              <w:spacing w:before="60" w:after="60"/>
              <w:jc w:val="center"/>
              <w:rPr>
                <w:lang w:val="nl-NL"/>
              </w:rPr>
            </w:pPr>
            <w:r>
              <w:rPr>
                <w:lang w:val="nl-NL"/>
              </w:rPr>
              <w:t>EDST 2004</w:t>
            </w:r>
          </w:p>
        </w:tc>
      </w:tr>
      <w:tr w:rsidR="00000000">
        <w:trPr>
          <w:cantSplit/>
          <w:trHeight w:val="282"/>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DTCoq</w:t>
            </w:r>
            <w:proofErr w:type="spellEnd"/>
          </w:p>
        </w:tc>
        <w:tc>
          <w:tcPr>
            <w:tcW w:w="877" w:type="pct"/>
            <w:shd w:val="clear" w:color="9999FF" w:fill="FFFFFF"/>
            <w:noWrap/>
            <w:vAlign w:val="center"/>
          </w:tcPr>
          <w:p w:rsidR="00000000" w:rsidRDefault="00000000">
            <w:pPr>
              <w:spacing w:before="60" w:after="60"/>
              <w:jc w:val="center"/>
              <w:rPr>
                <w:lang w:val="en-GB"/>
              </w:rPr>
            </w:pPr>
            <w:r>
              <w:rPr>
                <w:lang w:val="en-GB"/>
              </w:rPr>
              <w:t>20</w:t>
            </w:r>
          </w:p>
        </w:tc>
        <w:tc>
          <w:tcPr>
            <w:tcW w:w="880" w:type="pct"/>
            <w:shd w:val="clear" w:color="9999FF" w:fill="FFFFFF"/>
            <w:noWrap/>
            <w:vAlign w:val="center"/>
          </w:tcPr>
          <w:p w:rsidR="00000000" w:rsidRDefault="00000000">
            <w:pPr>
              <w:spacing w:before="60" w:after="60"/>
              <w:jc w:val="center"/>
              <w:rPr>
                <w:lang w:val="en-GB"/>
              </w:rPr>
            </w:pPr>
            <w:r>
              <w:rPr>
                <w:lang w:val="en-GB"/>
              </w:rPr>
              <w:t>2004</w:t>
            </w:r>
          </w:p>
        </w:tc>
        <w:tc>
          <w:tcPr>
            <w:tcW w:w="1022" w:type="pct"/>
            <w:shd w:val="clear" w:color="9999FF" w:fill="FFFFFF"/>
            <w:vAlign w:val="center"/>
          </w:tcPr>
          <w:p w:rsidR="00000000" w:rsidRDefault="00000000">
            <w:pPr>
              <w:spacing w:before="60" w:after="60"/>
              <w:jc w:val="center"/>
              <w:rPr>
                <w:lang w:val="en-GB"/>
              </w:rPr>
            </w:pPr>
            <w:r>
              <w:rPr>
                <w:lang w:val="en-GB"/>
              </w:rPr>
              <w:t>EDST 2004</w:t>
            </w:r>
          </w:p>
        </w:tc>
      </w:tr>
      <w:tr w:rsidR="00000000">
        <w:trPr>
          <w:cantSplit/>
          <w:trHeight w:val="282"/>
        </w:trPr>
        <w:tc>
          <w:tcPr>
            <w:tcW w:w="270" w:type="pct"/>
            <w:vMerge/>
            <w:vAlign w:val="center"/>
          </w:tcPr>
          <w:p w:rsidR="00000000" w:rsidRDefault="00000000">
            <w:pPr>
              <w:spacing w:before="60" w:after="60"/>
              <w:rPr>
                <w:lang w:val="en-GB"/>
              </w:rPr>
            </w:pPr>
          </w:p>
        </w:tc>
        <w:tc>
          <w:tcPr>
            <w:tcW w:w="1951" w:type="pct"/>
            <w:shd w:val="clear" w:color="9999FF" w:fill="C0C0C0"/>
            <w:vAlign w:val="center"/>
          </w:tcPr>
          <w:p w:rsidR="00000000" w:rsidRDefault="00000000">
            <w:pPr>
              <w:spacing w:before="60" w:after="60"/>
              <w:rPr>
                <w:lang w:val="en-GB"/>
              </w:rPr>
            </w:pPr>
            <w:r>
              <w:rPr>
                <w:lang w:val="en-GB"/>
              </w:rPr>
              <w:t>Polio</w:t>
            </w:r>
          </w:p>
        </w:tc>
        <w:tc>
          <w:tcPr>
            <w:tcW w:w="877" w:type="pct"/>
            <w:shd w:val="clear" w:color="9999FF" w:fill="C0C0C0"/>
            <w:noWrap/>
            <w:vAlign w:val="center"/>
          </w:tcPr>
          <w:p w:rsidR="00000000" w:rsidRDefault="00000000">
            <w:pPr>
              <w:spacing w:before="60" w:after="60"/>
              <w:jc w:val="center"/>
              <w:rPr>
                <w:lang w:val="en-GB"/>
              </w:rPr>
            </w:pPr>
            <w:r>
              <w:rPr>
                <w:lang w:val="en-GB"/>
              </w:rPr>
              <w:t>36</w:t>
            </w:r>
          </w:p>
        </w:tc>
        <w:tc>
          <w:tcPr>
            <w:tcW w:w="880" w:type="pct"/>
            <w:shd w:val="clear" w:color="9999FF" w:fill="C0C0C0"/>
            <w:noWrap/>
            <w:vAlign w:val="center"/>
          </w:tcPr>
          <w:p w:rsidR="00000000" w:rsidRDefault="00000000">
            <w:pPr>
              <w:spacing w:before="60" w:after="60"/>
              <w:jc w:val="center"/>
              <w:rPr>
                <w:lang w:val="en-GB"/>
              </w:rPr>
            </w:pPr>
            <w:r>
              <w:rPr>
                <w:lang w:val="en-GB"/>
              </w:rPr>
              <w:t>2004</w:t>
            </w:r>
          </w:p>
        </w:tc>
        <w:tc>
          <w:tcPr>
            <w:tcW w:w="1022" w:type="pct"/>
            <w:shd w:val="clear" w:color="9999FF" w:fill="C0C0C0"/>
            <w:vAlign w:val="center"/>
          </w:tcPr>
          <w:p w:rsidR="00000000" w:rsidRDefault="00000000">
            <w:pPr>
              <w:spacing w:before="60" w:after="60"/>
              <w:jc w:val="center"/>
              <w:rPr>
                <w:lang w:val="en-GB"/>
              </w:rPr>
            </w:pPr>
            <w:r>
              <w:rPr>
                <w:lang w:val="en-GB"/>
              </w:rPr>
              <w:t>EDST 2004</w:t>
            </w:r>
          </w:p>
        </w:tc>
      </w:tr>
      <w:tr w:rsidR="00000000">
        <w:trPr>
          <w:cantSplit/>
          <w:trHeight w:val="282"/>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proofErr w:type="spellStart"/>
            <w:r>
              <w:rPr>
                <w:lang w:val="en-GB"/>
              </w:rPr>
              <w:t>Rougeole</w:t>
            </w:r>
            <w:proofErr w:type="spellEnd"/>
          </w:p>
        </w:tc>
        <w:tc>
          <w:tcPr>
            <w:tcW w:w="877" w:type="pct"/>
            <w:shd w:val="clear" w:color="9999FF" w:fill="FFFFFF"/>
            <w:noWrap/>
            <w:vAlign w:val="center"/>
          </w:tcPr>
          <w:p w:rsidR="00000000" w:rsidRDefault="00000000">
            <w:pPr>
              <w:spacing w:before="60" w:after="60"/>
              <w:jc w:val="center"/>
            </w:pPr>
            <w:r>
              <w:t>23</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Femmes ayant reçu 2 doses ou plus de vaccin anti-tétanique</w:t>
            </w:r>
          </w:p>
        </w:tc>
        <w:tc>
          <w:tcPr>
            <w:tcW w:w="877" w:type="pct"/>
            <w:shd w:val="clear" w:color="9999FF" w:fill="C0C0C0"/>
            <w:noWrap/>
            <w:vAlign w:val="center"/>
          </w:tcPr>
          <w:p w:rsidR="00000000" w:rsidRDefault="00000000">
            <w:pPr>
              <w:spacing w:before="60" w:after="60"/>
              <w:jc w:val="center"/>
            </w:pPr>
            <w:r>
              <w:t>29</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 xml:space="preserve">Proportion d’accouchements assistés par du personnel de santé qualifié </w:t>
            </w:r>
          </w:p>
        </w:tc>
        <w:tc>
          <w:tcPr>
            <w:tcW w:w="877" w:type="pct"/>
            <w:shd w:val="clear" w:color="9999FF" w:fill="FFFFFF"/>
            <w:noWrap/>
            <w:vAlign w:val="center"/>
          </w:tcPr>
          <w:p w:rsidR="00000000" w:rsidRDefault="00000000">
            <w:pPr>
              <w:spacing w:before="60" w:after="60"/>
              <w:jc w:val="center"/>
            </w:pPr>
            <w:r>
              <w:t>43</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d’allaitement exclusif (enfants de moins de 6 mois) %</w:t>
            </w:r>
          </w:p>
        </w:tc>
        <w:tc>
          <w:tcPr>
            <w:tcW w:w="877" w:type="pct"/>
            <w:shd w:val="clear" w:color="9999FF" w:fill="C0C0C0"/>
            <w:noWrap/>
            <w:vAlign w:val="center"/>
          </w:tcPr>
          <w:p w:rsidR="00000000" w:rsidRDefault="00000000">
            <w:pPr>
              <w:spacing w:before="60" w:after="60"/>
              <w:jc w:val="center"/>
            </w:pPr>
            <w:r>
              <w:t>2</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Enfant de 6-9 mois recevant une alimentation de complément (%)</w:t>
            </w:r>
          </w:p>
        </w:tc>
        <w:tc>
          <w:tcPr>
            <w:tcW w:w="877" w:type="pct"/>
            <w:shd w:val="clear" w:color="9999FF" w:fill="FFFFFF"/>
            <w:noWrap/>
            <w:vAlign w:val="center"/>
          </w:tcPr>
          <w:p w:rsidR="00000000" w:rsidRDefault="00000000">
            <w:pPr>
              <w:spacing w:before="60" w:after="60"/>
              <w:jc w:val="center"/>
            </w:pPr>
            <w:r>
              <w:t>77</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Ménages qui consomment du sel suffisamment iodé (%)</w:t>
            </w:r>
          </w:p>
        </w:tc>
        <w:tc>
          <w:tcPr>
            <w:tcW w:w="877" w:type="pct"/>
            <w:shd w:val="clear" w:color="9999FF" w:fill="C0C0C0"/>
            <w:noWrap/>
            <w:vAlign w:val="center"/>
          </w:tcPr>
          <w:p w:rsidR="00000000" w:rsidRDefault="00000000">
            <w:pPr>
              <w:spacing w:before="60" w:after="60"/>
              <w:jc w:val="center"/>
            </w:pPr>
            <w:r>
              <w:t>56</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495"/>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Ménages dans les quels les enfants de mois de 5 ans ont dormi sous un moustiquaire</w:t>
            </w:r>
          </w:p>
        </w:tc>
        <w:tc>
          <w:tcPr>
            <w:tcW w:w="877" w:type="pct"/>
            <w:shd w:val="clear" w:color="9999FF" w:fill="FFFFFF"/>
            <w:noWrap/>
            <w:vAlign w:val="center"/>
          </w:tcPr>
          <w:p w:rsidR="00000000" w:rsidRDefault="00000000">
            <w:pPr>
              <w:spacing w:before="60" w:after="60"/>
              <w:jc w:val="center"/>
            </w:pPr>
            <w:r>
              <w:t>56</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trHeight w:val="120"/>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Éducation</w:t>
            </w:r>
          </w:p>
        </w:tc>
        <w:tc>
          <w:tcPr>
            <w:tcW w:w="1951" w:type="pct"/>
            <w:shd w:val="clear" w:color="9999FF" w:fill="C0C0C0"/>
            <w:vAlign w:val="center"/>
          </w:tcPr>
          <w:p w:rsidR="00000000" w:rsidRDefault="00000000">
            <w:pPr>
              <w:spacing w:before="60" w:after="60"/>
            </w:pPr>
            <w:r>
              <w:t>Taux brut de scolarisation (%)</w:t>
            </w:r>
          </w:p>
        </w:tc>
        <w:tc>
          <w:tcPr>
            <w:tcW w:w="877" w:type="pct"/>
            <w:shd w:val="clear" w:color="9999FF" w:fill="C0C0C0"/>
            <w:vAlign w:val="center"/>
          </w:tcPr>
          <w:p w:rsidR="00000000" w:rsidRDefault="00000000">
            <w:pPr>
              <w:spacing w:before="60" w:after="60"/>
              <w:jc w:val="center"/>
              <w:rPr>
                <w:lang w:val="nl-NL"/>
              </w:rPr>
            </w:pPr>
            <w:r>
              <w:rPr>
                <w:lang w:val="nl-NL"/>
              </w:rPr>
              <w:t>88</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C0C0C0"/>
            <w:vAlign w:val="center"/>
          </w:tcPr>
          <w:p w:rsidR="00000000" w:rsidRDefault="00000000">
            <w:pPr>
              <w:spacing w:before="60" w:after="60"/>
              <w:rPr>
                <w:lang w:val="nl-NL"/>
              </w:rPr>
            </w:pPr>
            <w:proofErr w:type="spellStart"/>
            <w:r>
              <w:rPr>
                <w:lang w:val="nl-NL"/>
              </w:rPr>
              <w:t>Garçon</w:t>
            </w:r>
            <w:proofErr w:type="spellEnd"/>
          </w:p>
        </w:tc>
        <w:tc>
          <w:tcPr>
            <w:tcW w:w="877" w:type="pct"/>
            <w:shd w:val="clear" w:color="9999FF" w:fill="C0C0C0"/>
            <w:vAlign w:val="center"/>
          </w:tcPr>
          <w:p w:rsidR="00000000" w:rsidRDefault="00000000">
            <w:pPr>
              <w:spacing w:before="60" w:after="60"/>
              <w:jc w:val="center"/>
              <w:rPr>
                <w:lang w:val="nl-NL"/>
              </w:rPr>
            </w:pPr>
            <w:r>
              <w:rPr>
                <w:lang w:val="nl-NL"/>
              </w:rPr>
              <w:t>106</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Fille</w:t>
            </w:r>
            <w:proofErr w:type="spellEnd"/>
          </w:p>
        </w:tc>
        <w:tc>
          <w:tcPr>
            <w:tcW w:w="877" w:type="pct"/>
            <w:shd w:val="clear" w:color="9999FF" w:fill="FFFFFF"/>
            <w:vAlign w:val="center"/>
          </w:tcPr>
          <w:p w:rsidR="00000000" w:rsidRDefault="00000000">
            <w:pPr>
              <w:spacing w:before="60" w:after="60"/>
              <w:jc w:val="center"/>
            </w:pPr>
            <w:r>
              <w:t>69</w:t>
            </w:r>
          </w:p>
        </w:tc>
        <w:tc>
          <w:tcPr>
            <w:tcW w:w="880" w:type="pct"/>
            <w:shd w:val="clear" w:color="9999FF" w:fill="FFFFFF"/>
            <w:noWrap/>
            <w:vAlign w:val="center"/>
          </w:tcPr>
          <w:p w:rsidR="00000000" w:rsidRDefault="00000000">
            <w:pPr>
              <w:spacing w:before="60" w:after="60"/>
              <w:jc w:val="center"/>
            </w:pPr>
            <w:r>
              <w:t>2003-2004</w:t>
            </w:r>
          </w:p>
        </w:tc>
        <w:tc>
          <w:tcPr>
            <w:tcW w:w="1022" w:type="pct"/>
            <w:shd w:val="clear" w:color="9999FF" w:fill="FFFFFF"/>
            <w:noWrap/>
            <w:vAlign w:val="center"/>
          </w:tcPr>
          <w:p w:rsidR="00000000" w:rsidRDefault="00000000">
            <w:pPr>
              <w:spacing w:before="60" w:after="60"/>
              <w:jc w:val="center"/>
            </w:pPr>
            <w:r>
              <w:t>MEN, DSE 2003-2004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d’admission au CP1 (rentrée 2003)</w:t>
            </w:r>
          </w:p>
        </w:tc>
        <w:tc>
          <w:tcPr>
            <w:tcW w:w="877" w:type="pct"/>
            <w:shd w:val="clear" w:color="9999FF" w:fill="C0C0C0"/>
            <w:vAlign w:val="center"/>
          </w:tcPr>
          <w:p w:rsidR="00000000" w:rsidRDefault="00000000">
            <w:pPr>
              <w:spacing w:before="60" w:after="60"/>
              <w:jc w:val="center"/>
              <w:rPr>
                <w:lang w:val="nl-NL"/>
              </w:rPr>
            </w:pPr>
            <w:r>
              <w:rPr>
                <w:lang w:val="nl-NL"/>
              </w:rPr>
              <w:t>107</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Garçon</w:t>
            </w:r>
            <w:proofErr w:type="spellEnd"/>
          </w:p>
        </w:tc>
        <w:tc>
          <w:tcPr>
            <w:tcW w:w="877" w:type="pct"/>
            <w:shd w:val="clear" w:color="9999FF" w:fill="FFFFFF"/>
            <w:noWrap/>
            <w:vAlign w:val="center"/>
          </w:tcPr>
          <w:p w:rsidR="00000000" w:rsidRDefault="00000000">
            <w:pPr>
              <w:spacing w:before="60" w:after="60"/>
              <w:jc w:val="center"/>
              <w:rPr>
                <w:lang w:val="nl-NL"/>
              </w:rPr>
            </w:pPr>
            <w:r>
              <w:rPr>
                <w:lang w:val="nl-NL"/>
              </w:rPr>
              <w:t>123</w:t>
            </w:r>
          </w:p>
        </w:tc>
        <w:tc>
          <w:tcPr>
            <w:tcW w:w="880" w:type="pct"/>
            <w:shd w:val="clear" w:color="9999FF" w:fill="FFFFFF"/>
            <w:noWrap/>
            <w:vAlign w:val="center"/>
          </w:tcPr>
          <w:p w:rsidR="00000000" w:rsidRDefault="00000000">
            <w:pPr>
              <w:spacing w:before="60" w:after="60"/>
              <w:jc w:val="center"/>
              <w:rPr>
                <w:lang w:val="nl-NL"/>
              </w:rPr>
            </w:pPr>
            <w:r>
              <w:rPr>
                <w:lang w:val="nl-NL"/>
              </w:rPr>
              <w:t>2003-2004</w:t>
            </w:r>
          </w:p>
        </w:tc>
        <w:tc>
          <w:tcPr>
            <w:tcW w:w="1022" w:type="pct"/>
            <w:shd w:val="clear" w:color="9999FF" w:fill="FFFFFF"/>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C0C0C0"/>
            <w:vAlign w:val="center"/>
          </w:tcPr>
          <w:p w:rsidR="00000000" w:rsidRDefault="00000000">
            <w:pPr>
              <w:spacing w:before="60" w:after="60"/>
              <w:rPr>
                <w:lang w:val="nl-NL"/>
              </w:rPr>
            </w:pPr>
            <w:proofErr w:type="spellStart"/>
            <w:r>
              <w:rPr>
                <w:lang w:val="nl-NL"/>
              </w:rPr>
              <w:t>Fille</w:t>
            </w:r>
            <w:proofErr w:type="spellEnd"/>
          </w:p>
        </w:tc>
        <w:tc>
          <w:tcPr>
            <w:tcW w:w="877" w:type="pct"/>
            <w:shd w:val="clear" w:color="9999FF" w:fill="C0C0C0"/>
            <w:vAlign w:val="center"/>
          </w:tcPr>
          <w:p w:rsidR="00000000" w:rsidRDefault="00000000">
            <w:pPr>
              <w:spacing w:before="60" w:after="60"/>
              <w:jc w:val="center"/>
            </w:pPr>
            <w:r>
              <w:t>91</w:t>
            </w:r>
          </w:p>
        </w:tc>
        <w:tc>
          <w:tcPr>
            <w:tcW w:w="880" w:type="pct"/>
            <w:shd w:val="clear" w:color="9999FF" w:fill="C0C0C0"/>
            <w:noWrap/>
            <w:vAlign w:val="center"/>
          </w:tcPr>
          <w:p w:rsidR="00000000" w:rsidRDefault="00000000">
            <w:pPr>
              <w:spacing w:before="60" w:after="60"/>
              <w:jc w:val="center"/>
            </w:pPr>
            <w:r>
              <w:t>2003-2004</w:t>
            </w:r>
          </w:p>
        </w:tc>
        <w:tc>
          <w:tcPr>
            <w:tcW w:w="1022" w:type="pct"/>
            <w:shd w:val="clear" w:color="9999FF" w:fill="C0C0C0"/>
            <w:noWrap/>
            <w:vAlign w:val="center"/>
          </w:tcPr>
          <w:p w:rsidR="00000000" w:rsidRDefault="00000000">
            <w:pPr>
              <w:spacing w:before="60" w:after="60"/>
              <w:jc w:val="center"/>
            </w:pPr>
            <w:r>
              <w:t>MEN, DSE 2003-2004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Taux d’abandon</w:t>
            </w:r>
          </w:p>
        </w:tc>
        <w:tc>
          <w:tcPr>
            <w:tcW w:w="877" w:type="pct"/>
            <w:shd w:val="clear" w:color="9999FF" w:fill="FFFFFF"/>
            <w:vAlign w:val="center"/>
          </w:tcPr>
          <w:p w:rsidR="00000000" w:rsidRDefault="00000000">
            <w:pPr>
              <w:spacing w:before="60" w:after="60"/>
              <w:jc w:val="center"/>
              <w:rPr>
                <w:lang w:val="nl-NL"/>
              </w:rPr>
            </w:pPr>
            <w:r>
              <w:rPr>
                <w:lang w:val="nl-NL"/>
              </w:rPr>
              <w:t>13</w:t>
            </w:r>
          </w:p>
        </w:tc>
        <w:tc>
          <w:tcPr>
            <w:tcW w:w="880" w:type="pct"/>
            <w:shd w:val="clear" w:color="9999FF" w:fill="FFFFFF"/>
            <w:noWrap/>
            <w:vAlign w:val="center"/>
          </w:tcPr>
          <w:p w:rsidR="00000000" w:rsidRDefault="00000000">
            <w:pPr>
              <w:spacing w:before="60" w:after="60"/>
              <w:jc w:val="center"/>
              <w:rPr>
                <w:lang w:val="nl-NL"/>
              </w:rPr>
            </w:pPr>
            <w:r>
              <w:rPr>
                <w:lang w:val="nl-NL"/>
              </w:rPr>
              <w:t>2003-2004</w:t>
            </w:r>
          </w:p>
        </w:tc>
        <w:tc>
          <w:tcPr>
            <w:tcW w:w="1022" w:type="pct"/>
            <w:shd w:val="clear" w:color="9999FF" w:fill="FFFFFF"/>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C0C0C0"/>
            <w:vAlign w:val="center"/>
          </w:tcPr>
          <w:p w:rsidR="00000000" w:rsidRDefault="00000000">
            <w:pPr>
              <w:spacing w:before="60" w:after="60"/>
              <w:rPr>
                <w:lang w:val="nl-NL"/>
              </w:rPr>
            </w:pPr>
            <w:proofErr w:type="spellStart"/>
            <w:r>
              <w:rPr>
                <w:lang w:val="nl-NL"/>
              </w:rPr>
              <w:t>Garçon</w:t>
            </w:r>
            <w:proofErr w:type="spellEnd"/>
          </w:p>
        </w:tc>
        <w:tc>
          <w:tcPr>
            <w:tcW w:w="877" w:type="pct"/>
            <w:shd w:val="clear" w:color="9999FF" w:fill="C0C0C0"/>
            <w:noWrap/>
            <w:vAlign w:val="center"/>
          </w:tcPr>
          <w:p w:rsidR="00000000" w:rsidRDefault="00000000">
            <w:pPr>
              <w:spacing w:before="60" w:after="60"/>
              <w:jc w:val="center"/>
              <w:rPr>
                <w:lang w:val="nl-NL"/>
              </w:rPr>
            </w:pPr>
            <w:r>
              <w:rPr>
                <w:lang w:val="nl-NL"/>
              </w:rPr>
              <w:t>11</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Fille</w:t>
            </w:r>
            <w:proofErr w:type="spellEnd"/>
          </w:p>
        </w:tc>
        <w:tc>
          <w:tcPr>
            <w:tcW w:w="877" w:type="pct"/>
            <w:shd w:val="clear" w:color="9999FF" w:fill="FFFFFF"/>
            <w:noWrap/>
            <w:vAlign w:val="center"/>
          </w:tcPr>
          <w:p w:rsidR="00000000" w:rsidRDefault="00000000">
            <w:pPr>
              <w:spacing w:before="60" w:after="60"/>
              <w:jc w:val="center"/>
            </w:pPr>
            <w:r>
              <w:t>15</w:t>
            </w:r>
          </w:p>
        </w:tc>
        <w:tc>
          <w:tcPr>
            <w:tcW w:w="880" w:type="pct"/>
            <w:shd w:val="clear" w:color="9999FF" w:fill="FFFFFF"/>
            <w:noWrap/>
            <w:vAlign w:val="center"/>
          </w:tcPr>
          <w:p w:rsidR="00000000" w:rsidRDefault="00000000">
            <w:pPr>
              <w:spacing w:before="60" w:after="60"/>
              <w:jc w:val="center"/>
            </w:pPr>
            <w:r>
              <w:t>2003-2004</w:t>
            </w:r>
          </w:p>
        </w:tc>
        <w:tc>
          <w:tcPr>
            <w:tcW w:w="1022" w:type="pct"/>
            <w:shd w:val="clear" w:color="9999FF" w:fill="FFFFFF"/>
            <w:noWrap/>
            <w:vAlign w:val="center"/>
          </w:tcPr>
          <w:p w:rsidR="00000000" w:rsidRDefault="00000000">
            <w:pPr>
              <w:spacing w:before="60" w:after="60"/>
              <w:jc w:val="center"/>
            </w:pPr>
            <w:r>
              <w:t>MEN, DSE 2003-2004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Taux de redoublement</w:t>
            </w:r>
          </w:p>
        </w:tc>
        <w:tc>
          <w:tcPr>
            <w:tcW w:w="877" w:type="pct"/>
            <w:shd w:val="clear" w:color="9999FF" w:fill="C0C0C0"/>
            <w:noWrap/>
            <w:vAlign w:val="center"/>
          </w:tcPr>
          <w:p w:rsidR="00000000" w:rsidRDefault="00000000">
            <w:pPr>
              <w:spacing w:before="60" w:after="60"/>
              <w:jc w:val="center"/>
              <w:rPr>
                <w:lang w:val="nl-NL"/>
              </w:rPr>
            </w:pPr>
            <w:r>
              <w:rPr>
                <w:lang w:val="nl-NL"/>
              </w:rPr>
              <w:t>22</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Garçon</w:t>
            </w:r>
            <w:proofErr w:type="spellEnd"/>
          </w:p>
        </w:tc>
        <w:tc>
          <w:tcPr>
            <w:tcW w:w="877" w:type="pct"/>
            <w:shd w:val="clear" w:color="9999FF" w:fill="FFFFFF"/>
            <w:noWrap/>
            <w:vAlign w:val="center"/>
          </w:tcPr>
          <w:p w:rsidR="00000000" w:rsidRDefault="00000000">
            <w:pPr>
              <w:spacing w:before="60" w:after="60"/>
              <w:jc w:val="center"/>
              <w:rPr>
                <w:lang w:val="nl-NL"/>
              </w:rPr>
            </w:pPr>
            <w:r>
              <w:rPr>
                <w:lang w:val="nl-NL"/>
              </w:rPr>
              <w:t>22</w:t>
            </w:r>
          </w:p>
        </w:tc>
        <w:tc>
          <w:tcPr>
            <w:tcW w:w="880" w:type="pct"/>
            <w:shd w:val="clear" w:color="9999FF" w:fill="FFFFFF"/>
            <w:noWrap/>
            <w:vAlign w:val="center"/>
          </w:tcPr>
          <w:p w:rsidR="00000000" w:rsidRDefault="00000000">
            <w:pPr>
              <w:spacing w:before="60" w:after="60"/>
              <w:jc w:val="center"/>
              <w:rPr>
                <w:lang w:val="nl-NL"/>
              </w:rPr>
            </w:pPr>
            <w:r>
              <w:rPr>
                <w:lang w:val="nl-NL"/>
              </w:rPr>
              <w:t>2003-2004</w:t>
            </w:r>
          </w:p>
        </w:tc>
        <w:tc>
          <w:tcPr>
            <w:tcW w:w="1022" w:type="pct"/>
            <w:shd w:val="clear" w:color="9999FF" w:fill="FFFFFF"/>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C0C0C0"/>
            <w:vAlign w:val="center"/>
          </w:tcPr>
          <w:p w:rsidR="00000000" w:rsidRDefault="00000000">
            <w:pPr>
              <w:spacing w:before="60" w:after="60"/>
              <w:rPr>
                <w:lang w:val="nl-NL"/>
              </w:rPr>
            </w:pPr>
            <w:proofErr w:type="spellStart"/>
            <w:r>
              <w:rPr>
                <w:lang w:val="nl-NL"/>
              </w:rPr>
              <w:t>Fille</w:t>
            </w:r>
            <w:proofErr w:type="spellEnd"/>
          </w:p>
        </w:tc>
        <w:tc>
          <w:tcPr>
            <w:tcW w:w="877" w:type="pct"/>
            <w:shd w:val="clear" w:color="9999FF" w:fill="C0C0C0"/>
            <w:noWrap/>
            <w:vAlign w:val="center"/>
          </w:tcPr>
          <w:p w:rsidR="00000000" w:rsidRDefault="00000000">
            <w:pPr>
              <w:spacing w:before="60" w:after="60"/>
              <w:jc w:val="center"/>
              <w:rPr>
                <w:lang w:val="nl-NL"/>
              </w:rPr>
            </w:pPr>
            <w:r>
              <w:rPr>
                <w:lang w:val="nl-NL"/>
              </w:rPr>
              <w:t>23</w:t>
            </w:r>
          </w:p>
        </w:tc>
        <w:tc>
          <w:tcPr>
            <w:tcW w:w="880" w:type="pct"/>
            <w:shd w:val="clear" w:color="9999FF" w:fill="C0C0C0"/>
            <w:noWrap/>
            <w:vAlign w:val="center"/>
          </w:tcPr>
          <w:p w:rsidR="00000000" w:rsidRDefault="00000000">
            <w:pPr>
              <w:spacing w:before="60" w:after="60"/>
              <w:jc w:val="center"/>
              <w:rPr>
                <w:lang w:val="nl-NL"/>
              </w:rPr>
            </w:pPr>
            <w:r>
              <w:rPr>
                <w:lang w:val="nl-NL"/>
              </w:rPr>
              <w:t>2003-2004</w:t>
            </w:r>
          </w:p>
        </w:tc>
        <w:tc>
          <w:tcPr>
            <w:tcW w:w="1022" w:type="pct"/>
            <w:shd w:val="clear" w:color="9999FF" w:fill="C0C0C0"/>
            <w:noWrap/>
            <w:vAlign w:val="center"/>
          </w:tcPr>
          <w:p w:rsidR="00000000" w:rsidRDefault="00000000">
            <w:pPr>
              <w:spacing w:before="60" w:after="60"/>
              <w:jc w:val="center"/>
              <w:rPr>
                <w:lang w:val="nl-NL"/>
              </w:rPr>
            </w:pPr>
            <w:r>
              <w:rPr>
                <w:lang w:val="nl-NL"/>
              </w:rPr>
              <w:t>MEN, DSE 2003-2004</w:t>
            </w:r>
          </w:p>
        </w:tc>
      </w:tr>
      <w:tr w:rsidR="00000000">
        <w:trPr>
          <w:cantSplit/>
          <w:trHeight w:val="300"/>
        </w:trPr>
        <w:tc>
          <w:tcPr>
            <w:tcW w:w="270" w:type="pct"/>
            <w:vMerge/>
            <w:vAlign w:val="center"/>
          </w:tcPr>
          <w:p w:rsidR="00000000" w:rsidRDefault="00000000">
            <w:pPr>
              <w:spacing w:before="60" w:after="60"/>
              <w:rPr>
                <w:lang w:val="nl-NL"/>
              </w:rPr>
            </w:pPr>
          </w:p>
        </w:tc>
        <w:tc>
          <w:tcPr>
            <w:tcW w:w="1951" w:type="pct"/>
            <w:shd w:val="clear" w:color="9999FF" w:fill="FFFFFF"/>
            <w:vAlign w:val="center"/>
          </w:tcPr>
          <w:p w:rsidR="00000000" w:rsidRDefault="00000000">
            <w:pPr>
              <w:spacing w:before="60" w:after="60"/>
              <w:rPr>
                <w:lang w:val="nl-NL"/>
              </w:rPr>
            </w:pPr>
            <w:proofErr w:type="spellStart"/>
            <w:r>
              <w:rPr>
                <w:lang w:val="nl-NL"/>
              </w:rPr>
              <w:t>Indicateurs</w:t>
            </w:r>
            <w:proofErr w:type="spellEnd"/>
          </w:p>
        </w:tc>
        <w:tc>
          <w:tcPr>
            <w:tcW w:w="877" w:type="pct"/>
            <w:shd w:val="clear" w:color="9999FF" w:fill="FFFFFF"/>
            <w:noWrap/>
            <w:vAlign w:val="center"/>
          </w:tcPr>
          <w:p w:rsidR="00000000" w:rsidRDefault="00000000">
            <w:pPr>
              <w:spacing w:before="60" w:after="60"/>
              <w:jc w:val="center"/>
            </w:pPr>
            <w:r>
              <w:t>Valeur</w:t>
            </w:r>
          </w:p>
        </w:tc>
        <w:tc>
          <w:tcPr>
            <w:tcW w:w="880" w:type="pct"/>
            <w:shd w:val="clear" w:color="9999FF" w:fill="FFFFFF"/>
            <w:noWrap/>
            <w:vAlign w:val="center"/>
          </w:tcPr>
          <w:p w:rsidR="00000000" w:rsidRDefault="00000000">
            <w:pPr>
              <w:spacing w:before="60" w:after="60"/>
              <w:jc w:val="center"/>
            </w:pPr>
            <w:r>
              <w:t>Année</w:t>
            </w:r>
          </w:p>
        </w:tc>
        <w:tc>
          <w:tcPr>
            <w:tcW w:w="1022" w:type="pct"/>
            <w:shd w:val="clear" w:color="9999FF" w:fill="FFFFFF"/>
            <w:vAlign w:val="center"/>
          </w:tcPr>
          <w:p w:rsidR="00000000" w:rsidRDefault="00000000">
            <w:pPr>
              <w:spacing w:before="60" w:after="60"/>
              <w:jc w:val="center"/>
            </w:pPr>
            <w:r>
              <w:t>Sources</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Taux de fréquentation scolaire des enfants de 6-10 ans (%)</w:t>
            </w:r>
          </w:p>
        </w:tc>
        <w:tc>
          <w:tcPr>
            <w:tcW w:w="877" w:type="pct"/>
            <w:shd w:val="clear" w:color="9999FF" w:fill="FFFFFF"/>
            <w:noWrap/>
            <w:vAlign w:val="center"/>
          </w:tcPr>
          <w:p w:rsidR="00000000" w:rsidRDefault="00000000">
            <w:pPr>
              <w:spacing w:before="60" w:after="60"/>
              <w:jc w:val="center"/>
            </w:pPr>
            <w:r>
              <w:t>41.5</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Garçon</w:t>
            </w:r>
          </w:p>
        </w:tc>
        <w:tc>
          <w:tcPr>
            <w:tcW w:w="877" w:type="pct"/>
            <w:shd w:val="clear" w:color="9999FF" w:fill="C0C0C0"/>
            <w:vAlign w:val="center"/>
          </w:tcPr>
          <w:p w:rsidR="00000000" w:rsidRDefault="00000000">
            <w:pPr>
              <w:spacing w:before="60" w:after="60"/>
              <w:jc w:val="center"/>
            </w:pPr>
            <w:r>
              <w:t>48</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Fille</w:t>
            </w:r>
          </w:p>
        </w:tc>
        <w:tc>
          <w:tcPr>
            <w:tcW w:w="877" w:type="pct"/>
            <w:shd w:val="clear" w:color="9999FF" w:fill="FFFFFF"/>
            <w:vAlign w:val="center"/>
          </w:tcPr>
          <w:p w:rsidR="00000000" w:rsidRDefault="00000000">
            <w:pPr>
              <w:spacing w:before="60" w:after="60"/>
              <w:jc w:val="center"/>
            </w:pPr>
            <w:r>
              <w:t>35</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xml:space="preserve">Taux de fréquentation scolaire des enfants de 6-15 ans </w:t>
            </w:r>
          </w:p>
        </w:tc>
        <w:tc>
          <w:tcPr>
            <w:tcW w:w="877" w:type="pct"/>
            <w:shd w:val="clear" w:color="9999FF" w:fill="C0C0C0"/>
            <w:noWrap/>
            <w:vAlign w:val="center"/>
          </w:tcPr>
          <w:p w:rsidR="00000000" w:rsidRDefault="00000000">
            <w:pPr>
              <w:spacing w:before="60" w:after="60"/>
              <w:jc w:val="center"/>
            </w:pPr>
            <w:r>
              <w:t>47.5</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Garçon</w:t>
            </w:r>
          </w:p>
        </w:tc>
        <w:tc>
          <w:tcPr>
            <w:tcW w:w="877" w:type="pct"/>
            <w:shd w:val="clear" w:color="9999FF" w:fill="FFFFFF"/>
            <w:vAlign w:val="center"/>
          </w:tcPr>
          <w:p w:rsidR="00000000" w:rsidRDefault="00000000">
            <w:pPr>
              <w:spacing w:before="60" w:after="60"/>
              <w:jc w:val="center"/>
            </w:pPr>
            <w:r>
              <w:t>57</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Fille</w:t>
            </w:r>
          </w:p>
        </w:tc>
        <w:tc>
          <w:tcPr>
            <w:tcW w:w="877" w:type="pct"/>
            <w:shd w:val="clear" w:color="9999FF" w:fill="C0C0C0"/>
            <w:vAlign w:val="center"/>
          </w:tcPr>
          <w:p w:rsidR="00000000" w:rsidRDefault="00000000">
            <w:pPr>
              <w:spacing w:before="60" w:after="60"/>
              <w:jc w:val="center"/>
            </w:pPr>
            <w:r>
              <w:t>38</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FFFFFF"/>
            <w:vAlign w:val="center"/>
          </w:tcPr>
          <w:p w:rsidR="00000000" w:rsidRDefault="00000000">
            <w:pPr>
              <w:spacing w:before="60" w:after="60"/>
            </w:pPr>
            <w:r>
              <w:t>Proportion de femmes de 15-59 ans alphabétisées</w:t>
            </w:r>
          </w:p>
        </w:tc>
        <w:tc>
          <w:tcPr>
            <w:tcW w:w="877" w:type="pct"/>
            <w:shd w:val="clear" w:color="9999FF" w:fill="FFFFFF"/>
            <w:noWrap/>
            <w:vAlign w:val="center"/>
          </w:tcPr>
          <w:p w:rsidR="00000000" w:rsidRDefault="00000000">
            <w:pPr>
              <w:spacing w:before="60" w:after="60"/>
              <w:jc w:val="center"/>
            </w:pPr>
            <w:r>
              <w:t>12.00</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Proportion d’hommes de 15-59 ans alphabétisés</w:t>
            </w:r>
          </w:p>
        </w:tc>
        <w:tc>
          <w:tcPr>
            <w:tcW w:w="877" w:type="pct"/>
            <w:shd w:val="clear" w:color="9999FF" w:fill="C0C0C0"/>
            <w:noWrap/>
            <w:vAlign w:val="center"/>
          </w:tcPr>
          <w:p w:rsidR="00000000" w:rsidRDefault="00000000">
            <w:pPr>
              <w:spacing w:before="60" w:after="60"/>
              <w:jc w:val="center"/>
            </w:pPr>
            <w:r>
              <w:t>35.00</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trHeight w:val="105"/>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VIH/SIDA</w:t>
            </w:r>
          </w:p>
        </w:tc>
        <w:tc>
          <w:tcPr>
            <w:tcW w:w="1951" w:type="pct"/>
            <w:shd w:val="clear" w:color="9999FF" w:fill="C0C0C0"/>
            <w:vAlign w:val="center"/>
          </w:tcPr>
          <w:p w:rsidR="00000000" w:rsidRDefault="00000000">
            <w:pPr>
              <w:spacing w:before="60" w:after="60"/>
            </w:pPr>
            <w:r>
              <w:t>Taux de prévalence du VIH parmi les adultes (%)</w:t>
            </w:r>
          </w:p>
        </w:tc>
        <w:tc>
          <w:tcPr>
            <w:tcW w:w="877" w:type="pct"/>
            <w:shd w:val="clear" w:color="9999FF" w:fill="C0C0C0"/>
            <w:noWrap/>
            <w:vAlign w:val="center"/>
          </w:tcPr>
          <w:p w:rsidR="00000000" w:rsidRDefault="00000000">
            <w:pPr>
              <w:spacing w:before="60" w:after="60"/>
              <w:jc w:val="center"/>
            </w:pPr>
            <w:r>
              <w:t>5</w:t>
            </w:r>
          </w:p>
        </w:tc>
        <w:tc>
          <w:tcPr>
            <w:tcW w:w="880" w:type="pct"/>
            <w:shd w:val="clear" w:color="9999FF" w:fill="C0C0C0"/>
            <w:noWrap/>
            <w:vAlign w:val="center"/>
          </w:tcPr>
          <w:p w:rsidR="00000000" w:rsidRDefault="00000000">
            <w:pPr>
              <w:spacing w:before="60" w:after="60"/>
              <w:jc w:val="center"/>
            </w:pPr>
            <w:r>
              <w:t>2003</w:t>
            </w:r>
          </w:p>
        </w:tc>
        <w:tc>
          <w:tcPr>
            <w:tcW w:w="1022" w:type="pct"/>
            <w:shd w:val="clear" w:color="9999FF" w:fill="C0C0C0"/>
            <w:vAlign w:val="center"/>
          </w:tcPr>
          <w:p w:rsidR="00000000" w:rsidRDefault="00000000">
            <w:pPr>
              <w:spacing w:before="60" w:after="60"/>
              <w:jc w:val="center"/>
            </w:pPr>
            <w:r>
              <w:t>ONUSIDA</w:t>
            </w:r>
          </w:p>
        </w:tc>
      </w:tr>
      <w:tr w:rsidR="00000000">
        <w:trPr>
          <w:cantSplit/>
          <w:trHeight w:val="300"/>
        </w:trPr>
        <w:tc>
          <w:tcPr>
            <w:tcW w:w="270" w:type="pct"/>
            <w:vMerge/>
            <w:vAlign w:val="center"/>
          </w:tcPr>
          <w:p w:rsidR="00000000" w:rsidRDefault="00000000">
            <w:pPr>
              <w:spacing w:before="60" w:after="60"/>
            </w:pPr>
          </w:p>
        </w:tc>
        <w:tc>
          <w:tcPr>
            <w:tcW w:w="1951" w:type="pct"/>
            <w:vAlign w:val="center"/>
          </w:tcPr>
          <w:p w:rsidR="00000000" w:rsidRDefault="00000000">
            <w:pPr>
              <w:spacing w:before="60" w:after="60"/>
            </w:pPr>
            <w:r>
              <w:t>Nombre estimatif d’enfants de 0-14 ans vivant avec le VIH</w:t>
            </w:r>
          </w:p>
        </w:tc>
        <w:tc>
          <w:tcPr>
            <w:tcW w:w="877" w:type="pct"/>
            <w:noWrap/>
            <w:vAlign w:val="center"/>
          </w:tcPr>
          <w:p w:rsidR="00000000" w:rsidRDefault="00000000">
            <w:pPr>
              <w:spacing w:before="60" w:after="60"/>
              <w:jc w:val="center"/>
            </w:pPr>
            <w:r>
              <w:t>18,000</w:t>
            </w:r>
          </w:p>
        </w:tc>
        <w:tc>
          <w:tcPr>
            <w:tcW w:w="880" w:type="pct"/>
            <w:noWrap/>
            <w:vAlign w:val="center"/>
          </w:tcPr>
          <w:p w:rsidR="00000000" w:rsidRDefault="00000000">
            <w:pPr>
              <w:spacing w:before="60" w:after="60"/>
              <w:jc w:val="center"/>
            </w:pPr>
            <w:r>
              <w:t>2003</w:t>
            </w:r>
          </w:p>
        </w:tc>
        <w:tc>
          <w:tcPr>
            <w:tcW w:w="1022" w:type="pct"/>
            <w:vAlign w:val="center"/>
          </w:tcPr>
          <w:p w:rsidR="00000000" w:rsidRDefault="00000000">
            <w:pPr>
              <w:spacing w:before="60" w:after="60"/>
              <w:jc w:val="center"/>
            </w:pPr>
            <w:r>
              <w:t>ONUSIDA</w:t>
            </w:r>
          </w:p>
        </w:tc>
      </w:tr>
      <w:tr w:rsidR="00000000">
        <w:trPr>
          <w:cantSplit/>
          <w:trHeight w:val="300"/>
        </w:trPr>
        <w:tc>
          <w:tcPr>
            <w:tcW w:w="270" w:type="pct"/>
            <w:vMerge/>
            <w:vAlign w:val="center"/>
          </w:tcPr>
          <w:p w:rsidR="00000000" w:rsidRDefault="00000000">
            <w:pPr>
              <w:spacing w:before="60" w:after="60"/>
            </w:pPr>
          </w:p>
        </w:tc>
        <w:tc>
          <w:tcPr>
            <w:tcW w:w="1951" w:type="pct"/>
            <w:shd w:val="clear" w:color="auto" w:fill="C0C0C0"/>
            <w:vAlign w:val="center"/>
          </w:tcPr>
          <w:p w:rsidR="00000000" w:rsidRDefault="00000000">
            <w:pPr>
              <w:spacing w:before="60" w:after="60"/>
            </w:pPr>
            <w:r>
              <w:t>Nombre estimatif de femmes de 15-49 ans vivant avec le VIH</w:t>
            </w:r>
          </w:p>
        </w:tc>
        <w:tc>
          <w:tcPr>
            <w:tcW w:w="877" w:type="pct"/>
            <w:shd w:val="clear" w:color="auto" w:fill="C0C0C0"/>
            <w:noWrap/>
            <w:vAlign w:val="center"/>
          </w:tcPr>
          <w:p w:rsidR="00000000" w:rsidRDefault="00000000">
            <w:pPr>
              <w:spacing w:before="60" w:after="60"/>
              <w:jc w:val="center"/>
            </w:pPr>
            <w:r>
              <w:t>100,000</w:t>
            </w:r>
          </w:p>
        </w:tc>
        <w:tc>
          <w:tcPr>
            <w:tcW w:w="880" w:type="pct"/>
            <w:shd w:val="clear" w:color="auto" w:fill="C0C0C0"/>
            <w:noWrap/>
            <w:vAlign w:val="center"/>
          </w:tcPr>
          <w:p w:rsidR="00000000" w:rsidRDefault="00000000">
            <w:pPr>
              <w:spacing w:before="60" w:after="60"/>
              <w:jc w:val="center"/>
            </w:pPr>
            <w:r>
              <w:t>2003</w:t>
            </w:r>
          </w:p>
        </w:tc>
        <w:tc>
          <w:tcPr>
            <w:tcW w:w="1022" w:type="pct"/>
            <w:shd w:val="clear" w:color="auto" w:fill="C0C0C0"/>
            <w:vAlign w:val="center"/>
          </w:tcPr>
          <w:p w:rsidR="00000000" w:rsidRDefault="00000000">
            <w:pPr>
              <w:spacing w:before="60" w:after="60"/>
              <w:jc w:val="center"/>
            </w:pPr>
            <w:r>
              <w:t>ONUSIDA</w:t>
            </w:r>
          </w:p>
        </w:tc>
      </w:tr>
      <w:tr w:rsidR="00000000">
        <w:trPr>
          <w:cantSplit/>
          <w:trHeight w:val="300"/>
        </w:trPr>
        <w:tc>
          <w:tcPr>
            <w:tcW w:w="270" w:type="pct"/>
            <w:vMerge/>
            <w:vAlign w:val="center"/>
          </w:tcPr>
          <w:p w:rsidR="00000000" w:rsidRDefault="00000000">
            <w:pPr>
              <w:spacing w:before="60" w:after="60"/>
            </w:pPr>
          </w:p>
        </w:tc>
        <w:tc>
          <w:tcPr>
            <w:tcW w:w="1951" w:type="pct"/>
            <w:vAlign w:val="center"/>
          </w:tcPr>
          <w:p w:rsidR="00000000" w:rsidRDefault="00000000">
            <w:pPr>
              <w:spacing w:before="60" w:after="60"/>
            </w:pPr>
            <w:r>
              <w:t>Taux de prévalence femmes enceintes de 15-24 ans de la capitale</w:t>
            </w:r>
          </w:p>
        </w:tc>
        <w:tc>
          <w:tcPr>
            <w:tcW w:w="877" w:type="pct"/>
            <w:noWrap/>
            <w:vAlign w:val="center"/>
          </w:tcPr>
          <w:p w:rsidR="00000000" w:rsidRDefault="00000000">
            <w:pPr>
              <w:spacing w:before="60" w:after="60"/>
              <w:jc w:val="center"/>
            </w:pPr>
            <w:r>
              <w:t>5</w:t>
            </w:r>
          </w:p>
        </w:tc>
        <w:tc>
          <w:tcPr>
            <w:tcW w:w="880" w:type="pct"/>
            <w:noWrap/>
            <w:vAlign w:val="center"/>
          </w:tcPr>
          <w:p w:rsidR="00000000" w:rsidRDefault="00000000">
            <w:pPr>
              <w:spacing w:before="60" w:after="60"/>
              <w:jc w:val="center"/>
            </w:pPr>
            <w:r>
              <w:t>2003</w:t>
            </w:r>
          </w:p>
        </w:tc>
        <w:tc>
          <w:tcPr>
            <w:tcW w:w="1022" w:type="pct"/>
            <w:vAlign w:val="center"/>
          </w:tcPr>
          <w:p w:rsidR="00000000" w:rsidRDefault="00000000">
            <w:pPr>
              <w:spacing w:before="60" w:after="60"/>
              <w:jc w:val="center"/>
            </w:pPr>
            <w:r>
              <w:t>UNICEF</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Enfants de 0-17 ans rendus orphelins par le SIDA</w:t>
            </w:r>
          </w:p>
        </w:tc>
        <w:tc>
          <w:tcPr>
            <w:tcW w:w="877" w:type="pct"/>
            <w:shd w:val="clear" w:color="auto" w:fill="C0C0C0"/>
            <w:noWrap/>
            <w:vAlign w:val="center"/>
          </w:tcPr>
          <w:p w:rsidR="00000000" w:rsidRDefault="00000000">
            <w:pPr>
              <w:spacing w:before="60" w:after="60"/>
              <w:jc w:val="center"/>
            </w:pPr>
            <w:r>
              <w:t>96,000</w:t>
            </w:r>
          </w:p>
        </w:tc>
        <w:tc>
          <w:tcPr>
            <w:tcW w:w="880" w:type="pct"/>
            <w:shd w:val="clear" w:color="9999FF" w:fill="C0C0C0"/>
            <w:noWrap/>
            <w:vAlign w:val="center"/>
          </w:tcPr>
          <w:p w:rsidR="00000000" w:rsidRDefault="00000000">
            <w:pPr>
              <w:spacing w:before="60" w:after="60"/>
              <w:jc w:val="center"/>
            </w:pPr>
            <w:r>
              <w:t>2003</w:t>
            </w:r>
          </w:p>
        </w:tc>
        <w:tc>
          <w:tcPr>
            <w:tcW w:w="1022" w:type="pct"/>
            <w:shd w:val="clear" w:color="9999FF" w:fill="C0C0C0"/>
            <w:vAlign w:val="center"/>
          </w:tcPr>
          <w:p w:rsidR="00000000" w:rsidRDefault="00000000">
            <w:pPr>
              <w:spacing w:before="60" w:after="60"/>
              <w:jc w:val="center"/>
            </w:pPr>
            <w:r>
              <w:t>ONUSIDA/UNICEF/USAID</w:t>
            </w:r>
          </w:p>
        </w:tc>
      </w:tr>
      <w:tr w:rsidR="00000000">
        <w:trPr>
          <w:trHeight w:val="120"/>
        </w:trPr>
        <w:tc>
          <w:tcPr>
            <w:tcW w:w="270" w:type="pct"/>
            <w:textDirection w:val="btLr"/>
            <w:vAlign w:val="center"/>
          </w:tcPr>
          <w:p w:rsidR="00000000" w:rsidRDefault="00000000">
            <w:pPr>
              <w:spacing w:before="60" w:after="60"/>
            </w:pPr>
            <w:r>
              <w:t> </w:t>
            </w:r>
          </w:p>
        </w:tc>
        <w:tc>
          <w:tcPr>
            <w:tcW w:w="1951" w:type="pct"/>
            <w:shd w:val="clear" w:color="9999FF" w:fill="FFFFFF"/>
            <w:vAlign w:val="center"/>
          </w:tcPr>
          <w:p w:rsidR="00000000" w:rsidRDefault="00000000">
            <w:pPr>
              <w:spacing w:before="60" w:after="60"/>
            </w:pPr>
            <w:r>
              <w:t> </w:t>
            </w:r>
          </w:p>
        </w:tc>
        <w:tc>
          <w:tcPr>
            <w:tcW w:w="877" w:type="pct"/>
            <w:shd w:val="clear" w:color="9999FF" w:fill="FFFFFF"/>
            <w:noWrap/>
            <w:vAlign w:val="center"/>
          </w:tcPr>
          <w:p w:rsidR="00000000" w:rsidRDefault="00000000">
            <w:pPr>
              <w:spacing w:before="60" w:after="60"/>
              <w:jc w:val="center"/>
            </w:pPr>
          </w:p>
        </w:tc>
        <w:tc>
          <w:tcPr>
            <w:tcW w:w="880" w:type="pct"/>
            <w:shd w:val="clear" w:color="9999FF" w:fill="FFFFFF"/>
            <w:noWrap/>
            <w:vAlign w:val="center"/>
          </w:tcPr>
          <w:p w:rsidR="00000000" w:rsidRDefault="00000000">
            <w:pPr>
              <w:spacing w:before="60" w:after="60"/>
              <w:jc w:val="center"/>
            </w:pPr>
          </w:p>
        </w:tc>
        <w:tc>
          <w:tcPr>
            <w:tcW w:w="1022" w:type="pct"/>
            <w:shd w:val="clear" w:color="9999FF" w:fill="FFFFFF"/>
            <w:vAlign w:val="center"/>
          </w:tcPr>
          <w:p w:rsidR="00000000" w:rsidRDefault="00000000">
            <w:pPr>
              <w:spacing w:before="60" w:after="60"/>
              <w:jc w:val="center"/>
            </w:pPr>
          </w:p>
        </w:tc>
      </w:tr>
      <w:tr w:rsidR="00000000">
        <w:trPr>
          <w:cantSplit/>
          <w:trHeight w:val="300"/>
        </w:trPr>
        <w:tc>
          <w:tcPr>
            <w:tcW w:w="270" w:type="pct"/>
            <w:vMerge w:val="restart"/>
            <w:textDirection w:val="btLr"/>
            <w:vAlign w:val="center"/>
          </w:tcPr>
          <w:p w:rsidR="00000000" w:rsidRDefault="00000000">
            <w:pPr>
              <w:spacing w:before="60" w:after="60"/>
              <w:jc w:val="center"/>
            </w:pPr>
            <w:r>
              <w:t>Protection de l’enfance</w:t>
            </w:r>
          </w:p>
        </w:tc>
        <w:tc>
          <w:tcPr>
            <w:tcW w:w="1951" w:type="pct"/>
            <w:shd w:val="clear" w:color="9999FF" w:fill="C0C0C0"/>
            <w:vAlign w:val="center"/>
          </w:tcPr>
          <w:p w:rsidR="00000000" w:rsidRDefault="00000000">
            <w:pPr>
              <w:spacing w:before="60" w:after="60"/>
            </w:pPr>
            <w:r>
              <w:t>Proportion de femme excisée (%)</w:t>
            </w:r>
          </w:p>
        </w:tc>
        <w:tc>
          <w:tcPr>
            <w:tcW w:w="877" w:type="pct"/>
            <w:shd w:val="clear" w:color="9999FF" w:fill="C0C0C0"/>
            <w:noWrap/>
            <w:vAlign w:val="center"/>
          </w:tcPr>
          <w:p w:rsidR="00000000" w:rsidRDefault="00000000">
            <w:pPr>
              <w:spacing w:before="60" w:after="60"/>
              <w:jc w:val="center"/>
            </w:pPr>
            <w:r>
              <w:t>45</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vAlign w:val="center"/>
          </w:tcPr>
          <w:p w:rsidR="00000000" w:rsidRDefault="00000000">
            <w:pPr>
              <w:spacing w:before="60" w:after="60"/>
            </w:pPr>
            <w:r>
              <w:t>Age d’excision des femmes (ans)</w:t>
            </w:r>
          </w:p>
        </w:tc>
        <w:tc>
          <w:tcPr>
            <w:tcW w:w="877" w:type="pct"/>
            <w:noWrap/>
            <w:vAlign w:val="center"/>
          </w:tcPr>
          <w:p w:rsidR="00000000" w:rsidRDefault="00000000">
            <w:pPr>
              <w:spacing w:before="60" w:after="60"/>
              <w:jc w:val="center"/>
            </w:pPr>
            <w:r>
              <w:t>5-14 ans</w:t>
            </w:r>
          </w:p>
        </w:tc>
        <w:tc>
          <w:tcPr>
            <w:tcW w:w="880" w:type="pct"/>
            <w:noWrap/>
            <w:vAlign w:val="center"/>
          </w:tcPr>
          <w:p w:rsidR="00000000" w:rsidRDefault="00000000">
            <w:pPr>
              <w:spacing w:before="60" w:after="60"/>
              <w:jc w:val="center"/>
            </w:pPr>
            <w:r>
              <w:t>2004</w:t>
            </w:r>
          </w:p>
        </w:tc>
        <w:tc>
          <w:tcPr>
            <w:tcW w:w="1022" w:type="pct"/>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9999FF" w:fill="C0C0C0"/>
            <w:vAlign w:val="center"/>
          </w:tcPr>
          <w:p w:rsidR="00000000" w:rsidRDefault="00000000">
            <w:pPr>
              <w:spacing w:before="60" w:after="60"/>
            </w:pPr>
            <w:r>
              <w:t>% orphelin de 0-14 vivant dans les ménages</w:t>
            </w:r>
          </w:p>
        </w:tc>
        <w:tc>
          <w:tcPr>
            <w:tcW w:w="877" w:type="pct"/>
            <w:shd w:val="clear" w:color="9999FF" w:fill="C0C0C0"/>
            <w:noWrap/>
            <w:vAlign w:val="center"/>
          </w:tcPr>
          <w:p w:rsidR="00000000" w:rsidRDefault="00000000">
            <w:pPr>
              <w:spacing w:before="60" w:after="60"/>
              <w:jc w:val="center"/>
            </w:pPr>
            <w:r>
              <w:t>7</w:t>
            </w:r>
          </w:p>
        </w:tc>
        <w:tc>
          <w:tcPr>
            <w:tcW w:w="880" w:type="pct"/>
            <w:shd w:val="clear" w:color="9999FF" w:fill="C0C0C0"/>
            <w:noWrap/>
            <w:vAlign w:val="center"/>
          </w:tcPr>
          <w:p w:rsidR="00000000" w:rsidRDefault="00000000">
            <w:pPr>
              <w:spacing w:before="60" w:after="60"/>
              <w:jc w:val="center"/>
            </w:pPr>
            <w:r>
              <w:t>2004</w:t>
            </w:r>
          </w:p>
        </w:tc>
        <w:tc>
          <w:tcPr>
            <w:tcW w:w="1022" w:type="pct"/>
            <w:shd w:val="clear" w:color="9999FF" w:fill="C0C0C0"/>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vAlign w:val="center"/>
          </w:tcPr>
          <w:p w:rsidR="00000000" w:rsidRDefault="00000000">
            <w:pPr>
              <w:spacing w:before="60" w:after="60"/>
            </w:pPr>
            <w:r>
              <w:t>Proportion d’enfants enregistrés à l’état civil à la naissance</w:t>
            </w:r>
          </w:p>
        </w:tc>
        <w:tc>
          <w:tcPr>
            <w:tcW w:w="877" w:type="pct"/>
            <w:noWrap/>
            <w:vAlign w:val="center"/>
          </w:tcPr>
          <w:p w:rsidR="00000000" w:rsidRDefault="00000000">
            <w:pPr>
              <w:spacing w:before="60" w:after="60"/>
              <w:jc w:val="center"/>
              <w:rPr>
                <w:lang w:val="en-GB"/>
              </w:rPr>
            </w:pPr>
            <w:r>
              <w:rPr>
                <w:lang w:val="en-GB"/>
              </w:rPr>
              <w:t>6</w:t>
            </w:r>
          </w:p>
        </w:tc>
        <w:tc>
          <w:tcPr>
            <w:tcW w:w="880" w:type="pct"/>
            <w:noWrap/>
            <w:vAlign w:val="center"/>
          </w:tcPr>
          <w:p w:rsidR="00000000" w:rsidRDefault="00000000">
            <w:pPr>
              <w:spacing w:before="60" w:after="60"/>
              <w:jc w:val="center"/>
              <w:rPr>
                <w:lang w:val="en-GB"/>
              </w:rPr>
            </w:pPr>
            <w:r>
              <w:rPr>
                <w:lang w:val="en-GB"/>
              </w:rPr>
              <w:t>2004</w:t>
            </w:r>
          </w:p>
        </w:tc>
        <w:tc>
          <w:tcPr>
            <w:tcW w:w="1022" w:type="pct"/>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shd w:val="clear" w:color="auto" w:fill="C0C0C0"/>
            <w:vAlign w:val="center"/>
          </w:tcPr>
          <w:p w:rsidR="00000000" w:rsidRDefault="00000000">
            <w:pPr>
              <w:spacing w:before="60" w:after="60"/>
              <w:rPr>
                <w:lang w:val="en-GB"/>
              </w:rPr>
            </w:pPr>
            <w:proofErr w:type="spellStart"/>
            <w:r>
              <w:rPr>
                <w:lang w:val="en-GB"/>
              </w:rPr>
              <w:t>Urbain</w:t>
            </w:r>
            <w:proofErr w:type="spellEnd"/>
          </w:p>
        </w:tc>
        <w:tc>
          <w:tcPr>
            <w:tcW w:w="877" w:type="pct"/>
            <w:shd w:val="clear" w:color="auto" w:fill="C0C0C0"/>
            <w:noWrap/>
            <w:vAlign w:val="center"/>
          </w:tcPr>
          <w:p w:rsidR="00000000" w:rsidRDefault="00000000">
            <w:pPr>
              <w:spacing w:before="60" w:after="60"/>
              <w:jc w:val="center"/>
              <w:rPr>
                <w:lang w:val="en-GB"/>
              </w:rPr>
            </w:pPr>
            <w:r>
              <w:rPr>
                <w:lang w:val="en-GB"/>
              </w:rPr>
              <w:t>25</w:t>
            </w:r>
          </w:p>
        </w:tc>
        <w:tc>
          <w:tcPr>
            <w:tcW w:w="880" w:type="pct"/>
            <w:shd w:val="clear" w:color="auto" w:fill="C0C0C0"/>
            <w:noWrap/>
            <w:vAlign w:val="center"/>
          </w:tcPr>
          <w:p w:rsidR="00000000" w:rsidRDefault="00000000">
            <w:pPr>
              <w:spacing w:before="60" w:after="60"/>
              <w:jc w:val="center"/>
              <w:rPr>
                <w:lang w:val="en-GB"/>
              </w:rPr>
            </w:pPr>
            <w:r>
              <w:rPr>
                <w:lang w:val="en-GB"/>
              </w:rPr>
              <w:t>2004</w:t>
            </w:r>
          </w:p>
        </w:tc>
        <w:tc>
          <w:tcPr>
            <w:tcW w:w="1022" w:type="pct"/>
            <w:shd w:val="clear" w:color="auto"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vAlign w:val="center"/>
          </w:tcPr>
          <w:p w:rsidR="00000000" w:rsidRDefault="00000000">
            <w:pPr>
              <w:spacing w:before="60" w:after="60"/>
              <w:rPr>
                <w:lang w:val="en-GB"/>
              </w:rPr>
            </w:pPr>
            <w:r>
              <w:rPr>
                <w:lang w:val="en-GB"/>
              </w:rPr>
              <w:t>Rural</w:t>
            </w:r>
          </w:p>
        </w:tc>
        <w:tc>
          <w:tcPr>
            <w:tcW w:w="877" w:type="pct"/>
            <w:noWrap/>
            <w:vAlign w:val="center"/>
          </w:tcPr>
          <w:p w:rsidR="00000000" w:rsidRDefault="00000000">
            <w:pPr>
              <w:spacing w:before="60" w:after="60"/>
              <w:jc w:val="center"/>
            </w:pPr>
            <w:r>
              <w:t>2</w:t>
            </w:r>
          </w:p>
        </w:tc>
        <w:tc>
          <w:tcPr>
            <w:tcW w:w="880" w:type="pct"/>
            <w:noWrap/>
            <w:vAlign w:val="center"/>
          </w:tcPr>
          <w:p w:rsidR="00000000" w:rsidRDefault="00000000">
            <w:pPr>
              <w:spacing w:before="60" w:after="60"/>
              <w:jc w:val="center"/>
            </w:pPr>
            <w:r>
              <w:t>2000</w:t>
            </w:r>
          </w:p>
        </w:tc>
        <w:tc>
          <w:tcPr>
            <w:tcW w:w="1022" w:type="pct"/>
            <w:vAlign w:val="center"/>
          </w:tcPr>
          <w:p w:rsidR="00000000" w:rsidRDefault="00000000">
            <w:pPr>
              <w:spacing w:before="60" w:after="60"/>
              <w:jc w:val="center"/>
            </w:pPr>
            <w:r>
              <w:t>EDST 2004</w:t>
            </w:r>
          </w:p>
        </w:tc>
      </w:tr>
      <w:tr w:rsidR="00000000">
        <w:trPr>
          <w:cantSplit/>
          <w:trHeight w:val="300"/>
        </w:trPr>
        <w:tc>
          <w:tcPr>
            <w:tcW w:w="270" w:type="pct"/>
            <w:vMerge/>
            <w:vAlign w:val="center"/>
          </w:tcPr>
          <w:p w:rsidR="00000000" w:rsidRDefault="00000000">
            <w:pPr>
              <w:spacing w:before="60" w:after="60"/>
            </w:pPr>
          </w:p>
        </w:tc>
        <w:tc>
          <w:tcPr>
            <w:tcW w:w="1951" w:type="pct"/>
            <w:shd w:val="clear" w:color="auto" w:fill="C0C0C0"/>
            <w:vAlign w:val="center"/>
          </w:tcPr>
          <w:p w:rsidR="00000000" w:rsidRDefault="00000000">
            <w:pPr>
              <w:spacing w:before="60" w:after="60"/>
            </w:pPr>
            <w:r>
              <w:t xml:space="preserve">Proportion d’enfants de moins de 5-17 ans qui travaillent </w:t>
            </w:r>
          </w:p>
        </w:tc>
        <w:tc>
          <w:tcPr>
            <w:tcW w:w="877" w:type="pct"/>
            <w:shd w:val="clear" w:color="auto" w:fill="C0C0C0"/>
            <w:noWrap/>
            <w:vAlign w:val="center"/>
          </w:tcPr>
          <w:p w:rsidR="00000000" w:rsidRDefault="00000000">
            <w:pPr>
              <w:spacing w:before="60" w:after="60"/>
              <w:jc w:val="center"/>
              <w:rPr>
                <w:lang w:val="en-GB"/>
              </w:rPr>
            </w:pPr>
            <w:r>
              <w:rPr>
                <w:lang w:val="en-GB"/>
              </w:rPr>
              <w:t>83</w:t>
            </w:r>
          </w:p>
        </w:tc>
        <w:tc>
          <w:tcPr>
            <w:tcW w:w="880" w:type="pct"/>
            <w:shd w:val="clear" w:color="auto" w:fill="C0C0C0"/>
            <w:noWrap/>
            <w:vAlign w:val="center"/>
          </w:tcPr>
          <w:p w:rsidR="00000000" w:rsidRDefault="00000000">
            <w:pPr>
              <w:spacing w:before="60" w:after="60"/>
              <w:jc w:val="center"/>
              <w:rPr>
                <w:lang w:val="en-GB"/>
              </w:rPr>
            </w:pPr>
            <w:r>
              <w:rPr>
                <w:lang w:val="en-GB"/>
              </w:rPr>
              <w:t>2004</w:t>
            </w:r>
          </w:p>
        </w:tc>
        <w:tc>
          <w:tcPr>
            <w:tcW w:w="1022" w:type="pct"/>
            <w:shd w:val="clear" w:color="auto" w:fill="C0C0C0"/>
            <w:vAlign w:val="center"/>
          </w:tcPr>
          <w:p w:rsidR="00000000" w:rsidRDefault="00000000">
            <w:pPr>
              <w:spacing w:before="60" w:after="60"/>
              <w:jc w:val="center"/>
              <w:rPr>
                <w:lang w:val="en-GB"/>
              </w:rPr>
            </w:pPr>
            <w:r>
              <w:rPr>
                <w:lang w:val="en-GB"/>
              </w:rPr>
              <w:t>EDST 2004</w:t>
            </w:r>
          </w:p>
        </w:tc>
      </w:tr>
      <w:tr w:rsidR="00000000">
        <w:trPr>
          <w:cantSplit/>
          <w:trHeight w:val="300"/>
        </w:trPr>
        <w:tc>
          <w:tcPr>
            <w:tcW w:w="270" w:type="pct"/>
            <w:vMerge/>
            <w:vAlign w:val="center"/>
          </w:tcPr>
          <w:p w:rsidR="00000000" w:rsidRDefault="00000000">
            <w:pPr>
              <w:spacing w:before="60" w:after="60"/>
              <w:rPr>
                <w:lang w:val="en-GB"/>
              </w:rPr>
            </w:pPr>
          </w:p>
        </w:tc>
        <w:tc>
          <w:tcPr>
            <w:tcW w:w="1951" w:type="pct"/>
            <w:vAlign w:val="center"/>
          </w:tcPr>
          <w:p w:rsidR="00000000" w:rsidRDefault="00000000">
            <w:pPr>
              <w:spacing w:before="60" w:after="60"/>
              <w:rPr>
                <w:lang w:val="en-GB"/>
              </w:rPr>
            </w:pPr>
            <w:proofErr w:type="spellStart"/>
            <w:r>
              <w:rPr>
                <w:lang w:val="en-GB"/>
              </w:rPr>
              <w:t>Urbain</w:t>
            </w:r>
            <w:proofErr w:type="spellEnd"/>
          </w:p>
        </w:tc>
        <w:tc>
          <w:tcPr>
            <w:tcW w:w="877" w:type="pct"/>
            <w:noWrap/>
            <w:vAlign w:val="center"/>
          </w:tcPr>
          <w:p w:rsidR="00000000" w:rsidRDefault="00000000">
            <w:pPr>
              <w:spacing w:before="60" w:after="60"/>
              <w:jc w:val="center"/>
              <w:rPr>
                <w:lang w:val="en-GB"/>
              </w:rPr>
            </w:pPr>
            <w:r>
              <w:rPr>
                <w:lang w:val="en-GB"/>
              </w:rPr>
              <w:t>75</w:t>
            </w:r>
          </w:p>
        </w:tc>
        <w:tc>
          <w:tcPr>
            <w:tcW w:w="880" w:type="pct"/>
            <w:noWrap/>
            <w:vAlign w:val="center"/>
          </w:tcPr>
          <w:p w:rsidR="00000000" w:rsidRDefault="00000000">
            <w:pPr>
              <w:spacing w:before="60" w:after="60"/>
              <w:jc w:val="center"/>
              <w:rPr>
                <w:lang w:val="en-GB"/>
              </w:rPr>
            </w:pPr>
            <w:r>
              <w:rPr>
                <w:lang w:val="en-GB"/>
              </w:rPr>
              <w:t>2004</w:t>
            </w:r>
          </w:p>
        </w:tc>
        <w:tc>
          <w:tcPr>
            <w:tcW w:w="1022" w:type="pct"/>
            <w:vAlign w:val="center"/>
          </w:tcPr>
          <w:p w:rsidR="00000000" w:rsidRDefault="00000000">
            <w:pPr>
              <w:spacing w:before="60" w:after="60"/>
              <w:jc w:val="center"/>
              <w:rPr>
                <w:lang w:val="en-GB"/>
              </w:rPr>
            </w:pPr>
            <w:r>
              <w:rPr>
                <w:lang w:val="en-GB"/>
              </w:rPr>
              <w:t>EDST 2004</w:t>
            </w:r>
          </w:p>
        </w:tc>
      </w:tr>
      <w:tr w:rsidR="00000000">
        <w:trPr>
          <w:cantSplit/>
          <w:trHeight w:val="70"/>
        </w:trPr>
        <w:tc>
          <w:tcPr>
            <w:tcW w:w="270" w:type="pct"/>
            <w:vMerge/>
            <w:vAlign w:val="center"/>
          </w:tcPr>
          <w:p w:rsidR="00000000" w:rsidRDefault="00000000">
            <w:pPr>
              <w:spacing w:before="60" w:after="60"/>
              <w:rPr>
                <w:lang w:val="en-GB"/>
              </w:rPr>
            </w:pPr>
          </w:p>
        </w:tc>
        <w:tc>
          <w:tcPr>
            <w:tcW w:w="1951" w:type="pct"/>
            <w:shd w:val="clear" w:color="9999FF" w:fill="FFFFFF"/>
            <w:vAlign w:val="center"/>
          </w:tcPr>
          <w:p w:rsidR="00000000" w:rsidRDefault="00000000">
            <w:pPr>
              <w:spacing w:before="60" w:after="60"/>
              <w:rPr>
                <w:lang w:val="en-GB"/>
              </w:rPr>
            </w:pPr>
            <w:r>
              <w:rPr>
                <w:lang w:val="en-GB"/>
              </w:rPr>
              <w:t>Rural</w:t>
            </w:r>
          </w:p>
        </w:tc>
        <w:tc>
          <w:tcPr>
            <w:tcW w:w="877" w:type="pct"/>
            <w:shd w:val="clear" w:color="9999FF" w:fill="FFFFFF"/>
            <w:noWrap/>
            <w:vAlign w:val="center"/>
          </w:tcPr>
          <w:p w:rsidR="00000000" w:rsidRDefault="00000000">
            <w:pPr>
              <w:spacing w:before="60" w:after="60"/>
              <w:jc w:val="center"/>
            </w:pPr>
            <w:r>
              <w:t>85</w:t>
            </w:r>
          </w:p>
        </w:tc>
        <w:tc>
          <w:tcPr>
            <w:tcW w:w="880" w:type="pct"/>
            <w:shd w:val="clear" w:color="9999FF" w:fill="FFFFFF"/>
            <w:noWrap/>
            <w:vAlign w:val="center"/>
          </w:tcPr>
          <w:p w:rsidR="00000000" w:rsidRDefault="00000000">
            <w:pPr>
              <w:spacing w:before="60" w:after="60"/>
              <w:jc w:val="center"/>
            </w:pPr>
            <w:r>
              <w:t>2004</w:t>
            </w:r>
          </w:p>
        </w:tc>
        <w:tc>
          <w:tcPr>
            <w:tcW w:w="1022" w:type="pct"/>
            <w:shd w:val="clear" w:color="9999FF" w:fill="FFFFFF"/>
            <w:vAlign w:val="center"/>
          </w:tcPr>
          <w:p w:rsidR="00000000" w:rsidRDefault="00000000">
            <w:pPr>
              <w:spacing w:before="60" w:after="60"/>
              <w:jc w:val="center"/>
            </w:pPr>
            <w:r>
              <w:t>EDST 2004</w:t>
            </w:r>
          </w:p>
        </w:tc>
      </w:tr>
    </w:tbl>
    <w:p w:rsidR="00000000" w:rsidRDefault="00000000">
      <w:pPr>
        <w:tabs>
          <w:tab w:val="left" w:pos="560"/>
          <w:tab w:val="left" w:pos="3911"/>
          <w:tab w:val="left" w:pos="5223"/>
          <w:tab w:val="left" w:pos="6542"/>
          <w:tab w:val="left" w:pos="9492"/>
        </w:tabs>
        <w:spacing w:before="240" w:after="240"/>
      </w:pPr>
      <w:r>
        <w:t>SOURCES</w:t>
      </w:r>
    </w:p>
    <w:tbl>
      <w:tblPr>
        <w:tblW w:w="4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8947"/>
      </w:tblGrid>
      <w:tr w:rsidR="00000000">
        <w:trPr>
          <w:trHeight w:val="300"/>
          <w:jc w:val="center"/>
        </w:trPr>
        <w:tc>
          <w:tcPr>
            <w:tcW w:w="5000" w:type="pct"/>
            <w:vAlign w:val="center"/>
          </w:tcPr>
          <w:p w:rsidR="00000000" w:rsidRDefault="00000000">
            <w:pPr>
              <w:spacing w:before="60" w:after="60"/>
            </w:pPr>
            <w:r>
              <w:t>Enquête démographique et de santé Tchad (EDST) 2004</w:t>
            </w:r>
          </w:p>
        </w:tc>
      </w:tr>
      <w:tr w:rsidR="00000000">
        <w:trPr>
          <w:trHeight w:val="645"/>
          <w:jc w:val="center"/>
        </w:trPr>
        <w:tc>
          <w:tcPr>
            <w:tcW w:w="5000" w:type="pct"/>
            <w:vAlign w:val="center"/>
          </w:tcPr>
          <w:p w:rsidR="00000000" w:rsidRDefault="00000000">
            <w:pPr>
              <w:spacing w:before="60" w:after="60"/>
            </w:pPr>
            <w:r>
              <w:t>Direction de la Coordination des activités en matière de population (DCAP) du Ministère de l’Économie, du Plan et de la Coopération: Projection de la Population du Tchad 2000-2050</w:t>
            </w:r>
          </w:p>
        </w:tc>
      </w:tr>
      <w:tr w:rsidR="00000000">
        <w:trPr>
          <w:trHeight w:val="300"/>
          <w:jc w:val="center"/>
        </w:trPr>
        <w:tc>
          <w:tcPr>
            <w:tcW w:w="5000" w:type="pct"/>
            <w:vAlign w:val="center"/>
          </w:tcPr>
          <w:p w:rsidR="00000000" w:rsidRDefault="00000000">
            <w:pPr>
              <w:spacing w:before="60" w:after="60"/>
            </w:pPr>
            <w:r>
              <w:t>Ministère de la Santé publique (MSP): Annuaire des statistiques sanitaires du Tchad, 2002</w:t>
            </w:r>
          </w:p>
        </w:tc>
      </w:tr>
      <w:tr w:rsidR="00000000">
        <w:trPr>
          <w:trHeight w:val="300"/>
          <w:jc w:val="center"/>
        </w:trPr>
        <w:tc>
          <w:tcPr>
            <w:tcW w:w="5000" w:type="pct"/>
            <w:vAlign w:val="center"/>
          </w:tcPr>
          <w:p w:rsidR="00000000" w:rsidRDefault="00000000">
            <w:pPr>
              <w:spacing w:before="60" w:after="60"/>
            </w:pPr>
            <w:r>
              <w:t xml:space="preserve">Recensement général de la Population et de l’Habitat 1993(RGPH) </w:t>
            </w:r>
          </w:p>
        </w:tc>
      </w:tr>
      <w:tr w:rsidR="00000000">
        <w:trPr>
          <w:trHeight w:val="300"/>
          <w:jc w:val="center"/>
        </w:trPr>
        <w:tc>
          <w:tcPr>
            <w:tcW w:w="5000" w:type="pct"/>
            <w:vAlign w:val="center"/>
          </w:tcPr>
          <w:p w:rsidR="00000000" w:rsidRDefault="00000000">
            <w:pPr>
              <w:spacing w:before="60" w:after="60"/>
            </w:pPr>
            <w:r>
              <w:t>Ministère de l’Éducation nationale (MEN), Données statistiques sur l’Éducation, année 2003-2004</w:t>
            </w:r>
          </w:p>
        </w:tc>
      </w:tr>
      <w:tr w:rsidR="00000000">
        <w:trPr>
          <w:trHeight w:val="300"/>
          <w:jc w:val="center"/>
        </w:trPr>
        <w:tc>
          <w:tcPr>
            <w:tcW w:w="5000" w:type="pct"/>
            <w:vAlign w:val="center"/>
          </w:tcPr>
          <w:p w:rsidR="00000000" w:rsidRDefault="00000000">
            <w:pPr>
              <w:spacing w:before="60" w:after="60"/>
              <w:rPr>
                <w:lang w:val="en-GB"/>
              </w:rPr>
            </w:pPr>
            <w:r>
              <w:rPr>
                <w:lang w:val="en-GB"/>
              </w:rPr>
              <w:t xml:space="preserve">ONUSIDA, Report on the Global HIV/AIDS </w:t>
            </w:r>
            <w:proofErr w:type="spellStart"/>
            <w:r>
              <w:rPr>
                <w:lang w:val="en-GB"/>
              </w:rPr>
              <w:t>Epidendrum</w:t>
            </w:r>
            <w:proofErr w:type="spellEnd"/>
            <w:r>
              <w:rPr>
                <w:lang w:val="en-GB"/>
              </w:rPr>
              <w:t>, 2004</w:t>
            </w:r>
          </w:p>
        </w:tc>
      </w:tr>
      <w:tr w:rsidR="00000000">
        <w:trPr>
          <w:trHeight w:val="300"/>
          <w:jc w:val="center"/>
        </w:trPr>
        <w:tc>
          <w:tcPr>
            <w:tcW w:w="5000" w:type="pct"/>
            <w:vAlign w:val="center"/>
          </w:tcPr>
          <w:p w:rsidR="00000000" w:rsidRDefault="00000000">
            <w:pPr>
              <w:spacing w:before="60" w:after="60"/>
            </w:pPr>
            <w:r>
              <w:t>UNICEF, la Situation des enfants dans le monde, 2005</w:t>
            </w:r>
          </w:p>
        </w:tc>
      </w:tr>
      <w:tr w:rsidR="00000000">
        <w:trPr>
          <w:trHeight w:val="413"/>
          <w:jc w:val="center"/>
        </w:trPr>
        <w:tc>
          <w:tcPr>
            <w:tcW w:w="5000" w:type="pct"/>
            <w:vAlign w:val="center"/>
          </w:tcPr>
          <w:p w:rsidR="00000000" w:rsidRDefault="00000000">
            <w:pPr>
              <w:spacing w:before="60" w:after="60"/>
            </w:pPr>
            <w:r>
              <w:t>MAT: Ministère de l’Administration du Territoire: Découpage administrative d’octobre 2002(Décret no 415/419/PR/MAT/2002 du 17/10/2002</w:t>
            </w:r>
          </w:p>
        </w:tc>
      </w:tr>
      <w:tr w:rsidR="00000000">
        <w:trPr>
          <w:trHeight w:val="300"/>
          <w:jc w:val="center"/>
        </w:trPr>
        <w:tc>
          <w:tcPr>
            <w:tcW w:w="5000" w:type="pct"/>
            <w:vAlign w:val="center"/>
          </w:tcPr>
          <w:p w:rsidR="00000000" w:rsidRDefault="00000000">
            <w:pPr>
              <w:spacing w:before="60" w:after="60"/>
            </w:pPr>
            <w:r>
              <w:t>PNUD: Rapport sur le développement humain 2005</w:t>
            </w:r>
          </w:p>
        </w:tc>
      </w:tr>
      <w:tr w:rsidR="00000000">
        <w:trPr>
          <w:trHeight w:val="300"/>
          <w:jc w:val="center"/>
        </w:trPr>
        <w:tc>
          <w:tcPr>
            <w:tcW w:w="5000" w:type="pct"/>
            <w:vAlign w:val="center"/>
          </w:tcPr>
          <w:p w:rsidR="00000000" w:rsidRDefault="00000000">
            <w:pPr>
              <w:spacing w:before="60" w:after="60"/>
            </w:pPr>
            <w:r>
              <w:t>ONUSIDA/UNICEF/USAID, Enfant au bord du gouffre 2004</w:t>
            </w:r>
          </w:p>
        </w:tc>
      </w:tr>
      <w:tr w:rsidR="00000000">
        <w:trPr>
          <w:trHeight w:val="300"/>
          <w:jc w:val="center"/>
        </w:trPr>
        <w:tc>
          <w:tcPr>
            <w:tcW w:w="5000" w:type="pct"/>
            <w:shd w:val="clear" w:color="auto" w:fill="FFFFFF"/>
            <w:vAlign w:val="center"/>
          </w:tcPr>
          <w:p w:rsidR="00000000" w:rsidRDefault="00000000">
            <w:pPr>
              <w:spacing w:before="60" w:after="60"/>
            </w:pPr>
            <w:r>
              <w:t>BEAC, Principaux indicateurs économiques et financiers du Tchad</w:t>
            </w:r>
          </w:p>
        </w:tc>
      </w:tr>
    </w:tbl>
    <w:p w:rsidR="00000000" w:rsidRDefault="00000000">
      <w:pPr>
        <w:keepNext/>
        <w:keepLines/>
        <w:spacing w:before="240" w:after="240"/>
        <w:jc w:val="center"/>
        <w:rPr>
          <w:b/>
          <w:bCs/>
        </w:rPr>
      </w:pPr>
      <w:r>
        <w:rPr>
          <w:b/>
          <w:bCs/>
        </w:rPr>
        <w:t>INTRODUCTION</w:t>
      </w:r>
    </w:p>
    <w:p w:rsidR="00000000" w:rsidRDefault="00000000">
      <w:pPr>
        <w:keepNext/>
        <w:keepLines/>
        <w:spacing w:after="240"/>
      </w:pPr>
      <w:r>
        <w:t>1.</w:t>
      </w:r>
      <w:r>
        <w:tab/>
        <w:t xml:space="preserve">La réalisation des droits de l’enfant est un processus dont le point de départ remonte à l’adoption de la Convention relative aux droits de l’enfant (ci-après dénommé «la Convention») par l’Assemblée générale des Nations Unies. </w:t>
      </w:r>
      <w:proofErr w:type="spellStart"/>
      <w:r>
        <w:t>Kofi</w:t>
      </w:r>
      <w:proofErr w:type="spellEnd"/>
      <w:r>
        <w:t xml:space="preserve"> </w:t>
      </w:r>
      <w:proofErr w:type="spellStart"/>
      <w:r>
        <w:t>Annan</w:t>
      </w:r>
      <w:proofErr w:type="spellEnd"/>
      <w:r>
        <w:t> disait: «Ce n’est qu’en progressant dans la réalisation des droits de tous les enfants que les nations se rapprocheront de leurs objectifs de développement et de paix»</w:t>
      </w:r>
      <w:r>
        <w:rPr>
          <w:rStyle w:val="FootnoteReference"/>
          <w:color w:val="000000"/>
          <w:szCs w:val="22"/>
        </w:rPr>
        <w:footnoteReference w:id="3"/>
      </w:r>
      <w:r>
        <w:t xml:space="preserve">. </w:t>
      </w:r>
    </w:p>
    <w:p w:rsidR="00000000" w:rsidRDefault="00000000">
      <w:pPr>
        <w:spacing w:after="240"/>
        <w:rPr>
          <w:color w:val="000000"/>
          <w:szCs w:val="22"/>
        </w:rPr>
      </w:pPr>
      <w:r>
        <w:rPr>
          <w:color w:val="000000"/>
          <w:szCs w:val="22"/>
        </w:rPr>
        <w:t>2.</w:t>
      </w:r>
      <w:r>
        <w:rPr>
          <w:color w:val="000000"/>
          <w:szCs w:val="22"/>
        </w:rPr>
        <w:tab/>
        <w:t>Les États ayant ratifié cet instrument juridique international ont marqué ainsi leur adhésion à un code d’obligation en faveur de l’enfant. Pour ces États qui ont placé les droits de l’enfant au premier rang des objectifs pour les droits de l’homme, le respect du paragraphe 1</w:t>
      </w:r>
      <w:r>
        <w:rPr>
          <w:color w:val="000000"/>
          <w:szCs w:val="22"/>
          <w:vertAlign w:val="superscript"/>
        </w:rPr>
        <w:t>er</w:t>
      </w:r>
      <w:r>
        <w:rPr>
          <w:color w:val="000000"/>
          <w:szCs w:val="22"/>
        </w:rPr>
        <w:t xml:space="preserve"> de l’article 44 de la Convention relatif à la soumission d’un rapport devient un impératif.</w:t>
      </w:r>
    </w:p>
    <w:p w:rsidR="00000000" w:rsidRDefault="00000000">
      <w:pPr>
        <w:spacing w:after="240"/>
        <w:rPr>
          <w:color w:val="000000"/>
          <w:szCs w:val="22"/>
        </w:rPr>
      </w:pPr>
      <w:r>
        <w:rPr>
          <w:color w:val="000000"/>
          <w:szCs w:val="22"/>
        </w:rPr>
        <w:t>3.</w:t>
      </w:r>
      <w:r>
        <w:rPr>
          <w:color w:val="000000"/>
          <w:szCs w:val="22"/>
        </w:rPr>
        <w:tab/>
        <w:t xml:space="preserve">Le présent rapport est la réponse du Gouvernement du Tchad à l’obligation faite aux États parties d’élaborer un rapport périodique tous les cinq ans. Établi conformément aux nouvelles directives générales adoptées par le Comité des droits de l’enfant le 3 juin 2005 (CRC/C/58/Rev.1), ce rapport couvre la période 1999-2006. </w:t>
      </w:r>
    </w:p>
    <w:p w:rsidR="00000000" w:rsidRDefault="00000000">
      <w:pPr>
        <w:spacing w:after="240"/>
        <w:rPr>
          <w:color w:val="000000"/>
          <w:szCs w:val="22"/>
        </w:rPr>
      </w:pPr>
      <w:r>
        <w:rPr>
          <w:color w:val="000000"/>
          <w:szCs w:val="22"/>
        </w:rPr>
        <w:t>4.</w:t>
      </w:r>
      <w:r>
        <w:rPr>
          <w:color w:val="000000"/>
          <w:szCs w:val="22"/>
        </w:rPr>
        <w:tab/>
        <w:t>Le Tchad a élaboré son rapport initial en 1997 (CRC/C/3/Add.50). Ce rapport a été examiné par le Comité en 1999 dans ses 546</w:t>
      </w:r>
      <w:r>
        <w:rPr>
          <w:color w:val="000000"/>
          <w:szCs w:val="22"/>
          <w:vertAlign w:val="superscript"/>
        </w:rPr>
        <w:t>ème</w:t>
      </w:r>
      <w:r>
        <w:rPr>
          <w:color w:val="000000"/>
          <w:szCs w:val="22"/>
        </w:rPr>
        <w:t xml:space="preserve"> et 548</w:t>
      </w:r>
      <w:r>
        <w:rPr>
          <w:color w:val="000000"/>
          <w:szCs w:val="22"/>
          <w:vertAlign w:val="superscript"/>
        </w:rPr>
        <w:t>ème</w:t>
      </w:r>
      <w:r>
        <w:rPr>
          <w:color w:val="000000"/>
          <w:szCs w:val="22"/>
        </w:rPr>
        <w:t xml:space="preserve"> séances tenues les 24 et 25 mai 1999 (CRC/C/SR546 et 548). Les observations finales datent du 24 août 1999 (CRC/C/15/Add.107).</w:t>
      </w:r>
    </w:p>
    <w:p w:rsidR="00000000" w:rsidRDefault="00000000">
      <w:pPr>
        <w:spacing w:after="240"/>
        <w:rPr>
          <w:color w:val="000000"/>
          <w:szCs w:val="22"/>
        </w:rPr>
      </w:pPr>
      <w:r>
        <w:rPr>
          <w:color w:val="000000"/>
          <w:szCs w:val="22"/>
        </w:rPr>
        <w:t>5.</w:t>
      </w:r>
      <w:r>
        <w:rPr>
          <w:color w:val="000000"/>
          <w:szCs w:val="22"/>
        </w:rPr>
        <w:tab/>
        <w:t xml:space="preserve">Avec une population de 9 273 000 habitants en 2005, le Tchad reste un des pays les plus pauvres de la planète. Sa situation socio-économique s’est considérablement dégradée. Selon le </w:t>
      </w:r>
      <w:r>
        <w:rPr>
          <w:i/>
          <w:iCs/>
          <w:color w:val="000000"/>
          <w:szCs w:val="22"/>
        </w:rPr>
        <w:t>Rapport mondial sur le développement humain</w:t>
      </w:r>
      <w:r>
        <w:rPr>
          <w:color w:val="000000"/>
          <w:szCs w:val="22"/>
        </w:rPr>
        <w:t xml:space="preserve"> (2005) du Programme des Nations Unies pour le développement (PNUD), le Tchad est passé du 167</w:t>
      </w:r>
      <w:r>
        <w:rPr>
          <w:color w:val="000000"/>
          <w:szCs w:val="22"/>
          <w:vertAlign w:val="superscript"/>
        </w:rPr>
        <w:t>ème</w:t>
      </w:r>
      <w:r>
        <w:rPr>
          <w:color w:val="000000"/>
          <w:szCs w:val="22"/>
        </w:rPr>
        <w:t xml:space="preserve"> rang en 2000 au 173</w:t>
      </w:r>
      <w:r>
        <w:rPr>
          <w:color w:val="000000"/>
          <w:szCs w:val="22"/>
          <w:vertAlign w:val="superscript"/>
        </w:rPr>
        <w:t>ème</w:t>
      </w:r>
      <w:r>
        <w:rPr>
          <w:color w:val="000000"/>
          <w:szCs w:val="22"/>
        </w:rPr>
        <w:t xml:space="preserve"> rang sur 177 pays en 2005. </w:t>
      </w:r>
    </w:p>
    <w:p w:rsidR="00000000" w:rsidRDefault="00000000">
      <w:pPr>
        <w:spacing w:after="240"/>
        <w:rPr>
          <w:color w:val="000000"/>
          <w:szCs w:val="22"/>
        </w:rPr>
      </w:pPr>
      <w:r>
        <w:rPr>
          <w:color w:val="000000"/>
          <w:szCs w:val="22"/>
        </w:rPr>
        <w:t>6.</w:t>
      </w:r>
      <w:r>
        <w:rPr>
          <w:color w:val="000000"/>
          <w:szCs w:val="22"/>
        </w:rPr>
        <w:tab/>
        <w:t>Cependant, il est relevé dans le Document de Stratégie de Réduction de la Pauvreté (DSRP) du Tchad, que le pays regorge d’importantes potentialités, notamment en ressources naturelles (eau, terre cultivable, élevage, ressources minières). Les superficies des terres cultivables sont estimées à 2,2 millions d’hectares, celles des terres irrigables à 5,6 millions d’hectares. Les ressources en eaux souterraines renouvelables sont évaluées à près de 20 milliards de m</w:t>
      </w:r>
      <w:r>
        <w:rPr>
          <w:color w:val="000000"/>
          <w:szCs w:val="22"/>
          <w:vertAlign w:val="superscript"/>
        </w:rPr>
        <w:t>3</w:t>
      </w:r>
      <w:r>
        <w:rPr>
          <w:color w:val="000000"/>
          <w:szCs w:val="22"/>
        </w:rPr>
        <w:t xml:space="preserve"> par an, alors que les ressources exploitables des grandes nappes aquifères sont estimées entre 260 milliards et 540 milliards de m</w:t>
      </w:r>
      <w:r>
        <w:rPr>
          <w:color w:val="000000"/>
          <w:szCs w:val="22"/>
          <w:vertAlign w:val="superscript"/>
        </w:rPr>
        <w:t>3</w:t>
      </w:r>
      <w:r>
        <w:rPr>
          <w:color w:val="000000"/>
          <w:szCs w:val="22"/>
        </w:rPr>
        <w:t>. Le sous-sol regorge de minerais que sont le sel, le natron, l’uranium, l’or, le diamant, le kaolin etc., mais le plus important est le pétrole qui est actuellement en exploitation.</w:t>
      </w:r>
    </w:p>
    <w:p w:rsidR="00000000" w:rsidRDefault="00000000">
      <w:pPr>
        <w:spacing w:after="240"/>
        <w:rPr>
          <w:color w:val="000000"/>
          <w:szCs w:val="22"/>
        </w:rPr>
      </w:pPr>
      <w:r>
        <w:rPr>
          <w:color w:val="000000"/>
          <w:szCs w:val="22"/>
        </w:rPr>
        <w:t>7.</w:t>
      </w:r>
      <w:r>
        <w:rPr>
          <w:color w:val="000000"/>
          <w:szCs w:val="22"/>
        </w:rPr>
        <w:tab/>
        <w:t>L’abondance de ces ressources naturelles contraste avec le niveau de vie des populations tchadiennes. Il ressort du DSRP que les indicateurs socio-économiques au Tchad sont parmi les plus bas des pays d’Afrique Subsaharienne. 64 % de la population vivent en dessous du seuil de pauvreté; le taux de couverture vaccinale des enfants reste extrêmement faible. Seulement 11 % des enfants de 12 à 23 mois ont reçu tous les vaccins du Programme élargi de vaccination (PEV); une grande partie de la population vit une insécurité alimentaire chronique; l’habitat reste encore, à près de 90 %, sensible aux intempéries; seulement 1 % de la population a accès à l’énergie électrique et 23 % à l’eau potable; moins de 10 % de la population bénéficient des services d’assainissement de base.</w:t>
      </w:r>
    </w:p>
    <w:p w:rsidR="00000000" w:rsidRDefault="00000000">
      <w:pPr>
        <w:spacing w:after="240"/>
        <w:rPr>
          <w:color w:val="000000"/>
          <w:szCs w:val="22"/>
        </w:rPr>
      </w:pPr>
      <w:r>
        <w:rPr>
          <w:color w:val="000000"/>
          <w:szCs w:val="22"/>
        </w:rPr>
        <w:t>8.</w:t>
      </w:r>
      <w:r>
        <w:rPr>
          <w:color w:val="000000"/>
          <w:szCs w:val="22"/>
        </w:rPr>
        <w:tab/>
        <w:t xml:space="preserve">Le revenu annuel par habitant est de $ 495 en 2005 tandis qu’il était de $ 193 en 2000. Cette hausse est surtout due à l’exploitation du pétrole. Cependant les revenus qui en découlent ne sont pas repartis de manière équitable de sorte que ce chiffre n’implique pas automatiquement une amélioration du niveau de vie de la population. </w:t>
      </w:r>
    </w:p>
    <w:p w:rsidR="00000000" w:rsidRDefault="00000000">
      <w:pPr>
        <w:spacing w:after="240"/>
        <w:rPr>
          <w:color w:val="000000"/>
          <w:szCs w:val="22"/>
        </w:rPr>
      </w:pPr>
      <w:r>
        <w:rPr>
          <w:color w:val="000000"/>
          <w:szCs w:val="22"/>
        </w:rPr>
        <w:t>9.</w:t>
      </w:r>
      <w:r>
        <w:rPr>
          <w:color w:val="000000"/>
          <w:szCs w:val="22"/>
        </w:rPr>
        <w:tab/>
        <w:t xml:space="preserve">Le système éducatif se caractérise par des disparités selon le milieu géographique et le genre par rapport à l’accès à l’école et à la qualité des enseignements et des apprentissages dispensés. Le niveau d’instruction de la population demeure très faible, en particulier celui des femmes. Environ 75 % des femmes de 15-49 ans et 47 % des hommes de 15-59 ans n’ont jamais été à l’école. Les taux bruts de scolarisation dans le primaire sont respectivement de 75 et 51 % pour les garçons et les filles (EDST 2004). </w:t>
      </w:r>
    </w:p>
    <w:p w:rsidR="00000000" w:rsidRDefault="00000000">
      <w:pPr>
        <w:spacing w:after="240"/>
        <w:rPr>
          <w:color w:val="000000"/>
          <w:szCs w:val="22"/>
        </w:rPr>
      </w:pPr>
      <w:r>
        <w:rPr>
          <w:color w:val="000000"/>
          <w:szCs w:val="22"/>
        </w:rPr>
        <w:t>10.</w:t>
      </w:r>
      <w:r>
        <w:rPr>
          <w:color w:val="000000"/>
          <w:szCs w:val="22"/>
        </w:rPr>
        <w:tab/>
        <w:t>Sur le plan sanitaire, l’espéra</w:t>
      </w:r>
      <w:r>
        <w:rPr>
          <w:szCs w:val="22"/>
        </w:rPr>
        <w:t xml:space="preserve">nce de vie à la naissance est de 47 ans pour les hommes et de 50 ans pour les femmes. Globalement, le niveau de mortalité </w:t>
      </w:r>
      <w:proofErr w:type="spellStart"/>
      <w:r>
        <w:rPr>
          <w:szCs w:val="22"/>
        </w:rPr>
        <w:t>infanto-juvénile</w:t>
      </w:r>
      <w:proofErr w:type="spellEnd"/>
      <w:r>
        <w:rPr>
          <w:szCs w:val="22"/>
        </w:rPr>
        <w:t xml:space="preserve"> reste très élevé avec un taux de 191 pour mille. Le taux de mortalité maternelle est estimé à 1 099 décès pour 100 000 naissances vivantes. 37 % des enfants âgés de moins de 5 ans souffrent de malnutrition chronique. </w:t>
      </w:r>
    </w:p>
    <w:p w:rsidR="00000000" w:rsidRDefault="00000000">
      <w:pPr>
        <w:spacing w:after="240"/>
        <w:rPr>
          <w:color w:val="000000"/>
          <w:szCs w:val="22"/>
        </w:rPr>
      </w:pPr>
      <w:r>
        <w:rPr>
          <w:color w:val="000000"/>
          <w:szCs w:val="22"/>
        </w:rPr>
        <w:t>11.</w:t>
      </w:r>
      <w:r>
        <w:rPr>
          <w:color w:val="000000"/>
          <w:szCs w:val="22"/>
        </w:rPr>
        <w:tab/>
        <w:t xml:space="preserve">Le pays reste confronté à une crise </w:t>
      </w:r>
      <w:proofErr w:type="spellStart"/>
      <w:r>
        <w:rPr>
          <w:color w:val="000000"/>
          <w:szCs w:val="22"/>
        </w:rPr>
        <w:t>socio</w:t>
      </w:r>
      <w:proofErr w:type="spellEnd"/>
      <w:r>
        <w:rPr>
          <w:color w:val="000000"/>
          <w:szCs w:val="22"/>
        </w:rPr>
        <w:t xml:space="preserve"> économique marquée par des rebellions à travers le pays et des grèves dues au paiement irrégulier de salaires. Par ailleurs, le pays fait face à l’afflux des réfugiés à la fois du Soudan (220 000) accueillis à l’est du Tchad et de la République centrafricaine (plus de 40 000) au sud. </w:t>
      </w:r>
    </w:p>
    <w:p w:rsidR="00000000" w:rsidRDefault="00000000">
      <w:pPr>
        <w:spacing w:after="240"/>
        <w:rPr>
          <w:szCs w:val="22"/>
        </w:rPr>
      </w:pPr>
      <w:r>
        <w:rPr>
          <w:szCs w:val="22"/>
        </w:rPr>
        <w:t>12.</w:t>
      </w:r>
      <w:r>
        <w:rPr>
          <w:szCs w:val="22"/>
        </w:rPr>
        <w:tab/>
        <w:t xml:space="preserve">Afin d’assurer le bien-être de la population, le Gouvernement s’est engagé vers une politique de développement humain durable ayant pour finalité de focaliser le développement du pays sur la promotion des droits humains. Dans un contexte marqué par la pauvreté et la pénurie, le Gouvernement envisage assurer à la population entière l’accès aux services sociaux de base. </w:t>
      </w:r>
    </w:p>
    <w:p w:rsidR="00000000" w:rsidRDefault="00000000">
      <w:pPr>
        <w:spacing w:after="240"/>
        <w:rPr>
          <w:szCs w:val="22"/>
        </w:rPr>
      </w:pPr>
      <w:r>
        <w:rPr>
          <w:szCs w:val="22"/>
        </w:rPr>
        <w:t>13.</w:t>
      </w:r>
      <w:r>
        <w:rPr>
          <w:szCs w:val="22"/>
        </w:rPr>
        <w:tab/>
        <w:t xml:space="preserve">Le Gouvernement travaille avec les partenaires nationaux et internationaux pour mettre en œuvre les </w:t>
      </w:r>
      <w:r>
        <w:rPr>
          <w:szCs w:val="22"/>
        </w:rPr>
        <w:t xml:space="preserve">Objectifs du développement pour le millénaire et améliorer les conditions de vie des Tchadiens. </w:t>
      </w:r>
    </w:p>
    <w:p w:rsidR="00000000" w:rsidRDefault="00000000">
      <w:pPr>
        <w:spacing w:after="240"/>
        <w:jc w:val="center"/>
        <w:rPr>
          <w:b/>
          <w:szCs w:val="22"/>
        </w:rPr>
      </w:pPr>
      <w:r>
        <w:rPr>
          <w:b/>
          <w:szCs w:val="22"/>
        </w:rPr>
        <w:t>I.  MESURES D’APPLICATION GÉNÉRALE</w:t>
      </w:r>
      <w:r>
        <w:rPr>
          <w:b/>
          <w:szCs w:val="22"/>
        </w:rPr>
        <w:br/>
        <w:t>(art. 4, 42 et 44, par. 6)</w:t>
      </w:r>
    </w:p>
    <w:p w:rsidR="00000000" w:rsidRDefault="00000000">
      <w:pPr>
        <w:spacing w:after="240"/>
        <w:rPr>
          <w:color w:val="000000"/>
          <w:szCs w:val="22"/>
        </w:rPr>
      </w:pPr>
      <w:r>
        <w:rPr>
          <w:color w:val="000000"/>
          <w:szCs w:val="22"/>
        </w:rPr>
        <w:t>14.</w:t>
      </w:r>
      <w:r>
        <w:rPr>
          <w:color w:val="000000"/>
          <w:szCs w:val="22"/>
        </w:rPr>
        <w:tab/>
        <w:t xml:space="preserve">En réponse aux observations formulées par le Comité (CRC/C/15/Add.107), le Gouvernement tchadien a adopté une série de mesures dont quelques unes sont en cours de réalisation telles: </w:t>
      </w:r>
    </w:p>
    <w:p w:rsidR="00000000" w:rsidRDefault="00000000">
      <w:pPr>
        <w:spacing w:after="240"/>
        <w:ind w:firstLine="567"/>
        <w:rPr>
          <w:color w:val="000000"/>
          <w:szCs w:val="22"/>
        </w:rPr>
      </w:pPr>
      <w:r>
        <w:rPr>
          <w:color w:val="000000"/>
          <w:szCs w:val="22"/>
        </w:rPr>
        <w:t>a)</w:t>
      </w:r>
      <w:r>
        <w:rPr>
          <w:color w:val="000000"/>
          <w:szCs w:val="22"/>
        </w:rPr>
        <w:tab/>
        <w:t>La promulgation de la loi nº016/PR/99 portant code de l’eau et réglementant la gestion et l’exploitation des ressources en eau de surface. La loi s’applique aux ressources existant dans les périmètres du territoire tchadien et définit l’utilisation des ressources en eau. L’article 23, par exemple, contient la liste des activités non autorisées sur le périmètre de protection, comme le dépôt des déchets y compris les excréments, le pompage excessif des ressources en eau. L’article 35 prévoit une utilisation rationnelle de l’eau tout en tenant compte des besoins des autres usagers et des considérations d’ordre environnemental.</w:t>
      </w:r>
    </w:p>
    <w:p w:rsidR="00000000" w:rsidRDefault="00000000">
      <w:pPr>
        <w:spacing w:after="240"/>
        <w:ind w:firstLine="567"/>
        <w:rPr>
          <w:color w:val="000000"/>
          <w:szCs w:val="22"/>
        </w:rPr>
      </w:pPr>
      <w:r>
        <w:rPr>
          <w:color w:val="000000"/>
          <w:szCs w:val="22"/>
        </w:rPr>
        <w:t>b)</w:t>
      </w:r>
      <w:r>
        <w:rPr>
          <w:color w:val="000000"/>
          <w:szCs w:val="22"/>
        </w:rPr>
        <w:tab/>
        <w:t>La promulgation, le 15 avril 2002, de la loi n</w:t>
      </w:r>
      <w:r>
        <w:rPr>
          <w:color w:val="000000"/>
          <w:szCs w:val="22"/>
          <w:vertAlign w:val="superscript"/>
        </w:rPr>
        <w:t>o</w:t>
      </w:r>
      <w:r>
        <w:rPr>
          <w:color w:val="000000"/>
          <w:szCs w:val="22"/>
        </w:rPr>
        <w:t> 06/PR/2002 portant Promotion de la Santé de Reproduction. Cette loi prévoit la liberté de choisir en responsable et avec discernement de se marier ou de ne pas se marier et fonder une famille, le droit à l’information et à l’éducation. Elle prévoit le droit d’avoir accès aux moyens nécessaires relatifs aux avantages, aux risques et à l’efficacité de toutes méthodes de régulation des naissances, le droit de ne pas être soumis à la torture et à des traitements cruels, inhumains ou dégradants sur son corps en général et sur ses organes de reproduction en particulier. Elle interdit toutes formes de violences telles que les mutilations génitales</w:t>
      </w:r>
      <w:r>
        <w:rPr>
          <w:szCs w:val="22"/>
        </w:rPr>
        <w:t xml:space="preserve"> </w:t>
      </w:r>
      <w:r>
        <w:rPr>
          <w:color w:val="000000"/>
          <w:szCs w:val="22"/>
        </w:rPr>
        <w:t>féminines (MGF), les mariages précoces, les violences domestiques et la violence sexuelle sur la personne humaine.</w:t>
      </w:r>
    </w:p>
    <w:p w:rsidR="00000000" w:rsidRDefault="00000000">
      <w:pPr>
        <w:spacing w:after="240"/>
        <w:rPr>
          <w:color w:val="000000"/>
          <w:szCs w:val="22"/>
        </w:rPr>
      </w:pPr>
      <w:r>
        <w:rPr>
          <w:color w:val="000000"/>
          <w:szCs w:val="22"/>
        </w:rPr>
        <w:t>15.</w:t>
      </w:r>
      <w:r>
        <w:rPr>
          <w:color w:val="000000"/>
          <w:szCs w:val="22"/>
        </w:rPr>
        <w:tab/>
        <w:t xml:space="preserve">Néanmoins, il convient de préciser que cette loi est d’application difficile au regard du principe général de droit en vertu duquel, la loi pénale est d’interprétation stricte. Le législateur s’est contenté à travers la loi n° 6 d’interdire les MGF, les mariages précoces, les violences domestiques et les sévices sexuels sans en préciser les peines applicables. </w:t>
      </w:r>
    </w:p>
    <w:p w:rsidR="00000000" w:rsidRDefault="00000000">
      <w:pPr>
        <w:spacing w:after="240"/>
        <w:rPr>
          <w:color w:val="000000"/>
          <w:szCs w:val="22"/>
        </w:rPr>
      </w:pPr>
      <w:r>
        <w:rPr>
          <w:color w:val="000000"/>
          <w:szCs w:val="22"/>
        </w:rPr>
        <w:t>16.</w:t>
      </w:r>
      <w:r>
        <w:rPr>
          <w:color w:val="000000"/>
          <w:szCs w:val="22"/>
        </w:rPr>
        <w:tab/>
        <w:t>Cette insuffisance sera corrigée par le projet de texte révisant certaines dispositions du Code pénal en faveur des enfants qui considère ces faits comme étant répréhensibles et les condamne à des peines bien précises.</w:t>
      </w:r>
    </w:p>
    <w:p w:rsidR="00000000" w:rsidRDefault="00000000">
      <w:pPr>
        <w:spacing w:after="240"/>
        <w:rPr>
          <w:color w:val="000000"/>
          <w:szCs w:val="22"/>
        </w:rPr>
      </w:pPr>
      <w:r>
        <w:rPr>
          <w:color w:val="000000"/>
          <w:szCs w:val="22"/>
        </w:rPr>
        <w:t>17.</w:t>
      </w:r>
      <w:r>
        <w:rPr>
          <w:color w:val="000000"/>
          <w:szCs w:val="22"/>
        </w:rPr>
        <w:tab/>
        <w:t xml:space="preserve">Pour rendre obligatoire l’enregistrement à l’état civil et rapprocher les centres d’état civil des communautés, l’ordonnance nº3/INT du 2 juin 1961 réglementant l’état civil sur le territoire national a été révisée et validée en 2003 et est en cours d’adoption par l’Assemblée nationale. </w:t>
      </w:r>
    </w:p>
    <w:p w:rsidR="00000000" w:rsidRDefault="00000000">
      <w:pPr>
        <w:spacing w:after="240"/>
        <w:rPr>
          <w:color w:val="000000"/>
          <w:szCs w:val="22"/>
        </w:rPr>
      </w:pPr>
      <w:r>
        <w:rPr>
          <w:color w:val="000000"/>
          <w:szCs w:val="22"/>
        </w:rPr>
        <w:t>18.</w:t>
      </w:r>
      <w:r>
        <w:rPr>
          <w:color w:val="000000"/>
          <w:szCs w:val="22"/>
        </w:rPr>
        <w:tab/>
        <w:t xml:space="preserve">La réalisation d’une étude sur l’harmonisation des textes nationaux avec la Convention et la Charte africaine des droits et du bien être de l’enfant africain (CADE) a été initiée en 2001 avec l’appui de l’UNICEF. Elle a permis de constater les vides juridiques et la non adéquation de certains textes nationaux avec les conventions sur les droits de l’enfant ratifiées et de procéder à l’élaboration ou à la révision des textes nationaux pour les rendre conformes </w:t>
      </w:r>
      <w:proofErr w:type="spellStart"/>
      <w:r>
        <w:rPr>
          <w:color w:val="000000"/>
          <w:szCs w:val="22"/>
        </w:rPr>
        <w:t>auxdites</w:t>
      </w:r>
      <w:proofErr w:type="spellEnd"/>
      <w:r>
        <w:rPr>
          <w:color w:val="000000"/>
          <w:szCs w:val="22"/>
        </w:rPr>
        <w:t xml:space="preserve"> conventions. Il convient de souligner que la ratification en 2000 de la CADE est une nouvelle mesure. Cette ratification permet de prendre en compte les problèmes spécifiques rencontrés par les enfants africains et non couverts par la Convention. </w:t>
      </w:r>
    </w:p>
    <w:p w:rsidR="00000000" w:rsidRDefault="00000000">
      <w:pPr>
        <w:spacing w:after="240"/>
        <w:rPr>
          <w:color w:val="000000"/>
          <w:szCs w:val="22"/>
        </w:rPr>
      </w:pPr>
      <w:r>
        <w:rPr>
          <w:color w:val="000000"/>
          <w:szCs w:val="22"/>
        </w:rPr>
        <w:t>19.</w:t>
      </w:r>
      <w:r>
        <w:rPr>
          <w:color w:val="000000"/>
          <w:szCs w:val="22"/>
        </w:rPr>
        <w:tab/>
        <w:t>Au chapitre des ratifications, le Tchad a également ratifié d’autres instruments juridiques internationaux protégeant les enfants. Il s’agit de:</w:t>
      </w:r>
    </w:p>
    <w:p w:rsidR="00000000" w:rsidRDefault="00000000">
      <w:pPr>
        <w:numPr>
          <w:ilvl w:val="0"/>
          <w:numId w:val="128"/>
        </w:numPr>
        <w:spacing w:after="240"/>
      </w:pPr>
      <w:r>
        <w:t>Les protocoles additionnels à la Convention concernant la vente, la prostitution et la pornographie mettant en scène les enfants et l’implication des enfants dans les conflits armés (28 août 2002);</w:t>
      </w:r>
    </w:p>
    <w:p w:rsidR="00000000" w:rsidRDefault="00000000">
      <w:pPr>
        <w:numPr>
          <w:ilvl w:val="0"/>
          <w:numId w:val="128"/>
        </w:numPr>
        <w:spacing w:after="240"/>
      </w:pPr>
      <w:r>
        <w:t>La Convention nº182 de l’Organisation internationale du Travail (OIT) sur les pires formes de travail des enfants (août 2002);</w:t>
      </w:r>
    </w:p>
    <w:p w:rsidR="00000000" w:rsidRDefault="00000000">
      <w:pPr>
        <w:numPr>
          <w:ilvl w:val="0"/>
          <w:numId w:val="128"/>
        </w:numPr>
        <w:spacing w:after="240"/>
      </w:pPr>
      <w:r>
        <w:t>La Convention nº138 sur l’âge minimum d’admission à l’emploi, 1973 (août 2002);</w:t>
      </w:r>
    </w:p>
    <w:p w:rsidR="00000000" w:rsidRDefault="00000000">
      <w:pPr>
        <w:numPr>
          <w:ilvl w:val="0"/>
          <w:numId w:val="128"/>
        </w:numPr>
        <w:spacing w:after="240"/>
      </w:pPr>
      <w:r>
        <w:t xml:space="preserve">La Conclusion des Accords d’Entraide judiciaire au niveau de la Communauté économique et monétaire de l’Afrique centrale (CEMAC) et de la Communauté des nations </w:t>
      </w:r>
      <w:proofErr w:type="spellStart"/>
      <w:r>
        <w:t>sahélo-sahariennes</w:t>
      </w:r>
      <w:proofErr w:type="spellEnd"/>
      <w:r>
        <w:t xml:space="preserve"> pour le développement (CENSAD);</w:t>
      </w:r>
    </w:p>
    <w:p w:rsidR="00000000" w:rsidRDefault="00000000">
      <w:pPr>
        <w:spacing w:after="240"/>
        <w:rPr>
          <w:color w:val="000000"/>
          <w:szCs w:val="22"/>
        </w:rPr>
      </w:pPr>
      <w:r>
        <w:rPr>
          <w:color w:val="000000"/>
          <w:szCs w:val="22"/>
        </w:rPr>
        <w:t>20.</w:t>
      </w:r>
      <w:r>
        <w:rPr>
          <w:color w:val="000000"/>
          <w:szCs w:val="22"/>
        </w:rPr>
        <w:tab/>
        <w:t xml:space="preserve">Le Code pénal révisé en 2003 mais non encore promulgué prend en considération la répression des atteintes à l’intégrité physique et morale de la femme et de l’enfant, notamment le trafic des enfants, le harcèlement sexuel, la pédophilie, l’inceste. </w:t>
      </w:r>
    </w:p>
    <w:p w:rsidR="00000000" w:rsidRDefault="00000000">
      <w:pPr>
        <w:spacing w:after="240"/>
        <w:rPr>
          <w:color w:val="000000"/>
          <w:szCs w:val="22"/>
        </w:rPr>
      </w:pPr>
      <w:r>
        <w:rPr>
          <w:color w:val="000000"/>
          <w:szCs w:val="22"/>
        </w:rPr>
        <w:t>21.</w:t>
      </w:r>
      <w:r>
        <w:rPr>
          <w:color w:val="000000"/>
          <w:szCs w:val="22"/>
        </w:rPr>
        <w:tab/>
        <w:t xml:space="preserve">Le décret d’application du Code du travail réglementant le travail des enfants a été validé en 2004. </w:t>
      </w:r>
    </w:p>
    <w:p w:rsidR="00000000" w:rsidRDefault="00000000">
      <w:pPr>
        <w:spacing w:after="240"/>
        <w:rPr>
          <w:color w:val="000000"/>
          <w:szCs w:val="22"/>
        </w:rPr>
      </w:pPr>
      <w:r>
        <w:rPr>
          <w:color w:val="000000"/>
          <w:szCs w:val="22"/>
        </w:rPr>
        <w:t>22.</w:t>
      </w:r>
      <w:r>
        <w:rPr>
          <w:color w:val="000000"/>
          <w:szCs w:val="22"/>
        </w:rPr>
        <w:tab/>
        <w:t xml:space="preserve">Un projet de code de protection de l’enfant est en cours d’élaboration dans le cadre du programme de Coopération Tchad UNICEF 2006-2010. Des études sur le travail domestique des enfants dans la ville de N’djamena et sur la situation des enfants </w:t>
      </w:r>
      <w:proofErr w:type="spellStart"/>
      <w:r>
        <w:rPr>
          <w:color w:val="000000"/>
          <w:szCs w:val="22"/>
        </w:rPr>
        <w:t>mouhadjirins</w:t>
      </w:r>
      <w:proofErr w:type="spellEnd"/>
      <w:r>
        <w:rPr>
          <w:color w:val="000000"/>
          <w:szCs w:val="22"/>
        </w:rPr>
        <w:t xml:space="preserve"> en 2005 et 2006 ont été réalisées. Le Plan d’action national de lutte contre les abus et l’exploitation sexuels des enfants a été lancé en 2005.</w:t>
      </w:r>
    </w:p>
    <w:p w:rsidR="00000000" w:rsidRDefault="00000000">
      <w:pPr>
        <w:spacing w:after="240"/>
        <w:rPr>
          <w:color w:val="000000"/>
          <w:szCs w:val="22"/>
        </w:rPr>
      </w:pPr>
      <w:r>
        <w:rPr>
          <w:color w:val="000000"/>
          <w:szCs w:val="22"/>
        </w:rPr>
        <w:t>23.</w:t>
      </w:r>
      <w:r>
        <w:rPr>
          <w:color w:val="000000"/>
          <w:szCs w:val="22"/>
        </w:rPr>
        <w:tab/>
        <w:t>Cependant, les efforts de promotion de la Convention sont limités par la forte influence des coutumes et traditions ainsi que par les difficultés dans l’adoption et la mise en œuvre des nouveaux textes élaborés.</w:t>
      </w:r>
    </w:p>
    <w:p w:rsidR="00000000" w:rsidRDefault="00000000">
      <w:pPr>
        <w:spacing w:after="240"/>
        <w:rPr>
          <w:color w:val="000000"/>
          <w:szCs w:val="22"/>
        </w:rPr>
      </w:pPr>
      <w:r>
        <w:rPr>
          <w:color w:val="000000"/>
          <w:szCs w:val="22"/>
        </w:rPr>
        <w:t>24.</w:t>
      </w:r>
      <w:r>
        <w:rPr>
          <w:color w:val="000000"/>
          <w:szCs w:val="22"/>
        </w:rPr>
        <w:tab/>
        <w:t>Des progrès ont été réalisés dans le domaine de la collecte et la centralisation de données avec l’appui des partenaires. Une enquête à indicateurs multiples (EIMT) et une autre enquête démographique et de santé au Tchad ont été menées respectivement en 2000 et 2004 et ont permis d’avoir des données ventilées selon le sexe, la région, les couches sociales dans les domaines de la santé, la fécondité, les MGF, les handicaps, la mortalité maternelle et infantile, le SIDA et certains aspects de la protection notamment le travail des enfants et le droit d’être enregistré à la naissance.</w:t>
      </w:r>
      <w:r>
        <w:rPr>
          <w:rStyle w:val="FootnoteReference"/>
          <w:color w:val="000000"/>
          <w:szCs w:val="22"/>
        </w:rPr>
        <w:footnoteReference w:id="4"/>
      </w:r>
      <w:r>
        <w:rPr>
          <w:color w:val="000000"/>
          <w:szCs w:val="22"/>
        </w:rPr>
        <w:t>.</w:t>
      </w:r>
    </w:p>
    <w:p w:rsidR="00000000" w:rsidRDefault="00000000">
      <w:pPr>
        <w:spacing w:after="240"/>
        <w:rPr>
          <w:color w:val="000000"/>
          <w:szCs w:val="22"/>
        </w:rPr>
      </w:pPr>
      <w:r>
        <w:rPr>
          <w:iCs/>
          <w:color w:val="000000"/>
          <w:szCs w:val="22"/>
        </w:rPr>
        <w:t>25</w:t>
      </w:r>
      <w:r>
        <w:rPr>
          <w:i/>
          <w:color w:val="000000"/>
          <w:szCs w:val="22"/>
        </w:rPr>
        <w:t>.</w:t>
      </w:r>
      <w:r>
        <w:rPr>
          <w:i/>
          <w:color w:val="000000"/>
          <w:szCs w:val="22"/>
        </w:rPr>
        <w:tab/>
      </w:r>
      <w:r>
        <w:rPr>
          <w:iCs/>
          <w:color w:val="000000"/>
          <w:szCs w:val="22"/>
        </w:rPr>
        <w:t>S’agissant</w:t>
      </w:r>
      <w:r>
        <w:rPr>
          <w:color w:val="000000"/>
          <w:szCs w:val="22"/>
        </w:rPr>
        <w:t xml:space="preserve"> des mécanismes de suivi, le Ministère de l’Action sociale et de la Famille (MASF), par la mission qui lui est assignée, est chargé de la conception, de la coordination, du suivi et de la mise en œuvre de la politique sociale du Gouvernement. Il joue un rôle crucial dans le domaine de la promotion et de la protection sociale des groupes vulnérables en général et des enfants en particulier. </w:t>
      </w:r>
    </w:p>
    <w:p w:rsidR="00000000" w:rsidRDefault="00000000">
      <w:pPr>
        <w:spacing w:after="240"/>
        <w:rPr>
          <w:color w:val="000000"/>
          <w:szCs w:val="22"/>
        </w:rPr>
      </w:pPr>
      <w:r>
        <w:rPr>
          <w:color w:val="000000"/>
          <w:szCs w:val="22"/>
        </w:rPr>
        <w:t>26.</w:t>
      </w:r>
      <w:r>
        <w:rPr>
          <w:color w:val="000000"/>
          <w:szCs w:val="22"/>
        </w:rPr>
        <w:tab/>
        <w:t xml:space="preserve">À ce titre, le Ministère assure la coordination de toutes les actions en faveur de l’enfant. L’exécution de cette mission se réalise par le biais de la Direction de l’Enfance créée à cet effet en 1994. Cependant, en vue de réaliser les objectifs de cette mission et du fait du caractère </w:t>
      </w:r>
      <w:proofErr w:type="spellStart"/>
      <w:r>
        <w:rPr>
          <w:color w:val="000000"/>
          <w:szCs w:val="22"/>
        </w:rPr>
        <w:t>multisectoriel</w:t>
      </w:r>
      <w:proofErr w:type="spellEnd"/>
      <w:r>
        <w:rPr>
          <w:color w:val="000000"/>
          <w:szCs w:val="22"/>
        </w:rPr>
        <w:t xml:space="preserve"> de la protection de l’enfant, un système de partenariat regroupant les autres acteurs tant du côté gouvernemental que de la société civile est développé afin d’assurer un travail en synergie. </w:t>
      </w:r>
    </w:p>
    <w:p w:rsidR="00000000" w:rsidRDefault="00000000">
      <w:pPr>
        <w:spacing w:after="240"/>
        <w:rPr>
          <w:color w:val="000000"/>
          <w:szCs w:val="22"/>
        </w:rPr>
      </w:pPr>
      <w:r>
        <w:rPr>
          <w:color w:val="000000"/>
          <w:szCs w:val="22"/>
        </w:rPr>
        <w:t>27.</w:t>
      </w:r>
      <w:r>
        <w:rPr>
          <w:color w:val="000000"/>
          <w:szCs w:val="22"/>
        </w:rPr>
        <w:tab/>
        <w:t>Quant au suivi de la mise en œuvre de la Convention, un projet de création d’un Comité a été déposé auprès du Premier Ministre mais n’a pas encore vu le jour.</w:t>
      </w:r>
    </w:p>
    <w:p w:rsidR="00000000" w:rsidRDefault="00000000">
      <w:pPr>
        <w:spacing w:after="240"/>
        <w:rPr>
          <w:color w:val="000000"/>
          <w:szCs w:val="22"/>
        </w:rPr>
      </w:pPr>
      <w:r>
        <w:rPr>
          <w:color w:val="000000"/>
          <w:szCs w:val="22"/>
        </w:rPr>
        <w:t>28. Dans le souci de promouvoir le respect des droits humains, il est créé auprès du Premier Ministre, un Ministère délégué chargé des droits de l’homme avec pour mission de défendre les droits fondamentaux. Ce ministère reçoit également les plaintes des citoyens victimes d’abus et de violations de leurs droits. </w:t>
      </w:r>
    </w:p>
    <w:p w:rsidR="00000000" w:rsidRDefault="00000000">
      <w:pPr>
        <w:spacing w:after="240"/>
        <w:rPr>
          <w:b/>
          <w:bCs/>
          <w:iCs/>
          <w:color w:val="000000"/>
          <w:szCs w:val="22"/>
        </w:rPr>
      </w:pPr>
      <w:r>
        <w:rPr>
          <w:b/>
          <w:bCs/>
          <w:iCs/>
          <w:color w:val="000000"/>
          <w:szCs w:val="22"/>
        </w:rPr>
        <w:t>Processus d’élaboration du présent rapport</w:t>
      </w:r>
    </w:p>
    <w:p w:rsidR="00000000" w:rsidRDefault="00000000">
      <w:pPr>
        <w:spacing w:after="240"/>
        <w:rPr>
          <w:color w:val="000000"/>
          <w:szCs w:val="22"/>
        </w:rPr>
      </w:pPr>
      <w:r>
        <w:rPr>
          <w:color w:val="000000"/>
          <w:szCs w:val="22"/>
        </w:rPr>
        <w:t>29.</w:t>
      </w:r>
      <w:r>
        <w:rPr>
          <w:color w:val="000000"/>
          <w:szCs w:val="22"/>
        </w:rPr>
        <w:tab/>
        <w:t>Le processus d’élaboration du présent rapport a débuté par une session de deux journées d’information sur les nouvelles directives concernant la rédaction des rapports sur l’application de la Convention, animée par une consultante internationale, membre du Comité de Droits de l’Enfant des Nations Unies.</w:t>
      </w:r>
    </w:p>
    <w:p w:rsidR="00000000" w:rsidRDefault="00000000">
      <w:pPr>
        <w:spacing w:after="240"/>
        <w:rPr>
          <w:color w:val="000000"/>
          <w:szCs w:val="22"/>
        </w:rPr>
      </w:pPr>
      <w:r>
        <w:rPr>
          <w:color w:val="000000"/>
          <w:szCs w:val="22"/>
        </w:rPr>
        <w:t>30.</w:t>
      </w:r>
      <w:r>
        <w:rPr>
          <w:color w:val="000000"/>
          <w:szCs w:val="22"/>
        </w:rPr>
        <w:tab/>
        <w:t>Le choix des participants s’est fait sur la base du caractère transversal de la question de protection de l’enfance et également en tenant compte de l’appui indispensable de certaines institutions dans la mise en œuvre de la Convention telles que le Ministère des Finances pour toutes les questions de ressources financières, le Ministère de l’Économie, du Plan et de la Coopération à travers l’</w:t>
      </w:r>
      <w:proofErr w:type="spellStart"/>
      <w:r>
        <w:rPr>
          <w:color w:val="000000"/>
          <w:szCs w:val="22"/>
        </w:rPr>
        <w:t>INSEED</w:t>
      </w:r>
      <w:proofErr w:type="spellEnd"/>
      <w:r>
        <w:rPr>
          <w:color w:val="000000"/>
          <w:szCs w:val="22"/>
        </w:rPr>
        <w:t xml:space="preserve"> pour la collecte de données et dans le cadre de la Coopération Internationale.</w:t>
      </w:r>
    </w:p>
    <w:p w:rsidR="00000000" w:rsidRDefault="00000000">
      <w:pPr>
        <w:spacing w:after="240"/>
        <w:rPr>
          <w:color w:val="000000"/>
          <w:szCs w:val="22"/>
        </w:rPr>
      </w:pPr>
      <w:r>
        <w:rPr>
          <w:color w:val="000000"/>
          <w:szCs w:val="22"/>
        </w:rPr>
        <w:t>31.</w:t>
      </w:r>
      <w:r>
        <w:rPr>
          <w:color w:val="000000"/>
          <w:szCs w:val="22"/>
        </w:rPr>
        <w:tab/>
        <w:t xml:space="preserve">À l’issue de ces journées, un groupe de travail a procédé à la collecte de données permettant la compilation de toutes les informations. </w:t>
      </w:r>
    </w:p>
    <w:p w:rsidR="00000000" w:rsidRDefault="00000000">
      <w:pPr>
        <w:spacing w:after="240"/>
        <w:rPr>
          <w:color w:val="000000"/>
          <w:szCs w:val="22"/>
        </w:rPr>
      </w:pPr>
      <w:r>
        <w:rPr>
          <w:color w:val="000000"/>
          <w:szCs w:val="22"/>
        </w:rPr>
        <w:t>32.</w:t>
      </w:r>
      <w:r>
        <w:rPr>
          <w:color w:val="000000"/>
          <w:szCs w:val="22"/>
        </w:rPr>
        <w:tab/>
        <w:t>Le Comité technique a consacré trois journées d’échanges dont une avec 14 ONG et deux journées avec 13 associations de jeunes oeuvrant en faveur des enfants. Lors de ces rencontres, un bilan des réalisations du Gouvernement en faveur des enfants a été fait et il ressort que des efforts devront être poursuivis notamment le développement des infrastructures sanitaires et scolaires et le renforcement des capacités dans les domaines socio-éducatifs.</w:t>
      </w:r>
    </w:p>
    <w:p w:rsidR="00000000" w:rsidRDefault="00000000">
      <w:pPr>
        <w:spacing w:after="240"/>
        <w:rPr>
          <w:color w:val="000000"/>
          <w:szCs w:val="22"/>
        </w:rPr>
      </w:pPr>
      <w:r>
        <w:rPr>
          <w:color w:val="000000"/>
          <w:szCs w:val="22"/>
        </w:rPr>
        <w:t>33.</w:t>
      </w:r>
      <w:r>
        <w:rPr>
          <w:color w:val="000000"/>
          <w:szCs w:val="22"/>
        </w:rPr>
        <w:tab/>
        <w:t xml:space="preserve">Quant aux ONG, elles ont insisté sur la vulgarisation de la Convention, l’assistance juridique et judiciaire aux enfants et sur les activités de réinsertion sociale des groupes vulnérables, le renforcement des capacités du personnel spécialisé et la mise en place de mécanismes formels de concertation et de suivi de la mise en œuvre de la Convention. </w:t>
      </w:r>
    </w:p>
    <w:p w:rsidR="00000000" w:rsidRDefault="00000000">
      <w:pPr>
        <w:spacing w:after="240"/>
        <w:rPr>
          <w:color w:val="000000"/>
          <w:szCs w:val="22"/>
        </w:rPr>
      </w:pPr>
      <w:r>
        <w:rPr>
          <w:color w:val="000000"/>
          <w:szCs w:val="22"/>
        </w:rPr>
        <w:t>34.</w:t>
      </w:r>
      <w:r>
        <w:rPr>
          <w:color w:val="000000"/>
          <w:szCs w:val="22"/>
        </w:rPr>
        <w:tab/>
        <w:t xml:space="preserve">Ensuite, un atelier de quatre jours a été organisé pour relire et compléter le projet de rapport validé lors d’un atelier national tenu du 24 au 25 juillet 2006 à </w:t>
      </w:r>
      <w:proofErr w:type="spellStart"/>
      <w:r>
        <w:rPr>
          <w:color w:val="000000"/>
          <w:szCs w:val="22"/>
        </w:rPr>
        <w:t>Ndjamena</w:t>
      </w:r>
      <w:proofErr w:type="spellEnd"/>
      <w:r>
        <w:rPr>
          <w:color w:val="000000"/>
          <w:szCs w:val="22"/>
        </w:rPr>
        <w:t>. Cet atelier a réuni tous les acteurs de mise en oeuvre de la Convention.</w:t>
      </w:r>
    </w:p>
    <w:p w:rsidR="00000000" w:rsidRDefault="00000000">
      <w:pPr>
        <w:spacing w:after="240"/>
        <w:rPr>
          <w:color w:val="000000"/>
          <w:szCs w:val="22"/>
        </w:rPr>
      </w:pPr>
      <w:r>
        <w:rPr>
          <w:color w:val="000000"/>
          <w:szCs w:val="22"/>
        </w:rPr>
        <w:t>35.</w:t>
      </w:r>
      <w:r>
        <w:rPr>
          <w:color w:val="000000"/>
          <w:szCs w:val="22"/>
        </w:rPr>
        <w:tab/>
        <w:t xml:space="preserve">Le Gouvernement n’a cependant pas perdu de vue les préoccupations du Comité quant à l’insuffisance des ressources financières et humaines consacrées à l’application de tous les droits énoncés dans la Convention. Aussi, a-t-il accordé la priorité aux secteurs jugés essentiels dans sa lutte contre la pauvreté (Santé publique, Action sociale et familiale, Éducation et Infrastructures). L’allocation budgétaire de ces secteurs est systématiquement augmentée de 20 % par an et le budget d’investissement des Travaux publics représente près de 20 % des allocations budgétaires totales. De 1998 à 2002, la part des secteurs prioritaires dans les crédits de paiement (prévisionnels) consacrés au fonctionnement, hors dépenses de personnel, s’est accrue sensiblement, passant de 34 % en 1994 à 41 % en 2001 et 49 % en 2002. </w:t>
      </w:r>
    </w:p>
    <w:p w:rsidR="00000000" w:rsidRDefault="00000000">
      <w:pPr>
        <w:keepNext/>
        <w:spacing w:after="240"/>
        <w:jc w:val="center"/>
        <w:rPr>
          <w:b/>
          <w:bCs/>
          <w:color w:val="000000"/>
          <w:szCs w:val="22"/>
        </w:rPr>
      </w:pPr>
      <w:r>
        <w:rPr>
          <w:b/>
          <w:bCs/>
          <w:color w:val="000000"/>
          <w:szCs w:val="22"/>
        </w:rPr>
        <w:t>Tableau 2.  Allocation du budget de l’État (</w:t>
      </w:r>
      <w:r>
        <w:rPr>
          <w:b/>
          <w:bCs/>
          <w:color w:val="000000"/>
        </w:rPr>
        <w:t>en milliers)</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2441"/>
        <w:gridCol w:w="1943"/>
        <w:gridCol w:w="1855"/>
        <w:gridCol w:w="1801"/>
      </w:tblGrid>
      <w:tr w:rsidR="00000000">
        <w:tc>
          <w:tcPr>
            <w:tcW w:w="705" w:type="pct"/>
            <w:vAlign w:val="center"/>
          </w:tcPr>
          <w:p w:rsidR="00000000" w:rsidRDefault="00000000">
            <w:pPr>
              <w:keepNext/>
              <w:spacing w:before="60" w:after="60"/>
              <w:jc w:val="center"/>
              <w:rPr>
                <w:color w:val="000000"/>
              </w:rPr>
            </w:pPr>
            <w:r>
              <w:rPr>
                <w:color w:val="000000"/>
              </w:rPr>
              <w:t>Année</w:t>
            </w:r>
          </w:p>
        </w:tc>
        <w:tc>
          <w:tcPr>
            <w:tcW w:w="1304" w:type="pct"/>
            <w:vAlign w:val="center"/>
          </w:tcPr>
          <w:p w:rsidR="00000000" w:rsidRDefault="00000000">
            <w:pPr>
              <w:keepNext/>
              <w:spacing w:before="60" w:after="60"/>
              <w:jc w:val="center"/>
              <w:rPr>
                <w:color w:val="000000"/>
              </w:rPr>
            </w:pPr>
            <w:r>
              <w:rPr>
                <w:color w:val="000000"/>
              </w:rPr>
              <w:t>Budget global</w:t>
            </w:r>
          </w:p>
        </w:tc>
        <w:tc>
          <w:tcPr>
            <w:tcW w:w="1038" w:type="pct"/>
            <w:vAlign w:val="center"/>
          </w:tcPr>
          <w:p w:rsidR="00000000" w:rsidRDefault="00000000">
            <w:pPr>
              <w:keepNext/>
              <w:spacing w:before="60" w:after="60"/>
              <w:jc w:val="center"/>
              <w:rPr>
                <w:color w:val="000000"/>
              </w:rPr>
            </w:pPr>
            <w:r>
              <w:rPr>
                <w:color w:val="000000"/>
              </w:rPr>
              <w:t>Budget Éducation nationale</w:t>
            </w:r>
          </w:p>
        </w:tc>
        <w:tc>
          <w:tcPr>
            <w:tcW w:w="991" w:type="pct"/>
            <w:vAlign w:val="center"/>
          </w:tcPr>
          <w:p w:rsidR="00000000" w:rsidRDefault="00000000">
            <w:pPr>
              <w:keepNext/>
              <w:spacing w:before="60" w:after="60"/>
              <w:jc w:val="center"/>
              <w:rPr>
                <w:color w:val="000000"/>
              </w:rPr>
            </w:pPr>
            <w:r>
              <w:rPr>
                <w:color w:val="000000"/>
              </w:rPr>
              <w:t>Ministère de l’Action sociale</w:t>
            </w:r>
          </w:p>
        </w:tc>
        <w:tc>
          <w:tcPr>
            <w:tcW w:w="962" w:type="pct"/>
            <w:vAlign w:val="center"/>
          </w:tcPr>
          <w:p w:rsidR="00000000" w:rsidRDefault="00000000">
            <w:pPr>
              <w:keepNext/>
              <w:spacing w:before="60" w:after="60"/>
              <w:jc w:val="center"/>
              <w:rPr>
                <w:color w:val="000000"/>
              </w:rPr>
            </w:pPr>
            <w:r>
              <w:rPr>
                <w:color w:val="000000"/>
              </w:rPr>
              <w:t>Budget Santé</w:t>
            </w:r>
          </w:p>
        </w:tc>
      </w:tr>
      <w:tr w:rsidR="00000000">
        <w:tc>
          <w:tcPr>
            <w:tcW w:w="705" w:type="pct"/>
          </w:tcPr>
          <w:p w:rsidR="00000000" w:rsidRDefault="00000000">
            <w:pPr>
              <w:spacing w:before="60" w:after="60"/>
              <w:rPr>
                <w:color w:val="000000"/>
              </w:rPr>
            </w:pPr>
            <w:r>
              <w:rPr>
                <w:color w:val="000000"/>
              </w:rPr>
              <w:t>2002</w:t>
            </w:r>
          </w:p>
        </w:tc>
        <w:tc>
          <w:tcPr>
            <w:tcW w:w="1304" w:type="pct"/>
            <w:vAlign w:val="bottom"/>
          </w:tcPr>
          <w:p w:rsidR="00000000" w:rsidRDefault="00000000">
            <w:pPr>
              <w:spacing w:before="60" w:after="60"/>
              <w:jc w:val="right"/>
              <w:rPr>
                <w:color w:val="000000"/>
              </w:rPr>
            </w:pPr>
            <w:r>
              <w:rPr>
                <w:color w:val="000000"/>
              </w:rPr>
              <w:t>409 500 265</w:t>
            </w:r>
          </w:p>
        </w:tc>
        <w:tc>
          <w:tcPr>
            <w:tcW w:w="1038" w:type="pct"/>
            <w:vAlign w:val="bottom"/>
          </w:tcPr>
          <w:p w:rsidR="00000000" w:rsidRDefault="00000000">
            <w:pPr>
              <w:spacing w:before="60" w:after="60"/>
              <w:jc w:val="right"/>
              <w:rPr>
                <w:color w:val="000000"/>
              </w:rPr>
            </w:pPr>
            <w:r>
              <w:rPr>
                <w:color w:val="000000"/>
              </w:rPr>
              <w:t>35 144 377</w:t>
            </w:r>
          </w:p>
        </w:tc>
        <w:tc>
          <w:tcPr>
            <w:tcW w:w="991" w:type="pct"/>
            <w:vAlign w:val="bottom"/>
          </w:tcPr>
          <w:p w:rsidR="00000000" w:rsidRDefault="00000000">
            <w:pPr>
              <w:spacing w:before="60" w:after="60"/>
              <w:jc w:val="right"/>
              <w:rPr>
                <w:color w:val="000000"/>
              </w:rPr>
            </w:pPr>
            <w:r>
              <w:rPr>
                <w:color w:val="000000"/>
              </w:rPr>
              <w:t>8 192 233</w:t>
            </w:r>
          </w:p>
        </w:tc>
        <w:tc>
          <w:tcPr>
            <w:tcW w:w="962" w:type="pct"/>
            <w:vAlign w:val="bottom"/>
          </w:tcPr>
          <w:p w:rsidR="00000000" w:rsidRDefault="00000000">
            <w:pPr>
              <w:spacing w:before="60" w:after="60"/>
              <w:jc w:val="right"/>
              <w:rPr>
                <w:color w:val="000000"/>
              </w:rPr>
            </w:pPr>
            <w:r>
              <w:rPr>
                <w:color w:val="000000"/>
              </w:rPr>
              <w:t>27 163 984</w:t>
            </w:r>
          </w:p>
        </w:tc>
      </w:tr>
      <w:tr w:rsidR="00000000">
        <w:tc>
          <w:tcPr>
            <w:tcW w:w="705" w:type="pct"/>
          </w:tcPr>
          <w:p w:rsidR="00000000" w:rsidRDefault="00000000">
            <w:pPr>
              <w:spacing w:before="60" w:after="60"/>
              <w:rPr>
                <w:color w:val="000000"/>
              </w:rPr>
            </w:pPr>
            <w:r>
              <w:rPr>
                <w:color w:val="000000"/>
              </w:rPr>
              <w:t>2003</w:t>
            </w:r>
          </w:p>
        </w:tc>
        <w:tc>
          <w:tcPr>
            <w:tcW w:w="1304" w:type="pct"/>
            <w:vAlign w:val="bottom"/>
          </w:tcPr>
          <w:p w:rsidR="00000000" w:rsidRDefault="00000000">
            <w:pPr>
              <w:spacing w:before="60" w:after="60"/>
              <w:jc w:val="right"/>
              <w:rPr>
                <w:color w:val="000000"/>
              </w:rPr>
            </w:pPr>
            <w:r>
              <w:rPr>
                <w:color w:val="000000"/>
              </w:rPr>
              <w:t>395 724 188</w:t>
            </w:r>
          </w:p>
        </w:tc>
        <w:tc>
          <w:tcPr>
            <w:tcW w:w="1038" w:type="pct"/>
            <w:vAlign w:val="bottom"/>
          </w:tcPr>
          <w:p w:rsidR="00000000" w:rsidRDefault="00000000">
            <w:pPr>
              <w:spacing w:before="60" w:after="60"/>
              <w:jc w:val="right"/>
              <w:rPr>
                <w:color w:val="000000"/>
              </w:rPr>
            </w:pPr>
            <w:r>
              <w:rPr>
                <w:color w:val="000000"/>
              </w:rPr>
              <w:t>46 144 377</w:t>
            </w:r>
          </w:p>
        </w:tc>
        <w:tc>
          <w:tcPr>
            <w:tcW w:w="991" w:type="pct"/>
            <w:vAlign w:val="bottom"/>
          </w:tcPr>
          <w:p w:rsidR="00000000" w:rsidRDefault="00000000">
            <w:pPr>
              <w:spacing w:before="60" w:after="60"/>
              <w:jc w:val="right"/>
              <w:rPr>
                <w:color w:val="000000"/>
              </w:rPr>
            </w:pPr>
            <w:r>
              <w:rPr>
                <w:color w:val="000000"/>
              </w:rPr>
              <w:t>4 538 276</w:t>
            </w:r>
          </w:p>
        </w:tc>
        <w:tc>
          <w:tcPr>
            <w:tcW w:w="962" w:type="pct"/>
            <w:vAlign w:val="bottom"/>
          </w:tcPr>
          <w:p w:rsidR="00000000" w:rsidRDefault="00000000">
            <w:pPr>
              <w:spacing w:before="60" w:after="60"/>
              <w:jc w:val="right"/>
              <w:rPr>
                <w:color w:val="000000"/>
              </w:rPr>
            </w:pPr>
            <w:r>
              <w:rPr>
                <w:color w:val="000000"/>
              </w:rPr>
              <w:t>33 408 625</w:t>
            </w:r>
          </w:p>
        </w:tc>
      </w:tr>
      <w:tr w:rsidR="00000000">
        <w:tc>
          <w:tcPr>
            <w:tcW w:w="705" w:type="pct"/>
          </w:tcPr>
          <w:p w:rsidR="00000000" w:rsidRDefault="00000000">
            <w:pPr>
              <w:spacing w:before="60" w:after="60"/>
              <w:rPr>
                <w:color w:val="000000"/>
              </w:rPr>
            </w:pPr>
            <w:r>
              <w:rPr>
                <w:color w:val="000000"/>
              </w:rPr>
              <w:t>2004</w:t>
            </w:r>
          </w:p>
        </w:tc>
        <w:tc>
          <w:tcPr>
            <w:tcW w:w="1304" w:type="pct"/>
            <w:vAlign w:val="bottom"/>
          </w:tcPr>
          <w:p w:rsidR="00000000" w:rsidRDefault="00000000">
            <w:pPr>
              <w:spacing w:before="60" w:after="60"/>
              <w:jc w:val="right"/>
              <w:rPr>
                <w:color w:val="000000"/>
              </w:rPr>
            </w:pPr>
            <w:r>
              <w:rPr>
                <w:color w:val="000000"/>
              </w:rPr>
              <w:t>484 246 759</w:t>
            </w:r>
          </w:p>
        </w:tc>
        <w:tc>
          <w:tcPr>
            <w:tcW w:w="1038" w:type="pct"/>
            <w:vAlign w:val="bottom"/>
          </w:tcPr>
          <w:p w:rsidR="00000000" w:rsidRDefault="00000000">
            <w:pPr>
              <w:spacing w:before="60" w:after="60"/>
              <w:jc w:val="right"/>
              <w:rPr>
                <w:color w:val="000000"/>
              </w:rPr>
            </w:pPr>
            <w:r>
              <w:rPr>
                <w:color w:val="000000"/>
              </w:rPr>
              <w:t>54 667 476</w:t>
            </w:r>
          </w:p>
        </w:tc>
        <w:tc>
          <w:tcPr>
            <w:tcW w:w="991" w:type="pct"/>
            <w:vAlign w:val="bottom"/>
          </w:tcPr>
          <w:p w:rsidR="00000000" w:rsidRDefault="00000000">
            <w:pPr>
              <w:spacing w:before="60" w:after="60"/>
              <w:jc w:val="right"/>
              <w:rPr>
                <w:color w:val="000000"/>
              </w:rPr>
            </w:pPr>
            <w:r>
              <w:rPr>
                <w:color w:val="000000"/>
              </w:rPr>
              <w:t>6 161890</w:t>
            </w:r>
          </w:p>
        </w:tc>
        <w:tc>
          <w:tcPr>
            <w:tcW w:w="962" w:type="pct"/>
            <w:vAlign w:val="bottom"/>
          </w:tcPr>
          <w:p w:rsidR="00000000" w:rsidRDefault="00000000">
            <w:pPr>
              <w:spacing w:before="60" w:after="60"/>
              <w:jc w:val="right"/>
              <w:rPr>
                <w:color w:val="000000"/>
              </w:rPr>
            </w:pPr>
            <w:r>
              <w:rPr>
                <w:color w:val="000000"/>
              </w:rPr>
              <w:t>40 191 281</w:t>
            </w:r>
          </w:p>
        </w:tc>
      </w:tr>
      <w:tr w:rsidR="00000000">
        <w:tc>
          <w:tcPr>
            <w:tcW w:w="705" w:type="pct"/>
          </w:tcPr>
          <w:p w:rsidR="00000000" w:rsidRDefault="00000000">
            <w:pPr>
              <w:spacing w:before="60" w:after="60"/>
              <w:rPr>
                <w:color w:val="000000"/>
              </w:rPr>
            </w:pPr>
            <w:r>
              <w:rPr>
                <w:color w:val="000000"/>
              </w:rPr>
              <w:t>2005</w:t>
            </w:r>
          </w:p>
        </w:tc>
        <w:tc>
          <w:tcPr>
            <w:tcW w:w="1304" w:type="pct"/>
            <w:vAlign w:val="bottom"/>
          </w:tcPr>
          <w:p w:rsidR="00000000" w:rsidRDefault="00000000">
            <w:pPr>
              <w:spacing w:before="60" w:after="60"/>
              <w:jc w:val="right"/>
              <w:rPr>
                <w:color w:val="000000"/>
              </w:rPr>
            </w:pPr>
            <w:r>
              <w:rPr>
                <w:color w:val="000000"/>
              </w:rPr>
              <w:t>527 199 830</w:t>
            </w:r>
          </w:p>
        </w:tc>
        <w:tc>
          <w:tcPr>
            <w:tcW w:w="1038" w:type="pct"/>
            <w:vAlign w:val="bottom"/>
          </w:tcPr>
          <w:p w:rsidR="00000000" w:rsidRDefault="00000000">
            <w:pPr>
              <w:spacing w:before="60" w:after="60"/>
              <w:jc w:val="right"/>
              <w:rPr>
                <w:color w:val="000000"/>
              </w:rPr>
            </w:pPr>
            <w:r>
              <w:rPr>
                <w:color w:val="000000"/>
              </w:rPr>
              <w:t>58 010 947</w:t>
            </w:r>
          </w:p>
        </w:tc>
        <w:tc>
          <w:tcPr>
            <w:tcW w:w="991" w:type="pct"/>
            <w:vAlign w:val="bottom"/>
          </w:tcPr>
          <w:p w:rsidR="00000000" w:rsidRDefault="00000000">
            <w:pPr>
              <w:spacing w:before="60" w:after="60"/>
              <w:jc w:val="right"/>
              <w:rPr>
                <w:color w:val="000000"/>
              </w:rPr>
            </w:pPr>
            <w:r>
              <w:rPr>
                <w:color w:val="000000"/>
              </w:rPr>
              <w:t>8 936 164</w:t>
            </w:r>
          </w:p>
        </w:tc>
        <w:tc>
          <w:tcPr>
            <w:tcW w:w="962" w:type="pct"/>
            <w:vAlign w:val="bottom"/>
          </w:tcPr>
          <w:p w:rsidR="00000000" w:rsidRDefault="00000000">
            <w:pPr>
              <w:spacing w:before="60" w:after="60"/>
              <w:jc w:val="right"/>
              <w:rPr>
                <w:color w:val="000000"/>
              </w:rPr>
            </w:pPr>
          </w:p>
        </w:tc>
      </w:tr>
      <w:tr w:rsidR="00000000">
        <w:tc>
          <w:tcPr>
            <w:tcW w:w="705" w:type="pct"/>
          </w:tcPr>
          <w:p w:rsidR="00000000" w:rsidRDefault="00000000">
            <w:pPr>
              <w:spacing w:before="60" w:after="60"/>
              <w:rPr>
                <w:color w:val="000000"/>
              </w:rPr>
            </w:pPr>
            <w:r>
              <w:rPr>
                <w:color w:val="000000"/>
              </w:rPr>
              <w:t>2006</w:t>
            </w:r>
          </w:p>
        </w:tc>
        <w:tc>
          <w:tcPr>
            <w:tcW w:w="1304" w:type="pct"/>
            <w:vAlign w:val="bottom"/>
          </w:tcPr>
          <w:p w:rsidR="00000000" w:rsidRDefault="00000000">
            <w:pPr>
              <w:spacing w:before="60" w:after="60"/>
              <w:jc w:val="right"/>
              <w:rPr>
                <w:color w:val="000000"/>
              </w:rPr>
            </w:pPr>
            <w:r>
              <w:rPr>
                <w:color w:val="000000"/>
              </w:rPr>
              <w:t>641 299 000</w:t>
            </w:r>
          </w:p>
        </w:tc>
        <w:tc>
          <w:tcPr>
            <w:tcW w:w="1038" w:type="pct"/>
            <w:vAlign w:val="bottom"/>
          </w:tcPr>
          <w:p w:rsidR="00000000" w:rsidRDefault="00000000">
            <w:pPr>
              <w:spacing w:before="60" w:after="60"/>
              <w:jc w:val="right"/>
              <w:rPr>
                <w:color w:val="000000"/>
              </w:rPr>
            </w:pPr>
            <w:r>
              <w:rPr>
                <w:color w:val="000000"/>
              </w:rPr>
              <w:t>30 859 711</w:t>
            </w:r>
          </w:p>
        </w:tc>
        <w:tc>
          <w:tcPr>
            <w:tcW w:w="991" w:type="pct"/>
            <w:vAlign w:val="bottom"/>
          </w:tcPr>
          <w:p w:rsidR="00000000" w:rsidRDefault="00000000">
            <w:pPr>
              <w:spacing w:before="60" w:after="60"/>
              <w:jc w:val="right"/>
              <w:rPr>
                <w:color w:val="000000"/>
              </w:rPr>
            </w:pPr>
            <w:r>
              <w:rPr>
                <w:color w:val="000000"/>
              </w:rPr>
              <w:t>5 080 934</w:t>
            </w:r>
          </w:p>
        </w:tc>
        <w:tc>
          <w:tcPr>
            <w:tcW w:w="962" w:type="pct"/>
            <w:vAlign w:val="bottom"/>
          </w:tcPr>
          <w:p w:rsidR="00000000" w:rsidRDefault="00000000">
            <w:pPr>
              <w:spacing w:before="60" w:after="60"/>
              <w:jc w:val="right"/>
              <w:rPr>
                <w:color w:val="000000"/>
              </w:rPr>
            </w:pPr>
            <w:r>
              <w:rPr>
                <w:color w:val="000000"/>
              </w:rPr>
              <w:t>18 894 999</w:t>
            </w:r>
          </w:p>
        </w:tc>
      </w:tr>
    </w:tbl>
    <w:p w:rsidR="00000000" w:rsidRDefault="00000000">
      <w:pPr>
        <w:spacing w:before="240" w:after="240"/>
        <w:ind w:firstLine="567"/>
        <w:rPr>
          <w:bCs/>
          <w:color w:val="000000"/>
          <w:szCs w:val="22"/>
        </w:rPr>
      </w:pPr>
      <w:r>
        <w:rPr>
          <w:bCs/>
          <w:color w:val="000000"/>
          <w:szCs w:val="22"/>
        </w:rPr>
        <w:t>Sources: Budget général de l’État, Gestion 2002, 2003, 2004, 2005 et 2006.</w:t>
      </w:r>
    </w:p>
    <w:p w:rsidR="00000000" w:rsidRDefault="00000000">
      <w:pPr>
        <w:spacing w:after="240"/>
        <w:rPr>
          <w:color w:val="000000"/>
          <w:szCs w:val="22"/>
        </w:rPr>
      </w:pPr>
      <w:r>
        <w:rPr>
          <w:color w:val="000000"/>
          <w:szCs w:val="22"/>
        </w:rPr>
        <w:t>36.</w:t>
      </w:r>
      <w:r>
        <w:rPr>
          <w:color w:val="000000"/>
          <w:szCs w:val="22"/>
        </w:rPr>
        <w:tab/>
        <w:t xml:space="preserve">Il convient de signaler que le Tchad est depuis 2003, un pays producteur de pétrole. </w:t>
      </w:r>
    </w:p>
    <w:p w:rsidR="00000000" w:rsidRDefault="00000000">
      <w:pPr>
        <w:spacing w:after="240"/>
        <w:rPr>
          <w:color w:val="000000"/>
          <w:szCs w:val="22"/>
        </w:rPr>
      </w:pPr>
      <w:r>
        <w:rPr>
          <w:color w:val="000000"/>
          <w:szCs w:val="22"/>
        </w:rPr>
        <w:t>37.</w:t>
      </w:r>
      <w:r>
        <w:rPr>
          <w:color w:val="000000"/>
          <w:szCs w:val="22"/>
        </w:rPr>
        <w:tab/>
        <w:t xml:space="preserve">La loi portant gestion des revenus pétroliers a mis en place un Collège de Contrôle et de Surveillance des Ressources pétrolières, comprenant des représentants du Gouvernement, de l’Assemblée nationale, de l’appareil judiciaire et de la société civile. </w:t>
      </w:r>
    </w:p>
    <w:p w:rsidR="00000000" w:rsidRDefault="00000000">
      <w:pPr>
        <w:spacing w:after="240"/>
        <w:rPr>
          <w:szCs w:val="22"/>
        </w:rPr>
      </w:pPr>
      <w:r>
        <w:rPr>
          <w:color w:val="000000"/>
          <w:szCs w:val="22"/>
        </w:rPr>
        <w:t>38.</w:t>
      </w:r>
      <w:r>
        <w:rPr>
          <w:color w:val="000000"/>
          <w:szCs w:val="22"/>
        </w:rPr>
        <w:tab/>
        <w:t>S’agissant de la vulgarisation de la Convention, plusieurs formations ont été organisées à l’intention</w:t>
      </w:r>
      <w:r>
        <w:rPr>
          <w:szCs w:val="22"/>
        </w:rPr>
        <w:t xml:space="preserve"> de:</w:t>
      </w:r>
    </w:p>
    <w:p w:rsidR="00000000" w:rsidRDefault="00000000">
      <w:pPr>
        <w:numPr>
          <w:ilvl w:val="0"/>
          <w:numId w:val="129"/>
        </w:numPr>
        <w:spacing w:after="240"/>
        <w:rPr>
          <w:szCs w:val="22"/>
        </w:rPr>
      </w:pPr>
      <w:r>
        <w:rPr>
          <w:szCs w:val="22"/>
        </w:rPr>
        <w:t>46 magistrats et inspecteurs de travail en 2002</w:t>
      </w:r>
    </w:p>
    <w:p w:rsidR="00000000" w:rsidRDefault="00000000">
      <w:pPr>
        <w:numPr>
          <w:ilvl w:val="0"/>
          <w:numId w:val="129"/>
        </w:numPr>
        <w:spacing w:after="240"/>
        <w:rPr>
          <w:szCs w:val="22"/>
        </w:rPr>
      </w:pPr>
      <w:r>
        <w:rPr>
          <w:szCs w:val="22"/>
        </w:rPr>
        <w:t>50 assistants sociaux en 1999</w:t>
      </w:r>
    </w:p>
    <w:p w:rsidR="00000000" w:rsidRDefault="00000000">
      <w:pPr>
        <w:numPr>
          <w:ilvl w:val="0"/>
          <w:numId w:val="129"/>
        </w:numPr>
        <w:spacing w:after="240"/>
        <w:rPr>
          <w:szCs w:val="22"/>
        </w:rPr>
      </w:pPr>
      <w:r>
        <w:rPr>
          <w:szCs w:val="22"/>
        </w:rPr>
        <w:t>190 leaders d’opinion en 1999</w:t>
      </w:r>
    </w:p>
    <w:p w:rsidR="00000000" w:rsidRDefault="00000000">
      <w:pPr>
        <w:numPr>
          <w:ilvl w:val="0"/>
          <w:numId w:val="129"/>
        </w:numPr>
        <w:spacing w:after="240"/>
        <w:rPr>
          <w:szCs w:val="22"/>
        </w:rPr>
      </w:pPr>
      <w:r>
        <w:rPr>
          <w:szCs w:val="22"/>
        </w:rPr>
        <w:t>30 responsables des associations de défense et 95 marabouts en 2003 et 2004</w:t>
      </w:r>
    </w:p>
    <w:p w:rsidR="00000000" w:rsidRDefault="00000000">
      <w:pPr>
        <w:numPr>
          <w:ilvl w:val="0"/>
          <w:numId w:val="129"/>
        </w:numPr>
        <w:spacing w:after="240"/>
        <w:rPr>
          <w:szCs w:val="22"/>
        </w:rPr>
      </w:pPr>
      <w:r>
        <w:rPr>
          <w:szCs w:val="22"/>
        </w:rPr>
        <w:t>50 membres de noyaux de mobilisation sociale dans les zones d’intervention du Programme de Coopération Tchad -UNICEF en 2005</w:t>
      </w:r>
    </w:p>
    <w:p w:rsidR="00000000" w:rsidRDefault="00000000">
      <w:pPr>
        <w:numPr>
          <w:ilvl w:val="0"/>
          <w:numId w:val="129"/>
        </w:numPr>
        <w:spacing w:after="240"/>
        <w:rPr>
          <w:szCs w:val="22"/>
        </w:rPr>
      </w:pPr>
      <w:r>
        <w:rPr>
          <w:szCs w:val="22"/>
        </w:rPr>
        <w:t>3 formateurs sur les droits et la protection des enfants en situation de traite en 2005</w:t>
      </w:r>
    </w:p>
    <w:p w:rsidR="00000000" w:rsidRDefault="00000000">
      <w:pPr>
        <w:numPr>
          <w:ilvl w:val="0"/>
          <w:numId w:val="129"/>
        </w:numPr>
        <w:spacing w:after="240"/>
        <w:rPr>
          <w:szCs w:val="22"/>
        </w:rPr>
      </w:pPr>
      <w:r>
        <w:rPr>
          <w:szCs w:val="22"/>
        </w:rPr>
        <w:t>21 formateurs de formateurs sur la CDE déployés dans les 6 grandes villes du pays en 2005</w:t>
      </w:r>
    </w:p>
    <w:p w:rsidR="00000000" w:rsidRDefault="00000000">
      <w:pPr>
        <w:numPr>
          <w:ilvl w:val="0"/>
          <w:numId w:val="129"/>
        </w:numPr>
        <w:spacing w:after="240"/>
        <w:rPr>
          <w:szCs w:val="22"/>
        </w:rPr>
      </w:pPr>
      <w:r>
        <w:rPr>
          <w:szCs w:val="22"/>
        </w:rPr>
        <w:t>200 travailleurs sociaux en appui psychosocial de 2003 – 2005.</w:t>
      </w:r>
    </w:p>
    <w:p w:rsidR="00000000" w:rsidRDefault="00000000">
      <w:pPr>
        <w:spacing w:after="240"/>
        <w:rPr>
          <w:szCs w:val="22"/>
        </w:rPr>
      </w:pPr>
      <w:r>
        <w:rPr>
          <w:szCs w:val="22"/>
        </w:rPr>
        <w:t>39.</w:t>
      </w:r>
      <w:r>
        <w:rPr>
          <w:szCs w:val="22"/>
        </w:rPr>
        <w:tab/>
        <w:t>Outre ces formations, des campagnes de sensibilisation et des émissions radio sont</w:t>
      </w:r>
      <w:r>
        <w:rPr>
          <w:color w:val="0000FF"/>
          <w:szCs w:val="22"/>
        </w:rPr>
        <w:t xml:space="preserve"> </w:t>
      </w:r>
      <w:r>
        <w:rPr>
          <w:szCs w:val="22"/>
        </w:rPr>
        <w:t>régulièrement organisées sur les problématiques touchant les droits de l’enfant à l’intention des communautés.</w:t>
      </w:r>
    </w:p>
    <w:p w:rsidR="00000000" w:rsidRDefault="00000000">
      <w:pPr>
        <w:keepNext/>
        <w:spacing w:after="240"/>
        <w:rPr>
          <w:b/>
          <w:bCs/>
          <w:szCs w:val="22"/>
        </w:rPr>
      </w:pPr>
      <w:r>
        <w:rPr>
          <w:b/>
          <w:bCs/>
          <w:szCs w:val="22"/>
        </w:rPr>
        <w:t>Coopération avec la société civile y compris les groupes de jeunes</w:t>
      </w:r>
    </w:p>
    <w:p w:rsidR="00000000" w:rsidRDefault="00000000">
      <w:pPr>
        <w:keepNext/>
        <w:spacing w:after="240"/>
        <w:rPr>
          <w:szCs w:val="22"/>
        </w:rPr>
      </w:pPr>
      <w:r>
        <w:rPr>
          <w:szCs w:val="22"/>
        </w:rPr>
        <w:t>40.</w:t>
      </w:r>
      <w:r>
        <w:rPr>
          <w:szCs w:val="22"/>
        </w:rPr>
        <w:tab/>
        <w:t xml:space="preserve">La nouvelle dynamique de coopération entre les pouvoirs publics et la société civile a été favorisée par le processus de démocratisation du pays enclenché il y a plus d’une décennie. Elle a permis à la société civile de s’affirmer de plus en plus en tant qu’acteur important et incontournable dans le développement humain durable. Elle est souvent représentée ou consultée pour les actions entreprises par le Gouvernement en vue du bien-être de la population. On dénombre en 2005, 367 associations des jeunes et 508 associations de défense des droits humains. </w:t>
      </w:r>
    </w:p>
    <w:p w:rsidR="00000000" w:rsidRDefault="00000000">
      <w:pPr>
        <w:spacing w:after="240"/>
        <w:rPr>
          <w:color w:val="000000"/>
          <w:szCs w:val="22"/>
        </w:rPr>
      </w:pPr>
      <w:r>
        <w:rPr>
          <w:color w:val="000000"/>
          <w:szCs w:val="22"/>
        </w:rPr>
        <w:t>41.</w:t>
      </w:r>
      <w:r>
        <w:rPr>
          <w:color w:val="000000"/>
          <w:szCs w:val="22"/>
        </w:rPr>
        <w:tab/>
        <w:t>C’est ainsi que la société civile est fortement impliquée dans l’élaboration du projet de code des personnes et de la famille et de la Stratégie nationale de bonne gouvernance (SNBG) tout comme elle est représentée dans le Collège de Contrôle et de Surveillance des Ressources pétrolières (CCSRP).</w:t>
      </w:r>
    </w:p>
    <w:p w:rsidR="00000000" w:rsidRDefault="00000000">
      <w:pPr>
        <w:spacing w:after="240"/>
        <w:rPr>
          <w:szCs w:val="22"/>
        </w:rPr>
      </w:pPr>
      <w:r>
        <w:rPr>
          <w:szCs w:val="22"/>
        </w:rPr>
        <w:t>42.</w:t>
      </w:r>
      <w:r>
        <w:rPr>
          <w:szCs w:val="22"/>
        </w:rPr>
        <w:tab/>
        <w:t>Le Gouvernement fait également de la jeunesse un partenaire dans la recherche des solutions à ses problèmes. Les associations de jeunes sont impliquées dans la mise en œuvre de certains programmes en leur faveur, notamment les programmes de lutte contre le VIH/SIDA, de santé de la reproduction et d’insertion des jeunes dans la société avec l’appui des partenaires tels que la Conférence des Ministres de la jeunesse et des sports ayant en partage la francophonie (CONFEJES), la Banque Mondiale, le Fonds des Nations Unies pour la population (FNUAP) et l’Organisation internationale de la francophonie.</w:t>
      </w:r>
    </w:p>
    <w:p w:rsidR="00000000" w:rsidRDefault="00000000">
      <w:pPr>
        <w:spacing w:after="240"/>
        <w:rPr>
          <w:szCs w:val="22"/>
        </w:rPr>
      </w:pPr>
      <w:r>
        <w:rPr>
          <w:szCs w:val="22"/>
        </w:rPr>
        <w:t>43.</w:t>
      </w:r>
      <w:r>
        <w:rPr>
          <w:szCs w:val="22"/>
        </w:rPr>
        <w:tab/>
        <w:t xml:space="preserve">Divers programmes et projets ont été mis en œuvre, entre autres </w:t>
      </w:r>
    </w:p>
    <w:p w:rsidR="00000000" w:rsidRDefault="00000000">
      <w:pPr>
        <w:numPr>
          <w:ilvl w:val="0"/>
          <w:numId w:val="130"/>
        </w:numPr>
        <w:spacing w:after="240"/>
        <w:rPr>
          <w:szCs w:val="22"/>
        </w:rPr>
      </w:pPr>
      <w:r>
        <w:rPr>
          <w:szCs w:val="22"/>
        </w:rPr>
        <w:t>Le Programme national de lutte contre le VIH /SIDA (PNLS);</w:t>
      </w:r>
    </w:p>
    <w:p w:rsidR="00000000" w:rsidRDefault="00000000">
      <w:pPr>
        <w:numPr>
          <w:ilvl w:val="0"/>
          <w:numId w:val="130"/>
        </w:numPr>
        <w:spacing w:after="240"/>
        <w:rPr>
          <w:szCs w:val="22"/>
        </w:rPr>
      </w:pPr>
      <w:r>
        <w:rPr>
          <w:szCs w:val="22"/>
        </w:rPr>
        <w:t>Le Fonds de soutien aux activités en matière des populations (FOSAP);</w:t>
      </w:r>
    </w:p>
    <w:p w:rsidR="00000000" w:rsidRDefault="00000000">
      <w:pPr>
        <w:numPr>
          <w:ilvl w:val="0"/>
          <w:numId w:val="130"/>
        </w:numPr>
        <w:spacing w:after="240"/>
        <w:rPr>
          <w:szCs w:val="22"/>
        </w:rPr>
      </w:pPr>
      <w:r>
        <w:rPr>
          <w:szCs w:val="22"/>
        </w:rPr>
        <w:t>Le Projet «Population et Lutte contre le Sida» (PPLS);</w:t>
      </w:r>
    </w:p>
    <w:p w:rsidR="00000000" w:rsidRDefault="00000000">
      <w:pPr>
        <w:numPr>
          <w:ilvl w:val="0"/>
          <w:numId w:val="130"/>
        </w:numPr>
        <w:spacing w:after="240"/>
        <w:rPr>
          <w:szCs w:val="22"/>
        </w:rPr>
      </w:pPr>
      <w:r>
        <w:rPr>
          <w:szCs w:val="22"/>
        </w:rPr>
        <w:t xml:space="preserve">L’élaboration en cours de la </w:t>
      </w:r>
      <w:r>
        <w:rPr>
          <w:color w:val="000000"/>
          <w:szCs w:val="22"/>
        </w:rPr>
        <w:t>p</w:t>
      </w:r>
      <w:r>
        <w:rPr>
          <w:szCs w:val="22"/>
        </w:rPr>
        <w:t xml:space="preserve">olitique </w:t>
      </w:r>
      <w:r>
        <w:rPr>
          <w:color w:val="000000"/>
          <w:szCs w:val="22"/>
        </w:rPr>
        <w:t>n</w:t>
      </w:r>
      <w:r>
        <w:rPr>
          <w:szCs w:val="22"/>
        </w:rPr>
        <w:t xml:space="preserve">ationale en faveur des </w:t>
      </w:r>
      <w:r>
        <w:rPr>
          <w:color w:val="000000"/>
          <w:szCs w:val="22"/>
        </w:rPr>
        <w:t>o</w:t>
      </w:r>
      <w:r>
        <w:rPr>
          <w:szCs w:val="22"/>
        </w:rPr>
        <w:t xml:space="preserve">rphelins et </w:t>
      </w:r>
      <w:r>
        <w:rPr>
          <w:color w:val="000000"/>
          <w:szCs w:val="22"/>
        </w:rPr>
        <w:t>e</w:t>
      </w:r>
      <w:r>
        <w:rPr>
          <w:szCs w:val="22"/>
        </w:rPr>
        <w:t>nfants rendus vulnérables par le VIH/SIDA;</w:t>
      </w:r>
    </w:p>
    <w:p w:rsidR="00000000" w:rsidRDefault="00000000">
      <w:pPr>
        <w:numPr>
          <w:ilvl w:val="0"/>
          <w:numId w:val="130"/>
        </w:numPr>
        <w:spacing w:after="240"/>
        <w:rPr>
          <w:szCs w:val="22"/>
        </w:rPr>
      </w:pPr>
      <w:r>
        <w:rPr>
          <w:szCs w:val="22"/>
        </w:rPr>
        <w:t>Des programmes de santé/nutrition, éducation pour tous, protection de l’enfant, VIH/SIDA et politiques, communication et partenariats, dans le cadre de la coopération Tchad-UNICEF;</w:t>
      </w:r>
    </w:p>
    <w:p w:rsidR="00000000" w:rsidRDefault="00000000">
      <w:pPr>
        <w:numPr>
          <w:ilvl w:val="0"/>
          <w:numId w:val="130"/>
        </w:numPr>
        <w:spacing w:after="240"/>
        <w:rPr>
          <w:szCs w:val="22"/>
        </w:rPr>
      </w:pPr>
      <w:r>
        <w:rPr>
          <w:szCs w:val="22"/>
        </w:rPr>
        <w:t>Le Plan national d’action et de lutte contre les abus et l’exploitation sexuels des enfants;</w:t>
      </w:r>
    </w:p>
    <w:p w:rsidR="00000000" w:rsidRDefault="00000000">
      <w:pPr>
        <w:numPr>
          <w:ilvl w:val="0"/>
          <w:numId w:val="130"/>
        </w:numPr>
        <w:spacing w:after="240"/>
        <w:rPr>
          <w:szCs w:val="22"/>
        </w:rPr>
      </w:pPr>
      <w:r>
        <w:rPr>
          <w:szCs w:val="22"/>
        </w:rPr>
        <w:t>La Politique du développement intégral du jeune enfant;</w:t>
      </w:r>
    </w:p>
    <w:p w:rsidR="00000000" w:rsidRDefault="00000000">
      <w:pPr>
        <w:numPr>
          <w:ilvl w:val="0"/>
          <w:numId w:val="130"/>
        </w:numPr>
        <w:spacing w:after="240"/>
        <w:rPr>
          <w:szCs w:val="22"/>
        </w:rPr>
      </w:pPr>
      <w:r>
        <w:rPr>
          <w:szCs w:val="22"/>
        </w:rPr>
        <w:t>La Stratégie nationale de l’état civil.</w:t>
      </w:r>
    </w:p>
    <w:p w:rsidR="00000000" w:rsidRDefault="00000000">
      <w:pPr>
        <w:spacing w:after="240"/>
        <w:rPr>
          <w:color w:val="000000"/>
          <w:szCs w:val="22"/>
        </w:rPr>
      </w:pPr>
      <w:r>
        <w:rPr>
          <w:szCs w:val="22"/>
        </w:rPr>
        <w:t>44.</w:t>
      </w:r>
      <w:r>
        <w:rPr>
          <w:szCs w:val="22"/>
        </w:rPr>
        <w:tab/>
        <w:t xml:space="preserve">Les violations des droits de l’enfant font de plus en plus l’objet des plaintes devant les instances judiciaires compétentes. Il est cependant vrai que certaines violations ne sont pas sanctionnées proportionnellement à la gravité des faits; non pas par négligence mais du fait d’un vide juridique auquel sont confrontées les juridictions saisies. Pour y remédier, le Code </w:t>
      </w:r>
      <w:r>
        <w:rPr>
          <w:color w:val="000000"/>
          <w:szCs w:val="22"/>
        </w:rPr>
        <w:t>pénal a été révisé et validé en 2005 mais non encore promulgué.</w:t>
      </w:r>
    </w:p>
    <w:p w:rsidR="00000000" w:rsidRDefault="00000000">
      <w:pPr>
        <w:spacing w:after="240"/>
        <w:jc w:val="center"/>
        <w:rPr>
          <w:b/>
          <w:color w:val="000000"/>
          <w:szCs w:val="22"/>
        </w:rPr>
      </w:pPr>
      <w:r>
        <w:rPr>
          <w:b/>
          <w:color w:val="000000"/>
          <w:szCs w:val="22"/>
        </w:rPr>
        <w:t>II.  DÉFINITION DE L’ENFANT</w:t>
      </w:r>
    </w:p>
    <w:p w:rsidR="00000000" w:rsidRDefault="00000000">
      <w:pPr>
        <w:spacing w:after="240"/>
        <w:rPr>
          <w:color w:val="000000"/>
          <w:szCs w:val="22"/>
        </w:rPr>
      </w:pPr>
      <w:r>
        <w:rPr>
          <w:color w:val="000000"/>
          <w:szCs w:val="22"/>
        </w:rPr>
        <w:t>45.</w:t>
      </w:r>
      <w:r>
        <w:rPr>
          <w:color w:val="000000"/>
          <w:szCs w:val="22"/>
        </w:rPr>
        <w:tab/>
        <w:t>Un projet du Code des personnes et de la famille élaboré en 1999 relève l’âge minimum pour le mariage à 18 ans pour le garçon et à 17 ans pour la fille.</w:t>
      </w:r>
    </w:p>
    <w:p w:rsidR="00000000" w:rsidRDefault="00000000">
      <w:pPr>
        <w:spacing w:after="240"/>
        <w:rPr>
          <w:color w:val="000000"/>
          <w:szCs w:val="22"/>
        </w:rPr>
      </w:pPr>
      <w:r>
        <w:rPr>
          <w:color w:val="000000"/>
          <w:szCs w:val="22"/>
        </w:rPr>
        <w:t>46.</w:t>
      </w:r>
      <w:r>
        <w:rPr>
          <w:color w:val="000000"/>
          <w:szCs w:val="22"/>
        </w:rPr>
        <w:tab/>
        <w:t>S’agissant du consentement, la loi n</w:t>
      </w:r>
      <w:r>
        <w:rPr>
          <w:color w:val="000000"/>
          <w:szCs w:val="22"/>
          <w:vertAlign w:val="superscript"/>
        </w:rPr>
        <w:t>o</w:t>
      </w:r>
      <w:r>
        <w:rPr>
          <w:color w:val="000000"/>
          <w:szCs w:val="22"/>
        </w:rPr>
        <w:t> 06/PR/2002 portant Promotion de la Santé de la Reproduction prévoit la liberté de se marier ou non et de fonder une famille, le droit à l’information et à l’éducation. Elle prévoit le droit d’avoir accès aux moyens nécessaires relatifs aux avantages, aux risques et à l’efficacité de toutes méthodes de régulation des naissances.</w:t>
      </w:r>
    </w:p>
    <w:p w:rsidR="00000000" w:rsidRDefault="00000000">
      <w:pPr>
        <w:spacing w:after="240"/>
        <w:rPr>
          <w:color w:val="000000"/>
          <w:szCs w:val="22"/>
        </w:rPr>
      </w:pPr>
      <w:r>
        <w:rPr>
          <w:color w:val="000000"/>
          <w:szCs w:val="22"/>
        </w:rPr>
        <w:t>47.</w:t>
      </w:r>
      <w:r>
        <w:rPr>
          <w:color w:val="000000"/>
          <w:szCs w:val="22"/>
        </w:rPr>
        <w:tab/>
        <w:t>En dépit de l’âge minimum légalement fixé, le mariage précoce reste un phénomène encore très répandu dans le pays. Dans la pratique, 50 % des femmes de 25-49 ans ont contracté une union à 15,9 ans (</w:t>
      </w:r>
      <w:proofErr w:type="spellStart"/>
      <w:r>
        <w:rPr>
          <w:color w:val="000000"/>
          <w:szCs w:val="22"/>
        </w:rPr>
        <w:t>EDST-II</w:t>
      </w:r>
      <w:proofErr w:type="spellEnd"/>
      <w:r>
        <w:rPr>
          <w:color w:val="000000"/>
          <w:szCs w:val="22"/>
        </w:rPr>
        <w:t xml:space="preserve"> 2004), ce qui est resté quasiment identique par rapport à la situation de 1996-1997. </w:t>
      </w:r>
    </w:p>
    <w:p w:rsidR="00000000" w:rsidRDefault="00000000">
      <w:pPr>
        <w:spacing w:after="240"/>
        <w:rPr>
          <w:color w:val="000000"/>
          <w:szCs w:val="22"/>
        </w:rPr>
      </w:pPr>
      <w:r>
        <w:rPr>
          <w:color w:val="000000"/>
          <w:szCs w:val="22"/>
        </w:rPr>
        <w:t>48.</w:t>
      </w:r>
      <w:r>
        <w:rPr>
          <w:color w:val="000000"/>
          <w:szCs w:val="22"/>
        </w:rPr>
        <w:tab/>
        <w:t xml:space="preserve">Par ailleurs, 71 % des femmes sont mariées avant l’âge de 18 ans, (65 % en milieu urbain, 74 % en milieu rural). À 17 ans, 42 % des jeunes femmes ont déjà un enfant ou sont enceintes pour la première fois. </w:t>
      </w:r>
    </w:p>
    <w:p w:rsidR="00000000" w:rsidRDefault="00000000">
      <w:pPr>
        <w:spacing w:after="240"/>
        <w:rPr>
          <w:color w:val="000000"/>
          <w:szCs w:val="22"/>
        </w:rPr>
      </w:pPr>
      <w:r>
        <w:rPr>
          <w:color w:val="000000"/>
          <w:szCs w:val="22"/>
        </w:rPr>
        <w:t>49.</w:t>
      </w:r>
      <w:r>
        <w:rPr>
          <w:color w:val="000000"/>
          <w:szCs w:val="22"/>
        </w:rPr>
        <w:tab/>
        <w:t xml:space="preserve">Le Code électoral fixe le droit de vote à 18 ans. </w:t>
      </w:r>
    </w:p>
    <w:p w:rsidR="00000000" w:rsidRDefault="00000000">
      <w:pPr>
        <w:spacing w:after="240"/>
        <w:rPr>
          <w:color w:val="000000"/>
          <w:szCs w:val="22"/>
        </w:rPr>
      </w:pPr>
      <w:r>
        <w:rPr>
          <w:color w:val="000000"/>
          <w:szCs w:val="22"/>
        </w:rPr>
        <w:t>50.</w:t>
      </w:r>
      <w:r>
        <w:rPr>
          <w:color w:val="000000"/>
          <w:szCs w:val="22"/>
        </w:rPr>
        <w:tab/>
        <w:t>L’âge minimum légal d’admission à l’emploi (14 ans) n’est pas souvent respecté. La pauvreté endémique dans laquelle vivent les parents les amène à envoyer très tôt les enfants sur le marché du travail, exposant ainsi les enfants aux pires formes de travail dont les cas les plus fréquents sont l’exploitation des enfants bouviers, domestiques et ceux victimes d’abus et d’exploitation sexuels.</w:t>
      </w:r>
    </w:p>
    <w:p w:rsidR="00000000" w:rsidRDefault="00000000">
      <w:pPr>
        <w:spacing w:after="240"/>
        <w:rPr>
          <w:color w:val="000000"/>
          <w:szCs w:val="22"/>
        </w:rPr>
      </w:pPr>
      <w:r>
        <w:rPr>
          <w:color w:val="000000"/>
          <w:szCs w:val="22"/>
        </w:rPr>
        <w:t>51.</w:t>
      </w:r>
      <w:r>
        <w:rPr>
          <w:color w:val="000000"/>
          <w:szCs w:val="22"/>
        </w:rPr>
        <w:tab/>
        <w:t>L’enquête sur le travail des enfants dans le secteur informel (UNICEF 1998) a estimé à 19 % la proportion d’enfants travailleurs âgés de 6 à 18 ans dont 5 % d’enfants âgés de 6 à 9 ans, 18 % de 0 à 12 ans et 28 % de 13 à 14 ans.</w:t>
      </w:r>
    </w:p>
    <w:p w:rsidR="00000000" w:rsidRDefault="00000000">
      <w:pPr>
        <w:spacing w:after="240"/>
        <w:rPr>
          <w:color w:val="000000"/>
          <w:szCs w:val="22"/>
        </w:rPr>
      </w:pPr>
      <w:r>
        <w:rPr>
          <w:color w:val="000000"/>
          <w:szCs w:val="22"/>
        </w:rPr>
        <w:t>52.</w:t>
      </w:r>
      <w:r>
        <w:rPr>
          <w:color w:val="000000"/>
          <w:szCs w:val="22"/>
        </w:rPr>
        <w:tab/>
        <w:t xml:space="preserve">Selon l’Enquête Démographique et de Santé (EDST 2004), 43 % des enfants âgés de 5 à 17 ans travaillent au moins quatre heures par jour. Trois enfants sur quatre (75 %) ont fait du travail dans le cadre domestique et 13 % y ont consacré plus de quatre heures. </w:t>
      </w:r>
    </w:p>
    <w:p w:rsidR="00000000" w:rsidRDefault="00000000">
      <w:pPr>
        <w:spacing w:after="240"/>
        <w:rPr>
          <w:color w:val="000000"/>
          <w:szCs w:val="22"/>
        </w:rPr>
      </w:pPr>
      <w:r>
        <w:rPr>
          <w:color w:val="000000"/>
          <w:szCs w:val="22"/>
        </w:rPr>
        <w:t>53.</w:t>
      </w:r>
      <w:r>
        <w:rPr>
          <w:color w:val="000000"/>
          <w:szCs w:val="22"/>
        </w:rPr>
        <w:tab/>
        <w:t>L’UNICEF et les autres partenaires du développement ont appuyé la mise en œuvre d’un projet de lutte contre le travail des enfants bouviers et un Plan national d’action de lutte contre les abus et l’exploitation sexuels des enfants.</w:t>
      </w:r>
    </w:p>
    <w:p w:rsidR="00000000" w:rsidRDefault="00000000">
      <w:pPr>
        <w:spacing w:after="240"/>
        <w:rPr>
          <w:color w:val="000000"/>
          <w:szCs w:val="22"/>
        </w:rPr>
      </w:pPr>
      <w:r>
        <w:rPr>
          <w:color w:val="000000"/>
          <w:szCs w:val="22"/>
        </w:rPr>
        <w:t>54.</w:t>
      </w:r>
      <w:r>
        <w:rPr>
          <w:color w:val="000000"/>
          <w:szCs w:val="22"/>
        </w:rPr>
        <w:tab/>
        <w:t xml:space="preserve">La majorité pénale est de 13 ans au Tchad. </w:t>
      </w:r>
    </w:p>
    <w:p w:rsidR="00000000" w:rsidRDefault="00000000">
      <w:pPr>
        <w:spacing w:after="240"/>
        <w:rPr>
          <w:szCs w:val="22"/>
        </w:rPr>
      </w:pPr>
      <w:r>
        <w:rPr>
          <w:color w:val="000000"/>
          <w:szCs w:val="22"/>
        </w:rPr>
        <w:t>55.</w:t>
      </w:r>
      <w:r>
        <w:rPr>
          <w:color w:val="000000"/>
          <w:szCs w:val="22"/>
        </w:rPr>
        <w:tab/>
        <w:t>L’âge de recrutement dans l’armée est fixé à 18 ans (</w:t>
      </w:r>
      <w:r>
        <w:rPr>
          <w:szCs w:val="22"/>
        </w:rPr>
        <w:t xml:space="preserve">Ordonnance nº 001 du 16 janvier 1991). </w:t>
      </w:r>
    </w:p>
    <w:p w:rsidR="00000000" w:rsidRDefault="00000000">
      <w:pPr>
        <w:keepNext/>
        <w:spacing w:after="240"/>
        <w:jc w:val="center"/>
        <w:rPr>
          <w:b/>
          <w:szCs w:val="22"/>
        </w:rPr>
      </w:pPr>
      <w:r>
        <w:rPr>
          <w:b/>
          <w:szCs w:val="22"/>
        </w:rPr>
        <w:t>III.  PRINCIPES GÉNÉRAUX</w:t>
      </w:r>
    </w:p>
    <w:p w:rsidR="00000000" w:rsidRDefault="00000000">
      <w:pPr>
        <w:keepNext/>
        <w:spacing w:after="240"/>
        <w:jc w:val="center"/>
        <w:rPr>
          <w:bCs/>
          <w:szCs w:val="22"/>
        </w:rPr>
      </w:pPr>
      <w:r>
        <w:rPr>
          <w:b/>
          <w:szCs w:val="22"/>
        </w:rPr>
        <w:t xml:space="preserve">A.  La </w:t>
      </w:r>
      <w:proofErr w:type="spellStart"/>
      <w:r>
        <w:rPr>
          <w:b/>
          <w:szCs w:val="22"/>
        </w:rPr>
        <w:t>non</w:t>
      </w:r>
      <w:r>
        <w:rPr>
          <w:b/>
          <w:szCs w:val="22"/>
        </w:rPr>
        <w:noBreakHyphen/>
        <w:t>discrimination</w:t>
      </w:r>
      <w:proofErr w:type="spellEnd"/>
      <w:r>
        <w:rPr>
          <w:b/>
          <w:szCs w:val="22"/>
        </w:rPr>
        <w:t xml:space="preserve"> (art. 2)</w:t>
      </w:r>
    </w:p>
    <w:p w:rsidR="00000000" w:rsidRDefault="00000000">
      <w:pPr>
        <w:spacing w:after="240"/>
        <w:rPr>
          <w:szCs w:val="22"/>
        </w:rPr>
      </w:pPr>
      <w:r>
        <w:rPr>
          <w:szCs w:val="22"/>
        </w:rPr>
        <w:t>56.</w:t>
      </w:r>
      <w:r>
        <w:rPr>
          <w:szCs w:val="22"/>
        </w:rPr>
        <w:tab/>
        <w:t xml:space="preserve">Le principe de la </w:t>
      </w:r>
      <w:proofErr w:type="spellStart"/>
      <w:r>
        <w:rPr>
          <w:szCs w:val="22"/>
        </w:rPr>
        <w:t>non</w:t>
      </w:r>
      <w:r>
        <w:rPr>
          <w:szCs w:val="22"/>
        </w:rPr>
        <w:noBreakHyphen/>
        <w:t>discrimination</w:t>
      </w:r>
      <w:proofErr w:type="spellEnd"/>
      <w:r>
        <w:rPr>
          <w:szCs w:val="22"/>
        </w:rPr>
        <w:t xml:space="preserve"> est affirmé par la Constitution tchadienne en ses articles 13 et 14.</w:t>
      </w:r>
    </w:p>
    <w:p w:rsidR="00000000" w:rsidRDefault="00000000">
      <w:pPr>
        <w:spacing w:after="240"/>
        <w:rPr>
          <w:szCs w:val="22"/>
        </w:rPr>
      </w:pPr>
      <w:r>
        <w:rPr>
          <w:szCs w:val="22"/>
        </w:rPr>
        <w:t>57.</w:t>
      </w:r>
      <w:r>
        <w:rPr>
          <w:szCs w:val="22"/>
        </w:rPr>
        <w:tab/>
        <w:t xml:space="preserve">Au terme de l’article 13 de la Constitution, les Tchadiens des deux sexes ont les mêmes droits et les devoirs. Ils sont égaux devant la loi </w:t>
      </w:r>
    </w:p>
    <w:p w:rsidR="00000000" w:rsidRDefault="00000000">
      <w:pPr>
        <w:spacing w:after="240"/>
        <w:rPr>
          <w:szCs w:val="22"/>
        </w:rPr>
      </w:pPr>
      <w:r>
        <w:rPr>
          <w:szCs w:val="22"/>
        </w:rPr>
        <w:t>58.</w:t>
      </w:r>
      <w:r>
        <w:rPr>
          <w:szCs w:val="22"/>
        </w:rPr>
        <w:tab/>
        <w:t>L’article 14 dispose que tous les Tchadiens sont égaux devant la loi sans distinction d’origine, de race, de sexe, de couleur, de religion et de position sociale ou politique. L’État a le devoir de veiller à l’élimination de toutes les formes de discrimination à l’égard de la femme et d’assurer la protection de ses droits dans tous les domaines de la vie privée et publique (art 14).</w:t>
      </w:r>
    </w:p>
    <w:p w:rsidR="00000000" w:rsidRDefault="00000000">
      <w:pPr>
        <w:spacing w:after="240"/>
        <w:rPr>
          <w:szCs w:val="22"/>
        </w:rPr>
      </w:pPr>
      <w:r>
        <w:rPr>
          <w:szCs w:val="22"/>
        </w:rPr>
        <w:t>59.</w:t>
      </w:r>
      <w:r>
        <w:rPr>
          <w:szCs w:val="22"/>
        </w:rPr>
        <w:tab/>
        <w:t>Cependant, l’on note dans la pratique une persistance de la discrimination entre les filles et les garçons au plan de la scolarisation.</w:t>
      </w:r>
    </w:p>
    <w:p w:rsidR="00000000" w:rsidRDefault="00000000">
      <w:pPr>
        <w:spacing w:after="240"/>
        <w:rPr>
          <w:szCs w:val="22"/>
        </w:rPr>
      </w:pPr>
      <w:r>
        <w:rPr>
          <w:szCs w:val="22"/>
        </w:rPr>
        <w:t>60.</w:t>
      </w:r>
      <w:r>
        <w:rPr>
          <w:szCs w:val="22"/>
        </w:rPr>
        <w:tab/>
        <w:t xml:space="preserve">Le degré de fréquentation selon les sexes présente de fortes disparités. En effet, le taux de fréquentation scolaire des garçons est de 57 % pour le groupe d’âge 6-15 ans contre seulement 38 % chez les filles. Cet écart se creuse au fur et à mesure que l’âge et le niveau d’étude augmentent. Dans le groupe d’âge 16-20 ans, 50 % des garçons sont scolarisés contre seulement 17 % des filles. </w:t>
      </w:r>
    </w:p>
    <w:p w:rsidR="00000000" w:rsidRDefault="00000000">
      <w:pPr>
        <w:spacing w:after="240"/>
        <w:rPr>
          <w:szCs w:val="22"/>
        </w:rPr>
      </w:pPr>
      <w:r>
        <w:rPr>
          <w:szCs w:val="22"/>
        </w:rPr>
        <w:t>61.</w:t>
      </w:r>
      <w:r>
        <w:rPr>
          <w:szCs w:val="22"/>
        </w:rPr>
        <w:tab/>
        <w:t xml:space="preserve">Ainsi, malgré les efforts consentis en vue de l’amélioration du taux de scolarisation des filles et de la réduction de l’écart existant entre les filles et les garçons, l’écart de niveau d’instruction persiste entre les filles et les garçons. </w:t>
      </w:r>
    </w:p>
    <w:p w:rsidR="00000000" w:rsidRDefault="00000000">
      <w:pPr>
        <w:spacing w:after="240"/>
        <w:rPr>
          <w:szCs w:val="22"/>
        </w:rPr>
      </w:pPr>
      <w:r>
        <w:rPr>
          <w:szCs w:val="22"/>
        </w:rPr>
        <w:t>62.</w:t>
      </w:r>
      <w:r>
        <w:rPr>
          <w:szCs w:val="22"/>
        </w:rPr>
        <w:tab/>
        <w:t>Les causes de la faible scolarisation des filles sont d’ordre:</w:t>
      </w:r>
    </w:p>
    <w:p w:rsidR="00000000" w:rsidRDefault="00000000">
      <w:pPr>
        <w:spacing w:after="240"/>
        <w:ind w:firstLine="567"/>
      </w:pPr>
      <w:r>
        <w:t>a)</w:t>
      </w:r>
      <w:r>
        <w:tab/>
        <w:t>Socioculturel: mariage précoce, travaux domestiques, réticence des parents à envoyer les filles à l’école, pauvreté;</w:t>
      </w:r>
    </w:p>
    <w:p w:rsidR="00000000" w:rsidRDefault="00000000">
      <w:pPr>
        <w:spacing w:after="240"/>
        <w:ind w:firstLine="567"/>
      </w:pPr>
      <w:r>
        <w:t>b)</w:t>
      </w:r>
      <w:r>
        <w:tab/>
        <w:t>Institutionnel: insécurité due à l’éloignement des écoles et à des infrastructures et équipements inappropriés.</w:t>
      </w:r>
    </w:p>
    <w:p w:rsidR="00000000" w:rsidRDefault="00000000">
      <w:pPr>
        <w:spacing w:after="240"/>
      </w:pPr>
      <w:r>
        <w:t>63.</w:t>
      </w:r>
      <w:r>
        <w:tab/>
        <w:t>La discrimination se trouve parfois légitimée à travers les dispositions législatives. En effet, pour nous limiter à quelques exemples, le Code pénal tchadien en son article 277 fixe implicitement l’âge du mariage à 13 ans puisqu’il ne réprime que les mariages coutumiers conclus avant cet âge. De plus, le rapt se trouve implicitement admis dans la mesure où l’alinéa 2 de l’article 289 du Code pénal prévoit que lorsqu’une mineure enlevée ou détournée aura épousé son ravisseur, celui-ci ne peut-être poursuivi que sur la plainte des personnes qui ont qualité pour demander l’annulation et ne peut être condamné qu’après</w:t>
      </w:r>
      <w:r>
        <w:rPr>
          <w:color w:val="0000FF"/>
        </w:rPr>
        <w:t xml:space="preserve"> </w:t>
      </w:r>
      <w:r>
        <w:t>cette annulation. Or ceux qui ont qualité pour demander l’annulation du mariage sont souvent co-auteurs ou complices du détournement du mineur ou du mariage par rapt.</w:t>
      </w:r>
    </w:p>
    <w:p w:rsidR="00000000" w:rsidRDefault="00000000">
      <w:pPr>
        <w:spacing w:after="240"/>
      </w:pPr>
      <w:r>
        <w:t>64.</w:t>
      </w:r>
      <w:r>
        <w:tab/>
        <w:t xml:space="preserve">Par ailleurs, l’application du droit coutumier en matière civile par les tribunaux pose un réel problème de protection de droits de l’enfant et des femmes, notamment le droit à l’héritage, et favorise la discrimination entre les enfants. En effet, l’Ordonnance nº 6-67 portant réforme de l’organisation judiciaire, abrogée partiellement par la loi nº 004/PR/99 du portant réforme judiciaire, prévoit, en ses articles 70 et suivants, que: </w:t>
      </w:r>
      <w:r>
        <w:rPr>
          <w:b/>
        </w:rPr>
        <w:t>«</w:t>
      </w:r>
      <w:r>
        <w:t xml:space="preserve">lorsque les parties sont de statuts civils différents, les successions sont régies par la coutume du défunt». Or l’on sait que dans la plupart des coutumes, la femme n’hérite pas de son défunt mari ou n’hérite que le quart des biens laissés (droit musulman). Quant à la fille, elle n’hérite que la moitié de la part du garçon. </w:t>
      </w:r>
    </w:p>
    <w:p w:rsidR="00000000" w:rsidRDefault="00000000">
      <w:pPr>
        <w:spacing w:after="240"/>
        <w:rPr>
          <w:szCs w:val="22"/>
        </w:rPr>
      </w:pPr>
      <w:r>
        <w:rPr>
          <w:szCs w:val="22"/>
        </w:rPr>
        <w:t>65.</w:t>
      </w:r>
      <w:r>
        <w:rPr>
          <w:szCs w:val="22"/>
        </w:rPr>
        <w:tab/>
        <w:t>L’Ordonnance 3/INT du 2 juin 1961, réglementant l’état civil ne prévoit pas l’enregistrement à l’état civil des enfants nés des parents réfugiés. Ce vide juridique est en train d’être comblé par un avant-projet de loi qui prévoit l’enregistrement à l’état civil de tous les enfants nés sur le territoire national.</w:t>
      </w:r>
    </w:p>
    <w:p w:rsidR="00000000" w:rsidRDefault="00000000">
      <w:pPr>
        <w:spacing w:after="240"/>
        <w:rPr>
          <w:szCs w:val="22"/>
        </w:rPr>
      </w:pPr>
      <w:r>
        <w:t>66.</w:t>
      </w:r>
      <w:r>
        <w:tab/>
        <w:t>Pour remédier à ces violations de droits, le Code pénal et l’Ordonnance nº 3/INT/61 ont été révisés et un projet de Code des personnes et de la famille élaboré et attendent leur promulgation et</w:t>
      </w:r>
      <w:r>
        <w:rPr>
          <w:szCs w:val="22"/>
        </w:rPr>
        <w:t xml:space="preserve"> des actions de sensibilisation et de mobilisation sociale ont été développées à l’échelle des communautés en vue d’initier un changement de comportement.</w:t>
      </w:r>
    </w:p>
    <w:p w:rsidR="00000000" w:rsidRDefault="00000000">
      <w:pPr>
        <w:spacing w:after="240"/>
        <w:rPr>
          <w:color w:val="000000"/>
          <w:szCs w:val="22"/>
        </w:rPr>
      </w:pPr>
      <w:r>
        <w:rPr>
          <w:color w:val="000000"/>
          <w:szCs w:val="22"/>
        </w:rPr>
        <w:t>67.</w:t>
      </w:r>
      <w:r>
        <w:rPr>
          <w:color w:val="000000"/>
          <w:szCs w:val="22"/>
        </w:rPr>
        <w:tab/>
        <w:t>La législation tchadienne accorde un même statut juridique aux enfants nés dans le mariage et à ceux nés hors mariage s’ils sont reconnus.</w:t>
      </w:r>
    </w:p>
    <w:p w:rsidR="00000000" w:rsidRDefault="00000000">
      <w:pPr>
        <w:spacing w:after="240"/>
        <w:jc w:val="center"/>
        <w:rPr>
          <w:bCs/>
          <w:color w:val="000000"/>
          <w:szCs w:val="22"/>
        </w:rPr>
      </w:pPr>
      <w:r>
        <w:rPr>
          <w:b/>
          <w:color w:val="000000"/>
          <w:szCs w:val="22"/>
        </w:rPr>
        <w:t>B.  L’intérêt supérieur de l’enfant (art. 3</w:t>
      </w:r>
      <w:r>
        <w:rPr>
          <w:bCs/>
          <w:color w:val="000000"/>
          <w:szCs w:val="22"/>
        </w:rPr>
        <w:t>)</w:t>
      </w:r>
    </w:p>
    <w:p w:rsidR="00000000" w:rsidRDefault="00000000">
      <w:pPr>
        <w:spacing w:after="240"/>
        <w:rPr>
          <w:bCs/>
          <w:color w:val="000000"/>
          <w:szCs w:val="22"/>
        </w:rPr>
      </w:pPr>
      <w:r>
        <w:rPr>
          <w:bCs/>
          <w:color w:val="000000"/>
          <w:szCs w:val="22"/>
        </w:rPr>
        <w:t>68.</w:t>
      </w:r>
      <w:r>
        <w:rPr>
          <w:bCs/>
          <w:color w:val="000000"/>
          <w:szCs w:val="22"/>
        </w:rPr>
        <w:tab/>
        <w:t>Outre les informations mentionnées dans le rapport initial, les tribunaux veillent sur l’intérêt supérieur de l’enfant par des dispositions protectrices prévues par la loi. Une attention particulière est accordée à l’enfant auteur d’infraction en vertu de la loi nº 7/PR/99 du 6 avril 1999 portant procédure de poursuite et des jugements des infractions commises par les mineurs de 13 à moins de 18 ans à travers une procédure spéciale qui privilégie des mesures d’assistance et de surveillance.</w:t>
      </w:r>
    </w:p>
    <w:p w:rsidR="00000000" w:rsidRDefault="00000000">
      <w:pPr>
        <w:spacing w:after="240"/>
        <w:rPr>
          <w:bCs/>
          <w:color w:val="000000"/>
          <w:szCs w:val="22"/>
        </w:rPr>
      </w:pPr>
      <w:r>
        <w:rPr>
          <w:bCs/>
          <w:color w:val="000000"/>
          <w:szCs w:val="22"/>
        </w:rPr>
        <w:t>69.</w:t>
      </w:r>
      <w:r>
        <w:rPr>
          <w:bCs/>
          <w:color w:val="000000"/>
          <w:szCs w:val="22"/>
        </w:rPr>
        <w:tab/>
        <w:t>Le Code pénal révisé prévoit la répression de certaines violences à l’égard de l’enfant et de la femme, notamment les violences sur la femme enceinte, le harcèlement sexuel, l’inceste, la pédophilie, la prostitution et le trafic d’enfants.</w:t>
      </w:r>
    </w:p>
    <w:p w:rsidR="00000000" w:rsidRDefault="00000000">
      <w:pPr>
        <w:spacing w:after="240"/>
        <w:rPr>
          <w:bCs/>
          <w:color w:val="000000"/>
          <w:szCs w:val="22"/>
        </w:rPr>
      </w:pPr>
      <w:r>
        <w:rPr>
          <w:bCs/>
          <w:color w:val="000000"/>
          <w:szCs w:val="22"/>
        </w:rPr>
        <w:t>70.</w:t>
      </w:r>
      <w:r>
        <w:rPr>
          <w:bCs/>
          <w:color w:val="000000"/>
          <w:szCs w:val="22"/>
        </w:rPr>
        <w:tab/>
        <w:t>La circulation des mineurs résidant en milieu rural vers les agglomérations ainsi que les conditions d’accès dans les salles de cinéma et les débits de boisson sont réglementées par le décret 100/PR/AFSOC du 18 juin 1963.</w:t>
      </w:r>
    </w:p>
    <w:p w:rsidR="00000000" w:rsidRDefault="00000000">
      <w:pPr>
        <w:spacing w:after="240"/>
        <w:rPr>
          <w:color w:val="000000"/>
          <w:szCs w:val="22"/>
        </w:rPr>
      </w:pPr>
      <w:r>
        <w:rPr>
          <w:bCs/>
          <w:color w:val="000000"/>
          <w:szCs w:val="22"/>
        </w:rPr>
        <w:t>71.</w:t>
      </w:r>
      <w:r>
        <w:rPr>
          <w:bCs/>
          <w:color w:val="000000"/>
          <w:szCs w:val="22"/>
        </w:rPr>
        <w:tab/>
      </w:r>
      <w:r>
        <w:rPr>
          <w:color w:val="000000"/>
          <w:szCs w:val="22"/>
        </w:rPr>
        <w:t>L’adoption qui est une mesure permettant d’assurer le bien-être de l’enfant et de lui trouver une famille est réglementée. Une enquête est diligentée pour vérifier la capacité et la moralité de famille adoptante à assurer la prise en charge du futur adopté.</w:t>
      </w:r>
    </w:p>
    <w:p w:rsidR="00000000" w:rsidRDefault="00000000">
      <w:pPr>
        <w:spacing w:after="240"/>
        <w:jc w:val="center"/>
        <w:rPr>
          <w:b/>
          <w:bCs/>
          <w:color w:val="000000"/>
          <w:szCs w:val="22"/>
        </w:rPr>
      </w:pPr>
      <w:r>
        <w:rPr>
          <w:b/>
          <w:bCs/>
          <w:color w:val="000000"/>
          <w:szCs w:val="22"/>
        </w:rPr>
        <w:t>C.  Le droit à la vie, à la survie et au développement (art. 6)</w:t>
      </w:r>
    </w:p>
    <w:p w:rsidR="00000000" w:rsidRDefault="00000000">
      <w:pPr>
        <w:spacing w:after="240"/>
        <w:rPr>
          <w:color w:val="000000"/>
          <w:szCs w:val="22"/>
        </w:rPr>
      </w:pPr>
      <w:r>
        <w:rPr>
          <w:color w:val="000000"/>
          <w:szCs w:val="22"/>
        </w:rPr>
        <w:t>72.</w:t>
      </w:r>
      <w:r>
        <w:rPr>
          <w:color w:val="000000"/>
          <w:szCs w:val="22"/>
        </w:rPr>
        <w:tab/>
        <w:t>Outre les dispositions législatives garantissant le droit à la vie, le Gouvernement a adopté des stratégies et programmes visant la survie et le développement des enfants. Il s’agit de:</w:t>
      </w:r>
    </w:p>
    <w:p w:rsidR="00000000" w:rsidRDefault="00000000">
      <w:pPr>
        <w:numPr>
          <w:ilvl w:val="0"/>
          <w:numId w:val="131"/>
        </w:numPr>
        <w:spacing w:after="240"/>
      </w:pPr>
      <w:r>
        <w:t>La Stratégie d’accélération de la survie et du développement de l’enfant (SASDE) qui est en voie de devenir une stratégie nationale;</w:t>
      </w:r>
    </w:p>
    <w:p w:rsidR="00000000" w:rsidRDefault="00000000">
      <w:pPr>
        <w:numPr>
          <w:ilvl w:val="0"/>
          <w:numId w:val="131"/>
        </w:numPr>
        <w:spacing w:after="240"/>
      </w:pPr>
      <w:r>
        <w:t>Le Programme élargi de vaccination (PEV);</w:t>
      </w:r>
    </w:p>
    <w:p w:rsidR="00000000" w:rsidRDefault="00000000">
      <w:pPr>
        <w:numPr>
          <w:ilvl w:val="0"/>
          <w:numId w:val="131"/>
        </w:numPr>
        <w:spacing w:after="240"/>
      </w:pPr>
      <w:r>
        <w:t>Le Programme de lutte contre les maladies diarrhéiques et les infections respiratoires aiguës (MLD/IRA);</w:t>
      </w:r>
    </w:p>
    <w:p w:rsidR="00000000" w:rsidRDefault="00000000">
      <w:pPr>
        <w:numPr>
          <w:ilvl w:val="0"/>
          <w:numId w:val="131"/>
        </w:numPr>
        <w:spacing w:after="240"/>
      </w:pPr>
      <w:r>
        <w:t xml:space="preserve">Le Programme de lutte contre la malnutrition, les carences en </w:t>
      </w:r>
      <w:proofErr w:type="spellStart"/>
      <w:r>
        <w:t>micronutriments</w:t>
      </w:r>
      <w:proofErr w:type="spellEnd"/>
      <w:r>
        <w:t>, y compris la promotion de l’allaitement maternel.</w:t>
      </w:r>
    </w:p>
    <w:p w:rsidR="00000000" w:rsidRDefault="00000000">
      <w:pPr>
        <w:spacing w:after="240"/>
        <w:rPr>
          <w:color w:val="000000"/>
          <w:szCs w:val="22"/>
        </w:rPr>
      </w:pPr>
      <w:r>
        <w:rPr>
          <w:color w:val="000000"/>
          <w:szCs w:val="22"/>
        </w:rPr>
        <w:t>73.</w:t>
      </w:r>
      <w:r>
        <w:rPr>
          <w:color w:val="000000"/>
          <w:szCs w:val="22"/>
        </w:rPr>
        <w:tab/>
        <w:t xml:space="preserve">Par ailleurs, une politique de développement intégral du jeune enfant a été élaborée et validée en 2005 avec pour objectif que, d’ici 2015, 100 % des enfants de 0 à 8 ans soient enregistrés à la naissance, protégés contre la violence, l’exploitation, la discrimination, en bonne santé, se développent harmonieusement sur les plans physique, cognitif, </w:t>
      </w:r>
      <w:proofErr w:type="spellStart"/>
      <w:r>
        <w:rPr>
          <w:color w:val="000000"/>
          <w:szCs w:val="22"/>
        </w:rPr>
        <w:t>socio-affectif</w:t>
      </w:r>
      <w:proofErr w:type="spellEnd"/>
      <w:r>
        <w:rPr>
          <w:color w:val="000000"/>
          <w:szCs w:val="22"/>
        </w:rPr>
        <w:t xml:space="preserve"> et psychologique. À cet effet, un projet d’éducation parentale est mis en œuvre dans le cadre du programme de coopération Tchad-UNICEF (2006-2010).</w:t>
      </w:r>
    </w:p>
    <w:p w:rsidR="00000000" w:rsidRDefault="00000000">
      <w:pPr>
        <w:spacing w:after="240"/>
        <w:rPr>
          <w:color w:val="000000"/>
          <w:szCs w:val="22"/>
        </w:rPr>
      </w:pPr>
      <w:r>
        <w:rPr>
          <w:color w:val="000000"/>
          <w:szCs w:val="22"/>
        </w:rPr>
        <w:t>74.</w:t>
      </w:r>
      <w:r>
        <w:rPr>
          <w:color w:val="000000"/>
          <w:szCs w:val="22"/>
        </w:rPr>
        <w:tab/>
        <w:t xml:space="preserve">En outre, un programme de prévention de la transmission du VIH de la mère à l’enfant a été mis en œuvre dans les structures des soins de santé sur l’ensemble du territoire national. Il a pour objectifs de: </w:t>
      </w:r>
    </w:p>
    <w:p w:rsidR="00000000" w:rsidRDefault="00000000">
      <w:pPr>
        <w:spacing w:after="240"/>
        <w:ind w:firstLine="567"/>
      </w:pPr>
      <w:r>
        <w:t>a)</w:t>
      </w:r>
      <w:r>
        <w:tab/>
        <w:t>Promouvoir le dépistage volontaire des femmes en consultation prénatale;</w:t>
      </w:r>
    </w:p>
    <w:p w:rsidR="00000000" w:rsidRDefault="00000000">
      <w:pPr>
        <w:spacing w:after="240"/>
        <w:ind w:firstLine="567"/>
      </w:pPr>
      <w:r>
        <w:t>b)</w:t>
      </w:r>
      <w:r>
        <w:tab/>
        <w:t>Prendre en charge les femmes séropositives;</w:t>
      </w:r>
    </w:p>
    <w:p w:rsidR="00000000" w:rsidRDefault="00000000">
      <w:pPr>
        <w:spacing w:after="240"/>
        <w:ind w:firstLine="567"/>
      </w:pPr>
      <w:r>
        <w:t>c)</w:t>
      </w:r>
      <w:r>
        <w:tab/>
        <w:t>Prendre en charge et assurer le suivi des enfants nés de mères séropositives;</w:t>
      </w:r>
    </w:p>
    <w:p w:rsidR="00000000" w:rsidRDefault="00000000">
      <w:pPr>
        <w:spacing w:after="240"/>
        <w:ind w:firstLine="567"/>
      </w:pPr>
      <w:r>
        <w:t>d)</w:t>
      </w:r>
      <w:r>
        <w:tab/>
        <w:t xml:space="preserve">Assurer une prise en charge nutritionnelle du couple (parents/enfants). </w:t>
      </w:r>
    </w:p>
    <w:p w:rsidR="00000000" w:rsidRDefault="00000000">
      <w:pPr>
        <w:spacing w:after="240"/>
        <w:rPr>
          <w:color w:val="000000"/>
          <w:szCs w:val="22"/>
        </w:rPr>
      </w:pPr>
      <w:r>
        <w:rPr>
          <w:color w:val="000000"/>
          <w:szCs w:val="22"/>
        </w:rPr>
        <w:t>75.</w:t>
      </w:r>
      <w:r>
        <w:rPr>
          <w:color w:val="000000"/>
          <w:szCs w:val="22"/>
        </w:rPr>
        <w:tab/>
        <w:t>Malgré la mise en œuvre de ces programmes, les taux de mortalité infantile et de malnutrition restent élevés. Les résultats de l’Enquête démographique et de santé 2004 révèlent que sur 1 000 naissances vivantes, 102 enfants meurent avant d’atteindre leur premier anniversaire. Globalement, le risque de décès entre la naissance et le cinquième anniversaire est de 191 pour mille.</w:t>
      </w:r>
    </w:p>
    <w:p w:rsidR="00000000" w:rsidRDefault="00000000">
      <w:pPr>
        <w:spacing w:after="240"/>
        <w:rPr>
          <w:color w:val="000000"/>
          <w:szCs w:val="22"/>
        </w:rPr>
      </w:pPr>
      <w:r>
        <w:rPr>
          <w:color w:val="000000"/>
          <w:szCs w:val="22"/>
        </w:rPr>
        <w:t>76.</w:t>
      </w:r>
      <w:r>
        <w:rPr>
          <w:color w:val="000000"/>
          <w:szCs w:val="22"/>
        </w:rPr>
        <w:tab/>
        <w:t xml:space="preserve">Selon l’enquête à indicateurs multiples (EIMT), les taux de mortalité infantile et </w:t>
      </w:r>
      <w:proofErr w:type="spellStart"/>
      <w:r>
        <w:rPr>
          <w:color w:val="000000"/>
          <w:szCs w:val="22"/>
        </w:rPr>
        <w:t>infanto-juvénile</w:t>
      </w:r>
      <w:proofErr w:type="spellEnd"/>
      <w:r>
        <w:rPr>
          <w:color w:val="000000"/>
          <w:szCs w:val="22"/>
        </w:rPr>
        <w:t xml:space="preserve"> sont respectivement de 105 pour mille et 194 pour mille.</w:t>
      </w:r>
    </w:p>
    <w:p w:rsidR="00000000" w:rsidRDefault="00000000">
      <w:pPr>
        <w:spacing w:after="240"/>
        <w:rPr>
          <w:color w:val="000000"/>
          <w:szCs w:val="22"/>
        </w:rPr>
      </w:pPr>
      <w:r>
        <w:rPr>
          <w:color w:val="000000"/>
          <w:szCs w:val="22"/>
        </w:rPr>
        <w:t>77.</w:t>
      </w:r>
      <w:r>
        <w:rPr>
          <w:color w:val="000000"/>
          <w:szCs w:val="22"/>
        </w:rPr>
        <w:tab/>
        <w:t xml:space="preserve">La situation nutritionnelle reste critique pour les enfants âgés de moins de cinq ans. 41 % des enfants vivant avec leur mère (contre 40 % en 1996- 1997) souffrent de malnutrition chronique modérée et près d’un enfant sur cinq (23 % contre 20 % en 1996- 1997) souffre de malnutrition chronique sévère. </w:t>
      </w:r>
    </w:p>
    <w:p w:rsidR="00000000" w:rsidRDefault="00000000">
      <w:pPr>
        <w:spacing w:after="240"/>
        <w:rPr>
          <w:color w:val="000000"/>
          <w:szCs w:val="22"/>
        </w:rPr>
      </w:pPr>
      <w:r>
        <w:rPr>
          <w:color w:val="000000"/>
          <w:szCs w:val="22"/>
        </w:rPr>
        <w:t>78.</w:t>
      </w:r>
      <w:r>
        <w:rPr>
          <w:color w:val="000000"/>
          <w:szCs w:val="22"/>
        </w:rPr>
        <w:tab/>
        <w:t>Les déclarations de naissance doivent être faites dans le délai de deux mois par la mère, le père, l’un des ascendants ou des proches parents ou toute personne ayant assisté à la naissance au centre d’état civil dans le ressort duquel la naissance a eu lieu. (art. 9 de l’ordonnance 3).</w:t>
      </w:r>
    </w:p>
    <w:p w:rsidR="00000000" w:rsidRDefault="00000000">
      <w:pPr>
        <w:spacing w:after="240"/>
        <w:rPr>
          <w:color w:val="000000"/>
          <w:szCs w:val="22"/>
        </w:rPr>
      </w:pPr>
      <w:r>
        <w:rPr>
          <w:color w:val="000000"/>
          <w:szCs w:val="22"/>
        </w:rPr>
        <w:t>79.</w:t>
      </w:r>
      <w:r>
        <w:rPr>
          <w:color w:val="000000"/>
          <w:szCs w:val="22"/>
        </w:rPr>
        <w:tab/>
        <w:t>Malgré les dispositions législatives, le taux de l’enregistrement des naissances à l’état civil est en régression faible. En effet, seulement un enfant sur dix (10 %) a été déclaré à l’état civil dont 6 % l’ont été au cours de trois mois suivant la naissance alors que selon l’enquête à indicateurs multiples réalisée en 2000 (DSEED, 2001), on estimait qu’une naissance sur quatre d’enfants de moins de cinq ans avait été enregistrée. La proportion des naissances déclarées augmente avec l’âge de l’enfant, passant de 8 % à 0-2 ans à 11 % à 5-9 ans. Plus l’enfant vieillit, plus de naissances sont enregistrées «en retard», certainement pour des raisons de scolarisation.</w:t>
      </w:r>
    </w:p>
    <w:p w:rsidR="00000000" w:rsidRDefault="00000000">
      <w:pPr>
        <w:spacing w:after="240"/>
        <w:rPr>
          <w:color w:val="000000"/>
          <w:szCs w:val="22"/>
        </w:rPr>
      </w:pPr>
      <w:r>
        <w:rPr>
          <w:color w:val="000000"/>
          <w:szCs w:val="22"/>
        </w:rPr>
        <w:t>80.</w:t>
      </w:r>
      <w:r>
        <w:rPr>
          <w:color w:val="000000"/>
          <w:szCs w:val="22"/>
        </w:rPr>
        <w:tab/>
        <w:t>Les déclarations de reconnaissance d’enfant doivent être faites par la mère en personne. Elles ne peuvent être reçues que lors de la déclaration de l’enfant et enregistrées que sur l’acte de naissance.</w:t>
      </w:r>
    </w:p>
    <w:p w:rsidR="00000000" w:rsidRDefault="00000000">
      <w:pPr>
        <w:spacing w:after="240"/>
        <w:rPr>
          <w:color w:val="000000"/>
          <w:szCs w:val="22"/>
        </w:rPr>
      </w:pPr>
      <w:r>
        <w:rPr>
          <w:color w:val="000000"/>
          <w:szCs w:val="22"/>
        </w:rPr>
        <w:t>81.</w:t>
      </w:r>
      <w:r>
        <w:rPr>
          <w:color w:val="000000"/>
          <w:szCs w:val="22"/>
        </w:rPr>
        <w:tab/>
        <w:t>Quant aux déclarations de décès, elles doivent être faites dans le délai de deux mois par le conjoint survivant, les ascendants ou proches parents du défunt ou toute personne ayant assisté au décès au centre d’état civil dans le ressort duquel le décès est survenu (art. 12 de l’ordonnance 3).</w:t>
      </w:r>
    </w:p>
    <w:p w:rsidR="00000000" w:rsidRDefault="00000000">
      <w:pPr>
        <w:spacing w:after="240"/>
        <w:rPr>
          <w:color w:val="000000"/>
          <w:szCs w:val="22"/>
        </w:rPr>
      </w:pPr>
      <w:r>
        <w:rPr>
          <w:color w:val="000000"/>
          <w:szCs w:val="22"/>
        </w:rPr>
        <w:t>82.</w:t>
      </w:r>
      <w:r>
        <w:rPr>
          <w:color w:val="000000"/>
          <w:szCs w:val="22"/>
        </w:rPr>
        <w:tab/>
        <w:t>Pour contribuer à l’augmentation de l’enregistrement des faits d’état civil, Un projet Modernisation état civil et projet d’appui au renforcement de l’état civil au Tchad sont mis en œuvre avec l’appui du PNUD et de l’Union européenne.</w:t>
      </w:r>
    </w:p>
    <w:p w:rsidR="00000000" w:rsidRDefault="00000000">
      <w:pPr>
        <w:spacing w:after="240"/>
        <w:rPr>
          <w:color w:val="000000"/>
          <w:szCs w:val="22"/>
        </w:rPr>
      </w:pPr>
      <w:r>
        <w:rPr>
          <w:color w:val="000000"/>
          <w:szCs w:val="22"/>
        </w:rPr>
        <w:t>83.</w:t>
      </w:r>
      <w:r>
        <w:rPr>
          <w:color w:val="000000"/>
          <w:szCs w:val="22"/>
        </w:rPr>
        <w:tab/>
        <w:t>L’UNICEF appuie également depuis 2002 les efforts du Gouvernement pour l’amélioration du taux d’enregistrement des naissances à l’état civil.</w:t>
      </w:r>
    </w:p>
    <w:p w:rsidR="00000000" w:rsidRDefault="00000000">
      <w:pPr>
        <w:spacing w:after="240"/>
        <w:jc w:val="center"/>
        <w:rPr>
          <w:b/>
          <w:bCs/>
          <w:color w:val="000000"/>
          <w:szCs w:val="22"/>
        </w:rPr>
      </w:pPr>
      <w:r>
        <w:rPr>
          <w:b/>
          <w:bCs/>
          <w:color w:val="000000"/>
          <w:szCs w:val="22"/>
        </w:rPr>
        <w:t>D.  Le respect de l’opinion de l’enfant (art. 12)</w:t>
      </w:r>
    </w:p>
    <w:p w:rsidR="00000000" w:rsidRDefault="00000000">
      <w:pPr>
        <w:spacing w:after="240"/>
        <w:rPr>
          <w:szCs w:val="22"/>
        </w:rPr>
      </w:pPr>
      <w:r>
        <w:rPr>
          <w:szCs w:val="22"/>
        </w:rPr>
        <w:t>84.</w:t>
      </w:r>
      <w:r>
        <w:rPr>
          <w:szCs w:val="22"/>
        </w:rPr>
        <w:tab/>
        <w:t>L’enfant ayant une certaine maturité a le droit d’exprimer son point de vue devant les juridictions sur certaines questions le concernant notamment en matière d’adoption et d’attribution de garde. Cet avis est laissé à l’appréciation souveraine du juge guidée par l’intérêt supérieur de l’enfant.</w:t>
      </w:r>
    </w:p>
    <w:p w:rsidR="00000000" w:rsidRDefault="00000000">
      <w:pPr>
        <w:spacing w:after="240"/>
        <w:rPr>
          <w:szCs w:val="22"/>
        </w:rPr>
      </w:pPr>
      <w:r>
        <w:rPr>
          <w:szCs w:val="22"/>
        </w:rPr>
        <w:t>85.</w:t>
      </w:r>
      <w:r>
        <w:rPr>
          <w:szCs w:val="22"/>
        </w:rPr>
        <w:tab/>
        <w:t xml:space="preserve">Le respect de l’opinion de l’enfant est de plus en plus garanti par son implication dans l’élaboration et la mise en œuvre des politiques et programmes le concernant. Par ailleurs, le cadre d’expression des enfants est renforcé par la mise en place du Parlement des enfants et des associations qui leur permettent de s’exprimer librement. </w:t>
      </w:r>
    </w:p>
    <w:p w:rsidR="00000000" w:rsidRDefault="00000000">
      <w:pPr>
        <w:spacing w:after="240"/>
        <w:rPr>
          <w:color w:val="000000"/>
          <w:szCs w:val="22"/>
        </w:rPr>
      </w:pPr>
      <w:r>
        <w:rPr>
          <w:szCs w:val="22"/>
        </w:rPr>
        <w:t>86.</w:t>
      </w:r>
      <w:r>
        <w:rPr>
          <w:szCs w:val="22"/>
        </w:rPr>
        <w:tab/>
        <w:t xml:space="preserve">Cependant, l’enfant n’étant pas considéré comme un sujet de droit, son opinion n’est pas </w:t>
      </w:r>
      <w:r>
        <w:rPr>
          <w:color w:val="000000"/>
          <w:szCs w:val="22"/>
        </w:rPr>
        <w:t xml:space="preserve">requise dans le milieu familial sur des questions le concernant. Ce sont les parents et ou les représentants légaux qui décident souvent à sa place. </w:t>
      </w:r>
    </w:p>
    <w:p w:rsidR="00000000" w:rsidRDefault="00000000">
      <w:pPr>
        <w:spacing w:after="240"/>
        <w:rPr>
          <w:color w:val="000000"/>
          <w:szCs w:val="22"/>
        </w:rPr>
      </w:pPr>
      <w:r>
        <w:rPr>
          <w:color w:val="000000"/>
          <w:szCs w:val="22"/>
        </w:rPr>
        <w:t>87.</w:t>
      </w:r>
      <w:r>
        <w:rPr>
          <w:color w:val="000000"/>
          <w:szCs w:val="22"/>
        </w:rPr>
        <w:tab/>
        <w:t>Pour remédier à cette situation, des actions de sensibilisation à la Convention à l’intention des parents et des communautés ont été organisées pour un changement de comportement.</w:t>
      </w:r>
    </w:p>
    <w:p w:rsidR="00000000" w:rsidRDefault="00000000">
      <w:pPr>
        <w:spacing w:after="240"/>
        <w:jc w:val="center"/>
        <w:rPr>
          <w:b/>
          <w:color w:val="000000"/>
          <w:szCs w:val="22"/>
        </w:rPr>
      </w:pPr>
      <w:r>
        <w:rPr>
          <w:b/>
          <w:color w:val="000000"/>
          <w:szCs w:val="22"/>
        </w:rPr>
        <w:t>IV.  DROITS CIVILS ET LIBERTÉS</w:t>
      </w:r>
    </w:p>
    <w:p w:rsidR="00000000" w:rsidRDefault="00000000">
      <w:pPr>
        <w:spacing w:after="240"/>
        <w:jc w:val="center"/>
        <w:rPr>
          <w:b/>
          <w:bCs/>
          <w:color w:val="000000"/>
        </w:rPr>
      </w:pPr>
      <w:r>
        <w:rPr>
          <w:b/>
          <w:bCs/>
          <w:color w:val="000000"/>
        </w:rPr>
        <w:t>A.  Le nom et la nationalité</w:t>
      </w:r>
      <w:r>
        <w:rPr>
          <w:b/>
          <w:bCs/>
          <w:color w:val="000000"/>
        </w:rPr>
        <w:br/>
        <w:t>(art.7)</w:t>
      </w:r>
    </w:p>
    <w:p w:rsidR="00000000" w:rsidRDefault="00000000">
      <w:pPr>
        <w:spacing w:after="240"/>
        <w:rPr>
          <w:color w:val="000000"/>
          <w:szCs w:val="22"/>
        </w:rPr>
      </w:pPr>
      <w:r>
        <w:rPr>
          <w:color w:val="000000"/>
          <w:szCs w:val="22"/>
        </w:rPr>
        <w:t>88.</w:t>
      </w:r>
      <w:r>
        <w:rPr>
          <w:color w:val="000000"/>
          <w:szCs w:val="22"/>
        </w:rPr>
        <w:tab/>
        <w:t xml:space="preserve">Pour pallier les insuffisances liées à l’organisation actuelle de l’état civil régi par l’ordonnance nº 03/INT du 2 juin 1961, le Gouvernement tchadien a, dans le cadre du projet Modernisation de l’état civil, élaboré un Document de stratégie nationale de l’état civil dont l’un des objectifs est la sensibilisation des populations à l’importance de l’état civil et un avant-projet de loi portant organisation de l’état civil qui, s’il venait à être promulgué, répondra aux préoccupations du Comité en matière d’enregistrement des naissances. Ces réponses sont la déclaration obligatoire des naissances pour les populations sédentaires et nomades, avec la possibilité d’avoir des bureaux itinérants pour les populations nomades. Le délai accordé pour la déclaration est également revu à la baisse. Il sera d’un mois au lieu de deux pour les populations sédentaires et de deux mois au lieu de quatre pour les nomades. </w:t>
      </w:r>
    </w:p>
    <w:p w:rsidR="00000000" w:rsidRDefault="00000000">
      <w:pPr>
        <w:spacing w:after="240"/>
        <w:rPr>
          <w:color w:val="000000"/>
          <w:szCs w:val="22"/>
        </w:rPr>
      </w:pPr>
      <w:r>
        <w:rPr>
          <w:color w:val="000000"/>
          <w:szCs w:val="22"/>
        </w:rPr>
        <w:t>89.</w:t>
      </w:r>
      <w:r>
        <w:rPr>
          <w:color w:val="000000"/>
          <w:szCs w:val="22"/>
        </w:rPr>
        <w:tab/>
        <w:t xml:space="preserve">Les éléments clés d’identité notamment les noms et prénoms, date et lieu de naissance, sexe, nom des père et mère de l’enfant ou de celui qui le reconnaît sont pris en compte au moment de l’enregistrement à l’état civil. </w:t>
      </w:r>
    </w:p>
    <w:p w:rsidR="00000000" w:rsidRDefault="00000000">
      <w:pPr>
        <w:spacing w:after="240"/>
        <w:rPr>
          <w:color w:val="000000"/>
          <w:szCs w:val="22"/>
        </w:rPr>
      </w:pPr>
      <w:r>
        <w:rPr>
          <w:color w:val="000000"/>
          <w:szCs w:val="22"/>
        </w:rPr>
        <w:t>90.</w:t>
      </w:r>
      <w:r>
        <w:rPr>
          <w:color w:val="000000"/>
          <w:szCs w:val="22"/>
        </w:rPr>
        <w:tab/>
        <w:t xml:space="preserve">En outre, des campagnes de sensibilisation à l’intention des leaders d’opinion et des communautés sur l’importance de l’enregistrement des enfants à la naissance, des formations des travailleurs sociaux et des agents de santé ont été menées. </w:t>
      </w:r>
    </w:p>
    <w:p w:rsidR="00000000" w:rsidRDefault="00000000">
      <w:pPr>
        <w:spacing w:after="240"/>
        <w:rPr>
          <w:color w:val="000000"/>
          <w:szCs w:val="22"/>
        </w:rPr>
      </w:pPr>
      <w:r>
        <w:rPr>
          <w:color w:val="000000"/>
          <w:szCs w:val="22"/>
        </w:rPr>
        <w:t>91.</w:t>
      </w:r>
      <w:r>
        <w:rPr>
          <w:color w:val="000000"/>
          <w:szCs w:val="22"/>
        </w:rPr>
        <w:tab/>
        <w:t xml:space="preserve">Les chefs de quartiers, de carré, des chefs de villages et des centres d’état civil des zones d’intervention du programme de coopération Tchad-UNICEF ont été dotés de registres journaux pour les déclarations des naissances et les centres d’état civil, des registres d’actes de naissance. </w:t>
      </w:r>
    </w:p>
    <w:p w:rsidR="00000000" w:rsidRDefault="00000000">
      <w:pPr>
        <w:spacing w:after="240"/>
        <w:rPr>
          <w:color w:val="000000"/>
          <w:szCs w:val="22"/>
        </w:rPr>
      </w:pPr>
      <w:r>
        <w:rPr>
          <w:color w:val="000000"/>
          <w:szCs w:val="22"/>
        </w:rPr>
        <w:t>92.</w:t>
      </w:r>
      <w:r>
        <w:rPr>
          <w:color w:val="000000"/>
          <w:szCs w:val="22"/>
        </w:rPr>
        <w:tab/>
        <w:t xml:space="preserve">Tout enfant a le droit d’acquérir une nationalité conformément au Code de la nationalité qui prévoit l’octroi de la nationalité aux enfants légitimes ou naturels nés au Tchad et qui n’ont aucune autre nationalité d’origine, aux enfants nés au Tchad de parents inconnus, ou des enfants nés au Tchad de parents étrangers. </w:t>
      </w:r>
    </w:p>
    <w:p w:rsidR="00000000" w:rsidRDefault="00000000">
      <w:pPr>
        <w:spacing w:after="240"/>
        <w:jc w:val="center"/>
        <w:rPr>
          <w:b/>
          <w:bCs/>
          <w:iCs/>
          <w:color w:val="000000"/>
        </w:rPr>
      </w:pPr>
      <w:r>
        <w:rPr>
          <w:b/>
          <w:bCs/>
          <w:iCs/>
          <w:color w:val="000000"/>
        </w:rPr>
        <w:t>B.  La préservation de l’identité (art. 8)</w:t>
      </w:r>
      <w:r>
        <w:rPr>
          <w:b/>
          <w:bCs/>
          <w:iCs/>
          <w:color w:val="000000"/>
        </w:rPr>
        <w:br/>
      </w:r>
      <w:r>
        <w:rPr>
          <w:iCs/>
          <w:color w:val="000000"/>
        </w:rPr>
        <w:t>(</w:t>
      </w:r>
      <w:r>
        <w:rPr>
          <w:b/>
          <w:bCs/>
          <w:iCs/>
          <w:color w:val="000000"/>
        </w:rPr>
        <w:t xml:space="preserve">voir </w:t>
      </w:r>
      <w:r>
        <w:rPr>
          <w:b/>
          <w:bCs/>
          <w:color w:val="000000"/>
          <w:szCs w:val="22"/>
        </w:rPr>
        <w:t>CRC/C/3/Add.50, par. 72 à 77)</w:t>
      </w:r>
    </w:p>
    <w:p w:rsidR="00000000" w:rsidRDefault="00000000">
      <w:pPr>
        <w:spacing w:after="240"/>
        <w:jc w:val="center"/>
        <w:rPr>
          <w:b/>
          <w:bCs/>
          <w:iCs/>
          <w:color w:val="000000"/>
        </w:rPr>
      </w:pPr>
      <w:r>
        <w:rPr>
          <w:b/>
          <w:bCs/>
          <w:iCs/>
          <w:color w:val="000000"/>
        </w:rPr>
        <w:t>C.  La liberté d’expression (art. 13)</w:t>
      </w:r>
    </w:p>
    <w:p w:rsidR="00000000" w:rsidRDefault="00000000">
      <w:pPr>
        <w:spacing w:after="240"/>
        <w:rPr>
          <w:color w:val="000000"/>
          <w:szCs w:val="22"/>
        </w:rPr>
      </w:pPr>
      <w:r>
        <w:rPr>
          <w:color w:val="000000"/>
          <w:szCs w:val="22"/>
        </w:rPr>
        <w:t>93.</w:t>
      </w:r>
      <w:r>
        <w:rPr>
          <w:color w:val="000000"/>
          <w:szCs w:val="22"/>
        </w:rPr>
        <w:tab/>
        <w:t>Le principe affirmé par l’article 27 de la Constitution reste un acquis. Cela s’est traduit par l’institutionnalisation du Parlement des enfants par le décret nº 634/PR/MASF du 31 décembre 2000 et ayant pour mission de:</w:t>
      </w:r>
    </w:p>
    <w:p w:rsidR="00000000" w:rsidRDefault="00000000">
      <w:pPr>
        <w:numPr>
          <w:ilvl w:val="0"/>
          <w:numId w:val="132"/>
        </w:numPr>
        <w:spacing w:after="240"/>
        <w:rPr>
          <w:color w:val="000000"/>
          <w:szCs w:val="22"/>
        </w:rPr>
      </w:pPr>
      <w:r>
        <w:rPr>
          <w:color w:val="000000"/>
          <w:szCs w:val="22"/>
        </w:rPr>
        <w:t>Sensibiliser</w:t>
      </w:r>
    </w:p>
    <w:p w:rsidR="00000000" w:rsidRDefault="00000000">
      <w:pPr>
        <w:numPr>
          <w:ilvl w:val="0"/>
          <w:numId w:val="132"/>
        </w:numPr>
        <w:spacing w:after="240"/>
        <w:rPr>
          <w:color w:val="000000"/>
          <w:szCs w:val="22"/>
        </w:rPr>
      </w:pPr>
      <w:r>
        <w:rPr>
          <w:color w:val="000000"/>
          <w:szCs w:val="22"/>
        </w:rPr>
        <w:t>Mobiliser</w:t>
      </w:r>
    </w:p>
    <w:p w:rsidR="00000000" w:rsidRDefault="00000000">
      <w:pPr>
        <w:numPr>
          <w:ilvl w:val="0"/>
          <w:numId w:val="132"/>
        </w:numPr>
        <w:spacing w:after="240"/>
        <w:rPr>
          <w:color w:val="000000"/>
          <w:szCs w:val="22"/>
        </w:rPr>
      </w:pPr>
      <w:r>
        <w:rPr>
          <w:color w:val="000000"/>
          <w:szCs w:val="22"/>
        </w:rPr>
        <w:t>Interpeller les enfants, les parents, les pouvoirs publics et les autres institutions sur la situation des enfants.</w:t>
      </w:r>
    </w:p>
    <w:p w:rsidR="00000000" w:rsidRDefault="00000000">
      <w:pPr>
        <w:spacing w:after="240"/>
        <w:rPr>
          <w:color w:val="000000"/>
          <w:szCs w:val="22"/>
        </w:rPr>
      </w:pPr>
      <w:r>
        <w:rPr>
          <w:color w:val="000000"/>
          <w:szCs w:val="22"/>
        </w:rPr>
        <w:t>94.</w:t>
      </w:r>
      <w:r>
        <w:rPr>
          <w:color w:val="000000"/>
          <w:szCs w:val="22"/>
        </w:rPr>
        <w:tab/>
        <w:t>Il sert de cadre d’expression et de réflexion en vue d’instaurer un esprit de solidarité et de cohésion entre eux.</w:t>
      </w:r>
    </w:p>
    <w:p w:rsidR="00000000" w:rsidRDefault="00000000">
      <w:pPr>
        <w:spacing w:after="240"/>
        <w:rPr>
          <w:color w:val="000000"/>
          <w:szCs w:val="22"/>
        </w:rPr>
      </w:pPr>
      <w:r>
        <w:rPr>
          <w:color w:val="000000"/>
          <w:szCs w:val="22"/>
        </w:rPr>
        <w:t>95.</w:t>
      </w:r>
      <w:r>
        <w:rPr>
          <w:color w:val="000000"/>
          <w:szCs w:val="22"/>
        </w:rPr>
        <w:tab/>
        <w:t>En outre, le Ministère de la Communication et de la Culture a élaboré des grilles de programmes en accordant une large place à la participation des enfants aux émissions radio télévisées.</w:t>
      </w:r>
    </w:p>
    <w:p w:rsidR="00000000" w:rsidRDefault="00000000">
      <w:pPr>
        <w:spacing w:after="240"/>
        <w:rPr>
          <w:color w:val="000000"/>
          <w:szCs w:val="22"/>
        </w:rPr>
      </w:pPr>
      <w:r>
        <w:rPr>
          <w:color w:val="000000"/>
          <w:szCs w:val="22"/>
        </w:rPr>
        <w:t>96.</w:t>
      </w:r>
      <w:r>
        <w:rPr>
          <w:color w:val="000000"/>
          <w:szCs w:val="22"/>
        </w:rPr>
        <w:tab/>
        <w:t xml:space="preserve">Cette liberté d’expression n’est cependant pas totale pour tous les enfants. En milieu rural, le poids de la tradition et de la coutume entrave la pleine jouissance de ces droits. </w:t>
      </w:r>
    </w:p>
    <w:p w:rsidR="00000000" w:rsidRDefault="00000000">
      <w:pPr>
        <w:keepNext/>
        <w:spacing w:after="240"/>
        <w:jc w:val="center"/>
        <w:rPr>
          <w:b/>
          <w:bCs/>
          <w:color w:val="000000"/>
          <w:szCs w:val="22"/>
        </w:rPr>
      </w:pPr>
      <w:r>
        <w:rPr>
          <w:b/>
          <w:bCs/>
          <w:color w:val="000000"/>
          <w:szCs w:val="22"/>
        </w:rPr>
        <w:t>D.  La liberté de pensée, de conscience et de religion (art. 14)</w:t>
      </w:r>
    </w:p>
    <w:p w:rsidR="00000000" w:rsidRDefault="00000000">
      <w:pPr>
        <w:keepNext/>
        <w:spacing w:after="240"/>
        <w:rPr>
          <w:szCs w:val="22"/>
        </w:rPr>
      </w:pPr>
      <w:r>
        <w:rPr>
          <w:szCs w:val="22"/>
        </w:rPr>
        <w:t>97.</w:t>
      </w:r>
      <w:r>
        <w:rPr>
          <w:szCs w:val="22"/>
        </w:rPr>
        <w:tab/>
        <w:t xml:space="preserve">Tout comme la liberté d’expression, celle de pensée, de conscience et de religion est toujours garantie par l’article 27 de la Constitution. </w:t>
      </w:r>
    </w:p>
    <w:p w:rsidR="00000000" w:rsidRDefault="00000000">
      <w:pPr>
        <w:spacing w:after="240"/>
        <w:rPr>
          <w:szCs w:val="22"/>
        </w:rPr>
      </w:pPr>
      <w:r>
        <w:rPr>
          <w:szCs w:val="22"/>
        </w:rPr>
        <w:t>98.</w:t>
      </w:r>
      <w:r>
        <w:rPr>
          <w:szCs w:val="22"/>
        </w:rPr>
        <w:tab/>
        <w:t xml:space="preserve">À travers le Programme «Plaidoyer et Promotion des droits», le Ministère de la Communication et de la Culture a organisé plusieurs ateliers à l’intention des leaders traditionnels et religieux sur les droits de l’enfant. </w:t>
      </w:r>
    </w:p>
    <w:p w:rsidR="00000000" w:rsidRDefault="00000000">
      <w:pPr>
        <w:spacing w:after="240"/>
        <w:rPr>
          <w:szCs w:val="22"/>
        </w:rPr>
      </w:pPr>
      <w:r>
        <w:rPr>
          <w:szCs w:val="22"/>
        </w:rPr>
        <w:t>99.</w:t>
      </w:r>
      <w:r>
        <w:rPr>
          <w:szCs w:val="22"/>
        </w:rPr>
        <w:tab/>
        <w:t xml:space="preserve">Les dispositions de la Convention relatives à la liberté de pensée, de conscience et de religion ont suscité de vifs débats surtout avec les leaders religieux sur les principes fondamentaux de l’État laïc. De même, certains parents n’admettent pas que leurs enfants choisissent une religion autre que la leur. </w:t>
      </w:r>
    </w:p>
    <w:p w:rsidR="00000000" w:rsidRDefault="00000000">
      <w:pPr>
        <w:spacing w:after="240"/>
        <w:rPr>
          <w:color w:val="000000"/>
          <w:szCs w:val="22"/>
        </w:rPr>
      </w:pPr>
      <w:r>
        <w:rPr>
          <w:color w:val="000000"/>
          <w:szCs w:val="22"/>
        </w:rPr>
        <w:t>100.</w:t>
      </w:r>
      <w:r>
        <w:rPr>
          <w:color w:val="000000"/>
          <w:szCs w:val="22"/>
        </w:rPr>
        <w:tab/>
        <w:t>Les mêmes attitudes sont aussi observées en matière de mariage alors que la loi nº 06/PR/02 du 15 avril 2002 portant Promotion de la Santé de la Reproduction reconnaît à toute personne le droit de se marier ou de ne pas se marier.</w:t>
      </w:r>
    </w:p>
    <w:p w:rsidR="00000000" w:rsidRDefault="00000000">
      <w:pPr>
        <w:spacing w:after="240"/>
        <w:jc w:val="center"/>
        <w:rPr>
          <w:b/>
          <w:bCs/>
          <w:iCs/>
          <w:color w:val="000000"/>
        </w:rPr>
      </w:pPr>
      <w:r>
        <w:rPr>
          <w:b/>
          <w:bCs/>
          <w:iCs/>
          <w:color w:val="000000"/>
        </w:rPr>
        <w:t>E.  La liberté d’association et la liberté de réunion pacifique (art. 15)</w:t>
      </w:r>
    </w:p>
    <w:p w:rsidR="00000000" w:rsidRDefault="00000000">
      <w:pPr>
        <w:spacing w:after="240"/>
        <w:rPr>
          <w:color w:val="000000"/>
          <w:szCs w:val="22"/>
        </w:rPr>
      </w:pPr>
      <w:r>
        <w:rPr>
          <w:color w:val="000000"/>
          <w:szCs w:val="22"/>
        </w:rPr>
        <w:t>101.</w:t>
      </w:r>
      <w:r>
        <w:rPr>
          <w:color w:val="000000"/>
          <w:szCs w:val="22"/>
        </w:rPr>
        <w:tab/>
        <w:t>La liberté d’association et de réunion pacifique est un principe constitutionnel (art. 27). Elle est régie par les textes nationaux cités ci-dessous:</w:t>
      </w:r>
    </w:p>
    <w:p w:rsidR="00000000" w:rsidRDefault="00000000">
      <w:pPr>
        <w:numPr>
          <w:ilvl w:val="0"/>
          <w:numId w:val="133"/>
        </w:numPr>
        <w:spacing w:after="240"/>
      </w:pPr>
      <w:r>
        <w:t>L’ordonnance nº27/INT/SUR du 12 juillet 1962 et le décret nº165 du 23 août 1962 réglementant les associations.</w:t>
      </w:r>
    </w:p>
    <w:p w:rsidR="00000000" w:rsidRDefault="00000000">
      <w:pPr>
        <w:numPr>
          <w:ilvl w:val="0"/>
          <w:numId w:val="133"/>
        </w:numPr>
        <w:spacing w:after="240"/>
      </w:pPr>
      <w:r>
        <w:t>L’ordonnance nº45 du 27 octobre 1962 réglementant les réunions.</w:t>
      </w:r>
    </w:p>
    <w:p w:rsidR="00000000" w:rsidRDefault="00000000">
      <w:pPr>
        <w:spacing w:after="240"/>
        <w:rPr>
          <w:color w:val="000000"/>
          <w:szCs w:val="22"/>
        </w:rPr>
      </w:pPr>
      <w:r>
        <w:rPr>
          <w:color w:val="000000"/>
          <w:szCs w:val="22"/>
        </w:rPr>
        <w:t>102.</w:t>
      </w:r>
      <w:r>
        <w:rPr>
          <w:color w:val="000000"/>
          <w:szCs w:val="22"/>
        </w:rPr>
        <w:tab/>
        <w:t>Au regard de la montée de la violence en milieu scolaire, de nouvelles associations sont créées et mènent des actions remarquables sur le terrain aux côtés des ONG en raison des moyens limités des structures étatiques. Entre autres, on peut citer:</w:t>
      </w:r>
    </w:p>
    <w:p w:rsidR="00000000" w:rsidRDefault="00000000">
      <w:pPr>
        <w:numPr>
          <w:ilvl w:val="0"/>
          <w:numId w:val="135"/>
        </w:numPr>
        <w:spacing w:after="240"/>
        <w:rPr>
          <w:color w:val="000000"/>
          <w:szCs w:val="22"/>
        </w:rPr>
      </w:pPr>
      <w:r>
        <w:rPr>
          <w:color w:val="000000"/>
          <w:szCs w:val="22"/>
        </w:rPr>
        <w:t>Le Comité pour la paix dans les établissements scolaires;</w:t>
      </w:r>
    </w:p>
    <w:p w:rsidR="00000000" w:rsidRDefault="00000000">
      <w:pPr>
        <w:numPr>
          <w:ilvl w:val="0"/>
          <w:numId w:val="135"/>
        </w:numPr>
        <w:spacing w:after="240"/>
        <w:rPr>
          <w:color w:val="000000"/>
          <w:szCs w:val="22"/>
        </w:rPr>
      </w:pPr>
      <w:r>
        <w:rPr>
          <w:color w:val="000000"/>
          <w:szCs w:val="22"/>
        </w:rPr>
        <w:t>Les enfants ambassadeurs de la paix.</w:t>
      </w:r>
    </w:p>
    <w:p w:rsidR="00000000" w:rsidRDefault="00000000">
      <w:pPr>
        <w:spacing w:after="240"/>
        <w:rPr>
          <w:color w:val="000000"/>
          <w:szCs w:val="22"/>
        </w:rPr>
      </w:pPr>
      <w:r>
        <w:rPr>
          <w:color w:val="000000"/>
          <w:szCs w:val="22"/>
        </w:rPr>
        <w:t>103.</w:t>
      </w:r>
      <w:r>
        <w:rPr>
          <w:color w:val="000000"/>
          <w:szCs w:val="22"/>
        </w:rPr>
        <w:tab/>
        <w:t xml:space="preserve">Des personnes préoccupées par la question de l’enfance se sont également regroupées en association pour la promotion, la protection et la défense des droits des enfants. Il s’agit entre autres de: </w:t>
      </w:r>
    </w:p>
    <w:p w:rsidR="00000000" w:rsidRDefault="00000000">
      <w:pPr>
        <w:numPr>
          <w:ilvl w:val="0"/>
          <w:numId w:val="136"/>
        </w:numPr>
        <w:spacing w:after="240"/>
        <w:rPr>
          <w:color w:val="000000"/>
          <w:szCs w:val="22"/>
        </w:rPr>
      </w:pPr>
      <w:r>
        <w:rPr>
          <w:color w:val="000000"/>
          <w:szCs w:val="22"/>
        </w:rPr>
        <w:t>L’Association tchadienne des Volontaires pour l’encadrement des élèves filles (ATVEEF);</w:t>
      </w:r>
    </w:p>
    <w:p w:rsidR="00000000" w:rsidRDefault="00000000">
      <w:pPr>
        <w:numPr>
          <w:ilvl w:val="0"/>
          <w:numId w:val="136"/>
        </w:numPr>
        <w:spacing w:after="240"/>
        <w:rPr>
          <w:color w:val="000000"/>
          <w:szCs w:val="22"/>
        </w:rPr>
      </w:pPr>
      <w:r>
        <w:rPr>
          <w:color w:val="000000"/>
          <w:szCs w:val="22"/>
        </w:rPr>
        <w:t xml:space="preserve">Le Forum des éducatrices tchadiennes et l’Union des femmes pour la paix. </w:t>
      </w:r>
    </w:p>
    <w:p w:rsidR="00000000" w:rsidRDefault="00000000">
      <w:pPr>
        <w:spacing w:after="240"/>
        <w:rPr>
          <w:color w:val="000000"/>
          <w:szCs w:val="22"/>
        </w:rPr>
      </w:pPr>
      <w:r>
        <w:rPr>
          <w:color w:val="000000"/>
          <w:szCs w:val="22"/>
        </w:rPr>
        <w:t>104.</w:t>
      </w:r>
      <w:r>
        <w:rPr>
          <w:color w:val="000000"/>
          <w:szCs w:val="22"/>
        </w:rPr>
        <w:tab/>
        <w:t xml:space="preserve">Les deux dernières associations ont des cellules dans les établissements scolaires, cellules composées des élèves. </w:t>
      </w:r>
    </w:p>
    <w:p w:rsidR="00000000" w:rsidRDefault="00000000">
      <w:pPr>
        <w:spacing w:after="240"/>
        <w:rPr>
          <w:color w:val="000000"/>
          <w:szCs w:val="22"/>
        </w:rPr>
      </w:pPr>
      <w:r>
        <w:rPr>
          <w:color w:val="000000"/>
          <w:szCs w:val="22"/>
        </w:rPr>
        <w:t>105.</w:t>
      </w:r>
      <w:r>
        <w:rPr>
          <w:color w:val="000000"/>
          <w:szCs w:val="22"/>
        </w:rPr>
        <w:tab/>
        <w:t>L’Association des femmes juristes du Tchad poursuit sa mission d’assistance juridique et judiciaire en faveur des femmes et des enfants.</w:t>
      </w:r>
    </w:p>
    <w:p w:rsidR="00000000" w:rsidRDefault="00000000">
      <w:pPr>
        <w:spacing w:after="240"/>
        <w:rPr>
          <w:color w:val="000000"/>
          <w:szCs w:val="22"/>
        </w:rPr>
      </w:pPr>
      <w:r>
        <w:rPr>
          <w:color w:val="000000"/>
          <w:szCs w:val="22"/>
        </w:rPr>
        <w:t>106.</w:t>
      </w:r>
      <w:r>
        <w:rPr>
          <w:color w:val="000000"/>
          <w:szCs w:val="22"/>
        </w:rPr>
        <w:tab/>
        <w:t>On dénombre en 2005, 367 associations de jeunes et 508 associations de défense des droits humains (MAT)</w:t>
      </w:r>
    </w:p>
    <w:p w:rsidR="00000000" w:rsidRDefault="00000000">
      <w:pPr>
        <w:spacing w:after="240"/>
        <w:jc w:val="center"/>
        <w:rPr>
          <w:b/>
          <w:bCs/>
          <w:color w:val="000000"/>
        </w:rPr>
      </w:pPr>
      <w:r>
        <w:rPr>
          <w:b/>
          <w:bCs/>
          <w:color w:val="000000"/>
        </w:rPr>
        <w:t>F.  La protection de la vie privée</w:t>
      </w:r>
    </w:p>
    <w:p w:rsidR="00000000" w:rsidRDefault="00000000">
      <w:pPr>
        <w:spacing w:after="240"/>
        <w:rPr>
          <w:iCs/>
          <w:color w:val="000000"/>
          <w:szCs w:val="22"/>
        </w:rPr>
      </w:pPr>
      <w:r>
        <w:rPr>
          <w:iCs/>
          <w:color w:val="000000"/>
          <w:szCs w:val="22"/>
        </w:rPr>
        <w:t>107.</w:t>
      </w:r>
      <w:r>
        <w:rPr>
          <w:iCs/>
          <w:color w:val="000000"/>
          <w:szCs w:val="22"/>
        </w:rPr>
        <w:tab/>
        <w:t>En plus des dispositions légales garantissant la vie privée de l’enfant énoncées dans le rapport initial, la loi nº 07/PR/99 du 6 avril 1999, portant procédure de poursuites et de jugement des infractions commises par les mineurs de 13 à moins de 18 ans a renforcé cette protection en interdisant toute publicité autour d’un procès dans lequel est impliqué un mineur.</w:t>
      </w:r>
    </w:p>
    <w:p w:rsidR="00000000" w:rsidRDefault="00000000">
      <w:pPr>
        <w:spacing w:after="240"/>
        <w:rPr>
          <w:iCs/>
          <w:color w:val="000000"/>
          <w:szCs w:val="22"/>
        </w:rPr>
      </w:pPr>
      <w:r>
        <w:rPr>
          <w:iCs/>
          <w:color w:val="000000"/>
          <w:szCs w:val="22"/>
        </w:rPr>
        <w:t>108.</w:t>
      </w:r>
      <w:r>
        <w:rPr>
          <w:iCs/>
          <w:color w:val="000000"/>
          <w:szCs w:val="22"/>
        </w:rPr>
        <w:tab/>
        <w:t>Par ailleurs, pour éviter la stigmatisation aux enfants victimes d’abus et d’exploitation sexuels, l’appui médical et psychosocial accordé à ces derniers se font dans la confidentialité et avec l’accord de la victime.</w:t>
      </w:r>
    </w:p>
    <w:p w:rsidR="00000000" w:rsidRDefault="00000000">
      <w:pPr>
        <w:spacing w:after="240"/>
        <w:jc w:val="center"/>
        <w:rPr>
          <w:b/>
          <w:bCs/>
          <w:iCs/>
          <w:color w:val="000000"/>
        </w:rPr>
      </w:pPr>
      <w:r>
        <w:rPr>
          <w:b/>
          <w:bCs/>
          <w:iCs/>
          <w:color w:val="000000"/>
        </w:rPr>
        <w:t>G.  L’accès à une information appropriée (art. 17)</w:t>
      </w:r>
    </w:p>
    <w:p w:rsidR="00000000" w:rsidRDefault="00000000">
      <w:pPr>
        <w:spacing w:after="240"/>
        <w:rPr>
          <w:color w:val="000000"/>
          <w:szCs w:val="22"/>
        </w:rPr>
      </w:pPr>
      <w:r>
        <w:rPr>
          <w:color w:val="000000"/>
          <w:szCs w:val="22"/>
        </w:rPr>
        <w:t>109.</w:t>
      </w:r>
      <w:r>
        <w:rPr>
          <w:color w:val="000000"/>
          <w:szCs w:val="22"/>
        </w:rPr>
        <w:tab/>
        <w:t xml:space="preserve">L’accès à l’information est garanti par la Constitution (art. 27). </w:t>
      </w:r>
    </w:p>
    <w:p w:rsidR="00000000" w:rsidRDefault="00000000">
      <w:pPr>
        <w:spacing w:after="240"/>
        <w:rPr>
          <w:color w:val="000000"/>
          <w:szCs w:val="22"/>
        </w:rPr>
      </w:pPr>
      <w:r>
        <w:rPr>
          <w:color w:val="000000"/>
          <w:szCs w:val="22"/>
        </w:rPr>
        <w:t>110.</w:t>
      </w:r>
      <w:r>
        <w:rPr>
          <w:color w:val="000000"/>
          <w:szCs w:val="22"/>
        </w:rPr>
        <w:tab/>
        <w:t>À la Télévision tchadienne (TVT) comme à la Radio nationale tchadienne (RNT), les grilles des programmes accordent une large place à la participation des enfants dans les émissions.</w:t>
      </w:r>
    </w:p>
    <w:p w:rsidR="00000000" w:rsidRDefault="00000000">
      <w:pPr>
        <w:spacing w:after="240"/>
        <w:rPr>
          <w:color w:val="000000"/>
          <w:szCs w:val="22"/>
        </w:rPr>
      </w:pPr>
      <w:r>
        <w:rPr>
          <w:color w:val="000000"/>
          <w:szCs w:val="22"/>
        </w:rPr>
        <w:t>111.</w:t>
      </w:r>
      <w:r>
        <w:rPr>
          <w:color w:val="000000"/>
          <w:szCs w:val="22"/>
        </w:rPr>
        <w:tab/>
        <w:t xml:space="preserve">Chaque année le premier dimanche du mois de décembre, une journée de la Radio et de la Télévision consacrée aux enfants est célébrée à la RNT et à la </w:t>
      </w:r>
      <w:proofErr w:type="spellStart"/>
      <w:r>
        <w:rPr>
          <w:color w:val="000000"/>
          <w:szCs w:val="22"/>
        </w:rPr>
        <w:t>TVT</w:t>
      </w:r>
      <w:proofErr w:type="spellEnd"/>
      <w:r>
        <w:rPr>
          <w:color w:val="000000"/>
          <w:szCs w:val="22"/>
        </w:rPr>
        <w:t xml:space="preserve">. Au cours de cette journée, les enfants sont les principaux animateurs des programmes sur les sujets les concernant. </w:t>
      </w:r>
    </w:p>
    <w:p w:rsidR="00000000" w:rsidRDefault="00000000">
      <w:pPr>
        <w:spacing w:after="240"/>
        <w:rPr>
          <w:color w:val="000000"/>
          <w:szCs w:val="22"/>
        </w:rPr>
      </w:pPr>
      <w:r>
        <w:rPr>
          <w:color w:val="000000"/>
          <w:szCs w:val="22"/>
        </w:rPr>
        <w:t>112.</w:t>
      </w:r>
      <w:r>
        <w:rPr>
          <w:color w:val="000000"/>
          <w:szCs w:val="22"/>
        </w:rPr>
        <w:tab/>
        <w:t xml:space="preserve">Les enfants sont impliqués dans l’élaboration et les revues des programmes dans le cadre du programme de coopération Tchad – UNICEF. </w:t>
      </w:r>
    </w:p>
    <w:p w:rsidR="00000000" w:rsidRDefault="00000000">
      <w:pPr>
        <w:spacing w:after="240"/>
        <w:rPr>
          <w:color w:val="000000"/>
          <w:szCs w:val="22"/>
        </w:rPr>
      </w:pPr>
      <w:r>
        <w:rPr>
          <w:color w:val="000000"/>
          <w:szCs w:val="22"/>
        </w:rPr>
        <w:t>113.</w:t>
      </w:r>
      <w:r>
        <w:rPr>
          <w:color w:val="000000"/>
          <w:szCs w:val="22"/>
        </w:rPr>
        <w:tab/>
        <w:t>Les enfants parlementaires interpellent de temps en temps les hautes autorités du pays sur les questions liées à la situation que vivent les enfants au Tchad.</w:t>
      </w:r>
    </w:p>
    <w:p w:rsidR="00000000" w:rsidRDefault="00000000">
      <w:pPr>
        <w:spacing w:after="240"/>
        <w:rPr>
          <w:color w:val="000000"/>
          <w:szCs w:val="22"/>
        </w:rPr>
      </w:pPr>
      <w:r>
        <w:rPr>
          <w:color w:val="000000"/>
          <w:szCs w:val="22"/>
        </w:rPr>
        <w:t>114.</w:t>
      </w:r>
      <w:r>
        <w:rPr>
          <w:color w:val="000000"/>
          <w:szCs w:val="22"/>
        </w:rPr>
        <w:tab/>
        <w:t>Selon l’</w:t>
      </w:r>
      <w:proofErr w:type="spellStart"/>
      <w:r>
        <w:rPr>
          <w:color w:val="000000"/>
          <w:szCs w:val="22"/>
        </w:rPr>
        <w:t>EDST</w:t>
      </w:r>
      <w:proofErr w:type="spellEnd"/>
      <w:r>
        <w:rPr>
          <w:color w:val="000000"/>
          <w:szCs w:val="22"/>
        </w:rPr>
        <w:t xml:space="preserve"> 2004, les jeunes générations ont plus accès aux médias que les adultes.</w:t>
      </w:r>
    </w:p>
    <w:p w:rsidR="00000000" w:rsidRDefault="00000000">
      <w:pPr>
        <w:spacing w:after="240"/>
        <w:rPr>
          <w:szCs w:val="22"/>
        </w:rPr>
      </w:pPr>
      <w:r>
        <w:rPr>
          <w:szCs w:val="22"/>
        </w:rPr>
        <w:t>115.</w:t>
      </w:r>
      <w:r>
        <w:rPr>
          <w:szCs w:val="22"/>
        </w:rPr>
        <w:tab/>
        <w:t>Cependant, l’accès aux m</w:t>
      </w:r>
      <w:r>
        <w:rPr>
          <w:color w:val="000000"/>
          <w:szCs w:val="22"/>
        </w:rPr>
        <w:t>é</w:t>
      </w:r>
      <w:r>
        <w:rPr>
          <w:szCs w:val="22"/>
        </w:rPr>
        <w:t>dias reste faible d’une manière générale: plus des trois quarts des femmes (76 %) et une proportion faible d’hommes (42 %) n’y ont pas accès. Comparativement à l’</w:t>
      </w:r>
      <w:proofErr w:type="spellStart"/>
      <w:r>
        <w:rPr>
          <w:szCs w:val="22"/>
        </w:rPr>
        <w:t>EDST-I</w:t>
      </w:r>
      <w:proofErr w:type="spellEnd"/>
      <w:r>
        <w:rPr>
          <w:szCs w:val="22"/>
        </w:rPr>
        <w:t xml:space="preserve">, on note une nette amélioration chez les hommes et une stagnation, voire une détérioration de la situation chez les femmes (chez les femmes, 76 % contre 75 % à </w:t>
      </w:r>
      <w:proofErr w:type="spellStart"/>
      <w:r>
        <w:rPr>
          <w:szCs w:val="22"/>
        </w:rPr>
        <w:t>EDST-I</w:t>
      </w:r>
      <w:proofErr w:type="spellEnd"/>
      <w:r>
        <w:rPr>
          <w:szCs w:val="22"/>
        </w:rPr>
        <w:t>; chez les hommes, 42 % contre 56 % à l’</w:t>
      </w:r>
      <w:proofErr w:type="spellStart"/>
      <w:r>
        <w:rPr>
          <w:szCs w:val="22"/>
        </w:rPr>
        <w:t>EDST-I</w:t>
      </w:r>
      <w:proofErr w:type="spellEnd"/>
      <w:r>
        <w:rPr>
          <w:szCs w:val="22"/>
        </w:rPr>
        <w:t>). La radio demeure le média le plus écouté.</w:t>
      </w:r>
    </w:p>
    <w:p w:rsidR="00000000" w:rsidRDefault="00000000">
      <w:pPr>
        <w:spacing w:after="240"/>
        <w:rPr>
          <w:szCs w:val="22"/>
        </w:rPr>
      </w:pPr>
      <w:r>
        <w:rPr>
          <w:szCs w:val="22"/>
        </w:rPr>
        <w:t>116.</w:t>
      </w:r>
      <w:r>
        <w:rPr>
          <w:szCs w:val="22"/>
        </w:rPr>
        <w:tab/>
        <w:t xml:space="preserve">22 % des femmes contre 56 % des hommes déclarent écouter la radio au moins une fois par semaine. </w:t>
      </w:r>
    </w:p>
    <w:p w:rsidR="00000000" w:rsidRDefault="00000000">
      <w:pPr>
        <w:keepNext/>
        <w:spacing w:after="240"/>
        <w:jc w:val="center"/>
        <w:rPr>
          <w:b/>
          <w:bCs/>
          <w:iCs/>
          <w:szCs w:val="22"/>
        </w:rPr>
      </w:pPr>
      <w:r>
        <w:rPr>
          <w:b/>
          <w:bCs/>
          <w:iCs/>
          <w:szCs w:val="22"/>
        </w:rPr>
        <w:t xml:space="preserve">H.  Le droit </w:t>
      </w:r>
      <w:r>
        <w:rPr>
          <w:b/>
          <w:bCs/>
          <w:iCs/>
          <w:color w:val="000000"/>
          <w:szCs w:val="22"/>
        </w:rPr>
        <w:t>de n</w:t>
      </w:r>
      <w:r>
        <w:rPr>
          <w:b/>
          <w:bCs/>
          <w:iCs/>
          <w:szCs w:val="22"/>
        </w:rPr>
        <w:t>e pas être soumis à la torture ni à des peines ou</w:t>
      </w:r>
      <w:r>
        <w:rPr>
          <w:b/>
          <w:bCs/>
          <w:iCs/>
          <w:szCs w:val="22"/>
        </w:rPr>
        <w:br/>
        <w:t>traitements cruels, inhumains ou dégradants (art. 37).</w:t>
      </w:r>
    </w:p>
    <w:p w:rsidR="00000000" w:rsidRDefault="00000000">
      <w:pPr>
        <w:keepNext/>
        <w:spacing w:after="240"/>
        <w:rPr>
          <w:szCs w:val="22"/>
        </w:rPr>
      </w:pPr>
      <w:r>
        <w:rPr>
          <w:szCs w:val="22"/>
        </w:rPr>
        <w:t>117.</w:t>
      </w:r>
      <w:r>
        <w:rPr>
          <w:szCs w:val="22"/>
        </w:rPr>
        <w:tab/>
        <w:t xml:space="preserve">Le droit à la vie est un principe dont bénéficie également l’enfant. Ce principe est pris en compte par la loi nº 07/PR/99 du 6 avril 1999 portant procédure de poursuites et de jugements des infractions commises par les mineurs de 13 à moins de 18 ans </w:t>
      </w:r>
      <w:r>
        <w:rPr>
          <w:color w:val="000000"/>
          <w:szCs w:val="22"/>
        </w:rPr>
        <w:t xml:space="preserve">qui </w:t>
      </w:r>
      <w:r>
        <w:rPr>
          <w:szCs w:val="22"/>
        </w:rPr>
        <w:t>protège sa dignité et sa personnalité quand bien même il est auteur d’une infraction. Cette loi interdit qu’il soit prononcé à l’encontre d’un mineur la peine capitale et le recours à la peine d’emprisonnement doit être une mesure de dernier recours.</w:t>
      </w:r>
    </w:p>
    <w:p w:rsidR="00000000" w:rsidRDefault="00000000">
      <w:pPr>
        <w:spacing w:after="240"/>
        <w:rPr>
          <w:szCs w:val="22"/>
        </w:rPr>
      </w:pPr>
      <w:r>
        <w:rPr>
          <w:szCs w:val="22"/>
        </w:rPr>
        <w:t>118.</w:t>
      </w:r>
      <w:r>
        <w:rPr>
          <w:szCs w:val="22"/>
        </w:rPr>
        <w:tab/>
        <w:t>La loi nº 7 /PR/99 du 6 avril 1999 ramène le délai de garde à vue de ces derniers de 48 heures à 10 heures.</w:t>
      </w:r>
    </w:p>
    <w:p w:rsidR="00000000" w:rsidRDefault="00000000">
      <w:pPr>
        <w:spacing w:after="240"/>
        <w:rPr>
          <w:color w:val="000000"/>
          <w:szCs w:val="22"/>
        </w:rPr>
      </w:pPr>
      <w:r>
        <w:rPr>
          <w:color w:val="000000"/>
          <w:szCs w:val="22"/>
        </w:rPr>
        <w:t>119.</w:t>
      </w:r>
      <w:r>
        <w:rPr>
          <w:color w:val="000000"/>
          <w:szCs w:val="22"/>
        </w:rPr>
        <w:tab/>
        <w:t>La loi n</w:t>
      </w:r>
      <w:r>
        <w:rPr>
          <w:color w:val="000000"/>
          <w:szCs w:val="22"/>
          <w:vertAlign w:val="superscript"/>
        </w:rPr>
        <w:t>o</w:t>
      </w:r>
      <w:r>
        <w:rPr>
          <w:color w:val="000000"/>
          <w:szCs w:val="22"/>
        </w:rPr>
        <w:t> 06/PR/2002 portant Promotion de la Santé de Reproduction prévoit le droit d’être protégé contre la torture et les traitements cruels, inhumains ou dégradants sur la personne humaine en général et sur les organes de reproduction en particulier. Elle interdit toutes formes de violences telles que les mutilations génitales féminines (MGF, mariages précoces, les violences domestiques et la violence sexuelle sur la personne humaine).</w:t>
      </w:r>
    </w:p>
    <w:p w:rsidR="00000000" w:rsidRDefault="00000000">
      <w:pPr>
        <w:spacing w:after="240"/>
        <w:rPr>
          <w:color w:val="000000"/>
          <w:szCs w:val="22"/>
        </w:rPr>
      </w:pPr>
      <w:r>
        <w:rPr>
          <w:color w:val="000000"/>
          <w:szCs w:val="22"/>
        </w:rPr>
        <w:t>120.</w:t>
      </w:r>
      <w:r>
        <w:rPr>
          <w:color w:val="000000"/>
          <w:szCs w:val="22"/>
        </w:rPr>
        <w:tab/>
        <w:t>Tous les enfants auteurs des infractions bénéficient également de l’assistance judiciaire. Cependant, le droit de défense dans la pratique reste précaire du fait de la concentration des avocats dans la capitale et du peu d’intérêt qu’ils accordent à la commission d’office par les juges pour assurer la défense des mineurs poursuivis. Il est à relever également que cette assistance judiciaire de ne se limiter qu’aux affaires criminelles contrairement à l’esprit de loi qui n’est pas limitatif.</w:t>
      </w:r>
    </w:p>
    <w:p w:rsidR="00000000" w:rsidRDefault="00000000">
      <w:pPr>
        <w:spacing w:after="240"/>
        <w:rPr>
          <w:szCs w:val="22"/>
        </w:rPr>
      </w:pPr>
      <w:r>
        <w:rPr>
          <w:szCs w:val="22"/>
        </w:rPr>
        <w:t>121.</w:t>
      </w:r>
      <w:r>
        <w:rPr>
          <w:szCs w:val="22"/>
        </w:rPr>
        <w:tab/>
        <w:t xml:space="preserve">Malgré les dispositions législatives protectrices, la violence est le lot commun subi par la majorité des enfants nécessitant des mesures spéciales de protection. Légitimé par la tradition, voir des enfants battus pour des fautes parfois anodines est courant dans les familles </w:t>
      </w:r>
      <w:r>
        <w:rPr>
          <w:color w:val="0000FF"/>
          <w:szCs w:val="22"/>
        </w:rPr>
        <w:t>(</w:t>
      </w:r>
      <w:r>
        <w:rPr>
          <w:szCs w:val="22"/>
        </w:rPr>
        <w:t>de la part des parents, des tuteurs ou des employeurs</w:t>
      </w:r>
      <w:r>
        <w:rPr>
          <w:color w:val="000000"/>
          <w:szCs w:val="22"/>
        </w:rPr>
        <w:t xml:space="preserve">), </w:t>
      </w:r>
      <w:r>
        <w:rPr>
          <w:szCs w:val="22"/>
        </w:rPr>
        <w:t xml:space="preserve">dans les institutions d’accueil de ces enfants, notamment les </w:t>
      </w:r>
      <w:proofErr w:type="spellStart"/>
      <w:r>
        <w:rPr>
          <w:i/>
          <w:szCs w:val="22"/>
        </w:rPr>
        <w:t>mouhadjirin</w:t>
      </w:r>
      <w:proofErr w:type="spellEnd"/>
      <w:r>
        <w:rPr>
          <w:szCs w:val="22"/>
        </w:rPr>
        <w:t xml:space="preserve"> (enfants confiés à des marabouts pour l’apprentissage du Coran); dans les écoles et les centres de détention mais aussi dans la rue. La violence est aussi exercée par les enfants entre eux, mais aussi contre les adultes, les enseignants en particulier.</w:t>
      </w:r>
    </w:p>
    <w:p w:rsidR="00000000" w:rsidRDefault="00000000">
      <w:pPr>
        <w:spacing w:after="240"/>
        <w:rPr>
          <w:color w:val="000000"/>
          <w:szCs w:val="22"/>
        </w:rPr>
      </w:pPr>
      <w:r>
        <w:rPr>
          <w:szCs w:val="22"/>
        </w:rPr>
        <w:t>122.</w:t>
      </w:r>
      <w:r>
        <w:rPr>
          <w:szCs w:val="22"/>
        </w:rPr>
        <w:tab/>
        <w:t xml:space="preserve">Pour faire face à ce phénomène, les associations de défense de droits de l’homme, les ambassadeurs de la paix ainsi que les conseils des élèves ont mené des campagnes de sensibilisation dans les établissements scolaires et </w:t>
      </w:r>
      <w:r>
        <w:rPr>
          <w:color w:val="000000"/>
          <w:szCs w:val="22"/>
        </w:rPr>
        <w:t>l’éducation</w:t>
      </w:r>
      <w:r>
        <w:rPr>
          <w:szCs w:val="22"/>
        </w:rPr>
        <w:t xml:space="preserve"> à la paix est intégrée dans le programme </w:t>
      </w:r>
      <w:r>
        <w:rPr>
          <w:color w:val="000000"/>
          <w:szCs w:val="22"/>
        </w:rPr>
        <w:t>d’enseignement.</w:t>
      </w:r>
    </w:p>
    <w:p w:rsidR="00000000" w:rsidRDefault="00000000">
      <w:pPr>
        <w:spacing w:after="240"/>
        <w:rPr>
          <w:szCs w:val="22"/>
        </w:rPr>
      </w:pPr>
      <w:r>
        <w:rPr>
          <w:color w:val="000000"/>
          <w:szCs w:val="22"/>
        </w:rPr>
        <w:t>123.</w:t>
      </w:r>
      <w:r>
        <w:rPr>
          <w:color w:val="000000"/>
          <w:szCs w:val="22"/>
        </w:rPr>
        <w:tab/>
        <w:t>Par ailleurs, le Gouvernement à travers le programme de protection de l’enfant développe des activités de plaidoyer et de sensibilisation envers les communautés pour un changement</w:t>
      </w:r>
      <w:r>
        <w:rPr>
          <w:szCs w:val="22"/>
        </w:rPr>
        <w:t xml:space="preserve"> de comportement. </w:t>
      </w:r>
    </w:p>
    <w:p w:rsidR="00000000" w:rsidRDefault="00000000">
      <w:pPr>
        <w:keepNext/>
        <w:spacing w:after="240"/>
        <w:jc w:val="center"/>
        <w:rPr>
          <w:b/>
          <w:bCs/>
          <w:szCs w:val="22"/>
        </w:rPr>
      </w:pPr>
      <w:r>
        <w:rPr>
          <w:b/>
          <w:bCs/>
          <w:szCs w:val="22"/>
        </w:rPr>
        <w:t>V.  MILIEU FAMILIAL ET PROTECTION DE REMPLACEMENT</w:t>
      </w:r>
      <w:r>
        <w:rPr>
          <w:b/>
          <w:bCs/>
          <w:szCs w:val="22"/>
        </w:rPr>
        <w:br/>
        <w:t>(art. 5, 9 à 11, 18, par. 1 et 2, arts 19 à 21, 25, 27 par. 4 et 39)</w:t>
      </w:r>
    </w:p>
    <w:p w:rsidR="00000000" w:rsidRDefault="00000000">
      <w:pPr>
        <w:keepNext/>
        <w:spacing w:after="240"/>
        <w:jc w:val="center"/>
        <w:rPr>
          <w:b/>
          <w:bCs/>
        </w:rPr>
      </w:pPr>
      <w:r>
        <w:rPr>
          <w:b/>
          <w:bCs/>
        </w:rPr>
        <w:t xml:space="preserve">A.  </w:t>
      </w:r>
      <w:r>
        <w:rPr>
          <w:b/>
          <w:bCs/>
          <w:color w:val="000000"/>
        </w:rPr>
        <w:t>L’orient</w:t>
      </w:r>
      <w:r>
        <w:rPr>
          <w:b/>
          <w:bCs/>
        </w:rPr>
        <w:t>ation parentale (art. 5)</w:t>
      </w:r>
    </w:p>
    <w:p w:rsidR="00000000" w:rsidRDefault="00000000">
      <w:pPr>
        <w:keepNext/>
        <w:spacing w:after="240"/>
        <w:rPr>
          <w:szCs w:val="22"/>
        </w:rPr>
      </w:pPr>
      <w:r>
        <w:rPr>
          <w:szCs w:val="22"/>
        </w:rPr>
        <w:t>124.</w:t>
      </w:r>
      <w:r>
        <w:rPr>
          <w:szCs w:val="22"/>
        </w:rPr>
        <w:tab/>
        <w:t>Le Gouvernement poursuit ses efforts en matière d’éducation parentale à travers le pays. C’est ainsi que dans le cadre de la politique de Développement du jeune enfant tchadien (DIJET), l’accent est mis sur l’éducation parentale et l’extension des structures de prévention telles que les garderies, les jardins d’enfants et les centres sociaux. Ces structures sont renforcées par des initiatives privées.</w:t>
      </w:r>
    </w:p>
    <w:p w:rsidR="00000000" w:rsidRDefault="00000000">
      <w:pPr>
        <w:spacing w:after="240"/>
        <w:rPr>
          <w:szCs w:val="22"/>
        </w:rPr>
      </w:pPr>
      <w:r>
        <w:rPr>
          <w:szCs w:val="22"/>
        </w:rPr>
        <w:t>125.</w:t>
      </w:r>
      <w:r>
        <w:rPr>
          <w:szCs w:val="22"/>
        </w:rPr>
        <w:tab/>
        <w:t>Au total, 77 garderies communautaires sont créées dont 49 dans les camps de réfugiés et 28 à travers le pays.</w:t>
      </w:r>
    </w:p>
    <w:p w:rsidR="00000000" w:rsidRDefault="00000000">
      <w:pPr>
        <w:spacing w:after="240"/>
        <w:jc w:val="center"/>
        <w:rPr>
          <w:b/>
          <w:bCs/>
        </w:rPr>
      </w:pPr>
      <w:r>
        <w:rPr>
          <w:b/>
          <w:bCs/>
        </w:rPr>
        <w:t>B.  la responsabilité parentale (art. 18)</w:t>
      </w:r>
    </w:p>
    <w:p w:rsidR="00000000" w:rsidRDefault="00000000">
      <w:pPr>
        <w:spacing w:after="240"/>
        <w:rPr>
          <w:szCs w:val="22"/>
        </w:rPr>
      </w:pPr>
      <w:r>
        <w:rPr>
          <w:szCs w:val="22"/>
        </w:rPr>
        <w:t>126.</w:t>
      </w:r>
      <w:r>
        <w:rPr>
          <w:szCs w:val="22"/>
        </w:rPr>
        <w:tab/>
        <w:t xml:space="preserve">Les faits constituant l’abandon de famille visés à l’article 295 du Code pénal sont renforcés dans le cadre de la révision de certaines dispositions du Code pénal en faveur de l’enfant. Ainsi, non seulement le refus de s’acquitter d’une créance alimentaire issue d’une décision judiciaire constitue-t-il un abandon de famille, mais sera aussi condamné comme tel le fait d’abandonner sa famille sans nouvelle pendant au moins un mois. Les quantum des peines sont également rehaussés. </w:t>
      </w:r>
    </w:p>
    <w:p w:rsidR="00000000" w:rsidRDefault="00000000">
      <w:pPr>
        <w:spacing w:after="240"/>
        <w:jc w:val="center"/>
        <w:rPr>
          <w:b/>
          <w:bCs/>
        </w:rPr>
      </w:pPr>
      <w:r>
        <w:rPr>
          <w:b/>
          <w:bCs/>
        </w:rPr>
        <w:t>C.  la séparation d’avec les parents (art. 9)</w:t>
      </w:r>
    </w:p>
    <w:p w:rsidR="00000000" w:rsidRDefault="00000000">
      <w:pPr>
        <w:spacing w:after="240"/>
        <w:rPr>
          <w:szCs w:val="22"/>
        </w:rPr>
      </w:pPr>
      <w:r>
        <w:rPr>
          <w:szCs w:val="22"/>
        </w:rPr>
        <w:t>127.</w:t>
      </w:r>
      <w:r>
        <w:rPr>
          <w:szCs w:val="22"/>
        </w:rPr>
        <w:tab/>
        <w:t>La famille est le cadre idéal pour l’encadrement de l’enfant. La situation reste la même depuis le premier rapport.</w:t>
      </w:r>
    </w:p>
    <w:p w:rsidR="00000000" w:rsidRDefault="00000000">
      <w:pPr>
        <w:spacing w:after="240"/>
        <w:rPr>
          <w:szCs w:val="22"/>
        </w:rPr>
      </w:pPr>
      <w:r>
        <w:rPr>
          <w:szCs w:val="22"/>
        </w:rPr>
        <w:t>128.</w:t>
      </w:r>
      <w:r>
        <w:rPr>
          <w:szCs w:val="22"/>
        </w:rPr>
        <w:tab/>
        <w:t>En cas de retrait de l’enfant de son milieu familial, des garanties sont offertes par la législation devant les tribunaux pour que non seulement soit pris en compte l’intérêt supérieur de celui-ci, mais que son opinion soit également recueillie. Le parent à qui la garde n’est pas accordée, a néanmoins le droit de visite et d’hébergement de l’enfant.</w:t>
      </w:r>
    </w:p>
    <w:p w:rsidR="00000000" w:rsidRDefault="00000000">
      <w:pPr>
        <w:spacing w:after="240"/>
        <w:rPr>
          <w:szCs w:val="22"/>
        </w:rPr>
      </w:pPr>
      <w:r>
        <w:rPr>
          <w:szCs w:val="22"/>
        </w:rPr>
        <w:t>129.</w:t>
      </w:r>
      <w:r>
        <w:rPr>
          <w:szCs w:val="22"/>
        </w:rPr>
        <w:tab/>
        <w:t>Les décisions de garde ne sont pas définitives.</w:t>
      </w:r>
      <w:r>
        <w:rPr>
          <w:szCs w:val="22"/>
        </w:rPr>
        <w:tab/>
        <w:t>Elles peuvent faire l’objet de révision chaque fois que l’intérêt de l’enfant l’exige.</w:t>
      </w:r>
    </w:p>
    <w:p w:rsidR="00000000" w:rsidRDefault="00000000">
      <w:pPr>
        <w:spacing w:after="240"/>
        <w:jc w:val="center"/>
        <w:rPr>
          <w:b/>
          <w:bCs/>
          <w:szCs w:val="22"/>
        </w:rPr>
      </w:pPr>
      <w:r>
        <w:rPr>
          <w:b/>
          <w:bCs/>
          <w:szCs w:val="22"/>
        </w:rPr>
        <w:t>D.  La réunification familiale (art. 10)</w:t>
      </w:r>
    </w:p>
    <w:p w:rsidR="00000000" w:rsidRDefault="00000000">
      <w:pPr>
        <w:spacing w:after="240"/>
        <w:rPr>
          <w:szCs w:val="22"/>
        </w:rPr>
      </w:pPr>
      <w:r>
        <w:rPr>
          <w:szCs w:val="22"/>
        </w:rPr>
        <w:t>130.</w:t>
      </w:r>
      <w:r>
        <w:rPr>
          <w:szCs w:val="22"/>
        </w:rPr>
        <w:tab/>
        <w:t xml:space="preserve">La législation tchadienne a pris en compte la réunification familiale en période de paix et d’urgence. Dans la pratique, l’entrée d’un enfant au Tchad dans le cadre de la réunification est seulement soumise aux formalités d’entrée sur le territoire. </w:t>
      </w:r>
    </w:p>
    <w:p w:rsidR="00000000" w:rsidRDefault="00000000">
      <w:pPr>
        <w:spacing w:after="240"/>
        <w:jc w:val="center"/>
        <w:rPr>
          <w:b/>
          <w:bCs/>
          <w:szCs w:val="22"/>
        </w:rPr>
      </w:pPr>
      <w:r>
        <w:rPr>
          <w:b/>
          <w:bCs/>
          <w:szCs w:val="22"/>
        </w:rPr>
        <w:t>E.  Le recouvrement de la pension alimentaire (art. 27)</w:t>
      </w:r>
    </w:p>
    <w:p w:rsidR="00000000" w:rsidRDefault="00000000">
      <w:pPr>
        <w:spacing w:after="240"/>
        <w:rPr>
          <w:szCs w:val="22"/>
        </w:rPr>
      </w:pPr>
      <w:r>
        <w:rPr>
          <w:szCs w:val="22"/>
        </w:rPr>
        <w:t>131.</w:t>
      </w:r>
      <w:r>
        <w:rPr>
          <w:szCs w:val="22"/>
        </w:rPr>
        <w:tab/>
        <w:t xml:space="preserve">Compte tenu du caractère vital de l’alimentation, les demandes de pension alimentaire font toujours l’objet de procédure d’urgence. </w:t>
      </w:r>
    </w:p>
    <w:p w:rsidR="00000000" w:rsidRDefault="00000000">
      <w:pPr>
        <w:spacing w:after="240"/>
        <w:rPr>
          <w:szCs w:val="22"/>
        </w:rPr>
      </w:pPr>
      <w:r>
        <w:rPr>
          <w:szCs w:val="22"/>
        </w:rPr>
        <w:t>132.</w:t>
      </w:r>
      <w:r>
        <w:rPr>
          <w:szCs w:val="22"/>
        </w:rPr>
        <w:tab/>
        <w:t xml:space="preserve">Dans la pratique, les difficultés de recouvrement ne sont </w:t>
      </w:r>
      <w:r>
        <w:rPr>
          <w:color w:val="000000"/>
          <w:szCs w:val="22"/>
        </w:rPr>
        <w:t>pas généralement</w:t>
      </w:r>
      <w:r>
        <w:rPr>
          <w:szCs w:val="22"/>
        </w:rPr>
        <w:t xml:space="preserve"> portées devant les tribunaux répressifs en application de l’article 295 du Code pénal.</w:t>
      </w:r>
    </w:p>
    <w:p w:rsidR="00000000" w:rsidRDefault="00000000">
      <w:pPr>
        <w:spacing w:after="240"/>
        <w:rPr>
          <w:szCs w:val="22"/>
        </w:rPr>
      </w:pPr>
      <w:r>
        <w:rPr>
          <w:szCs w:val="22"/>
        </w:rPr>
        <w:t>133.</w:t>
      </w:r>
      <w:r>
        <w:rPr>
          <w:szCs w:val="22"/>
        </w:rPr>
        <w:tab/>
        <w:t xml:space="preserve">En outre, le recouvrement des pensions alimentaires lorsque le créancier et le débiteur vivent dans des pays différents se pose avec acuité dans la mesure où le Tchad n’a pas ratifié la Convention concernant la reconnaissance et l’exécution des décisions en matière d’obligations alimentaires envers les enfants et la Convention de La </w:t>
      </w:r>
      <w:proofErr w:type="spellStart"/>
      <w:r>
        <w:rPr>
          <w:szCs w:val="22"/>
        </w:rPr>
        <w:t>Haye</w:t>
      </w:r>
      <w:proofErr w:type="spellEnd"/>
      <w:r>
        <w:rPr>
          <w:szCs w:val="22"/>
        </w:rPr>
        <w:t xml:space="preserve"> de 1993 sur la protection des enfants et la coopération en matière d’adoption internationale.</w:t>
      </w:r>
    </w:p>
    <w:p w:rsidR="00000000" w:rsidRDefault="00000000">
      <w:pPr>
        <w:spacing w:after="240"/>
        <w:rPr>
          <w:color w:val="000000"/>
          <w:szCs w:val="22"/>
        </w:rPr>
      </w:pPr>
      <w:r>
        <w:rPr>
          <w:color w:val="000000"/>
          <w:szCs w:val="22"/>
        </w:rPr>
        <w:t>134.</w:t>
      </w:r>
      <w:r>
        <w:rPr>
          <w:color w:val="000000"/>
          <w:szCs w:val="22"/>
        </w:rPr>
        <w:tab/>
        <w:t>Durant les trois dernières années, le nombre de demandes de pension alimentaire a augmenté en raison de nombreuses campagnes de sensibilisation des femmes à leurs droits, campagnes menées par les associations féminines notamment, l’Association des femmes juristes du Tchad (AFJT).</w:t>
      </w:r>
    </w:p>
    <w:p w:rsidR="00000000" w:rsidRDefault="00000000">
      <w:pPr>
        <w:spacing w:after="240"/>
        <w:jc w:val="center"/>
        <w:rPr>
          <w:b/>
          <w:bCs/>
        </w:rPr>
      </w:pPr>
      <w:r>
        <w:rPr>
          <w:b/>
          <w:bCs/>
        </w:rPr>
        <w:t>F.  L’enfant privé de milieu familial (art. 20)</w:t>
      </w:r>
    </w:p>
    <w:p w:rsidR="00000000" w:rsidRDefault="00000000">
      <w:pPr>
        <w:spacing w:after="240"/>
        <w:rPr>
          <w:color w:val="000000"/>
          <w:szCs w:val="22"/>
        </w:rPr>
      </w:pPr>
      <w:r>
        <w:rPr>
          <w:color w:val="000000"/>
          <w:szCs w:val="22"/>
        </w:rPr>
        <w:t>135.</w:t>
      </w:r>
      <w:r>
        <w:rPr>
          <w:color w:val="000000"/>
          <w:szCs w:val="22"/>
        </w:rPr>
        <w:tab/>
        <w:t>Le Gouvernement tchadien n’a pas développé de stratégie appropriée de placement et d’encadrement des enfants.</w:t>
      </w:r>
    </w:p>
    <w:p w:rsidR="00000000" w:rsidRDefault="00000000">
      <w:pPr>
        <w:spacing w:after="240"/>
        <w:rPr>
          <w:color w:val="000000"/>
          <w:szCs w:val="22"/>
        </w:rPr>
      </w:pPr>
      <w:r>
        <w:rPr>
          <w:color w:val="000000"/>
          <w:szCs w:val="22"/>
        </w:rPr>
        <w:t>136.</w:t>
      </w:r>
      <w:r>
        <w:rPr>
          <w:color w:val="000000"/>
          <w:szCs w:val="22"/>
        </w:rPr>
        <w:tab/>
        <w:t xml:space="preserve">Le seul centre de </w:t>
      </w:r>
      <w:proofErr w:type="spellStart"/>
      <w:r>
        <w:rPr>
          <w:color w:val="000000"/>
          <w:szCs w:val="22"/>
        </w:rPr>
        <w:t>Koundoul</w:t>
      </w:r>
      <w:proofErr w:type="spellEnd"/>
      <w:r>
        <w:rPr>
          <w:color w:val="000000"/>
          <w:szCs w:val="22"/>
        </w:rPr>
        <w:t xml:space="preserve"> créé par l’État accueille actuellement une soixantaine d’enfants de la rue et d’enfants en danger moral. Cependant, l’accès n’est pas ouvert aux filles dans la mesure où les structures telles que celles conçues en 1962 ne les ont pas prises en compte. Néanmoins, les institutions privées appuient l’État dans l’encadrement de ces enfants.</w:t>
      </w:r>
    </w:p>
    <w:p w:rsidR="00000000" w:rsidRDefault="00000000">
      <w:pPr>
        <w:spacing w:after="240"/>
        <w:rPr>
          <w:color w:val="000000"/>
          <w:szCs w:val="22"/>
        </w:rPr>
      </w:pPr>
      <w:r>
        <w:rPr>
          <w:color w:val="000000"/>
          <w:szCs w:val="22"/>
        </w:rPr>
        <w:t>137.</w:t>
      </w:r>
      <w:r>
        <w:rPr>
          <w:color w:val="000000"/>
          <w:szCs w:val="22"/>
        </w:rPr>
        <w:tab/>
        <w:t xml:space="preserve">Ces structures d’accueil souffrent d’un dysfonctionnement lié à l’insuffisance de personnel qualifié et à l’absence des normes de protection. Pour répondre à ces préoccupations, il est prévu dans le cadre du programme de coopération Tchad-UNICEF, d’œuvrer en vie de l’élaboration de normes de protection au titre de l’année 2006. </w:t>
      </w:r>
    </w:p>
    <w:p w:rsidR="00000000" w:rsidRDefault="00000000">
      <w:pPr>
        <w:spacing w:after="240"/>
        <w:jc w:val="center"/>
        <w:rPr>
          <w:b/>
          <w:bCs/>
          <w:lang w:val="en-GB"/>
        </w:rPr>
      </w:pPr>
      <w:r>
        <w:rPr>
          <w:b/>
          <w:bCs/>
          <w:color w:val="000000"/>
          <w:lang w:val="en-GB"/>
        </w:rPr>
        <w:t xml:space="preserve">G.  </w:t>
      </w:r>
      <w:proofErr w:type="spellStart"/>
      <w:r>
        <w:rPr>
          <w:b/>
          <w:bCs/>
          <w:color w:val="000000"/>
          <w:lang w:val="en-GB"/>
        </w:rPr>
        <w:t>L’ado</w:t>
      </w:r>
      <w:r>
        <w:rPr>
          <w:b/>
          <w:bCs/>
          <w:lang w:val="en-GB"/>
        </w:rPr>
        <w:t>ption</w:t>
      </w:r>
      <w:proofErr w:type="spellEnd"/>
      <w:r>
        <w:rPr>
          <w:b/>
          <w:bCs/>
          <w:lang w:val="en-GB"/>
        </w:rPr>
        <w:t xml:space="preserve"> (art. 21)</w:t>
      </w:r>
    </w:p>
    <w:p w:rsidR="00000000" w:rsidRDefault="00000000">
      <w:pPr>
        <w:spacing w:after="240"/>
        <w:rPr>
          <w:szCs w:val="22"/>
        </w:rPr>
      </w:pPr>
      <w:r>
        <w:rPr>
          <w:szCs w:val="22"/>
        </w:rPr>
        <w:t>138.</w:t>
      </w:r>
      <w:r>
        <w:rPr>
          <w:szCs w:val="22"/>
        </w:rPr>
        <w:tab/>
        <w:t xml:space="preserve">Sur le plan national, la base légale des adoptions est le Code civil, mais la préoccupation demeure en ce qui concerne l’adoption internationale dans la mesure où la Convention de la </w:t>
      </w:r>
      <w:proofErr w:type="spellStart"/>
      <w:r>
        <w:rPr>
          <w:szCs w:val="22"/>
        </w:rPr>
        <w:t>Haye</w:t>
      </w:r>
      <w:proofErr w:type="spellEnd"/>
      <w:r>
        <w:rPr>
          <w:szCs w:val="22"/>
        </w:rPr>
        <w:t xml:space="preserve"> de 1993 n’est toujours pas ratifiée.</w:t>
      </w:r>
    </w:p>
    <w:p w:rsidR="00000000" w:rsidRDefault="00000000">
      <w:pPr>
        <w:spacing w:after="240"/>
        <w:rPr>
          <w:szCs w:val="22"/>
        </w:rPr>
      </w:pPr>
      <w:r>
        <w:rPr>
          <w:szCs w:val="22"/>
        </w:rPr>
        <w:t>139.</w:t>
      </w:r>
      <w:r>
        <w:rPr>
          <w:szCs w:val="22"/>
        </w:rPr>
        <w:tab/>
        <w:t>Ce vide juridique ne permet pas le suivi des enfants adoptés par les étrangers et expose ces enfants aux risques d’exploitation dans un contexte où la traite des enfants prend de l’ampleur.</w:t>
      </w:r>
    </w:p>
    <w:p w:rsidR="00000000" w:rsidRDefault="00000000">
      <w:pPr>
        <w:spacing w:after="240"/>
        <w:rPr>
          <w:color w:val="000000"/>
          <w:szCs w:val="22"/>
        </w:rPr>
      </w:pPr>
      <w:r>
        <w:rPr>
          <w:szCs w:val="22"/>
        </w:rPr>
        <w:t>140.</w:t>
      </w:r>
      <w:r>
        <w:rPr>
          <w:szCs w:val="22"/>
        </w:rPr>
        <w:tab/>
        <w:t xml:space="preserve">Le tribunal de première instance de N’Djamena a accordé trois adoptions </w:t>
      </w:r>
      <w:r>
        <w:rPr>
          <w:color w:val="000000"/>
          <w:szCs w:val="22"/>
        </w:rPr>
        <w:t>aux couples étrangers en 2005 et huit autres de janvier à juin 2006.</w:t>
      </w:r>
    </w:p>
    <w:p w:rsidR="00000000" w:rsidRDefault="00000000">
      <w:pPr>
        <w:spacing w:after="240"/>
        <w:rPr>
          <w:szCs w:val="22"/>
        </w:rPr>
      </w:pPr>
      <w:r>
        <w:rPr>
          <w:szCs w:val="22"/>
        </w:rPr>
        <w:t>141.</w:t>
      </w:r>
      <w:r>
        <w:rPr>
          <w:szCs w:val="22"/>
        </w:rPr>
        <w:tab/>
        <w:t xml:space="preserve">Dans la pratique, la procédure d’adoption n’est pas souvent respectée. La pratique traditionnelle d’adoption des enfants relevée par le Comité a malheureusement pris de l’ampleur en raison du nombre croissant d’orphelins et d’enfants rendus vulnérables par le VIH/SIDA qui sont accueillis dans des familles sans aucune procédure judiciaire. </w:t>
      </w:r>
    </w:p>
    <w:p w:rsidR="00000000" w:rsidRDefault="00000000">
      <w:pPr>
        <w:spacing w:after="240"/>
        <w:jc w:val="center"/>
        <w:rPr>
          <w:b/>
          <w:bCs/>
        </w:rPr>
      </w:pPr>
      <w:r>
        <w:rPr>
          <w:b/>
          <w:bCs/>
        </w:rPr>
        <w:t>H.  Le déplacement et le non retour (art. 11)</w:t>
      </w:r>
    </w:p>
    <w:p w:rsidR="00000000" w:rsidRDefault="00000000">
      <w:pPr>
        <w:spacing w:after="240"/>
        <w:rPr>
          <w:szCs w:val="22"/>
        </w:rPr>
      </w:pPr>
      <w:r>
        <w:rPr>
          <w:szCs w:val="22"/>
        </w:rPr>
        <w:t>142.</w:t>
      </w:r>
      <w:r>
        <w:rPr>
          <w:szCs w:val="22"/>
        </w:rPr>
        <w:tab/>
        <w:t>L’avant projet de loi portant révision du Code pénal a relevé le quantum des peines applicables aux auteurs d’enlèvements et de détournement des enfants.</w:t>
      </w:r>
    </w:p>
    <w:p w:rsidR="00000000" w:rsidRDefault="00000000">
      <w:pPr>
        <w:spacing w:after="240"/>
        <w:rPr>
          <w:szCs w:val="22"/>
        </w:rPr>
      </w:pPr>
      <w:r>
        <w:rPr>
          <w:szCs w:val="22"/>
        </w:rPr>
        <w:t>143.</w:t>
      </w:r>
      <w:r>
        <w:rPr>
          <w:szCs w:val="22"/>
        </w:rPr>
        <w:tab/>
        <w:t xml:space="preserve">Par ailleurs, avec la propension du phénomène de la traite des enfants qui est devenu transfrontalier, le Tchad s’est engagé dans le processus de lutte contre ce fléau au niveau régional qui a abouti à la signature d’un Accord multilatéral de coopération régionale et d’un Plan d’action conjoint CEDEAO/CEEAC de lutte contre la traite des personnes, en particulier des femmes et des enfants, le 6 juillet 2006 à Abuja. </w:t>
      </w:r>
    </w:p>
    <w:p w:rsidR="00000000" w:rsidRDefault="00000000">
      <w:pPr>
        <w:spacing w:after="240"/>
        <w:rPr>
          <w:szCs w:val="22"/>
        </w:rPr>
      </w:pPr>
      <w:r>
        <w:rPr>
          <w:szCs w:val="22"/>
        </w:rPr>
        <w:t>144.</w:t>
      </w:r>
      <w:r>
        <w:rPr>
          <w:szCs w:val="22"/>
        </w:rPr>
        <w:tab/>
        <w:t>Sur le plan national, un projet de lutte contre l’exploitation du travail des enfants bouviers identifiée comme une forme de traite des enfants a été mis en œuvre dans les régions touchées par le phénomène.</w:t>
      </w:r>
    </w:p>
    <w:p w:rsidR="00000000" w:rsidRDefault="00000000">
      <w:pPr>
        <w:spacing w:after="240"/>
        <w:jc w:val="center"/>
        <w:rPr>
          <w:b/>
          <w:bCs/>
        </w:rPr>
      </w:pPr>
      <w:r>
        <w:rPr>
          <w:b/>
          <w:bCs/>
        </w:rPr>
        <w:t>I.  Les sévices ou le délaissement (art.19)</w:t>
      </w:r>
    </w:p>
    <w:p w:rsidR="00000000" w:rsidRDefault="00000000">
      <w:pPr>
        <w:spacing w:after="240"/>
        <w:rPr>
          <w:szCs w:val="22"/>
        </w:rPr>
      </w:pPr>
      <w:r>
        <w:rPr>
          <w:szCs w:val="22"/>
        </w:rPr>
        <w:t>145.</w:t>
      </w:r>
      <w:r>
        <w:rPr>
          <w:szCs w:val="22"/>
        </w:rPr>
        <w:tab/>
        <w:t xml:space="preserve">Les dispositions pénales répriment toutes violences faites aux personnes et quand ces violences sont faites à des mineurs, les juridictions retiennent d’office contre les auteurs présumés des circonstances aggravantes. D’autres formes de violences faites aux enfants comme le trafic d’enfants, la torture, les mauvais traitements, les traitements cruels, inhumains ou dégradants sont prises en considération dans le cadre de la révision du Code pénal. </w:t>
      </w:r>
    </w:p>
    <w:p w:rsidR="00000000" w:rsidRDefault="00000000">
      <w:pPr>
        <w:spacing w:after="240"/>
        <w:rPr>
          <w:szCs w:val="22"/>
        </w:rPr>
      </w:pPr>
      <w:r>
        <w:rPr>
          <w:szCs w:val="22"/>
        </w:rPr>
        <w:t>146.</w:t>
      </w:r>
      <w:r>
        <w:rPr>
          <w:szCs w:val="22"/>
        </w:rPr>
        <w:tab/>
        <w:t>En application de la Convention nº 182 de l’OIT sur les pires formes de travail des enfants, le Gouvernement tchadien et ses partenaires du développement ont mis en place un projet de prévention et de protection de l’enfant au travail en vue de lutter contre les pires formes de travail des enfants qui semblent être un phénomène spécifique au Tchad.</w:t>
      </w:r>
    </w:p>
    <w:p w:rsidR="00000000" w:rsidRDefault="00000000">
      <w:pPr>
        <w:spacing w:after="240"/>
        <w:rPr>
          <w:szCs w:val="22"/>
        </w:rPr>
      </w:pPr>
      <w:r>
        <w:rPr>
          <w:szCs w:val="22"/>
        </w:rPr>
        <w:t>147.</w:t>
      </w:r>
      <w:r>
        <w:rPr>
          <w:szCs w:val="22"/>
        </w:rPr>
        <w:tab/>
        <w:t xml:space="preserve">Un réseau de lutte et de récupération des enfants dans les régions touchées par le phénomène a été mis sur pied. En 2004 et 2005, au total 386 enfants bouviers ont été récupérés et réinsérés dans les familles. </w:t>
      </w:r>
    </w:p>
    <w:p w:rsidR="00000000" w:rsidRDefault="00000000">
      <w:pPr>
        <w:spacing w:after="240"/>
        <w:jc w:val="center"/>
        <w:rPr>
          <w:b/>
          <w:bCs/>
        </w:rPr>
      </w:pPr>
      <w:r>
        <w:rPr>
          <w:b/>
          <w:bCs/>
        </w:rPr>
        <w:t>J.  La réadaptation physique et psychologique et la réinsertion sociale (art. 39)</w:t>
      </w:r>
    </w:p>
    <w:p w:rsidR="00000000" w:rsidRDefault="00000000">
      <w:pPr>
        <w:spacing w:after="240"/>
        <w:rPr>
          <w:szCs w:val="22"/>
        </w:rPr>
      </w:pPr>
      <w:r>
        <w:rPr>
          <w:szCs w:val="22"/>
        </w:rPr>
        <w:t>148.</w:t>
      </w:r>
      <w:r>
        <w:rPr>
          <w:szCs w:val="22"/>
        </w:rPr>
        <w:tab/>
        <w:t>Le Gouvernement en partenariat avec les ONG assure la réadaptation physique et psychologique des enfants nécessitant une protection spéciale (ENPS) avec l’appui de l’UNICEF. C’est ainsi qu’en matière d’éducation et de réinsertion sociale des ENPS encadrés par des ONG, les structures d’encadrement ont été équipées et dotées de fournitures scolaires de 2002 à 2004. 1 450 ENPS ont pu jouir de leur droit à l’éducation, 1 163 étaient scolarisés et dotés de fournitures scolaires appropriées tandis que 105 ont été placés dans des ateliers pour l’apprentissage professionnel, assistés par le payement de frais exigés et la dotation de kits outils. Il faut noter que, parmi ces enfants, 97 ont été réinsérés dans des familles.</w:t>
      </w:r>
    </w:p>
    <w:p w:rsidR="00000000" w:rsidRDefault="00000000">
      <w:pPr>
        <w:spacing w:after="240"/>
      </w:pPr>
      <w:r>
        <w:t>149</w:t>
      </w:r>
      <w:r>
        <w:rPr>
          <w:szCs w:val="22"/>
        </w:rPr>
        <w:t>.</w:t>
      </w:r>
      <w:r>
        <w:rPr>
          <w:szCs w:val="22"/>
        </w:rPr>
        <w:tab/>
      </w:r>
      <w:r>
        <w:t xml:space="preserve">Par ailleurs, 70 maîtres coraniques ont bénéficié d’une formation sur les droits de l’enfant en 2004 en vue d’assurer une éducation de qualité et le respect des droits des enfants dits </w:t>
      </w:r>
      <w:proofErr w:type="spellStart"/>
      <w:r>
        <w:rPr>
          <w:i/>
          <w:iCs/>
        </w:rPr>
        <w:t>mouhadjirin</w:t>
      </w:r>
      <w:proofErr w:type="spellEnd"/>
      <w:r>
        <w:t xml:space="preserve"> pris en charge par les marabouts.</w:t>
      </w:r>
    </w:p>
    <w:p w:rsidR="00000000" w:rsidRDefault="00000000">
      <w:pPr>
        <w:spacing w:after="240"/>
      </w:pPr>
      <w:r>
        <w:t>150</w:t>
      </w:r>
      <w:r>
        <w:rPr>
          <w:szCs w:val="22"/>
        </w:rPr>
        <w:t>.</w:t>
      </w:r>
      <w:r>
        <w:rPr>
          <w:szCs w:val="22"/>
        </w:rPr>
        <w:tab/>
      </w:r>
      <w:r>
        <w:t>Les responsables des structures d’encadrement des ENPS, y compris les enfants victimes d’exploitation, ont été formés en appui psychosocial en vue d’aider ses enfants à surmonter leur traumatisme.</w:t>
      </w:r>
    </w:p>
    <w:p w:rsidR="00000000" w:rsidRDefault="00000000">
      <w:pPr>
        <w:spacing w:after="240"/>
      </w:pPr>
      <w:r>
        <w:t>151</w:t>
      </w:r>
      <w:r>
        <w:rPr>
          <w:szCs w:val="22"/>
        </w:rPr>
        <w:t>.</w:t>
      </w:r>
      <w:r>
        <w:rPr>
          <w:szCs w:val="22"/>
        </w:rPr>
        <w:tab/>
      </w:r>
      <w:r>
        <w:t>Cependant, il faut noter que les actions restent limitées par rapport à l’ampleur du phénomène et les efforts seront poursuivis en vue de la prise en charge adéquate d’un grand nombre d’</w:t>
      </w:r>
      <w:proofErr w:type="spellStart"/>
      <w:r>
        <w:t>ENPS</w:t>
      </w:r>
      <w:proofErr w:type="spellEnd"/>
      <w:r>
        <w:t xml:space="preserve">.  </w:t>
      </w:r>
    </w:p>
    <w:p w:rsidR="00000000" w:rsidRDefault="00000000">
      <w:pPr>
        <w:spacing w:after="240"/>
        <w:jc w:val="center"/>
        <w:rPr>
          <w:b/>
          <w:bCs/>
        </w:rPr>
      </w:pPr>
      <w:r>
        <w:rPr>
          <w:b/>
          <w:bCs/>
        </w:rPr>
        <w:t>K.  L’examen périodique du placement</w:t>
      </w:r>
    </w:p>
    <w:p w:rsidR="00000000" w:rsidRDefault="00000000">
      <w:pPr>
        <w:spacing w:after="240"/>
        <w:rPr>
          <w:szCs w:val="22"/>
        </w:rPr>
      </w:pPr>
      <w:r>
        <w:rPr>
          <w:szCs w:val="22"/>
        </w:rPr>
        <w:t>152.</w:t>
      </w:r>
      <w:r>
        <w:rPr>
          <w:szCs w:val="22"/>
        </w:rPr>
        <w:tab/>
        <w:t xml:space="preserve">Il existe deux sortes de placement: le placement administratif et le placement judiciaire. </w:t>
      </w:r>
    </w:p>
    <w:p w:rsidR="00000000" w:rsidRDefault="00000000">
      <w:pPr>
        <w:spacing w:after="240"/>
        <w:rPr>
          <w:szCs w:val="22"/>
        </w:rPr>
      </w:pPr>
      <w:r>
        <w:rPr>
          <w:szCs w:val="22"/>
        </w:rPr>
        <w:t>153.</w:t>
      </w:r>
      <w:r>
        <w:rPr>
          <w:szCs w:val="22"/>
        </w:rPr>
        <w:tab/>
        <w:t xml:space="preserve">Le placement administratif pour une durée de deux ans est décidé par le Directeur de l’enfance du Ministère de l’Action sociale et de la Famille sur la base du rapport d’enquête diligentée par les travailleurs sociaux qui en font la proposition. </w:t>
      </w:r>
    </w:p>
    <w:p w:rsidR="00000000" w:rsidRDefault="00000000">
      <w:pPr>
        <w:spacing w:after="240"/>
        <w:rPr>
          <w:szCs w:val="22"/>
        </w:rPr>
      </w:pPr>
      <w:r>
        <w:rPr>
          <w:szCs w:val="22"/>
        </w:rPr>
        <w:t>154.</w:t>
      </w:r>
      <w:r>
        <w:rPr>
          <w:szCs w:val="22"/>
        </w:rPr>
        <w:tab/>
        <w:t>Le suivi de ces placements s’effectue au moyen des rapports d’observation périodiques. En l’absence d’éducateurs spécialisés, cette tâche est confiée aux assistants sociaux du centre.</w:t>
      </w:r>
    </w:p>
    <w:p w:rsidR="00000000" w:rsidRDefault="00000000">
      <w:pPr>
        <w:spacing w:after="240"/>
        <w:rPr>
          <w:szCs w:val="22"/>
        </w:rPr>
      </w:pPr>
      <w:r>
        <w:rPr>
          <w:szCs w:val="22"/>
        </w:rPr>
        <w:t>155.</w:t>
      </w:r>
      <w:r>
        <w:rPr>
          <w:szCs w:val="22"/>
        </w:rPr>
        <w:tab/>
        <w:t xml:space="preserve">Les rapports d’observation donnent des renseignements tant sur le comportement social de l’enfant que sur son adaptation. Ce comportement est déterminant dans la prise des décisions le concernant, notamment la possibilité pour l’enfant de suivre les études secondaires en dehors du centre. </w:t>
      </w:r>
    </w:p>
    <w:p w:rsidR="00000000" w:rsidRDefault="00000000">
      <w:pPr>
        <w:spacing w:after="240"/>
        <w:rPr>
          <w:szCs w:val="22"/>
        </w:rPr>
      </w:pPr>
      <w:r>
        <w:rPr>
          <w:szCs w:val="22"/>
        </w:rPr>
        <w:t>156.</w:t>
      </w:r>
      <w:r>
        <w:rPr>
          <w:szCs w:val="22"/>
        </w:rPr>
        <w:tab/>
        <w:t xml:space="preserve">S’il est établi que l’enfant fugue souvent, l’aspect social primera sur la poursuite des études. </w:t>
      </w:r>
    </w:p>
    <w:p w:rsidR="00000000" w:rsidRDefault="00000000">
      <w:pPr>
        <w:spacing w:after="240"/>
        <w:rPr>
          <w:szCs w:val="22"/>
        </w:rPr>
      </w:pPr>
      <w:r>
        <w:rPr>
          <w:szCs w:val="22"/>
        </w:rPr>
        <w:t>157.</w:t>
      </w:r>
      <w:r>
        <w:rPr>
          <w:szCs w:val="22"/>
        </w:rPr>
        <w:tab/>
        <w:t xml:space="preserve">Le placement judiciaire est prononcé par le juge pour enfants en application de la loi nº 7/PR/99 du 6 avril 1999 portant procédure de poursuite et de jugement des infractions commises par les mineurs de 13 à moins de 18 ans qui privilégie les mesures éducatives à la peine d’emprisonnement qui constitue une mesure de dernier recours. </w:t>
      </w:r>
    </w:p>
    <w:p w:rsidR="00000000" w:rsidRDefault="00000000">
      <w:pPr>
        <w:spacing w:after="240"/>
        <w:jc w:val="center"/>
        <w:rPr>
          <w:b/>
          <w:szCs w:val="22"/>
        </w:rPr>
      </w:pPr>
      <w:r>
        <w:rPr>
          <w:b/>
          <w:szCs w:val="22"/>
        </w:rPr>
        <w:t>VI.  SANTÉ ET BIEN-ÊTRE</w:t>
      </w:r>
      <w:r>
        <w:rPr>
          <w:b/>
          <w:szCs w:val="22"/>
        </w:rPr>
        <w:br/>
        <w:t>(art. 6, 18, par. 3, arts 23, 24, 26 et 27, par. 1 à 3)</w:t>
      </w:r>
    </w:p>
    <w:p w:rsidR="00000000" w:rsidRDefault="00000000">
      <w:pPr>
        <w:spacing w:after="240"/>
        <w:jc w:val="center"/>
        <w:rPr>
          <w:b/>
          <w:bCs/>
          <w:iCs/>
          <w:szCs w:val="22"/>
        </w:rPr>
      </w:pPr>
      <w:r>
        <w:rPr>
          <w:b/>
          <w:bCs/>
          <w:iCs/>
          <w:szCs w:val="22"/>
        </w:rPr>
        <w:t>A.  La survie et le développement de l’enfant (art. 6, par. 2)</w:t>
      </w:r>
    </w:p>
    <w:p w:rsidR="00000000" w:rsidRDefault="00000000">
      <w:pPr>
        <w:spacing w:after="240"/>
        <w:rPr>
          <w:szCs w:val="22"/>
        </w:rPr>
      </w:pPr>
      <w:r>
        <w:rPr>
          <w:iCs/>
          <w:szCs w:val="22"/>
        </w:rPr>
        <w:t>158.</w:t>
      </w:r>
      <w:r>
        <w:rPr>
          <w:iCs/>
          <w:szCs w:val="22"/>
        </w:rPr>
        <w:tab/>
        <w:t xml:space="preserve">Par le biais des programmes nationaux de lutte contre les maladies diarrhéiques et les infections respiratoires </w:t>
      </w:r>
      <w:proofErr w:type="spellStart"/>
      <w:r>
        <w:rPr>
          <w:iCs/>
          <w:szCs w:val="22"/>
        </w:rPr>
        <w:t>aigües</w:t>
      </w:r>
      <w:proofErr w:type="spellEnd"/>
      <w:r>
        <w:rPr>
          <w:iCs/>
          <w:szCs w:val="22"/>
        </w:rPr>
        <w:t xml:space="preserve"> (LMD/IRA), du PEV, de la Santé/Nutrition, du programme national de la promotion pour l’allaitement maternel, du programme national de prise en charge intégrée de la maladie de l’enfant (PCIME) et du programme national de lutte antipaludique, le Gouvernement a mis en œuvre l</w:t>
      </w:r>
      <w:r>
        <w:rPr>
          <w:szCs w:val="22"/>
        </w:rPr>
        <w:t>a stratégie d’accélération de la survie et du développement de l’enfant (SASDE) dans trois districts.</w:t>
      </w:r>
    </w:p>
    <w:p w:rsidR="00000000" w:rsidRDefault="00000000">
      <w:pPr>
        <w:spacing w:after="240"/>
        <w:rPr>
          <w:szCs w:val="22"/>
        </w:rPr>
      </w:pPr>
      <w:r>
        <w:rPr>
          <w:szCs w:val="22"/>
        </w:rPr>
        <w:t>159.</w:t>
      </w:r>
      <w:r>
        <w:rPr>
          <w:szCs w:val="22"/>
        </w:rPr>
        <w:tab/>
        <w:t>Cette stratégie vise à réduire la mortalité infantile et celle des enfants de moins de 5 ans en ciblant les principales causes de mortalité et en combinant des interventions sanitaires efficaces, avec une attention particulière pour les populations les plus vulnérables et marginalisées.</w:t>
      </w:r>
    </w:p>
    <w:p w:rsidR="00000000" w:rsidRDefault="00000000">
      <w:pPr>
        <w:spacing w:after="240"/>
        <w:rPr>
          <w:szCs w:val="22"/>
        </w:rPr>
      </w:pPr>
      <w:r>
        <w:rPr>
          <w:szCs w:val="22"/>
        </w:rPr>
        <w:t>160.</w:t>
      </w:r>
      <w:r>
        <w:rPr>
          <w:szCs w:val="22"/>
        </w:rPr>
        <w:tab/>
        <w:t>Les interventions clés sont le PEV Plus, la PCIME Plus et la CPN Plus</w:t>
      </w:r>
      <w:r>
        <w:rPr>
          <w:b/>
          <w:i/>
          <w:szCs w:val="22"/>
        </w:rPr>
        <w:t xml:space="preserve">. </w:t>
      </w:r>
      <w:r>
        <w:rPr>
          <w:szCs w:val="22"/>
        </w:rPr>
        <w:t xml:space="preserve">Elles sont mises en œuvre à trois niveaux: la prise en charge au niveau de la famille et de la communauté, la stratégie mobile et la prise en charge clinique dans les centres de santé. </w:t>
      </w:r>
    </w:p>
    <w:p w:rsidR="00000000" w:rsidRDefault="00000000">
      <w:pPr>
        <w:spacing w:after="240"/>
        <w:rPr>
          <w:szCs w:val="22"/>
        </w:rPr>
      </w:pPr>
      <w:r>
        <w:rPr>
          <w:szCs w:val="22"/>
        </w:rPr>
        <w:t>161.</w:t>
      </w:r>
      <w:r>
        <w:rPr>
          <w:szCs w:val="22"/>
        </w:rPr>
        <w:tab/>
        <w:t xml:space="preserve">La mise en œuvre de la SASDE a permis de réaliser les résultats suivants: </w:t>
      </w:r>
    </w:p>
    <w:p w:rsidR="00000000" w:rsidRDefault="00000000">
      <w:pPr>
        <w:spacing w:after="240"/>
        <w:ind w:firstLine="567"/>
      </w:pPr>
      <w:r>
        <w:t>a)</w:t>
      </w:r>
      <w:r>
        <w:tab/>
        <w:t xml:space="preserve">Une augmentation significative entre 2001 et 2003 des indicateurs sanitaires pour le PEV notamment en DTC3 et en vitamine A dans les districts concernés, passant de 42 % à 103 % dans le district de </w:t>
      </w:r>
      <w:proofErr w:type="spellStart"/>
      <w:r>
        <w:t>Béré</w:t>
      </w:r>
      <w:proofErr w:type="spellEnd"/>
      <w:r>
        <w:t xml:space="preserve">; de 43 % à 97 % à </w:t>
      </w:r>
      <w:proofErr w:type="spellStart"/>
      <w:r>
        <w:t>Gounou-Gaya</w:t>
      </w:r>
      <w:proofErr w:type="spellEnd"/>
      <w:r>
        <w:t xml:space="preserve"> et de 56 % à 65 % à </w:t>
      </w:r>
      <w:proofErr w:type="spellStart"/>
      <w:r>
        <w:t>Kélo</w:t>
      </w:r>
      <w:proofErr w:type="spellEnd"/>
      <w:r>
        <w:t xml:space="preserve"> selon les données administratives de routine. </w:t>
      </w:r>
    </w:p>
    <w:p w:rsidR="00000000" w:rsidRDefault="00000000">
      <w:pPr>
        <w:spacing w:after="240"/>
        <w:ind w:firstLine="567"/>
      </w:pPr>
      <w:r>
        <w:t>b)</w:t>
      </w:r>
      <w:r>
        <w:tab/>
        <w:t xml:space="preserve">Les taux sont de 71,41 % à </w:t>
      </w:r>
      <w:proofErr w:type="spellStart"/>
      <w:r>
        <w:t>Béré</w:t>
      </w:r>
      <w:proofErr w:type="spellEnd"/>
      <w:r>
        <w:t xml:space="preserve"> et de 69,7 % à </w:t>
      </w:r>
      <w:proofErr w:type="spellStart"/>
      <w:r>
        <w:t>Kélo</w:t>
      </w:r>
      <w:proofErr w:type="spellEnd"/>
      <w:r>
        <w:t>. La couverture en DTC3 au niveau national était de 47 % en 2002.</w:t>
      </w:r>
    </w:p>
    <w:p w:rsidR="00000000" w:rsidRDefault="00000000">
      <w:pPr>
        <w:spacing w:after="240"/>
        <w:rPr>
          <w:szCs w:val="22"/>
        </w:rPr>
      </w:pPr>
      <w:r>
        <w:rPr>
          <w:szCs w:val="22"/>
        </w:rPr>
        <w:t>162.</w:t>
      </w:r>
      <w:r>
        <w:rPr>
          <w:szCs w:val="22"/>
        </w:rPr>
        <w:tab/>
        <w:t>Du fait des résultats positifs, la SASDE est en train d’être développée comme une stratégie nationale pour la survie et le développement de l’enfant au Tchad.</w:t>
      </w:r>
    </w:p>
    <w:p w:rsidR="00000000" w:rsidRDefault="00000000">
      <w:pPr>
        <w:spacing w:after="240"/>
        <w:rPr>
          <w:szCs w:val="22"/>
        </w:rPr>
      </w:pPr>
      <w:r>
        <w:rPr>
          <w:szCs w:val="22"/>
        </w:rPr>
        <w:t>163.</w:t>
      </w:r>
      <w:r>
        <w:rPr>
          <w:szCs w:val="22"/>
        </w:rPr>
        <w:tab/>
        <w:t xml:space="preserve">Par ailleurs, une politique de Développement intégral du jeune enfant tchadien (DIJET) élaborée et validée en 2005 poursuit les objectifs suivants: d’ici 2015, 100 % des enfants de 0 à 8 ans seront enregistrés à la naissance; protégés contre la violence, l’exploitation, la discrimination; en bonne santé et se développeront harmonieusement sur les plans physique, cognitif, </w:t>
      </w:r>
      <w:proofErr w:type="spellStart"/>
      <w:r>
        <w:rPr>
          <w:szCs w:val="22"/>
        </w:rPr>
        <w:t>socio-affectif</w:t>
      </w:r>
      <w:proofErr w:type="spellEnd"/>
      <w:r>
        <w:rPr>
          <w:szCs w:val="22"/>
        </w:rPr>
        <w:t xml:space="preserve"> et psychologique.</w:t>
      </w:r>
    </w:p>
    <w:p w:rsidR="00000000" w:rsidRDefault="00000000">
      <w:pPr>
        <w:spacing w:after="240"/>
        <w:rPr>
          <w:szCs w:val="22"/>
        </w:rPr>
      </w:pPr>
      <w:r>
        <w:rPr>
          <w:szCs w:val="22"/>
        </w:rPr>
        <w:t>164.</w:t>
      </w:r>
      <w:r>
        <w:rPr>
          <w:szCs w:val="22"/>
        </w:rPr>
        <w:tab/>
        <w:t xml:space="preserve">En outre, un programme de prévention de la transmission du VIH de la mère à l’enfant a été mis en œuvre dans les structures de soin de santé sur l’ensemble du territoire national. Il a pour objectifs de: </w:t>
      </w:r>
    </w:p>
    <w:p w:rsidR="00000000" w:rsidRDefault="00000000">
      <w:pPr>
        <w:numPr>
          <w:ilvl w:val="0"/>
          <w:numId w:val="137"/>
        </w:numPr>
        <w:spacing w:after="240"/>
        <w:rPr>
          <w:szCs w:val="22"/>
        </w:rPr>
      </w:pPr>
      <w:r>
        <w:rPr>
          <w:szCs w:val="22"/>
        </w:rPr>
        <w:t>Promouvoir le dépistage volontaire des femmes en consultation prénatale;</w:t>
      </w:r>
    </w:p>
    <w:p w:rsidR="00000000" w:rsidRDefault="00000000">
      <w:pPr>
        <w:numPr>
          <w:ilvl w:val="0"/>
          <w:numId w:val="137"/>
        </w:numPr>
        <w:spacing w:after="240"/>
        <w:rPr>
          <w:szCs w:val="22"/>
        </w:rPr>
      </w:pPr>
      <w:r>
        <w:rPr>
          <w:szCs w:val="22"/>
        </w:rPr>
        <w:t>Prendre en charge les femmes séropositives;</w:t>
      </w:r>
    </w:p>
    <w:p w:rsidR="00000000" w:rsidRDefault="00000000">
      <w:pPr>
        <w:numPr>
          <w:ilvl w:val="0"/>
          <w:numId w:val="137"/>
        </w:numPr>
        <w:spacing w:after="240"/>
        <w:rPr>
          <w:szCs w:val="22"/>
        </w:rPr>
      </w:pPr>
      <w:r>
        <w:rPr>
          <w:szCs w:val="22"/>
        </w:rPr>
        <w:t>Prendre en charge et assurer le suivi des enfants nés de mères séropositives;</w:t>
      </w:r>
    </w:p>
    <w:p w:rsidR="00000000" w:rsidRDefault="00000000">
      <w:pPr>
        <w:numPr>
          <w:ilvl w:val="0"/>
          <w:numId w:val="137"/>
        </w:numPr>
        <w:spacing w:after="240"/>
        <w:rPr>
          <w:szCs w:val="22"/>
        </w:rPr>
      </w:pPr>
      <w:r>
        <w:rPr>
          <w:szCs w:val="22"/>
        </w:rPr>
        <w:t xml:space="preserve">Assurer une prise en charge nutritionnelle du couple (parents/enfants). </w:t>
      </w:r>
    </w:p>
    <w:p w:rsidR="00000000" w:rsidRDefault="00000000">
      <w:pPr>
        <w:spacing w:after="240"/>
        <w:jc w:val="center"/>
        <w:rPr>
          <w:b/>
          <w:bCs/>
          <w:iCs/>
          <w:szCs w:val="22"/>
        </w:rPr>
      </w:pPr>
      <w:r>
        <w:rPr>
          <w:b/>
          <w:bCs/>
          <w:iCs/>
          <w:szCs w:val="22"/>
        </w:rPr>
        <w:t>B.  Les enfants handicapés (art. 23)</w:t>
      </w:r>
    </w:p>
    <w:p w:rsidR="00000000" w:rsidRDefault="00000000">
      <w:pPr>
        <w:spacing w:after="240"/>
        <w:rPr>
          <w:szCs w:val="22"/>
        </w:rPr>
      </w:pPr>
      <w:r>
        <w:rPr>
          <w:szCs w:val="22"/>
        </w:rPr>
        <w:t>165.</w:t>
      </w:r>
      <w:r>
        <w:rPr>
          <w:szCs w:val="22"/>
        </w:rPr>
        <w:tab/>
        <w:t>Globalement, 5,3 % de la population vit avec au moins un handicap. Les déficiences visuelles (2,3 %), les déficiences motrices (1,6 %) touchent plus la population que les déficiences auditives (1,2 %) et celles de la parole ou du langage (0,5 %).</w:t>
      </w:r>
    </w:p>
    <w:p w:rsidR="00000000" w:rsidRDefault="00000000">
      <w:pPr>
        <w:spacing w:after="240"/>
        <w:rPr>
          <w:szCs w:val="22"/>
        </w:rPr>
      </w:pPr>
      <w:r>
        <w:rPr>
          <w:szCs w:val="22"/>
        </w:rPr>
        <w:t>166.</w:t>
      </w:r>
      <w:r>
        <w:rPr>
          <w:szCs w:val="22"/>
        </w:rPr>
        <w:tab/>
        <w:t>Les catégories d’handicaps de naissance donnent la situation suivante:</w:t>
      </w:r>
    </w:p>
    <w:p w:rsidR="00000000" w:rsidRDefault="00000000">
      <w:pPr>
        <w:spacing w:after="240"/>
        <w:jc w:val="center"/>
        <w:rPr>
          <w:b/>
          <w:bCs/>
          <w:szCs w:val="22"/>
        </w:rPr>
      </w:pPr>
      <w:r>
        <w:rPr>
          <w:b/>
          <w:bCs/>
          <w:szCs w:val="22"/>
        </w:rPr>
        <w:t>Tableau 3.  Répartition par catégorie de handicap</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2400"/>
      </w:tblGrid>
      <w:tr w:rsidR="00000000">
        <w:tc>
          <w:tcPr>
            <w:tcW w:w="5040" w:type="dxa"/>
            <w:vAlign w:val="center"/>
          </w:tcPr>
          <w:p w:rsidR="00000000" w:rsidRDefault="00000000">
            <w:pPr>
              <w:spacing w:before="40" w:after="40"/>
              <w:jc w:val="center"/>
              <w:rPr>
                <w:szCs w:val="22"/>
              </w:rPr>
            </w:pPr>
            <w:r>
              <w:rPr>
                <w:szCs w:val="22"/>
              </w:rPr>
              <w:t>Handicap</w:t>
            </w:r>
          </w:p>
        </w:tc>
        <w:tc>
          <w:tcPr>
            <w:tcW w:w="2400" w:type="dxa"/>
            <w:vAlign w:val="center"/>
          </w:tcPr>
          <w:p w:rsidR="00000000" w:rsidRDefault="00000000">
            <w:pPr>
              <w:spacing w:before="40" w:after="40"/>
              <w:jc w:val="center"/>
              <w:rPr>
                <w:szCs w:val="22"/>
              </w:rPr>
            </w:pPr>
            <w:r>
              <w:rPr>
                <w:szCs w:val="22"/>
              </w:rPr>
              <w:t>Proportion</w:t>
            </w:r>
            <w:r>
              <w:rPr>
                <w:szCs w:val="22"/>
              </w:rPr>
              <w:br/>
              <w:t>(%)</w:t>
            </w:r>
          </w:p>
        </w:tc>
      </w:tr>
      <w:tr w:rsidR="00000000">
        <w:tc>
          <w:tcPr>
            <w:tcW w:w="5040" w:type="dxa"/>
          </w:tcPr>
          <w:p w:rsidR="00000000" w:rsidRDefault="00000000">
            <w:pPr>
              <w:spacing w:before="40" w:after="40"/>
              <w:rPr>
                <w:szCs w:val="22"/>
              </w:rPr>
            </w:pPr>
            <w:r>
              <w:rPr>
                <w:szCs w:val="22"/>
              </w:rPr>
              <w:t>Absence de membres ou de parties des membres</w:t>
            </w:r>
          </w:p>
        </w:tc>
        <w:tc>
          <w:tcPr>
            <w:tcW w:w="2400" w:type="dxa"/>
            <w:vAlign w:val="center"/>
          </w:tcPr>
          <w:p w:rsidR="00000000" w:rsidRDefault="00000000">
            <w:pPr>
              <w:spacing w:before="40" w:after="40"/>
              <w:jc w:val="center"/>
              <w:rPr>
                <w:szCs w:val="22"/>
              </w:rPr>
            </w:pPr>
            <w:r>
              <w:rPr>
                <w:szCs w:val="22"/>
              </w:rPr>
              <w:t>6,2 %</w:t>
            </w:r>
          </w:p>
        </w:tc>
      </w:tr>
      <w:tr w:rsidR="00000000">
        <w:tc>
          <w:tcPr>
            <w:tcW w:w="5040" w:type="dxa"/>
          </w:tcPr>
          <w:p w:rsidR="00000000" w:rsidRDefault="00000000">
            <w:pPr>
              <w:spacing w:before="40" w:after="40"/>
              <w:rPr>
                <w:szCs w:val="22"/>
              </w:rPr>
            </w:pPr>
            <w:r>
              <w:rPr>
                <w:szCs w:val="22"/>
              </w:rPr>
              <w:t>Déformation des membres</w:t>
            </w:r>
          </w:p>
        </w:tc>
        <w:tc>
          <w:tcPr>
            <w:tcW w:w="2400" w:type="dxa"/>
            <w:vAlign w:val="center"/>
          </w:tcPr>
          <w:p w:rsidR="00000000" w:rsidRDefault="00000000">
            <w:pPr>
              <w:spacing w:before="40" w:after="40"/>
              <w:jc w:val="center"/>
              <w:rPr>
                <w:szCs w:val="22"/>
              </w:rPr>
            </w:pPr>
            <w:r>
              <w:rPr>
                <w:szCs w:val="22"/>
              </w:rPr>
              <w:t>13 %</w:t>
            </w:r>
          </w:p>
        </w:tc>
      </w:tr>
      <w:tr w:rsidR="00000000">
        <w:tc>
          <w:tcPr>
            <w:tcW w:w="5040" w:type="dxa"/>
          </w:tcPr>
          <w:p w:rsidR="00000000" w:rsidRDefault="00000000">
            <w:pPr>
              <w:spacing w:before="40" w:after="40"/>
              <w:rPr>
                <w:szCs w:val="22"/>
              </w:rPr>
            </w:pPr>
            <w:r>
              <w:rPr>
                <w:szCs w:val="22"/>
              </w:rPr>
              <w:t>Déficience visuelle</w:t>
            </w:r>
          </w:p>
        </w:tc>
        <w:tc>
          <w:tcPr>
            <w:tcW w:w="2400" w:type="dxa"/>
            <w:vAlign w:val="center"/>
          </w:tcPr>
          <w:p w:rsidR="00000000" w:rsidRDefault="00000000">
            <w:pPr>
              <w:spacing w:before="40" w:after="40"/>
              <w:jc w:val="center"/>
              <w:rPr>
                <w:szCs w:val="22"/>
              </w:rPr>
            </w:pPr>
            <w:r>
              <w:rPr>
                <w:szCs w:val="22"/>
              </w:rPr>
              <w:t>5,6 %</w:t>
            </w:r>
          </w:p>
        </w:tc>
      </w:tr>
      <w:tr w:rsidR="00000000">
        <w:tc>
          <w:tcPr>
            <w:tcW w:w="5040" w:type="dxa"/>
          </w:tcPr>
          <w:p w:rsidR="00000000" w:rsidRDefault="00000000">
            <w:pPr>
              <w:spacing w:before="40" w:after="40"/>
              <w:rPr>
                <w:szCs w:val="22"/>
              </w:rPr>
            </w:pPr>
            <w:r>
              <w:rPr>
                <w:szCs w:val="22"/>
              </w:rPr>
              <w:t>Déficience auditive</w:t>
            </w:r>
          </w:p>
        </w:tc>
        <w:tc>
          <w:tcPr>
            <w:tcW w:w="2400" w:type="dxa"/>
            <w:vAlign w:val="center"/>
          </w:tcPr>
          <w:p w:rsidR="00000000" w:rsidRDefault="00000000">
            <w:pPr>
              <w:spacing w:before="40" w:after="40"/>
              <w:jc w:val="center"/>
              <w:rPr>
                <w:szCs w:val="22"/>
              </w:rPr>
            </w:pPr>
            <w:r>
              <w:rPr>
                <w:szCs w:val="22"/>
              </w:rPr>
              <w:t>11,5 %</w:t>
            </w:r>
          </w:p>
        </w:tc>
      </w:tr>
      <w:tr w:rsidR="00000000">
        <w:tc>
          <w:tcPr>
            <w:tcW w:w="5040" w:type="dxa"/>
          </w:tcPr>
          <w:p w:rsidR="00000000" w:rsidRDefault="00000000">
            <w:pPr>
              <w:spacing w:before="40" w:after="40"/>
              <w:rPr>
                <w:szCs w:val="22"/>
              </w:rPr>
            </w:pPr>
            <w:r>
              <w:rPr>
                <w:szCs w:val="22"/>
              </w:rPr>
              <w:t>Déficience du langage ou de la parole</w:t>
            </w:r>
          </w:p>
        </w:tc>
        <w:tc>
          <w:tcPr>
            <w:tcW w:w="2400" w:type="dxa"/>
            <w:vAlign w:val="center"/>
          </w:tcPr>
          <w:p w:rsidR="00000000" w:rsidRDefault="00000000">
            <w:pPr>
              <w:spacing w:before="40" w:after="40"/>
              <w:jc w:val="center"/>
              <w:rPr>
                <w:szCs w:val="22"/>
              </w:rPr>
            </w:pPr>
            <w:r>
              <w:rPr>
                <w:szCs w:val="22"/>
              </w:rPr>
              <w:t>54 %</w:t>
            </w:r>
          </w:p>
        </w:tc>
      </w:tr>
      <w:tr w:rsidR="00000000">
        <w:tc>
          <w:tcPr>
            <w:tcW w:w="5040" w:type="dxa"/>
          </w:tcPr>
          <w:p w:rsidR="00000000" w:rsidRDefault="00000000">
            <w:pPr>
              <w:spacing w:before="40" w:after="40"/>
              <w:rPr>
                <w:szCs w:val="22"/>
              </w:rPr>
            </w:pPr>
            <w:r>
              <w:rPr>
                <w:szCs w:val="22"/>
              </w:rPr>
              <w:t>Pertes de certaines extrémités</w:t>
            </w:r>
          </w:p>
        </w:tc>
        <w:tc>
          <w:tcPr>
            <w:tcW w:w="2400" w:type="dxa"/>
          </w:tcPr>
          <w:p w:rsidR="00000000" w:rsidRDefault="00000000">
            <w:pPr>
              <w:spacing w:before="40" w:after="40"/>
              <w:jc w:val="center"/>
              <w:rPr>
                <w:szCs w:val="22"/>
              </w:rPr>
            </w:pPr>
            <w:r>
              <w:rPr>
                <w:szCs w:val="22"/>
              </w:rPr>
              <w:t>8,8 %</w:t>
            </w:r>
          </w:p>
        </w:tc>
      </w:tr>
      <w:tr w:rsidR="00000000">
        <w:tc>
          <w:tcPr>
            <w:tcW w:w="5040" w:type="dxa"/>
          </w:tcPr>
          <w:p w:rsidR="00000000" w:rsidRDefault="00000000">
            <w:pPr>
              <w:spacing w:before="40" w:after="40"/>
              <w:rPr>
                <w:szCs w:val="22"/>
              </w:rPr>
            </w:pPr>
            <w:r>
              <w:rPr>
                <w:szCs w:val="22"/>
              </w:rPr>
              <w:t>Troubles de comportements </w:t>
            </w:r>
          </w:p>
        </w:tc>
        <w:tc>
          <w:tcPr>
            <w:tcW w:w="2400" w:type="dxa"/>
          </w:tcPr>
          <w:p w:rsidR="00000000" w:rsidRDefault="00000000">
            <w:pPr>
              <w:spacing w:before="40" w:after="40"/>
              <w:rPr>
                <w:szCs w:val="22"/>
              </w:rPr>
            </w:pPr>
            <w:r>
              <w:rPr>
                <w:szCs w:val="22"/>
              </w:rPr>
              <w:t>25 %</w:t>
            </w:r>
          </w:p>
        </w:tc>
      </w:tr>
    </w:tbl>
    <w:p w:rsidR="00000000" w:rsidRDefault="00000000">
      <w:pPr>
        <w:spacing w:after="240"/>
        <w:rPr>
          <w:szCs w:val="22"/>
        </w:rPr>
      </w:pPr>
      <w:r>
        <w:rPr>
          <w:szCs w:val="22"/>
        </w:rPr>
        <w:t>167.</w:t>
      </w:r>
      <w:r>
        <w:rPr>
          <w:szCs w:val="22"/>
        </w:rPr>
        <w:tab/>
        <w:t>La prévalence des handicaps est très faible chez les enfants de moins de 0-4 ans (1,6 %).</w:t>
      </w:r>
    </w:p>
    <w:p w:rsidR="00000000" w:rsidRDefault="00000000">
      <w:pPr>
        <w:spacing w:after="240"/>
        <w:jc w:val="center"/>
        <w:rPr>
          <w:szCs w:val="22"/>
        </w:rPr>
      </w:pPr>
      <w:r>
        <w:rPr>
          <w:szCs w:val="22"/>
        </w:rPr>
        <w:t>1.  Les enfants handicapés dont les parents reçoivent une aide spéciale,</w:t>
      </w:r>
      <w:r>
        <w:rPr>
          <w:szCs w:val="22"/>
        </w:rPr>
        <w:br/>
        <w:t>matérielle ou autre (pas de données ventilées)</w:t>
      </w:r>
    </w:p>
    <w:p w:rsidR="00000000" w:rsidRDefault="00000000">
      <w:pPr>
        <w:spacing w:after="240"/>
        <w:jc w:val="center"/>
        <w:rPr>
          <w:szCs w:val="22"/>
        </w:rPr>
      </w:pPr>
      <w:r>
        <w:rPr>
          <w:szCs w:val="22"/>
        </w:rPr>
        <w:t>2.  Les enfants qui vivent dans des établissements spécialisés, notamment des</w:t>
      </w:r>
      <w:r>
        <w:rPr>
          <w:szCs w:val="22"/>
        </w:rPr>
        <w:br/>
        <w:t>établissements pour malades mentaux, ou en dehors de leur famille,</w:t>
      </w:r>
      <w:r>
        <w:rPr>
          <w:szCs w:val="22"/>
        </w:rPr>
        <w:br/>
        <w:t>par exemple les familles nourricières (pas de données ventilées)</w:t>
      </w:r>
    </w:p>
    <w:p w:rsidR="00000000" w:rsidRDefault="00000000">
      <w:pPr>
        <w:spacing w:after="240"/>
        <w:rPr>
          <w:szCs w:val="22"/>
        </w:rPr>
      </w:pPr>
      <w:r>
        <w:rPr>
          <w:szCs w:val="22"/>
        </w:rPr>
        <w:t>168.</w:t>
      </w:r>
      <w:r>
        <w:rPr>
          <w:szCs w:val="22"/>
        </w:rPr>
        <w:tab/>
        <w:t xml:space="preserve">Pour les enfants handicapés visuels, un centre spécialisé dénommé «Centre de Ressources pour les Jeunes Aveugles» héberge 53 d’entre eux et assure leur encadrement. </w:t>
      </w:r>
    </w:p>
    <w:p w:rsidR="00000000" w:rsidRDefault="00000000">
      <w:pPr>
        <w:spacing w:after="240"/>
        <w:rPr>
          <w:szCs w:val="22"/>
        </w:rPr>
      </w:pPr>
      <w:r>
        <w:rPr>
          <w:szCs w:val="22"/>
        </w:rPr>
        <w:t>169.</w:t>
      </w:r>
      <w:r>
        <w:rPr>
          <w:szCs w:val="22"/>
        </w:rPr>
        <w:tab/>
        <w:t xml:space="preserve">Un projet de construction d’un bâtiment à l’Hôpital général de Référence de N’Djamena pour abriter les malades mentaux est en cours. </w:t>
      </w:r>
    </w:p>
    <w:p w:rsidR="00000000" w:rsidRDefault="00000000">
      <w:pPr>
        <w:spacing w:after="240"/>
        <w:jc w:val="center"/>
        <w:rPr>
          <w:szCs w:val="22"/>
        </w:rPr>
      </w:pPr>
      <w:r>
        <w:rPr>
          <w:szCs w:val="22"/>
        </w:rPr>
        <w:t>3.  Les enfants qui sont scolarisés dans des écoles ordinaires</w:t>
      </w:r>
    </w:p>
    <w:p w:rsidR="00000000" w:rsidRDefault="00000000">
      <w:pPr>
        <w:spacing w:after="240"/>
        <w:rPr>
          <w:szCs w:val="22"/>
        </w:rPr>
      </w:pPr>
      <w:r>
        <w:rPr>
          <w:szCs w:val="22"/>
        </w:rPr>
        <w:t>170.</w:t>
      </w:r>
      <w:r>
        <w:rPr>
          <w:szCs w:val="22"/>
        </w:rPr>
        <w:tab/>
        <w:t>Pour prévenir et lutter contre la discrimination à l’égard des enfants handicapés, l’arrêté nº 136/PR/MCFAS/94 du 6 juin 1994 leur accorde une inscription gratuite dans des écoles publiques ou une réduction des droits d’inscription dans les établissements scolaires privés.</w:t>
      </w:r>
    </w:p>
    <w:p w:rsidR="00000000" w:rsidRDefault="00000000">
      <w:pPr>
        <w:spacing w:after="240"/>
        <w:jc w:val="center"/>
        <w:rPr>
          <w:szCs w:val="22"/>
        </w:rPr>
      </w:pPr>
      <w:r>
        <w:rPr>
          <w:szCs w:val="22"/>
        </w:rPr>
        <w:t>4.  Les enfants qui sont scolarisés dans des écoles spéciales</w:t>
      </w:r>
    </w:p>
    <w:p w:rsidR="00000000" w:rsidRDefault="00000000">
      <w:pPr>
        <w:spacing w:after="240"/>
        <w:rPr>
          <w:szCs w:val="22"/>
        </w:rPr>
      </w:pPr>
      <w:r>
        <w:rPr>
          <w:szCs w:val="22"/>
        </w:rPr>
        <w:t>171.</w:t>
      </w:r>
      <w:r>
        <w:rPr>
          <w:szCs w:val="22"/>
        </w:rPr>
        <w:tab/>
        <w:t xml:space="preserve">Des écoles de sourds créées à N’Djamena, Moundou, </w:t>
      </w:r>
      <w:proofErr w:type="spellStart"/>
      <w:r>
        <w:rPr>
          <w:szCs w:val="22"/>
        </w:rPr>
        <w:t>Doba</w:t>
      </w:r>
      <w:proofErr w:type="spellEnd"/>
      <w:r>
        <w:rPr>
          <w:szCs w:val="22"/>
        </w:rPr>
        <w:t xml:space="preserve"> et Sarh encadrent les déficients auditifs. </w:t>
      </w:r>
    </w:p>
    <w:p w:rsidR="00000000" w:rsidRDefault="00000000">
      <w:pPr>
        <w:spacing w:after="240"/>
        <w:rPr>
          <w:szCs w:val="22"/>
        </w:rPr>
      </w:pPr>
      <w:r>
        <w:rPr>
          <w:szCs w:val="22"/>
        </w:rPr>
        <w:t>172.</w:t>
      </w:r>
      <w:r>
        <w:rPr>
          <w:szCs w:val="22"/>
        </w:rPr>
        <w:tab/>
        <w:t xml:space="preserve">Pour assurer la prise en charge des personnes handicapées, la Direction de la réinsertion des personnes handicapées a été créée et un Plan d’action national qui prendra en compte leurs besoins spécifiques est en cours d’élaboration. </w:t>
      </w:r>
    </w:p>
    <w:p w:rsidR="00000000" w:rsidRDefault="00000000">
      <w:pPr>
        <w:spacing w:after="240"/>
        <w:rPr>
          <w:szCs w:val="22"/>
        </w:rPr>
      </w:pPr>
      <w:r>
        <w:rPr>
          <w:szCs w:val="22"/>
        </w:rPr>
        <w:t>173.</w:t>
      </w:r>
      <w:r>
        <w:rPr>
          <w:szCs w:val="22"/>
        </w:rPr>
        <w:tab/>
        <w:t>Les actions du Gouvernement sont renforcées par les interventions des ONG œuvrant en faveur de ce groupe à travers les formations professionnelles (couture, tricotage, tannerie) et le suivi dans les familles.</w:t>
      </w:r>
    </w:p>
    <w:p w:rsidR="00000000" w:rsidRDefault="00000000">
      <w:pPr>
        <w:spacing w:after="240"/>
        <w:jc w:val="center"/>
        <w:rPr>
          <w:b/>
          <w:bCs/>
          <w:szCs w:val="22"/>
        </w:rPr>
      </w:pPr>
      <w:r>
        <w:rPr>
          <w:b/>
          <w:bCs/>
          <w:szCs w:val="22"/>
        </w:rPr>
        <w:t>C.  La santé et les services de santé (art. 24)</w:t>
      </w:r>
    </w:p>
    <w:p w:rsidR="00000000" w:rsidRDefault="00000000">
      <w:pPr>
        <w:spacing w:after="240"/>
        <w:rPr>
          <w:iCs/>
          <w:szCs w:val="22"/>
        </w:rPr>
      </w:pPr>
      <w:r>
        <w:rPr>
          <w:iCs/>
          <w:szCs w:val="22"/>
        </w:rPr>
        <w:t>174.</w:t>
      </w:r>
      <w:r>
        <w:rPr>
          <w:iCs/>
          <w:szCs w:val="22"/>
        </w:rPr>
        <w:tab/>
        <w:t xml:space="preserve">«Assurer à la population l’accès à des services de base de qualité» est l’objectif global de la politique nationale de santé au Tchad. </w:t>
      </w:r>
    </w:p>
    <w:p w:rsidR="00000000" w:rsidRDefault="00000000">
      <w:pPr>
        <w:spacing w:after="240"/>
        <w:rPr>
          <w:iCs/>
          <w:szCs w:val="22"/>
        </w:rPr>
      </w:pPr>
      <w:r>
        <w:rPr>
          <w:iCs/>
          <w:szCs w:val="22"/>
        </w:rPr>
        <w:t>175.</w:t>
      </w:r>
      <w:r>
        <w:rPr>
          <w:iCs/>
          <w:szCs w:val="22"/>
        </w:rPr>
        <w:tab/>
        <w:t>Le Tchad comptait en 2003:</w:t>
      </w:r>
    </w:p>
    <w:p w:rsidR="00000000" w:rsidRDefault="00000000">
      <w:pPr>
        <w:numPr>
          <w:ilvl w:val="0"/>
          <w:numId w:val="138"/>
        </w:numPr>
        <w:spacing w:after="240"/>
        <w:rPr>
          <w:iCs/>
          <w:szCs w:val="22"/>
        </w:rPr>
      </w:pPr>
      <w:r>
        <w:rPr>
          <w:iCs/>
          <w:szCs w:val="22"/>
        </w:rPr>
        <w:t>18 délégations régionales sanitaires</w:t>
      </w:r>
    </w:p>
    <w:p w:rsidR="00000000" w:rsidRDefault="00000000">
      <w:pPr>
        <w:numPr>
          <w:ilvl w:val="0"/>
          <w:numId w:val="138"/>
        </w:numPr>
        <w:spacing w:after="240"/>
        <w:rPr>
          <w:iCs/>
          <w:szCs w:val="22"/>
        </w:rPr>
      </w:pPr>
      <w:r>
        <w:rPr>
          <w:iCs/>
          <w:szCs w:val="22"/>
        </w:rPr>
        <w:t>56 districts sanitaires dont 49 fonctionnels et 7 non fonctionnels</w:t>
      </w:r>
    </w:p>
    <w:p w:rsidR="00000000" w:rsidRDefault="00000000">
      <w:pPr>
        <w:numPr>
          <w:ilvl w:val="0"/>
          <w:numId w:val="138"/>
        </w:numPr>
        <w:spacing w:after="240"/>
        <w:rPr>
          <w:iCs/>
          <w:szCs w:val="22"/>
        </w:rPr>
      </w:pPr>
      <w:r>
        <w:rPr>
          <w:iCs/>
          <w:szCs w:val="22"/>
        </w:rPr>
        <w:t>862 zones de responsabilités, ce qui correspond à un taux de couverture sanitaire de 73,4 %.</w:t>
      </w:r>
    </w:p>
    <w:p w:rsidR="00000000" w:rsidRDefault="00000000">
      <w:pPr>
        <w:spacing w:after="240"/>
        <w:rPr>
          <w:iCs/>
          <w:szCs w:val="22"/>
        </w:rPr>
      </w:pPr>
      <w:r>
        <w:rPr>
          <w:iCs/>
          <w:szCs w:val="22"/>
        </w:rPr>
        <w:t>176.</w:t>
      </w:r>
      <w:r>
        <w:rPr>
          <w:iCs/>
          <w:szCs w:val="22"/>
        </w:rPr>
        <w:tab/>
        <w:t>À défaut d’information sur le secteur privé et les formations sanitaires des Armées, le personnel de la Santé publique est composé de:</w:t>
      </w:r>
    </w:p>
    <w:p w:rsidR="00000000" w:rsidRDefault="00000000">
      <w:pPr>
        <w:numPr>
          <w:ilvl w:val="0"/>
          <w:numId w:val="139"/>
        </w:numPr>
        <w:spacing w:after="240"/>
        <w:rPr>
          <w:iCs/>
          <w:szCs w:val="22"/>
        </w:rPr>
      </w:pPr>
      <w:r>
        <w:rPr>
          <w:iCs/>
          <w:szCs w:val="22"/>
        </w:rPr>
        <w:t>301 médecins </w:t>
      </w:r>
    </w:p>
    <w:p w:rsidR="00000000" w:rsidRDefault="00000000">
      <w:pPr>
        <w:numPr>
          <w:ilvl w:val="0"/>
          <w:numId w:val="139"/>
        </w:numPr>
        <w:spacing w:after="240"/>
        <w:rPr>
          <w:iCs/>
          <w:szCs w:val="22"/>
        </w:rPr>
      </w:pPr>
      <w:r>
        <w:rPr>
          <w:iCs/>
          <w:szCs w:val="22"/>
        </w:rPr>
        <w:t>1608 infirmiers qualifiés </w:t>
      </w:r>
    </w:p>
    <w:p w:rsidR="00000000" w:rsidRDefault="00000000">
      <w:pPr>
        <w:numPr>
          <w:ilvl w:val="0"/>
          <w:numId w:val="139"/>
        </w:numPr>
        <w:spacing w:after="240"/>
        <w:rPr>
          <w:iCs/>
          <w:szCs w:val="22"/>
        </w:rPr>
      </w:pPr>
      <w:r>
        <w:rPr>
          <w:iCs/>
          <w:szCs w:val="22"/>
        </w:rPr>
        <w:t>203 sages-femmes.</w:t>
      </w:r>
    </w:p>
    <w:p w:rsidR="00000000" w:rsidRDefault="00000000">
      <w:pPr>
        <w:spacing w:after="240"/>
        <w:rPr>
          <w:iCs/>
          <w:szCs w:val="22"/>
        </w:rPr>
      </w:pPr>
      <w:r>
        <w:rPr>
          <w:iCs/>
          <w:szCs w:val="22"/>
        </w:rPr>
        <w:t>177.</w:t>
      </w:r>
      <w:r>
        <w:rPr>
          <w:iCs/>
          <w:szCs w:val="22"/>
        </w:rPr>
        <w:tab/>
        <w:t>S’agissant des ressources matérielles, seuls les six hôpitaux des 56 districts ont une capacité supérieure ou égale à un lit pour 1 000 habitants.</w:t>
      </w:r>
    </w:p>
    <w:p w:rsidR="00000000" w:rsidRDefault="00000000">
      <w:pPr>
        <w:spacing w:after="240"/>
        <w:rPr>
          <w:iCs/>
          <w:szCs w:val="22"/>
        </w:rPr>
      </w:pPr>
      <w:r>
        <w:rPr>
          <w:iCs/>
          <w:szCs w:val="22"/>
        </w:rPr>
        <w:t>178.</w:t>
      </w:r>
      <w:r>
        <w:rPr>
          <w:iCs/>
          <w:szCs w:val="22"/>
        </w:rPr>
        <w:tab/>
        <w:t>Le financement des services de santé provient de trois sources qui sont respectivement l’État, les partenaires du développement et la population à travers la participation communautaire.</w:t>
      </w:r>
    </w:p>
    <w:p w:rsidR="00000000" w:rsidRDefault="00000000">
      <w:pPr>
        <w:spacing w:after="240"/>
        <w:rPr>
          <w:b/>
          <w:bCs/>
          <w:iCs/>
          <w:szCs w:val="22"/>
        </w:rPr>
      </w:pPr>
      <w:r>
        <w:rPr>
          <w:b/>
          <w:bCs/>
          <w:iCs/>
          <w:szCs w:val="22"/>
        </w:rPr>
        <w:t>Ressources de l’État</w:t>
      </w:r>
    </w:p>
    <w:p w:rsidR="00000000" w:rsidRDefault="00000000">
      <w:pPr>
        <w:spacing w:after="240"/>
        <w:rPr>
          <w:iCs/>
          <w:szCs w:val="22"/>
        </w:rPr>
      </w:pPr>
      <w:r>
        <w:rPr>
          <w:iCs/>
          <w:szCs w:val="22"/>
        </w:rPr>
        <w:t>179.</w:t>
      </w:r>
      <w:r>
        <w:rPr>
          <w:iCs/>
          <w:szCs w:val="22"/>
        </w:rPr>
        <w:tab/>
        <w:t>Le tableau ci-dessous présente l’évolution du budget prévisionnel du Ministère de la Santé Publique de 2002-2006.</w:t>
      </w:r>
    </w:p>
    <w:p w:rsidR="00000000" w:rsidRDefault="00000000">
      <w:pPr>
        <w:spacing w:after="240"/>
        <w:jc w:val="center"/>
        <w:rPr>
          <w:b/>
          <w:bCs/>
          <w:iCs/>
          <w:szCs w:val="22"/>
        </w:rPr>
      </w:pPr>
      <w:r>
        <w:rPr>
          <w:b/>
          <w:bCs/>
          <w:iCs/>
          <w:szCs w:val="22"/>
        </w:rPr>
        <w:t>Tableau 4.  Budget du Ministère de la Santé publique</w:t>
      </w:r>
      <w:r>
        <w:rPr>
          <w:b/>
          <w:bCs/>
          <w:iCs/>
          <w:szCs w:val="22"/>
        </w:rPr>
        <w:br/>
        <w:t>(en milliers de francs CFA)</w:t>
      </w:r>
    </w:p>
    <w:tbl>
      <w:tblPr>
        <w:tblW w:w="0" w:type="auto"/>
        <w:jc w:val="center"/>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259"/>
        <w:gridCol w:w="1608"/>
        <w:gridCol w:w="1875"/>
      </w:tblGrid>
      <w:tr w:rsidR="00000000">
        <w:trPr>
          <w:jc w:val="center"/>
        </w:trPr>
        <w:tc>
          <w:tcPr>
            <w:tcW w:w="2139" w:type="dxa"/>
            <w:vAlign w:val="center"/>
          </w:tcPr>
          <w:p w:rsidR="00000000" w:rsidRDefault="00000000">
            <w:pPr>
              <w:spacing w:before="60" w:after="60"/>
              <w:jc w:val="center"/>
            </w:pPr>
            <w:r>
              <w:t>Année</w:t>
            </w:r>
          </w:p>
        </w:tc>
        <w:tc>
          <w:tcPr>
            <w:tcW w:w="2259" w:type="dxa"/>
            <w:vAlign w:val="center"/>
          </w:tcPr>
          <w:p w:rsidR="00000000" w:rsidRDefault="00000000">
            <w:pPr>
              <w:spacing w:before="60" w:after="60"/>
              <w:jc w:val="center"/>
            </w:pPr>
            <w:r>
              <w:t>Budget global</w:t>
            </w:r>
          </w:p>
        </w:tc>
        <w:tc>
          <w:tcPr>
            <w:tcW w:w="1608" w:type="dxa"/>
            <w:vAlign w:val="center"/>
          </w:tcPr>
          <w:p w:rsidR="00000000" w:rsidRDefault="00000000">
            <w:pPr>
              <w:spacing w:before="60" w:after="60"/>
              <w:jc w:val="center"/>
            </w:pPr>
            <w:r>
              <w:t>Budget de la Santé</w:t>
            </w:r>
          </w:p>
        </w:tc>
        <w:tc>
          <w:tcPr>
            <w:tcW w:w="1875" w:type="dxa"/>
            <w:vAlign w:val="center"/>
          </w:tcPr>
          <w:p w:rsidR="00000000" w:rsidRDefault="00000000">
            <w:pPr>
              <w:spacing w:before="60" w:after="60"/>
              <w:jc w:val="center"/>
            </w:pPr>
            <w:r>
              <w:t>Part du budget (%)</w:t>
            </w:r>
          </w:p>
        </w:tc>
      </w:tr>
      <w:tr w:rsidR="00000000">
        <w:trPr>
          <w:jc w:val="center"/>
        </w:trPr>
        <w:tc>
          <w:tcPr>
            <w:tcW w:w="2139" w:type="dxa"/>
          </w:tcPr>
          <w:p w:rsidR="00000000" w:rsidRDefault="00000000">
            <w:pPr>
              <w:spacing w:before="60" w:after="60"/>
            </w:pPr>
            <w:r>
              <w:t>2002</w:t>
            </w:r>
          </w:p>
        </w:tc>
        <w:tc>
          <w:tcPr>
            <w:tcW w:w="2259" w:type="dxa"/>
          </w:tcPr>
          <w:p w:rsidR="00000000" w:rsidRDefault="00000000">
            <w:pPr>
              <w:spacing w:before="60" w:after="60"/>
            </w:pPr>
            <w:r>
              <w:t>409 500 265</w:t>
            </w:r>
          </w:p>
        </w:tc>
        <w:tc>
          <w:tcPr>
            <w:tcW w:w="1608" w:type="dxa"/>
          </w:tcPr>
          <w:p w:rsidR="00000000" w:rsidRDefault="00000000">
            <w:pPr>
              <w:spacing w:before="60" w:after="60"/>
              <w:jc w:val="right"/>
            </w:pPr>
            <w:r>
              <w:t>27 163 984</w:t>
            </w:r>
          </w:p>
        </w:tc>
        <w:tc>
          <w:tcPr>
            <w:tcW w:w="1875" w:type="dxa"/>
          </w:tcPr>
          <w:p w:rsidR="00000000" w:rsidRDefault="00000000">
            <w:pPr>
              <w:spacing w:before="60" w:after="60"/>
              <w:jc w:val="center"/>
            </w:pPr>
            <w:r>
              <w:t>7 %</w:t>
            </w:r>
          </w:p>
        </w:tc>
      </w:tr>
      <w:tr w:rsidR="00000000">
        <w:trPr>
          <w:jc w:val="center"/>
        </w:trPr>
        <w:tc>
          <w:tcPr>
            <w:tcW w:w="2139" w:type="dxa"/>
          </w:tcPr>
          <w:p w:rsidR="00000000" w:rsidRDefault="00000000">
            <w:pPr>
              <w:spacing w:before="60" w:after="60"/>
            </w:pPr>
            <w:r>
              <w:t>2003</w:t>
            </w:r>
          </w:p>
        </w:tc>
        <w:tc>
          <w:tcPr>
            <w:tcW w:w="2259" w:type="dxa"/>
          </w:tcPr>
          <w:p w:rsidR="00000000" w:rsidRDefault="00000000">
            <w:pPr>
              <w:spacing w:before="60" w:after="60"/>
            </w:pPr>
            <w:r>
              <w:t>395 724 188</w:t>
            </w:r>
          </w:p>
        </w:tc>
        <w:tc>
          <w:tcPr>
            <w:tcW w:w="1608" w:type="dxa"/>
          </w:tcPr>
          <w:p w:rsidR="00000000" w:rsidRDefault="00000000">
            <w:pPr>
              <w:spacing w:before="60" w:after="60"/>
              <w:jc w:val="right"/>
            </w:pPr>
            <w:r>
              <w:t>33 408 625</w:t>
            </w:r>
          </w:p>
        </w:tc>
        <w:tc>
          <w:tcPr>
            <w:tcW w:w="1875" w:type="dxa"/>
          </w:tcPr>
          <w:p w:rsidR="00000000" w:rsidRDefault="00000000">
            <w:pPr>
              <w:spacing w:before="60" w:after="60"/>
              <w:jc w:val="center"/>
            </w:pPr>
            <w:r>
              <w:t>8,5 %</w:t>
            </w:r>
          </w:p>
        </w:tc>
      </w:tr>
      <w:tr w:rsidR="00000000">
        <w:trPr>
          <w:jc w:val="center"/>
        </w:trPr>
        <w:tc>
          <w:tcPr>
            <w:tcW w:w="2139" w:type="dxa"/>
          </w:tcPr>
          <w:p w:rsidR="00000000" w:rsidRDefault="00000000">
            <w:pPr>
              <w:spacing w:before="60" w:after="60"/>
            </w:pPr>
            <w:r>
              <w:t>2004</w:t>
            </w:r>
          </w:p>
        </w:tc>
        <w:tc>
          <w:tcPr>
            <w:tcW w:w="2259" w:type="dxa"/>
          </w:tcPr>
          <w:p w:rsidR="00000000" w:rsidRDefault="00000000">
            <w:pPr>
              <w:spacing w:before="60" w:after="60"/>
            </w:pPr>
            <w:r>
              <w:t>484 246 759</w:t>
            </w:r>
          </w:p>
        </w:tc>
        <w:tc>
          <w:tcPr>
            <w:tcW w:w="1608" w:type="dxa"/>
          </w:tcPr>
          <w:p w:rsidR="00000000" w:rsidRDefault="00000000">
            <w:pPr>
              <w:spacing w:before="60" w:after="60"/>
              <w:jc w:val="right"/>
            </w:pPr>
            <w:r>
              <w:t>40 191 281</w:t>
            </w:r>
          </w:p>
        </w:tc>
        <w:tc>
          <w:tcPr>
            <w:tcW w:w="1875" w:type="dxa"/>
          </w:tcPr>
          <w:p w:rsidR="00000000" w:rsidRDefault="00000000">
            <w:pPr>
              <w:spacing w:before="60" w:after="60"/>
              <w:jc w:val="center"/>
            </w:pPr>
            <w:r>
              <w:t>8,5 %</w:t>
            </w:r>
          </w:p>
        </w:tc>
      </w:tr>
      <w:tr w:rsidR="00000000">
        <w:trPr>
          <w:jc w:val="center"/>
        </w:trPr>
        <w:tc>
          <w:tcPr>
            <w:tcW w:w="2139" w:type="dxa"/>
          </w:tcPr>
          <w:p w:rsidR="00000000" w:rsidRDefault="00000000">
            <w:pPr>
              <w:spacing w:before="60" w:after="60"/>
            </w:pPr>
            <w:r>
              <w:t>2005</w:t>
            </w:r>
          </w:p>
        </w:tc>
        <w:tc>
          <w:tcPr>
            <w:tcW w:w="2259" w:type="dxa"/>
          </w:tcPr>
          <w:p w:rsidR="00000000" w:rsidRDefault="00000000">
            <w:pPr>
              <w:spacing w:before="60" w:after="60"/>
            </w:pPr>
            <w:r>
              <w:t>527 199 830</w:t>
            </w:r>
          </w:p>
        </w:tc>
        <w:tc>
          <w:tcPr>
            <w:tcW w:w="1608" w:type="dxa"/>
          </w:tcPr>
          <w:p w:rsidR="00000000" w:rsidRDefault="00000000">
            <w:pPr>
              <w:spacing w:before="60" w:after="60"/>
              <w:jc w:val="right"/>
            </w:pPr>
            <w:r>
              <w:t xml:space="preserve">42 593 273 </w:t>
            </w:r>
          </w:p>
        </w:tc>
        <w:tc>
          <w:tcPr>
            <w:tcW w:w="1875" w:type="dxa"/>
          </w:tcPr>
          <w:p w:rsidR="00000000" w:rsidRDefault="00000000">
            <w:pPr>
              <w:spacing w:before="60" w:after="60"/>
              <w:jc w:val="center"/>
            </w:pPr>
            <w:r>
              <w:t>9 %</w:t>
            </w:r>
          </w:p>
        </w:tc>
      </w:tr>
      <w:tr w:rsidR="00000000">
        <w:trPr>
          <w:jc w:val="center"/>
        </w:trPr>
        <w:tc>
          <w:tcPr>
            <w:tcW w:w="2139" w:type="dxa"/>
          </w:tcPr>
          <w:p w:rsidR="00000000" w:rsidRDefault="00000000">
            <w:pPr>
              <w:spacing w:before="60" w:after="60"/>
            </w:pPr>
            <w:r>
              <w:t>2006</w:t>
            </w:r>
          </w:p>
        </w:tc>
        <w:tc>
          <w:tcPr>
            <w:tcW w:w="2259" w:type="dxa"/>
          </w:tcPr>
          <w:p w:rsidR="00000000" w:rsidRDefault="00000000">
            <w:pPr>
              <w:spacing w:before="60" w:after="60"/>
            </w:pPr>
            <w:r>
              <w:t>641 299 000</w:t>
            </w:r>
          </w:p>
        </w:tc>
        <w:tc>
          <w:tcPr>
            <w:tcW w:w="1608" w:type="dxa"/>
          </w:tcPr>
          <w:p w:rsidR="00000000" w:rsidRDefault="00000000">
            <w:pPr>
              <w:spacing w:before="60" w:after="60"/>
              <w:jc w:val="right"/>
            </w:pPr>
            <w:r>
              <w:t>18 894 999</w:t>
            </w:r>
          </w:p>
        </w:tc>
        <w:tc>
          <w:tcPr>
            <w:tcW w:w="1875" w:type="dxa"/>
          </w:tcPr>
          <w:p w:rsidR="00000000" w:rsidRDefault="00000000">
            <w:pPr>
              <w:spacing w:before="60" w:after="60"/>
              <w:jc w:val="center"/>
            </w:pPr>
            <w:r>
              <w:t>3 %</w:t>
            </w:r>
          </w:p>
        </w:tc>
      </w:tr>
    </w:tbl>
    <w:p w:rsidR="00000000" w:rsidRDefault="00000000">
      <w:pPr>
        <w:spacing w:before="240" w:after="240"/>
        <w:ind w:firstLine="567"/>
        <w:rPr>
          <w:bCs/>
          <w:szCs w:val="22"/>
        </w:rPr>
      </w:pPr>
      <w:r>
        <w:rPr>
          <w:bCs/>
          <w:szCs w:val="22"/>
        </w:rPr>
        <w:t>Sources: Budget général de l’État - Gestion 2002, 2003, 2004, 2005 et 2006</w:t>
      </w:r>
    </w:p>
    <w:p w:rsidR="00000000" w:rsidRDefault="00000000">
      <w:pPr>
        <w:spacing w:after="240"/>
        <w:rPr>
          <w:iCs/>
          <w:szCs w:val="22"/>
        </w:rPr>
      </w:pPr>
      <w:r>
        <w:rPr>
          <w:iCs/>
          <w:szCs w:val="22"/>
        </w:rPr>
        <w:t>180.</w:t>
      </w:r>
      <w:r>
        <w:rPr>
          <w:iCs/>
          <w:szCs w:val="22"/>
        </w:rPr>
        <w:tab/>
        <w:t xml:space="preserve">L’Union européenne a réalisé un investissement de 18 milliards, elle est suivie par la Banque Mondiale (IDA) 5,5 milliards et l’Organisation mondiale de la santé (OMS) 2,8 milliards. L’UNICEF, la Suisse et la FAC sont intervenus à hauteur d’un milliard. La Banque islamique de développement (BID) a fait un apport de 943 millions consacrés à la construction de l’école de santé et de 20 centres de santé dans la région de </w:t>
      </w:r>
      <w:proofErr w:type="spellStart"/>
      <w:r>
        <w:rPr>
          <w:iCs/>
          <w:szCs w:val="22"/>
        </w:rPr>
        <w:t>Biltine</w:t>
      </w:r>
      <w:proofErr w:type="spellEnd"/>
      <w:r>
        <w:rPr>
          <w:iCs/>
          <w:szCs w:val="22"/>
        </w:rPr>
        <w:t xml:space="preserve">. </w:t>
      </w:r>
    </w:p>
    <w:p w:rsidR="00000000" w:rsidRDefault="00000000">
      <w:pPr>
        <w:spacing w:after="240"/>
        <w:rPr>
          <w:b/>
          <w:bCs/>
          <w:iCs/>
          <w:szCs w:val="22"/>
        </w:rPr>
      </w:pPr>
      <w:r>
        <w:rPr>
          <w:b/>
          <w:bCs/>
          <w:iCs/>
          <w:szCs w:val="22"/>
        </w:rPr>
        <w:t>Participation communautaire</w:t>
      </w:r>
    </w:p>
    <w:p w:rsidR="00000000" w:rsidRDefault="00000000">
      <w:pPr>
        <w:spacing w:after="240"/>
        <w:rPr>
          <w:iCs/>
          <w:szCs w:val="22"/>
        </w:rPr>
      </w:pPr>
      <w:r>
        <w:rPr>
          <w:iCs/>
          <w:szCs w:val="22"/>
        </w:rPr>
        <w:t>181.</w:t>
      </w:r>
      <w:r>
        <w:rPr>
          <w:iCs/>
          <w:szCs w:val="22"/>
        </w:rPr>
        <w:tab/>
        <w:t>Le tableau ci-après présente les recettes et les dépenses totales de la participation communautaire des délégations préfectorales sanitaires d’une part et le pourcentage de ces recettes alloué à l’achat des médicaments d’autre part (dépenses en médicaments/recettes totales)</w:t>
      </w:r>
    </w:p>
    <w:p w:rsidR="00000000" w:rsidRDefault="00000000">
      <w:pPr>
        <w:spacing w:after="240"/>
        <w:jc w:val="center"/>
        <w:rPr>
          <w:b/>
          <w:bCs/>
          <w:iCs/>
          <w:szCs w:val="22"/>
        </w:rPr>
      </w:pPr>
      <w:r>
        <w:rPr>
          <w:b/>
          <w:bCs/>
          <w:iCs/>
          <w:szCs w:val="22"/>
        </w:rPr>
        <w:t>Tableau 5.  Recettes et dépenses des délégations préfectorales sanitaires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1"/>
        <w:gridCol w:w="1596"/>
        <w:gridCol w:w="1596"/>
        <w:gridCol w:w="1677"/>
        <w:gridCol w:w="1530"/>
        <w:gridCol w:w="1710"/>
      </w:tblGrid>
      <w:tr w:rsidR="00000000">
        <w:trPr>
          <w:tblHeader/>
        </w:trPr>
        <w:tc>
          <w:tcPr>
            <w:tcW w:w="1251" w:type="dxa"/>
            <w:vAlign w:val="center"/>
          </w:tcPr>
          <w:p w:rsidR="00000000" w:rsidRDefault="00000000">
            <w:pPr>
              <w:spacing w:before="60" w:after="60"/>
              <w:jc w:val="center"/>
              <w:rPr>
                <w:iCs/>
              </w:rPr>
            </w:pPr>
            <w:r>
              <w:rPr>
                <w:iCs/>
              </w:rPr>
              <w:t>DPS</w:t>
            </w:r>
          </w:p>
        </w:tc>
        <w:tc>
          <w:tcPr>
            <w:tcW w:w="3192" w:type="dxa"/>
            <w:gridSpan w:val="2"/>
            <w:vAlign w:val="center"/>
          </w:tcPr>
          <w:p w:rsidR="00000000" w:rsidRDefault="00000000">
            <w:pPr>
              <w:spacing w:before="60" w:after="60"/>
              <w:jc w:val="center"/>
              <w:rPr>
                <w:iCs/>
              </w:rPr>
            </w:pPr>
            <w:r>
              <w:rPr>
                <w:iCs/>
              </w:rPr>
              <w:t>Recettes</w:t>
            </w:r>
          </w:p>
        </w:tc>
        <w:tc>
          <w:tcPr>
            <w:tcW w:w="3207" w:type="dxa"/>
            <w:gridSpan w:val="2"/>
            <w:vAlign w:val="center"/>
          </w:tcPr>
          <w:p w:rsidR="00000000" w:rsidRDefault="00000000">
            <w:pPr>
              <w:spacing w:before="60" w:after="60"/>
              <w:jc w:val="center"/>
              <w:rPr>
                <w:iCs/>
              </w:rPr>
            </w:pPr>
            <w:r>
              <w:rPr>
                <w:iCs/>
              </w:rPr>
              <w:t>Dépenses</w:t>
            </w:r>
          </w:p>
        </w:tc>
        <w:tc>
          <w:tcPr>
            <w:tcW w:w="1710" w:type="dxa"/>
            <w:vAlign w:val="center"/>
          </w:tcPr>
          <w:p w:rsidR="00000000" w:rsidRDefault="00000000">
            <w:pPr>
              <w:spacing w:before="60" w:after="60"/>
              <w:jc w:val="center"/>
              <w:rPr>
                <w:iCs/>
              </w:rPr>
            </w:pPr>
            <w:r>
              <w:rPr>
                <w:iCs/>
              </w:rPr>
              <w:t xml:space="preserve">Dep. </w:t>
            </w:r>
            <w:proofErr w:type="spellStart"/>
            <w:r>
              <w:rPr>
                <w:iCs/>
              </w:rPr>
              <w:t>Médi</w:t>
            </w:r>
            <w:proofErr w:type="spellEnd"/>
            <w:r>
              <w:rPr>
                <w:iCs/>
              </w:rPr>
              <w:t>/TR. (%)</w:t>
            </w:r>
          </w:p>
        </w:tc>
      </w:tr>
      <w:tr w:rsidR="00000000">
        <w:tc>
          <w:tcPr>
            <w:tcW w:w="1251" w:type="dxa"/>
          </w:tcPr>
          <w:p w:rsidR="00000000" w:rsidRDefault="00000000">
            <w:pPr>
              <w:spacing w:before="60" w:after="60"/>
              <w:rPr>
                <w:iCs/>
              </w:rPr>
            </w:pPr>
            <w:proofErr w:type="spellStart"/>
            <w:r>
              <w:rPr>
                <w:iCs/>
              </w:rPr>
              <w:t>Batha</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206 674 330</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16 459 241</w:t>
            </w:r>
          </w:p>
        </w:tc>
        <w:tc>
          <w:tcPr>
            <w:tcW w:w="1710" w:type="dxa"/>
          </w:tcPr>
          <w:p w:rsidR="00000000" w:rsidRDefault="00000000">
            <w:pPr>
              <w:spacing w:before="60" w:after="60"/>
              <w:jc w:val="center"/>
              <w:rPr>
                <w:iCs/>
              </w:rPr>
            </w:pPr>
            <w:r>
              <w:rPr>
                <w:iCs/>
              </w:rPr>
              <w:t>54,41</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proofErr w:type="spellStart"/>
            <w:r>
              <w:rPr>
                <w:iCs/>
              </w:rPr>
              <w:t>Autres</w:t>
            </w:r>
            <w:r>
              <w:rPr>
                <w:iCs/>
                <w:vertAlign w:val="superscript"/>
              </w:rPr>
              <w:t>a</w:t>
            </w:r>
            <w:proofErr w:type="spellEnd"/>
          </w:p>
        </w:tc>
        <w:tc>
          <w:tcPr>
            <w:tcW w:w="1596" w:type="dxa"/>
          </w:tcPr>
          <w:p w:rsidR="00000000" w:rsidRDefault="00000000">
            <w:pPr>
              <w:spacing w:before="60" w:after="60"/>
              <w:jc w:val="right"/>
              <w:rPr>
                <w:iCs/>
              </w:rPr>
            </w:pPr>
            <w:r>
              <w:rPr>
                <w:iCs/>
              </w:rPr>
              <w:t>957 291</w:t>
            </w:r>
          </w:p>
        </w:tc>
        <w:tc>
          <w:tcPr>
            <w:tcW w:w="1677" w:type="dxa"/>
          </w:tcPr>
          <w:p w:rsidR="00000000" w:rsidRDefault="00000000">
            <w:pPr>
              <w:spacing w:before="60" w:after="60"/>
              <w:rPr>
                <w:iCs/>
              </w:rPr>
            </w:pPr>
            <w:proofErr w:type="spellStart"/>
            <w:r>
              <w:rPr>
                <w:iCs/>
              </w:rPr>
              <w:t>Autres</w:t>
            </w:r>
            <w:r>
              <w:rPr>
                <w:iCs/>
                <w:vertAlign w:val="superscript"/>
              </w:rPr>
              <w:t>b</w:t>
            </w:r>
            <w:proofErr w:type="spellEnd"/>
          </w:p>
        </w:tc>
        <w:tc>
          <w:tcPr>
            <w:tcW w:w="1530" w:type="dxa"/>
            <w:vAlign w:val="bottom"/>
          </w:tcPr>
          <w:p w:rsidR="00000000" w:rsidRDefault="00000000">
            <w:pPr>
              <w:spacing w:before="60" w:after="60"/>
              <w:jc w:val="right"/>
              <w:rPr>
                <w:iCs/>
              </w:rPr>
            </w:pPr>
            <w:r>
              <w:rPr>
                <w:iCs/>
              </w:rPr>
              <w:t>15 066 802</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proofErr w:type="spellStart"/>
            <w:r>
              <w:rPr>
                <w:iCs/>
              </w:rPr>
              <w:t>Biltine</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17 280 375</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11 972 116</w:t>
            </w:r>
          </w:p>
        </w:tc>
        <w:tc>
          <w:tcPr>
            <w:tcW w:w="1710" w:type="dxa"/>
          </w:tcPr>
          <w:p w:rsidR="00000000" w:rsidRDefault="00000000">
            <w:pPr>
              <w:spacing w:before="60" w:after="60"/>
              <w:jc w:val="center"/>
              <w:rPr>
                <w:iCs/>
              </w:rPr>
            </w:pPr>
            <w:r>
              <w:rPr>
                <w:iCs/>
              </w:rPr>
              <w:t>39,39</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13 115 955</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12 134 670</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BET</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5 814 630</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2 644 775</w:t>
            </w:r>
          </w:p>
        </w:tc>
        <w:tc>
          <w:tcPr>
            <w:tcW w:w="1710" w:type="dxa"/>
          </w:tcPr>
          <w:p w:rsidR="00000000" w:rsidRDefault="00000000">
            <w:pPr>
              <w:spacing w:before="60" w:after="60"/>
              <w:jc w:val="center"/>
              <w:rPr>
                <w:iCs/>
              </w:rPr>
            </w:pPr>
            <w:r>
              <w:rPr>
                <w:iCs/>
              </w:rPr>
              <w:t>35,34</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1 668 210</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1 363 975</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Chari Baguirmi</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78 838 462</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53 109 587</w:t>
            </w:r>
          </w:p>
        </w:tc>
        <w:tc>
          <w:tcPr>
            <w:tcW w:w="1710" w:type="dxa"/>
          </w:tcPr>
          <w:p w:rsidR="00000000" w:rsidRDefault="00000000">
            <w:pPr>
              <w:spacing w:before="60" w:after="60"/>
              <w:jc w:val="center"/>
              <w:rPr>
                <w:iCs/>
              </w:rPr>
            </w:pPr>
            <w:r>
              <w:rPr>
                <w:iCs/>
              </w:rPr>
              <w:t>44,51</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40 480 705</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42 412 731</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proofErr w:type="spellStart"/>
            <w:r>
              <w:rPr>
                <w:iCs/>
              </w:rPr>
              <w:t>Guera</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22 105 925</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21 170 071</w:t>
            </w:r>
          </w:p>
        </w:tc>
        <w:tc>
          <w:tcPr>
            <w:tcW w:w="1710" w:type="dxa"/>
          </w:tcPr>
          <w:p w:rsidR="00000000" w:rsidRDefault="00000000">
            <w:pPr>
              <w:spacing w:before="60" w:after="60"/>
              <w:jc w:val="center"/>
              <w:rPr>
                <w:iCs/>
              </w:rPr>
            </w:pPr>
            <w:r>
              <w:rPr>
                <w:iCs/>
              </w:rPr>
              <w:t>51,17</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19 268 384</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12 272 700</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Kanem</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49 960 055</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41 730 473</w:t>
            </w:r>
          </w:p>
        </w:tc>
        <w:tc>
          <w:tcPr>
            <w:tcW w:w="1710" w:type="dxa"/>
          </w:tcPr>
          <w:p w:rsidR="00000000" w:rsidRDefault="00000000">
            <w:pPr>
              <w:spacing w:before="60" w:after="60"/>
              <w:jc w:val="center"/>
              <w:rPr>
                <w:iCs/>
              </w:rPr>
            </w:pPr>
            <w:r>
              <w:rPr>
                <w:iCs/>
              </w:rPr>
              <w:t>84,89</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7 441 059</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9 696 442</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Lac</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116 967 658</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21 204 877</w:t>
            </w:r>
          </w:p>
        </w:tc>
        <w:tc>
          <w:tcPr>
            <w:tcW w:w="1710" w:type="dxa"/>
          </w:tcPr>
          <w:p w:rsidR="00000000" w:rsidRDefault="00000000">
            <w:pPr>
              <w:spacing w:before="60" w:after="60"/>
              <w:jc w:val="center"/>
              <w:rPr>
                <w:iCs/>
              </w:rPr>
            </w:pPr>
            <w:r>
              <w:rPr>
                <w:iCs/>
              </w:rPr>
              <w:t>17,31</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5 558 439</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7 746 794</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Logone occidental</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97 702 244</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58 524 350</w:t>
            </w:r>
          </w:p>
        </w:tc>
        <w:tc>
          <w:tcPr>
            <w:tcW w:w="1710" w:type="dxa"/>
          </w:tcPr>
          <w:p w:rsidR="00000000" w:rsidRDefault="00000000">
            <w:pPr>
              <w:spacing w:before="60" w:after="60"/>
              <w:jc w:val="center"/>
              <w:rPr>
                <w:iCs/>
              </w:rPr>
            </w:pPr>
            <w:r>
              <w:rPr>
                <w:iCs/>
              </w:rPr>
              <w:t>42,51</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29 966 231</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58 360 141</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Logone oriental</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108 474 401</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70 402 638</w:t>
            </w:r>
          </w:p>
        </w:tc>
        <w:tc>
          <w:tcPr>
            <w:tcW w:w="1710" w:type="dxa"/>
          </w:tcPr>
          <w:p w:rsidR="00000000" w:rsidRDefault="00000000">
            <w:pPr>
              <w:spacing w:before="60" w:after="60"/>
              <w:jc w:val="center"/>
              <w:rPr>
                <w:iCs/>
              </w:rPr>
            </w:pPr>
            <w:r>
              <w:rPr>
                <w:iCs/>
              </w:rPr>
              <w:t>42,25</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58 174 950</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65 195 841</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 xml:space="preserve">Mayo </w:t>
            </w:r>
            <w:proofErr w:type="spellStart"/>
            <w:r>
              <w:rPr>
                <w:iCs/>
              </w:rPr>
              <w:t>Kebbi</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263 959 583</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143 829 367</w:t>
            </w:r>
          </w:p>
        </w:tc>
        <w:tc>
          <w:tcPr>
            <w:tcW w:w="1710" w:type="dxa"/>
          </w:tcPr>
          <w:p w:rsidR="00000000" w:rsidRDefault="00000000">
            <w:pPr>
              <w:spacing w:before="60" w:after="60"/>
              <w:jc w:val="center"/>
              <w:rPr>
                <w:iCs/>
              </w:rPr>
            </w:pPr>
            <w:r>
              <w:rPr>
                <w:iCs/>
              </w:rPr>
              <w:t>49,78</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97 578 255</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152 321 704</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r>
              <w:rPr>
                <w:iCs/>
              </w:rPr>
              <w:t>Moyen Chari</w:t>
            </w:r>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134 841 455</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110 508 180</w:t>
            </w:r>
          </w:p>
        </w:tc>
        <w:tc>
          <w:tcPr>
            <w:tcW w:w="1710" w:type="dxa"/>
          </w:tcPr>
          <w:p w:rsidR="00000000" w:rsidRDefault="00000000">
            <w:pPr>
              <w:spacing w:before="60" w:after="60"/>
              <w:jc w:val="center"/>
              <w:rPr>
                <w:iCs/>
              </w:rPr>
            </w:pPr>
            <w:r>
              <w:rPr>
                <w:iCs/>
              </w:rPr>
              <w:t>38,8</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153 725 911</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264 512 266</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proofErr w:type="spellStart"/>
            <w:r>
              <w:rPr>
                <w:iCs/>
              </w:rPr>
              <w:t>Ouaddai</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292 90 949</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22 970 580</w:t>
            </w:r>
          </w:p>
        </w:tc>
        <w:tc>
          <w:tcPr>
            <w:tcW w:w="1710" w:type="dxa"/>
          </w:tcPr>
          <w:p w:rsidR="00000000" w:rsidRDefault="00000000">
            <w:pPr>
              <w:spacing w:before="60" w:after="60"/>
              <w:jc w:val="center"/>
              <w:rPr>
                <w:iCs/>
              </w:rPr>
            </w:pPr>
            <w:r>
              <w:rPr>
                <w:iCs/>
              </w:rPr>
              <w:t>41,92</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25 500 513</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16 513 252</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proofErr w:type="spellStart"/>
            <w:r>
              <w:rPr>
                <w:iCs/>
              </w:rPr>
              <w:t>Salamat</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11 747 422</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8 447 571</w:t>
            </w:r>
          </w:p>
        </w:tc>
        <w:tc>
          <w:tcPr>
            <w:tcW w:w="1710" w:type="dxa"/>
          </w:tcPr>
          <w:p w:rsidR="00000000" w:rsidRDefault="00000000">
            <w:pPr>
              <w:spacing w:before="60" w:after="60"/>
              <w:jc w:val="center"/>
              <w:rPr>
                <w:iCs/>
              </w:rPr>
            </w:pPr>
            <w:r>
              <w:rPr>
                <w:iCs/>
              </w:rPr>
              <w:t>53,8</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3 955 013</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4 475 980</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iCs/>
              </w:rPr>
            </w:pPr>
            <w:proofErr w:type="spellStart"/>
            <w:r>
              <w:rPr>
                <w:iCs/>
              </w:rPr>
              <w:t>Tandjilé</w:t>
            </w:r>
            <w:proofErr w:type="spellEnd"/>
          </w:p>
        </w:tc>
        <w:tc>
          <w:tcPr>
            <w:tcW w:w="1596" w:type="dxa"/>
          </w:tcPr>
          <w:p w:rsidR="00000000" w:rsidRDefault="00000000">
            <w:pPr>
              <w:spacing w:before="60" w:after="60"/>
              <w:rPr>
                <w:iCs/>
              </w:rPr>
            </w:pPr>
            <w:r>
              <w:rPr>
                <w:iCs/>
              </w:rPr>
              <w:t>Médicaments</w:t>
            </w:r>
          </w:p>
        </w:tc>
        <w:tc>
          <w:tcPr>
            <w:tcW w:w="1596" w:type="dxa"/>
          </w:tcPr>
          <w:p w:rsidR="00000000" w:rsidRDefault="00000000">
            <w:pPr>
              <w:spacing w:before="60" w:after="60"/>
              <w:jc w:val="right"/>
              <w:rPr>
                <w:iCs/>
              </w:rPr>
            </w:pPr>
            <w:r>
              <w:rPr>
                <w:iCs/>
              </w:rPr>
              <w:t>115 955 991</w:t>
            </w:r>
          </w:p>
        </w:tc>
        <w:tc>
          <w:tcPr>
            <w:tcW w:w="1677" w:type="dxa"/>
          </w:tcPr>
          <w:p w:rsidR="00000000" w:rsidRDefault="00000000">
            <w:pPr>
              <w:spacing w:before="60" w:after="60"/>
              <w:rPr>
                <w:iCs/>
              </w:rPr>
            </w:pPr>
            <w:r>
              <w:rPr>
                <w:iCs/>
              </w:rPr>
              <w:t>Médicaments</w:t>
            </w:r>
          </w:p>
        </w:tc>
        <w:tc>
          <w:tcPr>
            <w:tcW w:w="1530" w:type="dxa"/>
            <w:vAlign w:val="bottom"/>
          </w:tcPr>
          <w:p w:rsidR="00000000" w:rsidRDefault="00000000">
            <w:pPr>
              <w:spacing w:before="60" w:after="60"/>
              <w:jc w:val="right"/>
              <w:rPr>
                <w:iCs/>
              </w:rPr>
            </w:pPr>
            <w:r>
              <w:rPr>
                <w:iCs/>
              </w:rPr>
              <w:t>105 561 698</w:t>
            </w:r>
          </w:p>
        </w:tc>
        <w:tc>
          <w:tcPr>
            <w:tcW w:w="1710" w:type="dxa"/>
          </w:tcPr>
          <w:p w:rsidR="00000000" w:rsidRDefault="00000000">
            <w:pPr>
              <w:spacing w:before="60" w:after="60"/>
              <w:jc w:val="center"/>
              <w:rPr>
                <w:iCs/>
              </w:rPr>
            </w:pPr>
            <w:r>
              <w:rPr>
                <w:iCs/>
              </w:rPr>
              <w:t>65,48</w:t>
            </w:r>
          </w:p>
        </w:tc>
      </w:tr>
      <w:tr w:rsidR="00000000">
        <w:tc>
          <w:tcPr>
            <w:tcW w:w="1251" w:type="dxa"/>
          </w:tcPr>
          <w:p w:rsidR="00000000" w:rsidRDefault="00000000">
            <w:pPr>
              <w:spacing w:before="60" w:after="60"/>
              <w:rPr>
                <w:iCs/>
              </w:rPr>
            </w:pPr>
          </w:p>
        </w:tc>
        <w:tc>
          <w:tcPr>
            <w:tcW w:w="1596" w:type="dxa"/>
          </w:tcPr>
          <w:p w:rsidR="00000000" w:rsidRDefault="00000000">
            <w:pPr>
              <w:spacing w:before="60" w:after="60"/>
              <w:rPr>
                <w:iCs/>
              </w:rPr>
            </w:pPr>
            <w:r>
              <w:rPr>
                <w:iCs/>
              </w:rPr>
              <w:t>Autres</w:t>
            </w:r>
          </w:p>
        </w:tc>
        <w:tc>
          <w:tcPr>
            <w:tcW w:w="1596" w:type="dxa"/>
          </w:tcPr>
          <w:p w:rsidR="00000000" w:rsidRDefault="00000000">
            <w:pPr>
              <w:spacing w:before="60" w:after="60"/>
              <w:jc w:val="right"/>
              <w:rPr>
                <w:iCs/>
              </w:rPr>
            </w:pPr>
            <w:r>
              <w:rPr>
                <w:iCs/>
              </w:rPr>
              <w:t>45 244 125</w:t>
            </w:r>
          </w:p>
        </w:tc>
        <w:tc>
          <w:tcPr>
            <w:tcW w:w="1677" w:type="dxa"/>
          </w:tcPr>
          <w:p w:rsidR="00000000" w:rsidRDefault="00000000">
            <w:pPr>
              <w:spacing w:before="60" w:after="60"/>
              <w:rPr>
                <w:iCs/>
              </w:rPr>
            </w:pPr>
            <w:r>
              <w:rPr>
                <w:iCs/>
              </w:rPr>
              <w:t>Autres</w:t>
            </w:r>
          </w:p>
        </w:tc>
        <w:tc>
          <w:tcPr>
            <w:tcW w:w="1530" w:type="dxa"/>
            <w:vAlign w:val="bottom"/>
          </w:tcPr>
          <w:p w:rsidR="00000000" w:rsidRDefault="00000000">
            <w:pPr>
              <w:spacing w:before="60" w:after="60"/>
              <w:jc w:val="right"/>
              <w:rPr>
                <w:iCs/>
              </w:rPr>
            </w:pPr>
            <w:r>
              <w:rPr>
                <w:iCs/>
              </w:rPr>
              <w:t>7 998 536</w:t>
            </w:r>
          </w:p>
        </w:tc>
        <w:tc>
          <w:tcPr>
            <w:tcW w:w="1710" w:type="dxa"/>
          </w:tcPr>
          <w:p w:rsidR="00000000" w:rsidRDefault="00000000">
            <w:pPr>
              <w:spacing w:before="60" w:after="60"/>
              <w:jc w:val="center"/>
              <w:rPr>
                <w:iCs/>
              </w:rPr>
            </w:pPr>
          </w:p>
        </w:tc>
      </w:tr>
      <w:tr w:rsidR="00000000">
        <w:tc>
          <w:tcPr>
            <w:tcW w:w="1251" w:type="dxa"/>
          </w:tcPr>
          <w:p w:rsidR="00000000" w:rsidRDefault="00000000">
            <w:pPr>
              <w:spacing w:before="60" w:after="60"/>
              <w:rPr>
                <w:b/>
                <w:bCs/>
                <w:iCs/>
              </w:rPr>
            </w:pPr>
            <w:r>
              <w:rPr>
                <w:b/>
                <w:bCs/>
                <w:iCs/>
              </w:rPr>
              <w:t>Total</w:t>
            </w:r>
          </w:p>
        </w:tc>
        <w:tc>
          <w:tcPr>
            <w:tcW w:w="1596" w:type="dxa"/>
          </w:tcPr>
          <w:p w:rsidR="00000000" w:rsidRDefault="00000000">
            <w:pPr>
              <w:spacing w:before="60" w:after="60"/>
              <w:rPr>
                <w:b/>
                <w:bCs/>
                <w:iCs/>
              </w:rPr>
            </w:pPr>
            <w:r>
              <w:rPr>
                <w:b/>
                <w:bCs/>
                <w:iCs/>
              </w:rPr>
              <w:t>Médicaments</w:t>
            </w:r>
          </w:p>
        </w:tc>
        <w:tc>
          <w:tcPr>
            <w:tcW w:w="1596" w:type="dxa"/>
          </w:tcPr>
          <w:p w:rsidR="00000000" w:rsidRDefault="00000000">
            <w:pPr>
              <w:spacing w:before="60" w:after="60"/>
              <w:jc w:val="right"/>
              <w:rPr>
                <w:b/>
                <w:bCs/>
                <w:iCs/>
              </w:rPr>
            </w:pPr>
            <w:r>
              <w:rPr>
                <w:b/>
                <w:bCs/>
                <w:iCs/>
              </w:rPr>
              <w:t>1 073 613 480</w:t>
            </w:r>
          </w:p>
        </w:tc>
        <w:tc>
          <w:tcPr>
            <w:tcW w:w="1677" w:type="dxa"/>
          </w:tcPr>
          <w:p w:rsidR="00000000" w:rsidRDefault="00000000">
            <w:pPr>
              <w:spacing w:before="60" w:after="60"/>
              <w:rPr>
                <w:b/>
                <w:bCs/>
                <w:iCs/>
              </w:rPr>
            </w:pPr>
            <w:r>
              <w:rPr>
                <w:b/>
                <w:bCs/>
                <w:iCs/>
              </w:rPr>
              <w:t>Médicaments</w:t>
            </w:r>
          </w:p>
        </w:tc>
        <w:tc>
          <w:tcPr>
            <w:tcW w:w="1530" w:type="dxa"/>
            <w:vAlign w:val="bottom"/>
          </w:tcPr>
          <w:p w:rsidR="00000000" w:rsidRDefault="00000000">
            <w:pPr>
              <w:spacing w:before="60" w:after="60"/>
              <w:jc w:val="right"/>
              <w:rPr>
                <w:b/>
                <w:bCs/>
                <w:iCs/>
              </w:rPr>
            </w:pPr>
            <w:r>
              <w:rPr>
                <w:b/>
                <w:bCs/>
                <w:iCs/>
              </w:rPr>
              <w:t>688 535 524</w:t>
            </w:r>
          </w:p>
        </w:tc>
        <w:tc>
          <w:tcPr>
            <w:tcW w:w="1710" w:type="dxa"/>
          </w:tcPr>
          <w:p w:rsidR="00000000" w:rsidRDefault="00000000">
            <w:pPr>
              <w:spacing w:before="60" w:after="60"/>
              <w:jc w:val="center"/>
              <w:rPr>
                <w:b/>
                <w:bCs/>
                <w:iCs/>
              </w:rPr>
            </w:pPr>
            <w:r>
              <w:rPr>
                <w:b/>
                <w:bCs/>
                <w:iCs/>
              </w:rPr>
              <w:t>43,17</w:t>
            </w:r>
          </w:p>
        </w:tc>
      </w:tr>
      <w:tr w:rsidR="00000000">
        <w:tc>
          <w:tcPr>
            <w:tcW w:w="1251" w:type="dxa"/>
          </w:tcPr>
          <w:p w:rsidR="00000000" w:rsidRDefault="00000000">
            <w:pPr>
              <w:spacing w:before="60" w:after="60"/>
              <w:rPr>
                <w:b/>
                <w:bCs/>
                <w:iCs/>
              </w:rPr>
            </w:pPr>
          </w:p>
        </w:tc>
        <w:tc>
          <w:tcPr>
            <w:tcW w:w="1596" w:type="dxa"/>
          </w:tcPr>
          <w:p w:rsidR="00000000" w:rsidRDefault="00000000">
            <w:pPr>
              <w:spacing w:before="60" w:after="60"/>
              <w:rPr>
                <w:b/>
                <w:bCs/>
                <w:iCs/>
              </w:rPr>
            </w:pPr>
            <w:r>
              <w:rPr>
                <w:b/>
                <w:bCs/>
                <w:iCs/>
              </w:rPr>
              <w:t>Autres</w:t>
            </w:r>
          </w:p>
        </w:tc>
        <w:tc>
          <w:tcPr>
            <w:tcW w:w="1596" w:type="dxa"/>
          </w:tcPr>
          <w:p w:rsidR="00000000" w:rsidRDefault="00000000">
            <w:pPr>
              <w:spacing w:before="60" w:after="60"/>
              <w:jc w:val="right"/>
              <w:rPr>
                <w:b/>
                <w:bCs/>
                <w:iCs/>
              </w:rPr>
            </w:pPr>
            <w:r>
              <w:rPr>
                <w:b/>
                <w:bCs/>
                <w:iCs/>
              </w:rPr>
              <w:t>521 252 041</w:t>
            </w:r>
          </w:p>
        </w:tc>
        <w:tc>
          <w:tcPr>
            <w:tcW w:w="1677" w:type="dxa"/>
          </w:tcPr>
          <w:p w:rsidR="00000000" w:rsidRDefault="00000000">
            <w:pPr>
              <w:spacing w:before="60" w:after="60"/>
              <w:rPr>
                <w:b/>
                <w:bCs/>
                <w:iCs/>
              </w:rPr>
            </w:pPr>
            <w:r>
              <w:rPr>
                <w:b/>
                <w:bCs/>
                <w:iCs/>
              </w:rPr>
              <w:t>Autres</w:t>
            </w:r>
          </w:p>
        </w:tc>
        <w:tc>
          <w:tcPr>
            <w:tcW w:w="1530" w:type="dxa"/>
            <w:vAlign w:val="bottom"/>
          </w:tcPr>
          <w:p w:rsidR="00000000" w:rsidRDefault="00000000">
            <w:pPr>
              <w:spacing w:before="60" w:after="60"/>
              <w:jc w:val="right"/>
              <w:rPr>
                <w:b/>
                <w:bCs/>
                <w:iCs/>
              </w:rPr>
            </w:pPr>
            <w:r>
              <w:rPr>
                <w:b/>
                <w:bCs/>
                <w:iCs/>
              </w:rPr>
              <w:t>743 063 833</w:t>
            </w:r>
          </w:p>
        </w:tc>
        <w:tc>
          <w:tcPr>
            <w:tcW w:w="1710" w:type="dxa"/>
          </w:tcPr>
          <w:p w:rsidR="00000000" w:rsidRDefault="00000000">
            <w:pPr>
              <w:spacing w:before="60" w:after="60"/>
              <w:jc w:val="center"/>
              <w:rPr>
                <w:b/>
                <w:bCs/>
                <w:iCs/>
              </w:rPr>
            </w:pPr>
          </w:p>
        </w:tc>
      </w:tr>
    </w:tbl>
    <w:p w:rsidR="00000000" w:rsidRDefault="00000000">
      <w:pPr>
        <w:spacing w:before="240" w:after="240"/>
        <w:ind w:firstLine="567"/>
        <w:rPr>
          <w:iCs/>
          <w:szCs w:val="22"/>
        </w:rPr>
      </w:pPr>
      <w:r>
        <w:rPr>
          <w:iCs/>
          <w:szCs w:val="22"/>
        </w:rPr>
        <w:t>Source: DSIS, 2003</w:t>
      </w:r>
    </w:p>
    <w:p w:rsidR="00000000" w:rsidRDefault="00000000">
      <w:pPr>
        <w:spacing w:after="240"/>
        <w:rPr>
          <w:iCs/>
          <w:szCs w:val="22"/>
        </w:rPr>
      </w:pPr>
      <w:r>
        <w:rPr>
          <w:iCs/>
          <w:szCs w:val="22"/>
        </w:rPr>
        <w:t>a. Autres recettes = Recettes totales – vente des médicaments</w:t>
      </w:r>
      <w:r>
        <w:rPr>
          <w:iCs/>
          <w:szCs w:val="22"/>
        </w:rPr>
        <w:br/>
        <w:t>b. Autres dépenses = Charges fixes + (charges variables- achats médicaments)</w:t>
      </w:r>
    </w:p>
    <w:p w:rsidR="00000000" w:rsidRDefault="00000000">
      <w:pPr>
        <w:spacing w:after="240"/>
        <w:rPr>
          <w:iCs/>
          <w:szCs w:val="22"/>
        </w:rPr>
      </w:pPr>
      <w:r>
        <w:rPr>
          <w:iCs/>
          <w:szCs w:val="22"/>
        </w:rPr>
        <w:t>182.</w:t>
      </w:r>
      <w:r>
        <w:rPr>
          <w:iCs/>
          <w:szCs w:val="22"/>
        </w:rPr>
        <w:tab/>
        <w:t>Conformément à l’arrêté nº362/MSP/SGDGAS/DPML/2003 du 2 novembre 2003 portant harmonisation de la tarification des actes et médicaments dans les pharmacies régionales d’approvisionnements (PRA), les recettes générées par la vente des produits dans les hôpitaux et les centres de santé doivent servir à échelle de 75 % au rachat de ces produits pharmaceutiques afin de garantir la disponibilité de ces produits dans les formations sanitaires.</w:t>
      </w:r>
    </w:p>
    <w:p w:rsidR="00000000" w:rsidRDefault="00000000">
      <w:pPr>
        <w:spacing w:after="240"/>
        <w:rPr>
          <w:iCs/>
          <w:szCs w:val="22"/>
        </w:rPr>
      </w:pPr>
      <w:r>
        <w:rPr>
          <w:iCs/>
          <w:szCs w:val="22"/>
        </w:rPr>
        <w:t>183.</w:t>
      </w:r>
      <w:r>
        <w:rPr>
          <w:iCs/>
          <w:szCs w:val="22"/>
        </w:rPr>
        <w:tab/>
        <w:t>Divers programmes nationaux sont également mis en œuvre. Il s’agit de:</w:t>
      </w:r>
    </w:p>
    <w:p w:rsidR="00000000" w:rsidRDefault="00000000">
      <w:pPr>
        <w:numPr>
          <w:ilvl w:val="0"/>
          <w:numId w:val="140"/>
        </w:numPr>
        <w:rPr>
          <w:iCs/>
          <w:szCs w:val="22"/>
        </w:rPr>
      </w:pPr>
      <w:r>
        <w:rPr>
          <w:iCs/>
          <w:szCs w:val="22"/>
        </w:rPr>
        <w:t>Programme national de lutte contre le SIDA (PNLS)</w:t>
      </w:r>
    </w:p>
    <w:p w:rsidR="00000000" w:rsidRDefault="00000000">
      <w:pPr>
        <w:numPr>
          <w:ilvl w:val="0"/>
          <w:numId w:val="140"/>
        </w:numPr>
        <w:rPr>
          <w:iCs/>
          <w:szCs w:val="22"/>
        </w:rPr>
      </w:pPr>
      <w:r>
        <w:rPr>
          <w:iCs/>
          <w:szCs w:val="22"/>
        </w:rPr>
        <w:t>Programme national de lutte contre la cécité </w:t>
      </w:r>
    </w:p>
    <w:p w:rsidR="00000000" w:rsidRDefault="00000000">
      <w:pPr>
        <w:numPr>
          <w:ilvl w:val="0"/>
          <w:numId w:val="140"/>
        </w:numPr>
        <w:rPr>
          <w:iCs/>
          <w:szCs w:val="22"/>
        </w:rPr>
      </w:pPr>
      <w:r>
        <w:rPr>
          <w:iCs/>
          <w:szCs w:val="22"/>
        </w:rPr>
        <w:t>Programme national de lutte contre la tuberculose</w:t>
      </w:r>
    </w:p>
    <w:p w:rsidR="00000000" w:rsidRDefault="00000000">
      <w:pPr>
        <w:numPr>
          <w:ilvl w:val="0"/>
          <w:numId w:val="140"/>
        </w:numPr>
        <w:rPr>
          <w:iCs/>
          <w:szCs w:val="22"/>
        </w:rPr>
      </w:pPr>
      <w:r>
        <w:rPr>
          <w:iCs/>
          <w:szCs w:val="22"/>
        </w:rPr>
        <w:t>Programme national de lutte contre la trypanosomiase</w:t>
      </w:r>
    </w:p>
    <w:p w:rsidR="00000000" w:rsidRDefault="00000000">
      <w:pPr>
        <w:numPr>
          <w:ilvl w:val="0"/>
          <w:numId w:val="140"/>
        </w:numPr>
        <w:rPr>
          <w:iCs/>
          <w:szCs w:val="22"/>
        </w:rPr>
      </w:pPr>
      <w:r>
        <w:rPr>
          <w:iCs/>
          <w:szCs w:val="22"/>
        </w:rPr>
        <w:t>Programme national de lutte contre le LMD/IRA</w:t>
      </w:r>
    </w:p>
    <w:p w:rsidR="00000000" w:rsidRDefault="00000000">
      <w:pPr>
        <w:numPr>
          <w:ilvl w:val="0"/>
          <w:numId w:val="140"/>
        </w:numPr>
        <w:rPr>
          <w:iCs/>
          <w:szCs w:val="22"/>
        </w:rPr>
      </w:pPr>
      <w:r>
        <w:rPr>
          <w:iCs/>
          <w:szCs w:val="22"/>
        </w:rPr>
        <w:t>Programme national de la santé de reproduction</w:t>
      </w:r>
    </w:p>
    <w:p w:rsidR="00000000" w:rsidRDefault="00000000">
      <w:pPr>
        <w:numPr>
          <w:ilvl w:val="0"/>
          <w:numId w:val="140"/>
        </w:numPr>
        <w:rPr>
          <w:iCs/>
          <w:szCs w:val="22"/>
        </w:rPr>
      </w:pPr>
      <w:r>
        <w:rPr>
          <w:iCs/>
          <w:szCs w:val="22"/>
        </w:rPr>
        <w:t>Programme élargi de vaccination (PEV)</w:t>
      </w:r>
    </w:p>
    <w:p w:rsidR="00000000" w:rsidRDefault="00000000">
      <w:pPr>
        <w:numPr>
          <w:ilvl w:val="0"/>
          <w:numId w:val="140"/>
        </w:numPr>
        <w:rPr>
          <w:iCs/>
          <w:szCs w:val="22"/>
        </w:rPr>
      </w:pPr>
      <w:r>
        <w:rPr>
          <w:iCs/>
          <w:szCs w:val="22"/>
        </w:rPr>
        <w:t>Programme Santé/Nutrition</w:t>
      </w:r>
    </w:p>
    <w:p w:rsidR="00000000" w:rsidRDefault="00000000">
      <w:pPr>
        <w:numPr>
          <w:ilvl w:val="0"/>
          <w:numId w:val="140"/>
        </w:numPr>
        <w:rPr>
          <w:iCs/>
          <w:szCs w:val="22"/>
        </w:rPr>
      </w:pPr>
      <w:r>
        <w:rPr>
          <w:iCs/>
          <w:szCs w:val="22"/>
        </w:rPr>
        <w:t>Programme national de la promotion pour l’allaitement maternel</w:t>
      </w:r>
    </w:p>
    <w:p w:rsidR="00000000" w:rsidRDefault="00000000">
      <w:pPr>
        <w:numPr>
          <w:ilvl w:val="0"/>
          <w:numId w:val="140"/>
        </w:numPr>
        <w:rPr>
          <w:iCs/>
          <w:szCs w:val="22"/>
        </w:rPr>
      </w:pPr>
      <w:r>
        <w:rPr>
          <w:iCs/>
          <w:szCs w:val="22"/>
        </w:rPr>
        <w:t>Programme national de prise en charge intégrée de la maladie de l’enfant (PCIME)</w:t>
      </w:r>
    </w:p>
    <w:p w:rsidR="00000000" w:rsidRDefault="00000000">
      <w:pPr>
        <w:numPr>
          <w:ilvl w:val="0"/>
          <w:numId w:val="140"/>
        </w:numPr>
        <w:spacing w:after="240"/>
        <w:rPr>
          <w:iCs/>
          <w:szCs w:val="22"/>
        </w:rPr>
      </w:pPr>
      <w:r>
        <w:rPr>
          <w:iCs/>
          <w:szCs w:val="22"/>
        </w:rPr>
        <w:t>Programme national de lutte antipaludique.</w:t>
      </w:r>
    </w:p>
    <w:p w:rsidR="00000000" w:rsidRDefault="00000000">
      <w:pPr>
        <w:spacing w:after="240"/>
        <w:rPr>
          <w:iCs/>
          <w:szCs w:val="22"/>
        </w:rPr>
      </w:pPr>
      <w:r>
        <w:rPr>
          <w:iCs/>
          <w:szCs w:val="22"/>
        </w:rPr>
        <w:t>184.</w:t>
      </w:r>
      <w:r>
        <w:rPr>
          <w:iCs/>
          <w:szCs w:val="22"/>
        </w:rPr>
        <w:tab/>
        <w:t>Malgré la mise en œuvre de ces programmes devant contribuer efficacement à l’amélioration de la santé et du bien être de la population, les indicateurs en matière de santé n’ont pas beaucoup évolué en raison de la persistance de certaines épidémies telles que la rougeole, la méningite, le choléra et du faible accès aux services sociaux de base comme en témoignent les indicateurs décrits dans les paragraphes ci après.</w:t>
      </w:r>
    </w:p>
    <w:p w:rsidR="00000000" w:rsidRDefault="00000000">
      <w:pPr>
        <w:spacing w:after="240"/>
        <w:ind w:firstLine="567"/>
        <w:rPr>
          <w:i/>
          <w:iCs/>
          <w:szCs w:val="22"/>
        </w:rPr>
      </w:pPr>
      <w:r>
        <w:rPr>
          <w:szCs w:val="22"/>
        </w:rPr>
        <w:t>a)</w:t>
      </w:r>
      <w:r>
        <w:rPr>
          <w:szCs w:val="22"/>
        </w:rPr>
        <w:tab/>
      </w:r>
      <w:r>
        <w:rPr>
          <w:i/>
          <w:iCs/>
          <w:szCs w:val="22"/>
        </w:rPr>
        <w:t xml:space="preserve">Le taux de mortalité infantile et le taux de mortalité des enfants de moins de 5 ans </w:t>
      </w:r>
    </w:p>
    <w:p w:rsidR="00000000" w:rsidRDefault="00000000">
      <w:pPr>
        <w:spacing w:after="240"/>
        <w:rPr>
          <w:szCs w:val="22"/>
        </w:rPr>
      </w:pPr>
      <w:r>
        <w:rPr>
          <w:iCs/>
          <w:szCs w:val="22"/>
        </w:rPr>
        <w:t>185.</w:t>
      </w:r>
      <w:r>
        <w:rPr>
          <w:iCs/>
          <w:szCs w:val="22"/>
        </w:rPr>
        <w:tab/>
        <w:t>Au cours de la période 1999- 2004, sur 1 000 enfants nés vivants, 102 sont décédés avant le premier anniversaire et sur 1 000 enfants âgés d’un an, 99 n’atteignent pas leur cinquième anniversaire. Globalement, sur 1 000 naissances vivantes, 191 décèdent avant 5 ans. En milieu rural, le taux de mortalité est de 208 pour mille contre 179 en milieu urbain.</w:t>
      </w:r>
      <w:r>
        <w:rPr>
          <w:bCs/>
          <w:szCs w:val="22"/>
        </w:rPr>
        <w:t>177. L</w:t>
      </w:r>
      <w:r>
        <w:rPr>
          <w:szCs w:val="22"/>
        </w:rPr>
        <w:t>e</w:t>
      </w:r>
      <w:r>
        <w:rPr>
          <w:b/>
          <w:szCs w:val="22"/>
        </w:rPr>
        <w:t xml:space="preserve"> </w:t>
      </w:r>
      <w:r>
        <w:rPr>
          <w:bCs/>
          <w:szCs w:val="22"/>
        </w:rPr>
        <w:t>tableau ci-dessous présente</w:t>
      </w:r>
      <w:r>
        <w:rPr>
          <w:b/>
          <w:szCs w:val="22"/>
        </w:rPr>
        <w:t xml:space="preserve"> </w:t>
      </w:r>
      <w:r>
        <w:rPr>
          <w:bCs/>
          <w:szCs w:val="22"/>
        </w:rPr>
        <w:t>le q</w:t>
      </w:r>
      <w:r>
        <w:rPr>
          <w:szCs w:val="22"/>
        </w:rPr>
        <w:t xml:space="preserve">uotient de mortalité néonatale, post-néonatale, infantile, juvénile et </w:t>
      </w:r>
      <w:proofErr w:type="spellStart"/>
      <w:r>
        <w:rPr>
          <w:szCs w:val="22"/>
        </w:rPr>
        <w:t>infanto</w:t>
      </w:r>
      <w:r>
        <w:rPr>
          <w:szCs w:val="22"/>
        </w:rPr>
        <w:noBreakHyphen/>
        <w:t>juvénile</w:t>
      </w:r>
      <w:proofErr w:type="spellEnd"/>
      <w:r>
        <w:rPr>
          <w:szCs w:val="22"/>
        </w:rPr>
        <w:t xml:space="preserve"> pour la période de 10 ans précédant l’enquête selon certaines caractéristiques </w:t>
      </w:r>
      <w:proofErr w:type="spellStart"/>
      <w:r>
        <w:rPr>
          <w:szCs w:val="22"/>
        </w:rPr>
        <w:t>sociodémographiques</w:t>
      </w:r>
      <w:proofErr w:type="spellEnd"/>
      <w:r>
        <w:rPr>
          <w:szCs w:val="22"/>
        </w:rPr>
        <w:t xml:space="preserve"> de la mère et des enfants. </w:t>
      </w:r>
    </w:p>
    <w:p w:rsidR="00000000" w:rsidRDefault="00000000">
      <w:pPr>
        <w:spacing w:after="240"/>
        <w:jc w:val="center"/>
        <w:rPr>
          <w:b/>
          <w:bCs/>
          <w:iCs/>
          <w:szCs w:val="22"/>
        </w:rPr>
      </w:pPr>
      <w:r>
        <w:rPr>
          <w:b/>
          <w:bCs/>
          <w:szCs w:val="22"/>
        </w:rPr>
        <w:t>Tableau 6.  Quotient de mortalité néonatale, post-néonatale, infantile,</w:t>
      </w:r>
      <w:r>
        <w:rPr>
          <w:b/>
          <w:bCs/>
          <w:szCs w:val="22"/>
        </w:rPr>
        <w:br/>
        <w:t xml:space="preserve">juvénile et </w:t>
      </w:r>
      <w:proofErr w:type="spellStart"/>
      <w:r>
        <w:rPr>
          <w:b/>
          <w:bCs/>
          <w:szCs w:val="22"/>
        </w:rPr>
        <w:t>infanto-juvénile</w:t>
      </w:r>
      <w:proofErr w:type="spellEnd"/>
    </w:p>
    <w:tbl>
      <w:tblPr>
        <w:tblW w:w="0" w:type="auto"/>
        <w:tblInd w:w="70" w:type="dxa"/>
        <w:tblCellMar>
          <w:left w:w="70" w:type="dxa"/>
          <w:right w:w="70" w:type="dxa"/>
        </w:tblCellMar>
        <w:tblLook w:val="0000" w:firstRow="0" w:lastRow="0" w:firstColumn="0" w:lastColumn="0" w:noHBand="0" w:noVBand="0"/>
      </w:tblPr>
      <w:tblGrid>
        <w:gridCol w:w="3360"/>
        <w:gridCol w:w="2040"/>
        <w:gridCol w:w="2040"/>
        <w:gridCol w:w="1986"/>
      </w:tblGrid>
      <w:tr w:rsidR="00000000">
        <w:tblPrEx>
          <w:tblCellMar>
            <w:top w:w="0" w:type="dxa"/>
            <w:bottom w:w="0" w:type="dxa"/>
          </w:tblCellMar>
        </w:tblPrEx>
        <w:trPr>
          <w:tblHeader/>
        </w:trPr>
        <w:tc>
          <w:tcPr>
            <w:tcW w:w="3360" w:type="dxa"/>
            <w:tcBorders>
              <w:top w:val="single" w:sz="4" w:space="0" w:color="auto"/>
              <w:bottom w:val="single" w:sz="4" w:space="0" w:color="auto"/>
            </w:tcBorders>
            <w:vAlign w:val="center"/>
          </w:tcPr>
          <w:p w:rsidR="00000000" w:rsidRDefault="00000000">
            <w:pPr>
              <w:spacing w:before="40" w:after="40"/>
              <w:jc w:val="center"/>
              <w:rPr>
                <w:bCs/>
                <w:szCs w:val="16"/>
              </w:rPr>
            </w:pPr>
            <w:r>
              <w:rPr>
                <w:bCs/>
                <w:szCs w:val="16"/>
              </w:rPr>
              <w:t xml:space="preserve">Caractéristique </w:t>
            </w:r>
            <w:proofErr w:type="spellStart"/>
            <w:r>
              <w:rPr>
                <w:bCs/>
                <w:szCs w:val="16"/>
              </w:rPr>
              <w:t>sociodém</w:t>
            </w:r>
            <w:proofErr w:type="spellEnd"/>
            <w:r>
              <w:rPr>
                <w:bCs/>
                <w:szCs w:val="16"/>
              </w:rPr>
              <w:t>.</w:t>
            </w:r>
          </w:p>
        </w:tc>
        <w:tc>
          <w:tcPr>
            <w:tcW w:w="2040" w:type="dxa"/>
            <w:tcBorders>
              <w:top w:val="single" w:sz="4" w:space="0" w:color="auto"/>
              <w:bottom w:val="single" w:sz="4" w:space="0" w:color="auto"/>
            </w:tcBorders>
            <w:vAlign w:val="center"/>
          </w:tcPr>
          <w:p w:rsidR="00000000" w:rsidRDefault="00000000">
            <w:pPr>
              <w:spacing w:before="40" w:after="40"/>
              <w:jc w:val="center"/>
              <w:rPr>
                <w:bCs/>
                <w:szCs w:val="16"/>
              </w:rPr>
            </w:pPr>
            <w:r>
              <w:rPr>
                <w:bCs/>
                <w:szCs w:val="16"/>
              </w:rPr>
              <w:t>mortalité infantile</w:t>
            </w:r>
          </w:p>
        </w:tc>
        <w:tc>
          <w:tcPr>
            <w:tcW w:w="2040" w:type="dxa"/>
            <w:tcBorders>
              <w:top w:val="single" w:sz="4" w:space="0" w:color="auto"/>
              <w:bottom w:val="single" w:sz="4" w:space="0" w:color="auto"/>
            </w:tcBorders>
            <w:vAlign w:val="center"/>
          </w:tcPr>
          <w:p w:rsidR="00000000" w:rsidRDefault="00000000">
            <w:pPr>
              <w:spacing w:before="40" w:after="40"/>
              <w:jc w:val="center"/>
              <w:rPr>
                <w:bCs/>
                <w:szCs w:val="16"/>
              </w:rPr>
            </w:pPr>
            <w:r>
              <w:rPr>
                <w:bCs/>
                <w:szCs w:val="16"/>
              </w:rPr>
              <w:t>mortalité juvénile</w:t>
            </w:r>
          </w:p>
        </w:tc>
        <w:tc>
          <w:tcPr>
            <w:tcW w:w="1986" w:type="dxa"/>
            <w:tcBorders>
              <w:top w:val="single" w:sz="4" w:space="0" w:color="auto"/>
              <w:bottom w:val="single" w:sz="4" w:space="0" w:color="auto"/>
            </w:tcBorders>
            <w:vAlign w:val="center"/>
          </w:tcPr>
          <w:p w:rsidR="00000000" w:rsidRDefault="00000000">
            <w:pPr>
              <w:spacing w:before="40" w:after="40"/>
              <w:jc w:val="center"/>
              <w:rPr>
                <w:bCs/>
                <w:szCs w:val="16"/>
              </w:rPr>
            </w:pPr>
            <w:r>
              <w:rPr>
                <w:bCs/>
                <w:szCs w:val="16"/>
              </w:rPr>
              <w:t xml:space="preserve">mortalité </w:t>
            </w:r>
            <w:proofErr w:type="spellStart"/>
            <w:r>
              <w:rPr>
                <w:bCs/>
                <w:szCs w:val="16"/>
              </w:rPr>
              <w:t>infanto</w:t>
            </w:r>
            <w:r>
              <w:rPr>
                <w:bCs/>
                <w:szCs w:val="16"/>
              </w:rPr>
              <w:noBreakHyphen/>
              <w:t>juvénile</w:t>
            </w:r>
            <w:proofErr w:type="spellEnd"/>
          </w:p>
        </w:tc>
      </w:tr>
      <w:tr w:rsidR="00000000">
        <w:tblPrEx>
          <w:tblCellMar>
            <w:top w:w="0" w:type="dxa"/>
            <w:bottom w:w="0" w:type="dxa"/>
          </w:tblCellMar>
        </w:tblPrEx>
        <w:tc>
          <w:tcPr>
            <w:tcW w:w="3360" w:type="dxa"/>
            <w:tcBorders>
              <w:top w:val="single" w:sz="4" w:space="0" w:color="auto"/>
            </w:tcBorders>
          </w:tcPr>
          <w:p w:rsidR="00000000" w:rsidRDefault="00000000">
            <w:pPr>
              <w:spacing w:before="40" w:after="40"/>
              <w:rPr>
                <w:b/>
                <w:szCs w:val="16"/>
              </w:rPr>
            </w:pPr>
            <w:r>
              <w:rPr>
                <w:b/>
                <w:szCs w:val="16"/>
              </w:rPr>
              <w:t>Résidence</w:t>
            </w:r>
          </w:p>
        </w:tc>
        <w:tc>
          <w:tcPr>
            <w:tcW w:w="2040" w:type="dxa"/>
            <w:tcBorders>
              <w:top w:val="single" w:sz="4" w:space="0" w:color="auto"/>
            </w:tcBorders>
          </w:tcPr>
          <w:p w:rsidR="00000000" w:rsidRDefault="00000000">
            <w:pPr>
              <w:spacing w:before="40" w:after="40"/>
              <w:ind w:right="650"/>
              <w:jc w:val="right"/>
              <w:rPr>
                <w:b/>
                <w:szCs w:val="16"/>
              </w:rPr>
            </w:pPr>
          </w:p>
        </w:tc>
        <w:tc>
          <w:tcPr>
            <w:tcW w:w="2040" w:type="dxa"/>
            <w:tcBorders>
              <w:top w:val="single" w:sz="4" w:space="0" w:color="auto"/>
            </w:tcBorders>
          </w:tcPr>
          <w:p w:rsidR="00000000" w:rsidRDefault="00000000">
            <w:pPr>
              <w:spacing w:before="40" w:after="40"/>
              <w:ind w:right="650"/>
              <w:jc w:val="right"/>
              <w:rPr>
                <w:b/>
                <w:szCs w:val="16"/>
              </w:rPr>
            </w:pPr>
          </w:p>
        </w:tc>
        <w:tc>
          <w:tcPr>
            <w:tcW w:w="1986" w:type="dxa"/>
            <w:tcBorders>
              <w:top w:val="single" w:sz="4" w:space="0" w:color="auto"/>
            </w:tcBorders>
          </w:tcPr>
          <w:p w:rsidR="00000000" w:rsidRDefault="00000000">
            <w:pPr>
              <w:spacing w:before="40" w:after="40"/>
              <w:ind w:right="650"/>
              <w:jc w:val="right"/>
              <w:rPr>
                <w:b/>
                <w:szCs w:val="16"/>
              </w:rPr>
            </w:pPr>
          </w:p>
        </w:tc>
      </w:tr>
      <w:tr w:rsidR="00000000">
        <w:tblPrEx>
          <w:tblCellMar>
            <w:top w:w="0" w:type="dxa"/>
            <w:bottom w:w="0" w:type="dxa"/>
          </w:tblCellMar>
        </w:tblPrEx>
        <w:tc>
          <w:tcPr>
            <w:tcW w:w="3360" w:type="dxa"/>
          </w:tcPr>
          <w:p w:rsidR="00000000" w:rsidRDefault="00000000">
            <w:pPr>
              <w:spacing w:before="40" w:after="40"/>
              <w:ind w:left="170"/>
              <w:rPr>
                <w:b/>
                <w:szCs w:val="16"/>
              </w:rPr>
            </w:pPr>
            <w:r>
              <w:rPr>
                <w:szCs w:val="16"/>
              </w:rPr>
              <w:t>N’</w:t>
            </w:r>
            <w:proofErr w:type="spellStart"/>
            <w:r>
              <w:rPr>
                <w:szCs w:val="16"/>
              </w:rPr>
              <w:t>Djaména</w:t>
            </w:r>
            <w:proofErr w:type="spellEnd"/>
          </w:p>
        </w:tc>
        <w:tc>
          <w:tcPr>
            <w:tcW w:w="2040" w:type="dxa"/>
          </w:tcPr>
          <w:p w:rsidR="00000000" w:rsidRDefault="00000000">
            <w:pPr>
              <w:spacing w:before="40" w:after="40"/>
              <w:ind w:right="650"/>
              <w:jc w:val="right"/>
              <w:rPr>
                <w:bCs/>
                <w:szCs w:val="16"/>
              </w:rPr>
            </w:pPr>
            <w:r>
              <w:rPr>
                <w:bCs/>
                <w:szCs w:val="16"/>
              </w:rPr>
              <w:t>78</w:t>
            </w:r>
          </w:p>
        </w:tc>
        <w:tc>
          <w:tcPr>
            <w:tcW w:w="2040" w:type="dxa"/>
          </w:tcPr>
          <w:p w:rsidR="00000000" w:rsidRDefault="00000000">
            <w:pPr>
              <w:spacing w:before="40" w:after="40"/>
              <w:ind w:right="650"/>
              <w:jc w:val="right"/>
              <w:rPr>
                <w:bCs/>
                <w:szCs w:val="16"/>
              </w:rPr>
            </w:pPr>
            <w:r>
              <w:rPr>
                <w:bCs/>
                <w:szCs w:val="16"/>
              </w:rPr>
              <w:t>92</w:t>
            </w:r>
          </w:p>
        </w:tc>
        <w:tc>
          <w:tcPr>
            <w:tcW w:w="1986" w:type="dxa"/>
          </w:tcPr>
          <w:p w:rsidR="00000000" w:rsidRDefault="00000000">
            <w:pPr>
              <w:spacing w:before="40" w:after="40"/>
              <w:ind w:right="650"/>
              <w:jc w:val="right"/>
              <w:rPr>
                <w:bCs/>
                <w:szCs w:val="16"/>
              </w:rPr>
            </w:pPr>
            <w:r>
              <w:rPr>
                <w:bCs/>
                <w:szCs w:val="16"/>
              </w:rPr>
              <w:t>163</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Autres villes</w:t>
            </w:r>
          </w:p>
        </w:tc>
        <w:tc>
          <w:tcPr>
            <w:tcW w:w="2040" w:type="dxa"/>
          </w:tcPr>
          <w:p w:rsidR="00000000" w:rsidRDefault="00000000">
            <w:pPr>
              <w:spacing w:before="40" w:after="40"/>
              <w:ind w:right="650"/>
              <w:jc w:val="right"/>
              <w:rPr>
                <w:bCs/>
                <w:szCs w:val="16"/>
              </w:rPr>
            </w:pPr>
            <w:r>
              <w:rPr>
                <w:bCs/>
                <w:szCs w:val="16"/>
              </w:rPr>
              <w:t>103</w:t>
            </w:r>
          </w:p>
        </w:tc>
        <w:tc>
          <w:tcPr>
            <w:tcW w:w="2040" w:type="dxa"/>
          </w:tcPr>
          <w:p w:rsidR="00000000" w:rsidRDefault="00000000">
            <w:pPr>
              <w:spacing w:before="40" w:after="40"/>
              <w:ind w:right="650"/>
              <w:jc w:val="right"/>
              <w:rPr>
                <w:bCs/>
                <w:szCs w:val="16"/>
              </w:rPr>
            </w:pPr>
            <w:r>
              <w:rPr>
                <w:bCs/>
                <w:szCs w:val="16"/>
              </w:rPr>
              <w:t>96</w:t>
            </w:r>
          </w:p>
        </w:tc>
        <w:tc>
          <w:tcPr>
            <w:tcW w:w="1986" w:type="dxa"/>
          </w:tcPr>
          <w:p w:rsidR="00000000" w:rsidRDefault="00000000">
            <w:pPr>
              <w:spacing w:before="40" w:after="40"/>
              <w:ind w:right="650"/>
              <w:jc w:val="right"/>
              <w:rPr>
                <w:bCs/>
                <w:szCs w:val="16"/>
              </w:rPr>
            </w:pPr>
            <w:r>
              <w:rPr>
                <w:bCs/>
                <w:szCs w:val="16"/>
              </w:rPr>
              <w:t>189</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Ensemble urbain</w:t>
            </w:r>
          </w:p>
        </w:tc>
        <w:tc>
          <w:tcPr>
            <w:tcW w:w="2040" w:type="dxa"/>
          </w:tcPr>
          <w:p w:rsidR="00000000" w:rsidRDefault="00000000">
            <w:pPr>
              <w:spacing w:before="40" w:after="40"/>
              <w:ind w:right="650"/>
              <w:jc w:val="right"/>
              <w:rPr>
                <w:bCs/>
                <w:szCs w:val="16"/>
              </w:rPr>
            </w:pPr>
            <w:r>
              <w:rPr>
                <w:bCs/>
                <w:szCs w:val="16"/>
              </w:rPr>
              <w:t>94</w:t>
            </w:r>
          </w:p>
        </w:tc>
        <w:tc>
          <w:tcPr>
            <w:tcW w:w="2040" w:type="dxa"/>
          </w:tcPr>
          <w:p w:rsidR="00000000" w:rsidRDefault="00000000">
            <w:pPr>
              <w:spacing w:before="40" w:after="40"/>
              <w:ind w:right="650"/>
              <w:jc w:val="right"/>
              <w:rPr>
                <w:bCs/>
                <w:szCs w:val="16"/>
              </w:rPr>
            </w:pPr>
            <w:r>
              <w:rPr>
                <w:bCs/>
                <w:szCs w:val="16"/>
              </w:rPr>
              <w:t>94</w:t>
            </w:r>
          </w:p>
        </w:tc>
        <w:tc>
          <w:tcPr>
            <w:tcW w:w="1986" w:type="dxa"/>
          </w:tcPr>
          <w:p w:rsidR="00000000" w:rsidRDefault="00000000">
            <w:pPr>
              <w:spacing w:before="40" w:after="40"/>
              <w:ind w:right="650"/>
              <w:jc w:val="right"/>
              <w:rPr>
                <w:bCs/>
                <w:szCs w:val="16"/>
              </w:rPr>
            </w:pPr>
            <w:r>
              <w:rPr>
                <w:bCs/>
                <w:szCs w:val="16"/>
              </w:rPr>
              <w:t>179</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Rural</w:t>
            </w:r>
          </w:p>
        </w:tc>
        <w:tc>
          <w:tcPr>
            <w:tcW w:w="2040" w:type="dxa"/>
          </w:tcPr>
          <w:p w:rsidR="00000000" w:rsidRDefault="00000000">
            <w:pPr>
              <w:spacing w:before="40" w:after="40"/>
              <w:ind w:right="650"/>
              <w:jc w:val="right"/>
              <w:rPr>
                <w:bCs/>
                <w:szCs w:val="16"/>
              </w:rPr>
            </w:pPr>
            <w:r>
              <w:rPr>
                <w:bCs/>
                <w:szCs w:val="16"/>
              </w:rPr>
              <w:t>120</w:t>
            </w:r>
          </w:p>
        </w:tc>
        <w:tc>
          <w:tcPr>
            <w:tcW w:w="2040" w:type="dxa"/>
          </w:tcPr>
          <w:p w:rsidR="00000000" w:rsidRDefault="00000000">
            <w:pPr>
              <w:spacing w:before="40" w:after="40"/>
              <w:ind w:right="650"/>
              <w:jc w:val="right"/>
              <w:rPr>
                <w:bCs/>
                <w:szCs w:val="16"/>
              </w:rPr>
            </w:pPr>
            <w:r>
              <w:rPr>
                <w:bCs/>
                <w:szCs w:val="16"/>
              </w:rPr>
              <w:t>100</w:t>
            </w:r>
          </w:p>
        </w:tc>
        <w:tc>
          <w:tcPr>
            <w:tcW w:w="1986" w:type="dxa"/>
          </w:tcPr>
          <w:p w:rsidR="00000000" w:rsidRDefault="00000000">
            <w:pPr>
              <w:spacing w:before="40" w:after="40"/>
              <w:ind w:right="650"/>
              <w:jc w:val="right"/>
              <w:rPr>
                <w:bCs/>
                <w:szCs w:val="16"/>
              </w:rPr>
            </w:pPr>
            <w:r>
              <w:rPr>
                <w:bCs/>
                <w:szCs w:val="16"/>
              </w:rPr>
              <w:t>208</w:t>
            </w:r>
          </w:p>
        </w:tc>
      </w:tr>
      <w:tr w:rsidR="00000000">
        <w:tblPrEx>
          <w:tblCellMar>
            <w:top w:w="0" w:type="dxa"/>
            <w:bottom w:w="0" w:type="dxa"/>
          </w:tblCellMar>
        </w:tblPrEx>
        <w:tc>
          <w:tcPr>
            <w:tcW w:w="3360" w:type="dxa"/>
          </w:tcPr>
          <w:p w:rsidR="00000000" w:rsidRDefault="00000000">
            <w:pPr>
              <w:spacing w:before="40" w:after="40"/>
              <w:rPr>
                <w:szCs w:val="16"/>
              </w:rPr>
            </w:pPr>
            <w:r>
              <w:rPr>
                <w:b/>
                <w:szCs w:val="16"/>
              </w:rPr>
              <w:t>Niveau d’instruction mère</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Aucune instruction</w:t>
            </w:r>
          </w:p>
        </w:tc>
        <w:tc>
          <w:tcPr>
            <w:tcW w:w="2040" w:type="dxa"/>
          </w:tcPr>
          <w:p w:rsidR="00000000" w:rsidRDefault="00000000">
            <w:pPr>
              <w:spacing w:before="40" w:after="40"/>
              <w:ind w:right="650"/>
              <w:jc w:val="right"/>
              <w:rPr>
                <w:bCs/>
                <w:szCs w:val="16"/>
              </w:rPr>
            </w:pPr>
            <w:r>
              <w:rPr>
                <w:bCs/>
                <w:szCs w:val="16"/>
              </w:rPr>
              <w:t>116</w:t>
            </w:r>
          </w:p>
        </w:tc>
        <w:tc>
          <w:tcPr>
            <w:tcW w:w="2040" w:type="dxa"/>
          </w:tcPr>
          <w:p w:rsidR="00000000" w:rsidRDefault="00000000">
            <w:pPr>
              <w:spacing w:before="40" w:after="40"/>
              <w:ind w:right="650"/>
              <w:jc w:val="right"/>
              <w:rPr>
                <w:bCs/>
                <w:szCs w:val="16"/>
              </w:rPr>
            </w:pPr>
            <w:r>
              <w:rPr>
                <w:bCs/>
                <w:szCs w:val="16"/>
              </w:rPr>
              <w:t>95</w:t>
            </w:r>
          </w:p>
        </w:tc>
        <w:tc>
          <w:tcPr>
            <w:tcW w:w="1986" w:type="dxa"/>
          </w:tcPr>
          <w:p w:rsidR="00000000" w:rsidRDefault="00000000">
            <w:pPr>
              <w:spacing w:before="40" w:after="40"/>
              <w:ind w:right="650"/>
              <w:jc w:val="right"/>
              <w:rPr>
                <w:bCs/>
                <w:szCs w:val="16"/>
              </w:rPr>
            </w:pPr>
            <w:r>
              <w:rPr>
                <w:bCs/>
                <w:szCs w:val="16"/>
              </w:rPr>
              <w:t>200</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Primaire</w:t>
            </w:r>
          </w:p>
        </w:tc>
        <w:tc>
          <w:tcPr>
            <w:tcW w:w="2040" w:type="dxa"/>
          </w:tcPr>
          <w:p w:rsidR="00000000" w:rsidRDefault="00000000">
            <w:pPr>
              <w:spacing w:before="40" w:after="40"/>
              <w:ind w:right="650"/>
              <w:jc w:val="right"/>
              <w:rPr>
                <w:bCs/>
                <w:szCs w:val="16"/>
              </w:rPr>
            </w:pPr>
            <w:r>
              <w:rPr>
                <w:bCs/>
                <w:szCs w:val="16"/>
              </w:rPr>
              <w:t>121</w:t>
            </w:r>
          </w:p>
        </w:tc>
        <w:tc>
          <w:tcPr>
            <w:tcW w:w="2040" w:type="dxa"/>
          </w:tcPr>
          <w:p w:rsidR="00000000" w:rsidRDefault="00000000">
            <w:pPr>
              <w:spacing w:before="40" w:after="40"/>
              <w:ind w:right="650"/>
              <w:jc w:val="right"/>
              <w:rPr>
                <w:bCs/>
                <w:szCs w:val="16"/>
              </w:rPr>
            </w:pPr>
            <w:r>
              <w:rPr>
                <w:bCs/>
                <w:szCs w:val="16"/>
              </w:rPr>
              <w:t>117</w:t>
            </w:r>
          </w:p>
        </w:tc>
        <w:tc>
          <w:tcPr>
            <w:tcW w:w="1986" w:type="dxa"/>
          </w:tcPr>
          <w:p w:rsidR="00000000" w:rsidRDefault="00000000">
            <w:pPr>
              <w:spacing w:before="40" w:after="40"/>
              <w:ind w:right="650"/>
              <w:jc w:val="right"/>
              <w:rPr>
                <w:bCs/>
                <w:szCs w:val="16"/>
              </w:rPr>
            </w:pPr>
            <w:r>
              <w:rPr>
                <w:bCs/>
                <w:szCs w:val="16"/>
              </w:rPr>
              <w:t>225</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Secondaire ou plus</w:t>
            </w:r>
          </w:p>
        </w:tc>
        <w:tc>
          <w:tcPr>
            <w:tcW w:w="2040" w:type="dxa"/>
          </w:tcPr>
          <w:p w:rsidR="00000000" w:rsidRDefault="00000000">
            <w:pPr>
              <w:spacing w:before="40" w:after="40"/>
              <w:ind w:right="650"/>
              <w:jc w:val="right"/>
              <w:rPr>
                <w:bCs/>
                <w:szCs w:val="16"/>
              </w:rPr>
            </w:pPr>
            <w:r>
              <w:rPr>
                <w:bCs/>
                <w:szCs w:val="16"/>
              </w:rPr>
              <w:t>66</w:t>
            </w:r>
          </w:p>
        </w:tc>
        <w:tc>
          <w:tcPr>
            <w:tcW w:w="2040" w:type="dxa"/>
          </w:tcPr>
          <w:p w:rsidR="00000000" w:rsidRDefault="00000000">
            <w:pPr>
              <w:spacing w:before="40" w:after="40"/>
              <w:ind w:right="650"/>
              <w:jc w:val="right"/>
              <w:rPr>
                <w:bCs/>
                <w:szCs w:val="16"/>
              </w:rPr>
            </w:pPr>
            <w:r>
              <w:rPr>
                <w:bCs/>
                <w:szCs w:val="16"/>
              </w:rPr>
              <w:t>83</w:t>
            </w:r>
          </w:p>
        </w:tc>
        <w:tc>
          <w:tcPr>
            <w:tcW w:w="1986" w:type="dxa"/>
          </w:tcPr>
          <w:p w:rsidR="00000000" w:rsidRDefault="00000000">
            <w:pPr>
              <w:spacing w:before="40" w:after="40"/>
              <w:ind w:right="650"/>
              <w:jc w:val="right"/>
              <w:rPr>
                <w:bCs/>
                <w:szCs w:val="16"/>
              </w:rPr>
            </w:pPr>
            <w:r>
              <w:rPr>
                <w:bCs/>
                <w:szCs w:val="16"/>
              </w:rPr>
              <w:t>143</w:t>
            </w:r>
          </w:p>
        </w:tc>
      </w:tr>
      <w:tr w:rsidR="00000000">
        <w:tblPrEx>
          <w:tblCellMar>
            <w:top w:w="0" w:type="dxa"/>
            <w:bottom w:w="0" w:type="dxa"/>
          </w:tblCellMar>
        </w:tblPrEx>
        <w:tc>
          <w:tcPr>
            <w:tcW w:w="3360" w:type="dxa"/>
          </w:tcPr>
          <w:p w:rsidR="00000000" w:rsidRDefault="00000000">
            <w:pPr>
              <w:spacing w:before="40" w:after="40"/>
              <w:rPr>
                <w:szCs w:val="16"/>
              </w:rPr>
            </w:pPr>
            <w:proofErr w:type="spellStart"/>
            <w:r>
              <w:rPr>
                <w:b/>
                <w:szCs w:val="16"/>
              </w:rPr>
              <w:t>Quintile</w:t>
            </w:r>
            <w:proofErr w:type="spellEnd"/>
            <w:r>
              <w:rPr>
                <w:b/>
                <w:szCs w:val="16"/>
              </w:rPr>
              <w:t xml:space="preserve"> de bien-être économique</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Le plus pauvre</w:t>
            </w:r>
          </w:p>
        </w:tc>
        <w:tc>
          <w:tcPr>
            <w:tcW w:w="2040" w:type="dxa"/>
          </w:tcPr>
          <w:p w:rsidR="00000000" w:rsidRDefault="00000000">
            <w:pPr>
              <w:spacing w:before="40" w:after="40"/>
              <w:ind w:right="650"/>
              <w:jc w:val="right"/>
              <w:rPr>
                <w:bCs/>
                <w:szCs w:val="16"/>
              </w:rPr>
            </w:pPr>
            <w:r>
              <w:rPr>
                <w:bCs/>
                <w:szCs w:val="16"/>
              </w:rPr>
              <w:t>109</w:t>
            </w:r>
          </w:p>
        </w:tc>
        <w:tc>
          <w:tcPr>
            <w:tcW w:w="2040" w:type="dxa"/>
          </w:tcPr>
          <w:p w:rsidR="00000000" w:rsidRDefault="00000000">
            <w:pPr>
              <w:spacing w:before="40" w:after="40"/>
              <w:ind w:right="650"/>
              <w:jc w:val="right"/>
              <w:rPr>
                <w:bCs/>
                <w:szCs w:val="16"/>
              </w:rPr>
            </w:pPr>
            <w:r>
              <w:rPr>
                <w:bCs/>
                <w:szCs w:val="16"/>
              </w:rPr>
              <w:t>75</w:t>
            </w:r>
          </w:p>
        </w:tc>
        <w:tc>
          <w:tcPr>
            <w:tcW w:w="1986" w:type="dxa"/>
          </w:tcPr>
          <w:p w:rsidR="00000000" w:rsidRDefault="00000000">
            <w:pPr>
              <w:spacing w:before="40" w:after="40"/>
              <w:ind w:right="650"/>
              <w:jc w:val="right"/>
              <w:rPr>
                <w:bCs/>
                <w:szCs w:val="16"/>
              </w:rPr>
            </w:pPr>
            <w:r>
              <w:rPr>
                <w:bCs/>
                <w:szCs w:val="16"/>
              </w:rPr>
              <w:t>176</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Second</w:t>
            </w:r>
          </w:p>
        </w:tc>
        <w:tc>
          <w:tcPr>
            <w:tcW w:w="2040" w:type="dxa"/>
          </w:tcPr>
          <w:p w:rsidR="00000000" w:rsidRDefault="00000000">
            <w:pPr>
              <w:spacing w:before="40" w:after="40"/>
              <w:ind w:right="650"/>
              <w:jc w:val="right"/>
              <w:rPr>
                <w:bCs/>
                <w:szCs w:val="16"/>
              </w:rPr>
            </w:pPr>
            <w:r>
              <w:rPr>
                <w:bCs/>
                <w:szCs w:val="16"/>
              </w:rPr>
              <w:t>123</w:t>
            </w:r>
          </w:p>
        </w:tc>
        <w:tc>
          <w:tcPr>
            <w:tcW w:w="2040" w:type="dxa"/>
          </w:tcPr>
          <w:p w:rsidR="00000000" w:rsidRDefault="00000000">
            <w:pPr>
              <w:spacing w:before="40" w:after="40"/>
              <w:ind w:right="650"/>
              <w:jc w:val="right"/>
              <w:rPr>
                <w:bCs/>
                <w:szCs w:val="16"/>
              </w:rPr>
            </w:pPr>
            <w:r>
              <w:rPr>
                <w:bCs/>
                <w:szCs w:val="16"/>
              </w:rPr>
              <w:t>98</w:t>
            </w:r>
          </w:p>
        </w:tc>
        <w:tc>
          <w:tcPr>
            <w:tcW w:w="1986" w:type="dxa"/>
          </w:tcPr>
          <w:p w:rsidR="00000000" w:rsidRDefault="00000000">
            <w:pPr>
              <w:spacing w:before="40" w:after="40"/>
              <w:ind w:right="650"/>
              <w:jc w:val="right"/>
              <w:rPr>
                <w:bCs/>
                <w:szCs w:val="16"/>
              </w:rPr>
            </w:pPr>
            <w:r>
              <w:rPr>
                <w:bCs/>
                <w:szCs w:val="16"/>
              </w:rPr>
              <w:t>208</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Moyen</w:t>
            </w:r>
          </w:p>
        </w:tc>
        <w:tc>
          <w:tcPr>
            <w:tcW w:w="2040" w:type="dxa"/>
          </w:tcPr>
          <w:p w:rsidR="00000000" w:rsidRDefault="00000000">
            <w:pPr>
              <w:spacing w:before="40" w:after="40"/>
              <w:ind w:right="650"/>
              <w:jc w:val="right"/>
              <w:rPr>
                <w:bCs/>
                <w:szCs w:val="16"/>
              </w:rPr>
            </w:pPr>
            <w:r>
              <w:rPr>
                <w:bCs/>
                <w:szCs w:val="16"/>
              </w:rPr>
              <w:t>117</w:t>
            </w:r>
          </w:p>
        </w:tc>
        <w:tc>
          <w:tcPr>
            <w:tcW w:w="2040" w:type="dxa"/>
          </w:tcPr>
          <w:p w:rsidR="00000000" w:rsidRDefault="00000000">
            <w:pPr>
              <w:spacing w:before="40" w:after="40"/>
              <w:ind w:right="650"/>
              <w:jc w:val="right"/>
              <w:rPr>
                <w:bCs/>
                <w:szCs w:val="16"/>
              </w:rPr>
            </w:pPr>
            <w:r>
              <w:rPr>
                <w:bCs/>
                <w:szCs w:val="16"/>
              </w:rPr>
              <w:t>107</w:t>
            </w:r>
          </w:p>
        </w:tc>
        <w:tc>
          <w:tcPr>
            <w:tcW w:w="1986" w:type="dxa"/>
          </w:tcPr>
          <w:p w:rsidR="00000000" w:rsidRDefault="00000000">
            <w:pPr>
              <w:spacing w:before="40" w:after="40"/>
              <w:ind w:right="650"/>
              <w:jc w:val="right"/>
              <w:rPr>
                <w:bCs/>
                <w:szCs w:val="16"/>
              </w:rPr>
            </w:pPr>
            <w:r>
              <w:rPr>
                <w:bCs/>
                <w:szCs w:val="16"/>
              </w:rPr>
              <w:t>212</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Quatrième</w:t>
            </w:r>
          </w:p>
        </w:tc>
        <w:tc>
          <w:tcPr>
            <w:tcW w:w="2040" w:type="dxa"/>
          </w:tcPr>
          <w:p w:rsidR="00000000" w:rsidRDefault="00000000">
            <w:pPr>
              <w:spacing w:before="40" w:after="40"/>
              <w:ind w:right="650"/>
              <w:jc w:val="right"/>
              <w:rPr>
                <w:bCs/>
                <w:szCs w:val="16"/>
              </w:rPr>
            </w:pPr>
            <w:r>
              <w:rPr>
                <w:bCs/>
                <w:szCs w:val="16"/>
              </w:rPr>
              <w:t>122</w:t>
            </w:r>
          </w:p>
        </w:tc>
        <w:tc>
          <w:tcPr>
            <w:tcW w:w="2040" w:type="dxa"/>
          </w:tcPr>
          <w:p w:rsidR="00000000" w:rsidRDefault="00000000">
            <w:pPr>
              <w:spacing w:before="40" w:after="40"/>
              <w:ind w:right="650"/>
              <w:jc w:val="right"/>
              <w:rPr>
                <w:bCs/>
                <w:szCs w:val="16"/>
              </w:rPr>
            </w:pPr>
            <w:r>
              <w:rPr>
                <w:bCs/>
                <w:szCs w:val="16"/>
              </w:rPr>
              <w:t>117</w:t>
            </w:r>
          </w:p>
        </w:tc>
        <w:tc>
          <w:tcPr>
            <w:tcW w:w="1986" w:type="dxa"/>
          </w:tcPr>
          <w:p w:rsidR="00000000" w:rsidRDefault="00000000">
            <w:pPr>
              <w:spacing w:before="40" w:after="40"/>
              <w:ind w:right="650"/>
              <w:jc w:val="right"/>
              <w:rPr>
                <w:bCs/>
                <w:szCs w:val="16"/>
              </w:rPr>
            </w:pPr>
            <w:r>
              <w:rPr>
                <w:bCs/>
                <w:szCs w:val="16"/>
              </w:rPr>
              <w:t>225</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Le plus riche</w:t>
            </w:r>
          </w:p>
        </w:tc>
        <w:tc>
          <w:tcPr>
            <w:tcW w:w="2040" w:type="dxa"/>
          </w:tcPr>
          <w:p w:rsidR="00000000" w:rsidRDefault="00000000">
            <w:pPr>
              <w:spacing w:before="40" w:after="40"/>
              <w:ind w:right="650"/>
              <w:jc w:val="right"/>
              <w:rPr>
                <w:bCs/>
                <w:szCs w:val="16"/>
              </w:rPr>
            </w:pPr>
            <w:r>
              <w:rPr>
                <w:bCs/>
                <w:szCs w:val="16"/>
              </w:rPr>
              <w:t>101</w:t>
            </w:r>
          </w:p>
        </w:tc>
        <w:tc>
          <w:tcPr>
            <w:tcW w:w="2040" w:type="dxa"/>
          </w:tcPr>
          <w:p w:rsidR="00000000" w:rsidRDefault="00000000">
            <w:pPr>
              <w:spacing w:before="40" w:after="40"/>
              <w:ind w:right="650"/>
              <w:jc w:val="right"/>
              <w:rPr>
                <w:bCs/>
                <w:szCs w:val="16"/>
              </w:rPr>
            </w:pPr>
            <w:r>
              <w:rPr>
                <w:bCs/>
                <w:szCs w:val="16"/>
              </w:rPr>
              <w:t>95</w:t>
            </w:r>
          </w:p>
        </w:tc>
        <w:tc>
          <w:tcPr>
            <w:tcW w:w="1986" w:type="dxa"/>
          </w:tcPr>
          <w:p w:rsidR="00000000" w:rsidRDefault="00000000">
            <w:pPr>
              <w:spacing w:before="40" w:after="40"/>
              <w:ind w:right="650"/>
              <w:jc w:val="right"/>
              <w:rPr>
                <w:bCs/>
                <w:szCs w:val="16"/>
              </w:rPr>
            </w:pPr>
            <w:r>
              <w:rPr>
                <w:bCs/>
                <w:szCs w:val="16"/>
              </w:rPr>
              <w:t>187</w:t>
            </w:r>
          </w:p>
        </w:tc>
      </w:tr>
      <w:tr w:rsidR="00000000">
        <w:tblPrEx>
          <w:tblCellMar>
            <w:top w:w="0" w:type="dxa"/>
            <w:bottom w:w="0" w:type="dxa"/>
          </w:tblCellMar>
        </w:tblPrEx>
        <w:tc>
          <w:tcPr>
            <w:tcW w:w="3360" w:type="dxa"/>
          </w:tcPr>
          <w:p w:rsidR="00000000" w:rsidRDefault="00000000">
            <w:pPr>
              <w:spacing w:before="40" w:after="40"/>
              <w:rPr>
                <w:szCs w:val="16"/>
              </w:rPr>
            </w:pPr>
            <w:r>
              <w:rPr>
                <w:b/>
                <w:szCs w:val="16"/>
              </w:rPr>
              <w:t>Sexe de l’enfant</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spacing w:before="40" w:after="40"/>
              <w:ind w:left="170"/>
              <w:rPr>
                <w:b/>
                <w:szCs w:val="16"/>
              </w:rPr>
            </w:pPr>
            <w:r>
              <w:rPr>
                <w:szCs w:val="16"/>
              </w:rPr>
              <w:t>Masculin</w:t>
            </w:r>
          </w:p>
        </w:tc>
        <w:tc>
          <w:tcPr>
            <w:tcW w:w="2040" w:type="dxa"/>
          </w:tcPr>
          <w:p w:rsidR="00000000" w:rsidRDefault="00000000">
            <w:pPr>
              <w:spacing w:before="40" w:after="40"/>
              <w:ind w:right="650"/>
              <w:jc w:val="right"/>
              <w:rPr>
                <w:bCs/>
                <w:szCs w:val="16"/>
              </w:rPr>
            </w:pPr>
            <w:r>
              <w:rPr>
                <w:bCs/>
                <w:szCs w:val="16"/>
              </w:rPr>
              <w:t>122</w:t>
            </w:r>
          </w:p>
        </w:tc>
        <w:tc>
          <w:tcPr>
            <w:tcW w:w="2040" w:type="dxa"/>
          </w:tcPr>
          <w:p w:rsidR="00000000" w:rsidRDefault="00000000">
            <w:pPr>
              <w:spacing w:before="40" w:after="40"/>
              <w:ind w:right="650"/>
              <w:jc w:val="right"/>
              <w:rPr>
                <w:bCs/>
                <w:szCs w:val="16"/>
              </w:rPr>
            </w:pPr>
            <w:r>
              <w:rPr>
                <w:bCs/>
                <w:szCs w:val="16"/>
              </w:rPr>
              <w:t>96</w:t>
            </w:r>
          </w:p>
        </w:tc>
        <w:tc>
          <w:tcPr>
            <w:tcW w:w="1986" w:type="dxa"/>
          </w:tcPr>
          <w:p w:rsidR="00000000" w:rsidRDefault="00000000">
            <w:pPr>
              <w:spacing w:before="40" w:after="40"/>
              <w:ind w:right="650"/>
              <w:jc w:val="right"/>
              <w:rPr>
                <w:bCs/>
                <w:szCs w:val="16"/>
              </w:rPr>
            </w:pPr>
            <w:r>
              <w:rPr>
                <w:bCs/>
                <w:szCs w:val="16"/>
              </w:rPr>
              <w:t>207</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Féminin</w:t>
            </w:r>
          </w:p>
        </w:tc>
        <w:tc>
          <w:tcPr>
            <w:tcW w:w="2040" w:type="dxa"/>
          </w:tcPr>
          <w:p w:rsidR="00000000" w:rsidRDefault="00000000">
            <w:pPr>
              <w:spacing w:before="40" w:after="40"/>
              <w:ind w:right="650"/>
              <w:jc w:val="right"/>
              <w:rPr>
                <w:bCs/>
                <w:szCs w:val="16"/>
              </w:rPr>
            </w:pPr>
            <w:r>
              <w:rPr>
                <w:bCs/>
                <w:szCs w:val="16"/>
              </w:rPr>
              <w:t>108</w:t>
            </w:r>
          </w:p>
        </w:tc>
        <w:tc>
          <w:tcPr>
            <w:tcW w:w="2040" w:type="dxa"/>
          </w:tcPr>
          <w:p w:rsidR="00000000" w:rsidRDefault="00000000">
            <w:pPr>
              <w:spacing w:before="40" w:after="40"/>
              <w:ind w:right="650"/>
              <w:jc w:val="right"/>
              <w:rPr>
                <w:bCs/>
                <w:szCs w:val="16"/>
              </w:rPr>
            </w:pPr>
            <w:r>
              <w:rPr>
                <w:bCs/>
                <w:szCs w:val="16"/>
              </w:rPr>
              <w:t>101</w:t>
            </w:r>
          </w:p>
        </w:tc>
        <w:tc>
          <w:tcPr>
            <w:tcW w:w="1986" w:type="dxa"/>
          </w:tcPr>
          <w:p w:rsidR="00000000" w:rsidRDefault="00000000">
            <w:pPr>
              <w:spacing w:before="40" w:after="40"/>
              <w:ind w:right="650"/>
              <w:jc w:val="right"/>
              <w:rPr>
                <w:bCs/>
                <w:szCs w:val="16"/>
              </w:rPr>
            </w:pPr>
            <w:r>
              <w:rPr>
                <w:bCs/>
                <w:szCs w:val="16"/>
              </w:rPr>
              <w:t>198</w:t>
            </w:r>
          </w:p>
        </w:tc>
      </w:tr>
      <w:tr w:rsidR="00000000">
        <w:tblPrEx>
          <w:tblCellMar>
            <w:top w:w="0" w:type="dxa"/>
            <w:bottom w:w="0" w:type="dxa"/>
          </w:tblCellMar>
        </w:tblPrEx>
        <w:tc>
          <w:tcPr>
            <w:tcW w:w="3360" w:type="dxa"/>
          </w:tcPr>
          <w:p w:rsidR="00000000" w:rsidRDefault="00000000">
            <w:pPr>
              <w:spacing w:before="40" w:after="40"/>
              <w:rPr>
                <w:szCs w:val="16"/>
              </w:rPr>
            </w:pPr>
            <w:r>
              <w:rPr>
                <w:b/>
                <w:szCs w:val="16"/>
              </w:rPr>
              <w:t>Age de la mère à la naissance</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&lt;20</w:t>
            </w:r>
          </w:p>
        </w:tc>
        <w:tc>
          <w:tcPr>
            <w:tcW w:w="2040" w:type="dxa"/>
          </w:tcPr>
          <w:p w:rsidR="00000000" w:rsidRDefault="00000000">
            <w:pPr>
              <w:spacing w:before="40" w:after="40"/>
              <w:ind w:right="650"/>
              <w:jc w:val="right"/>
              <w:rPr>
                <w:bCs/>
                <w:szCs w:val="16"/>
              </w:rPr>
            </w:pPr>
            <w:r>
              <w:rPr>
                <w:bCs/>
                <w:szCs w:val="16"/>
              </w:rPr>
              <w:t>135</w:t>
            </w:r>
          </w:p>
        </w:tc>
        <w:tc>
          <w:tcPr>
            <w:tcW w:w="2040" w:type="dxa"/>
          </w:tcPr>
          <w:p w:rsidR="00000000" w:rsidRDefault="00000000">
            <w:pPr>
              <w:spacing w:before="40" w:after="40"/>
              <w:ind w:right="650"/>
              <w:jc w:val="right"/>
              <w:rPr>
                <w:bCs/>
                <w:szCs w:val="16"/>
              </w:rPr>
            </w:pPr>
            <w:r>
              <w:rPr>
                <w:bCs/>
                <w:szCs w:val="16"/>
              </w:rPr>
              <w:t>120</w:t>
            </w:r>
          </w:p>
        </w:tc>
        <w:tc>
          <w:tcPr>
            <w:tcW w:w="1986" w:type="dxa"/>
          </w:tcPr>
          <w:p w:rsidR="00000000" w:rsidRDefault="00000000">
            <w:pPr>
              <w:spacing w:before="40" w:after="40"/>
              <w:ind w:right="650"/>
              <w:jc w:val="right"/>
              <w:rPr>
                <w:bCs/>
                <w:szCs w:val="16"/>
              </w:rPr>
            </w:pPr>
            <w:r>
              <w:rPr>
                <w:bCs/>
                <w:szCs w:val="16"/>
              </w:rPr>
              <w:t>239</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20-29</w:t>
            </w:r>
          </w:p>
        </w:tc>
        <w:tc>
          <w:tcPr>
            <w:tcW w:w="2040" w:type="dxa"/>
          </w:tcPr>
          <w:p w:rsidR="00000000" w:rsidRDefault="00000000">
            <w:pPr>
              <w:spacing w:before="40" w:after="40"/>
              <w:ind w:right="650"/>
              <w:jc w:val="right"/>
              <w:rPr>
                <w:bCs/>
                <w:szCs w:val="16"/>
              </w:rPr>
            </w:pPr>
            <w:r>
              <w:rPr>
                <w:bCs/>
                <w:szCs w:val="16"/>
              </w:rPr>
              <w:t>111</w:t>
            </w:r>
          </w:p>
        </w:tc>
        <w:tc>
          <w:tcPr>
            <w:tcW w:w="2040" w:type="dxa"/>
          </w:tcPr>
          <w:p w:rsidR="00000000" w:rsidRDefault="00000000">
            <w:pPr>
              <w:spacing w:before="40" w:after="40"/>
              <w:ind w:right="650"/>
              <w:jc w:val="right"/>
              <w:rPr>
                <w:bCs/>
                <w:szCs w:val="16"/>
              </w:rPr>
            </w:pPr>
            <w:r>
              <w:rPr>
                <w:bCs/>
                <w:szCs w:val="16"/>
              </w:rPr>
              <w:t>97</w:t>
            </w:r>
          </w:p>
        </w:tc>
        <w:tc>
          <w:tcPr>
            <w:tcW w:w="1986" w:type="dxa"/>
          </w:tcPr>
          <w:p w:rsidR="00000000" w:rsidRDefault="00000000">
            <w:pPr>
              <w:spacing w:before="40" w:after="40"/>
              <w:ind w:right="650"/>
              <w:jc w:val="right"/>
              <w:rPr>
                <w:bCs/>
                <w:szCs w:val="16"/>
              </w:rPr>
            </w:pPr>
            <w:r>
              <w:rPr>
                <w:bCs/>
                <w:szCs w:val="16"/>
              </w:rPr>
              <w:t>197</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30-39</w:t>
            </w:r>
          </w:p>
        </w:tc>
        <w:tc>
          <w:tcPr>
            <w:tcW w:w="2040" w:type="dxa"/>
          </w:tcPr>
          <w:p w:rsidR="00000000" w:rsidRDefault="00000000">
            <w:pPr>
              <w:spacing w:before="40" w:after="40"/>
              <w:ind w:right="650"/>
              <w:jc w:val="right"/>
              <w:rPr>
                <w:bCs/>
                <w:szCs w:val="16"/>
              </w:rPr>
            </w:pPr>
            <w:r>
              <w:rPr>
                <w:bCs/>
                <w:szCs w:val="16"/>
              </w:rPr>
              <w:t>105</w:t>
            </w:r>
          </w:p>
        </w:tc>
        <w:tc>
          <w:tcPr>
            <w:tcW w:w="2040" w:type="dxa"/>
          </w:tcPr>
          <w:p w:rsidR="00000000" w:rsidRDefault="00000000">
            <w:pPr>
              <w:spacing w:before="40" w:after="40"/>
              <w:ind w:right="650"/>
              <w:jc w:val="right"/>
              <w:rPr>
                <w:bCs/>
                <w:szCs w:val="16"/>
              </w:rPr>
            </w:pPr>
            <w:r>
              <w:rPr>
                <w:bCs/>
                <w:szCs w:val="16"/>
              </w:rPr>
              <w:t>82</w:t>
            </w:r>
          </w:p>
        </w:tc>
        <w:tc>
          <w:tcPr>
            <w:tcW w:w="1986" w:type="dxa"/>
          </w:tcPr>
          <w:p w:rsidR="00000000" w:rsidRDefault="00000000">
            <w:pPr>
              <w:spacing w:before="40" w:after="40"/>
              <w:ind w:right="650"/>
              <w:jc w:val="right"/>
              <w:rPr>
                <w:bCs/>
                <w:szCs w:val="16"/>
              </w:rPr>
            </w:pPr>
            <w:r>
              <w:rPr>
                <w:bCs/>
                <w:szCs w:val="16"/>
              </w:rPr>
              <w:t>178</w:t>
            </w:r>
          </w:p>
        </w:tc>
      </w:tr>
      <w:tr w:rsidR="00000000">
        <w:tblPrEx>
          <w:tblCellMar>
            <w:top w:w="0" w:type="dxa"/>
            <w:bottom w:w="0" w:type="dxa"/>
          </w:tblCellMar>
        </w:tblPrEx>
        <w:tc>
          <w:tcPr>
            <w:tcW w:w="3360" w:type="dxa"/>
          </w:tcPr>
          <w:p w:rsidR="00000000" w:rsidRDefault="00000000">
            <w:pPr>
              <w:spacing w:before="40" w:after="40"/>
              <w:rPr>
                <w:szCs w:val="16"/>
              </w:rPr>
            </w:pPr>
            <w:r>
              <w:rPr>
                <w:b/>
                <w:szCs w:val="16"/>
              </w:rPr>
              <w:t>Rang de naissance</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spacing w:before="40" w:after="40"/>
              <w:ind w:left="170"/>
              <w:rPr>
                <w:bCs/>
                <w:szCs w:val="16"/>
              </w:rPr>
            </w:pPr>
            <w:r>
              <w:rPr>
                <w:bCs/>
                <w:szCs w:val="16"/>
              </w:rPr>
              <w:t>1</w:t>
            </w:r>
          </w:p>
        </w:tc>
        <w:tc>
          <w:tcPr>
            <w:tcW w:w="2040" w:type="dxa"/>
          </w:tcPr>
          <w:p w:rsidR="00000000" w:rsidRDefault="00000000">
            <w:pPr>
              <w:spacing w:before="40" w:after="40"/>
              <w:ind w:right="650"/>
              <w:jc w:val="right"/>
              <w:rPr>
                <w:bCs/>
                <w:szCs w:val="16"/>
              </w:rPr>
            </w:pPr>
            <w:r>
              <w:rPr>
                <w:bCs/>
                <w:szCs w:val="16"/>
              </w:rPr>
              <w:t>129</w:t>
            </w:r>
          </w:p>
        </w:tc>
        <w:tc>
          <w:tcPr>
            <w:tcW w:w="2040" w:type="dxa"/>
          </w:tcPr>
          <w:p w:rsidR="00000000" w:rsidRDefault="00000000">
            <w:pPr>
              <w:spacing w:before="40" w:after="40"/>
              <w:ind w:right="650"/>
              <w:jc w:val="right"/>
              <w:rPr>
                <w:bCs/>
                <w:szCs w:val="16"/>
              </w:rPr>
            </w:pPr>
            <w:r>
              <w:rPr>
                <w:bCs/>
                <w:szCs w:val="16"/>
              </w:rPr>
              <w:t>100</w:t>
            </w:r>
          </w:p>
        </w:tc>
        <w:tc>
          <w:tcPr>
            <w:tcW w:w="1986" w:type="dxa"/>
          </w:tcPr>
          <w:p w:rsidR="00000000" w:rsidRDefault="00000000">
            <w:pPr>
              <w:spacing w:before="40" w:after="40"/>
              <w:ind w:right="650"/>
              <w:jc w:val="right"/>
              <w:rPr>
                <w:bCs/>
                <w:szCs w:val="16"/>
              </w:rPr>
            </w:pPr>
            <w:r>
              <w:rPr>
                <w:bCs/>
                <w:szCs w:val="16"/>
              </w:rPr>
              <w:t>216</w:t>
            </w:r>
          </w:p>
        </w:tc>
      </w:tr>
      <w:tr w:rsidR="00000000">
        <w:tblPrEx>
          <w:tblCellMar>
            <w:top w:w="0" w:type="dxa"/>
            <w:bottom w:w="0" w:type="dxa"/>
          </w:tblCellMar>
        </w:tblPrEx>
        <w:tc>
          <w:tcPr>
            <w:tcW w:w="3360" w:type="dxa"/>
          </w:tcPr>
          <w:p w:rsidR="00000000" w:rsidRDefault="00000000">
            <w:pPr>
              <w:spacing w:before="40" w:after="40"/>
              <w:ind w:left="170"/>
              <w:rPr>
                <w:bCs/>
                <w:szCs w:val="16"/>
              </w:rPr>
            </w:pPr>
            <w:r>
              <w:rPr>
                <w:bCs/>
                <w:szCs w:val="16"/>
              </w:rPr>
              <w:t>2-3</w:t>
            </w:r>
          </w:p>
        </w:tc>
        <w:tc>
          <w:tcPr>
            <w:tcW w:w="2040" w:type="dxa"/>
          </w:tcPr>
          <w:p w:rsidR="00000000" w:rsidRDefault="00000000">
            <w:pPr>
              <w:spacing w:before="40" w:after="40"/>
              <w:ind w:right="650"/>
              <w:jc w:val="right"/>
              <w:rPr>
                <w:bCs/>
                <w:szCs w:val="16"/>
              </w:rPr>
            </w:pPr>
            <w:r>
              <w:rPr>
                <w:bCs/>
                <w:szCs w:val="16"/>
              </w:rPr>
              <w:t>109</w:t>
            </w:r>
          </w:p>
        </w:tc>
        <w:tc>
          <w:tcPr>
            <w:tcW w:w="2040" w:type="dxa"/>
          </w:tcPr>
          <w:p w:rsidR="00000000" w:rsidRDefault="00000000">
            <w:pPr>
              <w:spacing w:before="40" w:after="40"/>
              <w:ind w:right="650"/>
              <w:jc w:val="right"/>
              <w:rPr>
                <w:bCs/>
                <w:szCs w:val="16"/>
              </w:rPr>
            </w:pPr>
            <w:r>
              <w:rPr>
                <w:bCs/>
                <w:szCs w:val="16"/>
              </w:rPr>
              <w:t>105</w:t>
            </w:r>
          </w:p>
        </w:tc>
        <w:tc>
          <w:tcPr>
            <w:tcW w:w="1986" w:type="dxa"/>
          </w:tcPr>
          <w:p w:rsidR="00000000" w:rsidRDefault="00000000">
            <w:pPr>
              <w:spacing w:before="40" w:after="40"/>
              <w:ind w:right="650"/>
              <w:jc w:val="right"/>
              <w:rPr>
                <w:bCs/>
                <w:szCs w:val="16"/>
              </w:rPr>
            </w:pPr>
            <w:r>
              <w:rPr>
                <w:bCs/>
                <w:szCs w:val="16"/>
              </w:rPr>
              <w:t>202</w:t>
            </w:r>
          </w:p>
        </w:tc>
      </w:tr>
      <w:tr w:rsidR="00000000">
        <w:tblPrEx>
          <w:tblCellMar>
            <w:top w:w="0" w:type="dxa"/>
            <w:bottom w:w="0" w:type="dxa"/>
          </w:tblCellMar>
        </w:tblPrEx>
        <w:tc>
          <w:tcPr>
            <w:tcW w:w="3360" w:type="dxa"/>
          </w:tcPr>
          <w:p w:rsidR="00000000" w:rsidRDefault="00000000">
            <w:pPr>
              <w:spacing w:before="40" w:after="40"/>
              <w:ind w:left="170"/>
              <w:rPr>
                <w:bCs/>
                <w:szCs w:val="16"/>
              </w:rPr>
            </w:pPr>
            <w:r>
              <w:rPr>
                <w:bCs/>
                <w:szCs w:val="16"/>
              </w:rPr>
              <w:t>4-6</w:t>
            </w:r>
          </w:p>
        </w:tc>
        <w:tc>
          <w:tcPr>
            <w:tcW w:w="2040" w:type="dxa"/>
          </w:tcPr>
          <w:p w:rsidR="00000000" w:rsidRDefault="00000000">
            <w:pPr>
              <w:spacing w:before="40" w:after="40"/>
              <w:ind w:right="650"/>
              <w:jc w:val="right"/>
              <w:rPr>
                <w:bCs/>
                <w:szCs w:val="16"/>
              </w:rPr>
            </w:pPr>
            <w:r>
              <w:rPr>
                <w:bCs/>
                <w:szCs w:val="16"/>
              </w:rPr>
              <w:t>106</w:t>
            </w:r>
          </w:p>
        </w:tc>
        <w:tc>
          <w:tcPr>
            <w:tcW w:w="2040" w:type="dxa"/>
          </w:tcPr>
          <w:p w:rsidR="00000000" w:rsidRDefault="00000000">
            <w:pPr>
              <w:spacing w:before="40" w:after="40"/>
              <w:ind w:right="650"/>
              <w:jc w:val="right"/>
              <w:rPr>
                <w:bCs/>
                <w:szCs w:val="16"/>
              </w:rPr>
            </w:pPr>
            <w:r>
              <w:rPr>
                <w:bCs/>
                <w:szCs w:val="16"/>
              </w:rPr>
              <w:t>94</w:t>
            </w:r>
          </w:p>
        </w:tc>
        <w:tc>
          <w:tcPr>
            <w:tcW w:w="1986" w:type="dxa"/>
          </w:tcPr>
          <w:p w:rsidR="00000000" w:rsidRDefault="00000000">
            <w:pPr>
              <w:spacing w:before="40" w:after="40"/>
              <w:ind w:right="650"/>
              <w:jc w:val="right"/>
              <w:rPr>
                <w:bCs/>
                <w:szCs w:val="16"/>
              </w:rPr>
            </w:pPr>
            <w:r>
              <w:rPr>
                <w:bCs/>
                <w:szCs w:val="16"/>
              </w:rPr>
              <w:t>189</w:t>
            </w:r>
          </w:p>
        </w:tc>
      </w:tr>
      <w:tr w:rsidR="00000000">
        <w:tblPrEx>
          <w:tblCellMar>
            <w:top w:w="0" w:type="dxa"/>
            <w:bottom w:w="0" w:type="dxa"/>
          </w:tblCellMar>
        </w:tblPrEx>
        <w:tc>
          <w:tcPr>
            <w:tcW w:w="3360" w:type="dxa"/>
          </w:tcPr>
          <w:p w:rsidR="00000000" w:rsidRDefault="00000000">
            <w:pPr>
              <w:spacing w:before="40" w:after="40"/>
              <w:ind w:left="170"/>
              <w:rPr>
                <w:bCs/>
                <w:szCs w:val="16"/>
              </w:rPr>
            </w:pPr>
            <w:r>
              <w:rPr>
                <w:bCs/>
                <w:szCs w:val="16"/>
              </w:rPr>
              <w:t>7+</w:t>
            </w:r>
          </w:p>
        </w:tc>
        <w:tc>
          <w:tcPr>
            <w:tcW w:w="2040" w:type="dxa"/>
          </w:tcPr>
          <w:p w:rsidR="00000000" w:rsidRDefault="00000000">
            <w:pPr>
              <w:spacing w:before="40" w:after="40"/>
              <w:ind w:right="650"/>
              <w:jc w:val="right"/>
              <w:rPr>
                <w:bCs/>
                <w:szCs w:val="16"/>
              </w:rPr>
            </w:pPr>
            <w:r>
              <w:rPr>
                <w:bCs/>
                <w:szCs w:val="16"/>
              </w:rPr>
              <w:t>129</w:t>
            </w:r>
          </w:p>
        </w:tc>
        <w:tc>
          <w:tcPr>
            <w:tcW w:w="2040" w:type="dxa"/>
          </w:tcPr>
          <w:p w:rsidR="00000000" w:rsidRDefault="00000000">
            <w:pPr>
              <w:spacing w:before="40" w:after="40"/>
              <w:ind w:right="650"/>
              <w:jc w:val="right"/>
              <w:rPr>
                <w:bCs/>
                <w:szCs w:val="16"/>
              </w:rPr>
            </w:pPr>
            <w:r>
              <w:rPr>
                <w:bCs/>
                <w:szCs w:val="16"/>
              </w:rPr>
              <w:t>95</w:t>
            </w:r>
          </w:p>
        </w:tc>
        <w:tc>
          <w:tcPr>
            <w:tcW w:w="1986" w:type="dxa"/>
          </w:tcPr>
          <w:p w:rsidR="00000000" w:rsidRDefault="00000000">
            <w:pPr>
              <w:spacing w:before="40" w:after="40"/>
              <w:ind w:right="650"/>
              <w:jc w:val="right"/>
              <w:rPr>
                <w:bCs/>
                <w:szCs w:val="16"/>
              </w:rPr>
            </w:pPr>
            <w:r>
              <w:rPr>
                <w:bCs/>
                <w:szCs w:val="16"/>
              </w:rPr>
              <w:t>212</w:t>
            </w:r>
          </w:p>
        </w:tc>
      </w:tr>
      <w:tr w:rsidR="00000000">
        <w:tblPrEx>
          <w:tblCellMar>
            <w:top w:w="0" w:type="dxa"/>
            <w:bottom w:w="0" w:type="dxa"/>
          </w:tblCellMar>
        </w:tblPrEx>
        <w:tc>
          <w:tcPr>
            <w:tcW w:w="3360" w:type="dxa"/>
          </w:tcPr>
          <w:p w:rsidR="00000000" w:rsidRDefault="00000000">
            <w:pPr>
              <w:keepNext/>
              <w:spacing w:before="40" w:after="40"/>
              <w:rPr>
                <w:bCs/>
                <w:szCs w:val="16"/>
              </w:rPr>
            </w:pPr>
            <w:r>
              <w:rPr>
                <w:b/>
                <w:szCs w:val="16"/>
              </w:rPr>
              <w:t>Intervalle avec naissance précédente</w:t>
            </w:r>
          </w:p>
        </w:tc>
        <w:tc>
          <w:tcPr>
            <w:tcW w:w="2040" w:type="dxa"/>
          </w:tcPr>
          <w:p w:rsidR="00000000" w:rsidRDefault="00000000">
            <w:pPr>
              <w:spacing w:before="40" w:after="40"/>
              <w:ind w:right="650"/>
              <w:jc w:val="right"/>
              <w:rPr>
                <w:bCs/>
                <w:szCs w:val="16"/>
              </w:rPr>
            </w:pPr>
          </w:p>
        </w:tc>
        <w:tc>
          <w:tcPr>
            <w:tcW w:w="2040" w:type="dxa"/>
          </w:tcPr>
          <w:p w:rsidR="00000000" w:rsidRDefault="00000000">
            <w:pPr>
              <w:spacing w:before="40" w:after="40"/>
              <w:ind w:right="650"/>
              <w:jc w:val="right"/>
              <w:rPr>
                <w:bCs/>
                <w:szCs w:val="16"/>
              </w:rPr>
            </w:pPr>
          </w:p>
        </w:tc>
        <w:tc>
          <w:tcPr>
            <w:tcW w:w="1986" w:type="dxa"/>
          </w:tcPr>
          <w:p w:rsidR="00000000" w:rsidRDefault="00000000">
            <w:pPr>
              <w:spacing w:before="40" w:after="40"/>
              <w:ind w:right="650"/>
              <w:jc w:val="right"/>
              <w:rPr>
                <w:bCs/>
                <w:szCs w:val="16"/>
              </w:rPr>
            </w:pPr>
          </w:p>
        </w:tc>
      </w:tr>
      <w:tr w:rsidR="00000000">
        <w:tblPrEx>
          <w:tblCellMar>
            <w:top w:w="0" w:type="dxa"/>
            <w:bottom w:w="0" w:type="dxa"/>
          </w:tblCellMar>
        </w:tblPrEx>
        <w:tc>
          <w:tcPr>
            <w:tcW w:w="3360" w:type="dxa"/>
          </w:tcPr>
          <w:p w:rsidR="00000000" w:rsidRDefault="00000000">
            <w:pPr>
              <w:keepNext/>
              <w:spacing w:before="40" w:after="40"/>
              <w:ind w:left="170"/>
              <w:rPr>
                <w:bCs/>
                <w:szCs w:val="16"/>
              </w:rPr>
            </w:pPr>
            <w:r>
              <w:rPr>
                <w:szCs w:val="16"/>
              </w:rPr>
              <w:t>&lt;2 années</w:t>
            </w:r>
          </w:p>
        </w:tc>
        <w:tc>
          <w:tcPr>
            <w:tcW w:w="2040" w:type="dxa"/>
          </w:tcPr>
          <w:p w:rsidR="00000000" w:rsidRDefault="00000000">
            <w:pPr>
              <w:spacing w:before="40" w:after="40"/>
              <w:ind w:right="650"/>
              <w:jc w:val="right"/>
              <w:rPr>
                <w:bCs/>
                <w:szCs w:val="16"/>
              </w:rPr>
            </w:pPr>
            <w:r>
              <w:rPr>
                <w:bCs/>
                <w:szCs w:val="16"/>
              </w:rPr>
              <w:t>173</w:t>
            </w:r>
          </w:p>
        </w:tc>
        <w:tc>
          <w:tcPr>
            <w:tcW w:w="2040" w:type="dxa"/>
          </w:tcPr>
          <w:p w:rsidR="00000000" w:rsidRDefault="00000000">
            <w:pPr>
              <w:spacing w:before="40" w:after="40"/>
              <w:ind w:right="650"/>
              <w:jc w:val="right"/>
              <w:rPr>
                <w:bCs/>
                <w:szCs w:val="16"/>
              </w:rPr>
            </w:pPr>
            <w:r>
              <w:rPr>
                <w:bCs/>
                <w:szCs w:val="16"/>
              </w:rPr>
              <w:t>120</w:t>
            </w:r>
          </w:p>
        </w:tc>
        <w:tc>
          <w:tcPr>
            <w:tcW w:w="1986" w:type="dxa"/>
          </w:tcPr>
          <w:p w:rsidR="00000000" w:rsidRDefault="00000000">
            <w:pPr>
              <w:spacing w:before="40" w:after="40"/>
              <w:ind w:right="650"/>
              <w:jc w:val="right"/>
              <w:rPr>
                <w:bCs/>
                <w:szCs w:val="16"/>
              </w:rPr>
            </w:pPr>
            <w:r>
              <w:rPr>
                <w:bCs/>
                <w:szCs w:val="16"/>
              </w:rPr>
              <w:t>273</w:t>
            </w:r>
          </w:p>
        </w:tc>
      </w:tr>
      <w:tr w:rsidR="00000000">
        <w:tblPrEx>
          <w:tblCellMar>
            <w:top w:w="0" w:type="dxa"/>
            <w:bottom w:w="0" w:type="dxa"/>
          </w:tblCellMar>
        </w:tblPrEx>
        <w:tc>
          <w:tcPr>
            <w:tcW w:w="3360" w:type="dxa"/>
          </w:tcPr>
          <w:p w:rsidR="00000000" w:rsidRDefault="00000000">
            <w:pPr>
              <w:keepNext/>
              <w:spacing w:before="40" w:after="40"/>
              <w:ind w:left="170"/>
              <w:rPr>
                <w:szCs w:val="16"/>
              </w:rPr>
            </w:pPr>
            <w:r>
              <w:rPr>
                <w:szCs w:val="16"/>
              </w:rPr>
              <w:t>2 années</w:t>
            </w:r>
          </w:p>
        </w:tc>
        <w:tc>
          <w:tcPr>
            <w:tcW w:w="2040" w:type="dxa"/>
          </w:tcPr>
          <w:p w:rsidR="00000000" w:rsidRDefault="00000000">
            <w:pPr>
              <w:spacing w:before="40" w:after="40"/>
              <w:ind w:right="650"/>
              <w:jc w:val="right"/>
              <w:rPr>
                <w:bCs/>
                <w:szCs w:val="16"/>
              </w:rPr>
            </w:pPr>
            <w:r>
              <w:rPr>
                <w:bCs/>
                <w:szCs w:val="16"/>
              </w:rPr>
              <w:t>100</w:t>
            </w:r>
          </w:p>
        </w:tc>
        <w:tc>
          <w:tcPr>
            <w:tcW w:w="2040" w:type="dxa"/>
          </w:tcPr>
          <w:p w:rsidR="00000000" w:rsidRDefault="00000000">
            <w:pPr>
              <w:spacing w:before="40" w:after="40"/>
              <w:ind w:right="650"/>
              <w:jc w:val="right"/>
              <w:rPr>
                <w:bCs/>
                <w:szCs w:val="16"/>
              </w:rPr>
            </w:pPr>
            <w:r>
              <w:rPr>
                <w:bCs/>
                <w:szCs w:val="16"/>
              </w:rPr>
              <w:t>101</w:t>
            </w:r>
          </w:p>
        </w:tc>
        <w:tc>
          <w:tcPr>
            <w:tcW w:w="1986" w:type="dxa"/>
          </w:tcPr>
          <w:p w:rsidR="00000000" w:rsidRDefault="00000000">
            <w:pPr>
              <w:spacing w:before="40" w:after="40"/>
              <w:ind w:right="650"/>
              <w:jc w:val="right"/>
              <w:rPr>
                <w:bCs/>
                <w:szCs w:val="16"/>
              </w:rPr>
            </w:pPr>
            <w:r>
              <w:rPr>
                <w:bCs/>
                <w:szCs w:val="16"/>
              </w:rPr>
              <w:t>191</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3 années</w:t>
            </w:r>
          </w:p>
        </w:tc>
        <w:tc>
          <w:tcPr>
            <w:tcW w:w="2040" w:type="dxa"/>
          </w:tcPr>
          <w:p w:rsidR="00000000" w:rsidRDefault="00000000">
            <w:pPr>
              <w:spacing w:before="40" w:after="40"/>
              <w:ind w:right="650"/>
              <w:jc w:val="right"/>
              <w:rPr>
                <w:bCs/>
                <w:szCs w:val="16"/>
              </w:rPr>
            </w:pPr>
            <w:r>
              <w:rPr>
                <w:bCs/>
                <w:szCs w:val="16"/>
              </w:rPr>
              <w:t>49</w:t>
            </w:r>
          </w:p>
        </w:tc>
        <w:tc>
          <w:tcPr>
            <w:tcW w:w="2040" w:type="dxa"/>
          </w:tcPr>
          <w:p w:rsidR="00000000" w:rsidRDefault="00000000">
            <w:pPr>
              <w:spacing w:before="40" w:after="40"/>
              <w:ind w:right="650"/>
              <w:jc w:val="right"/>
              <w:rPr>
                <w:bCs/>
                <w:szCs w:val="16"/>
              </w:rPr>
            </w:pPr>
            <w:r>
              <w:rPr>
                <w:bCs/>
                <w:szCs w:val="16"/>
              </w:rPr>
              <w:t>79</w:t>
            </w:r>
          </w:p>
        </w:tc>
        <w:tc>
          <w:tcPr>
            <w:tcW w:w="1986" w:type="dxa"/>
          </w:tcPr>
          <w:p w:rsidR="00000000" w:rsidRDefault="00000000">
            <w:pPr>
              <w:spacing w:before="40" w:after="40"/>
              <w:ind w:right="650"/>
              <w:jc w:val="right"/>
              <w:rPr>
                <w:bCs/>
                <w:szCs w:val="16"/>
              </w:rPr>
            </w:pPr>
            <w:r>
              <w:rPr>
                <w:bCs/>
                <w:szCs w:val="16"/>
              </w:rPr>
              <w:t>124</w:t>
            </w:r>
          </w:p>
        </w:tc>
      </w:tr>
      <w:tr w:rsidR="00000000">
        <w:tblPrEx>
          <w:tblCellMar>
            <w:top w:w="0" w:type="dxa"/>
            <w:bottom w:w="0" w:type="dxa"/>
          </w:tblCellMar>
        </w:tblPrEx>
        <w:tc>
          <w:tcPr>
            <w:tcW w:w="3360" w:type="dxa"/>
          </w:tcPr>
          <w:p w:rsidR="00000000" w:rsidRDefault="00000000">
            <w:pPr>
              <w:spacing w:before="40" w:after="40"/>
              <w:ind w:left="170"/>
              <w:rPr>
                <w:szCs w:val="16"/>
              </w:rPr>
            </w:pPr>
            <w:r>
              <w:rPr>
                <w:szCs w:val="16"/>
              </w:rPr>
              <w:t>4 + années</w:t>
            </w:r>
          </w:p>
        </w:tc>
        <w:tc>
          <w:tcPr>
            <w:tcW w:w="2040" w:type="dxa"/>
          </w:tcPr>
          <w:p w:rsidR="00000000" w:rsidRDefault="00000000">
            <w:pPr>
              <w:spacing w:before="40" w:after="40"/>
              <w:ind w:right="650"/>
              <w:jc w:val="right"/>
              <w:rPr>
                <w:bCs/>
                <w:szCs w:val="16"/>
              </w:rPr>
            </w:pPr>
            <w:r>
              <w:rPr>
                <w:bCs/>
                <w:szCs w:val="16"/>
              </w:rPr>
              <w:t>58</w:t>
            </w:r>
          </w:p>
        </w:tc>
        <w:tc>
          <w:tcPr>
            <w:tcW w:w="2040" w:type="dxa"/>
          </w:tcPr>
          <w:p w:rsidR="00000000" w:rsidRDefault="00000000">
            <w:pPr>
              <w:spacing w:before="40" w:after="40"/>
              <w:ind w:right="650"/>
              <w:jc w:val="right"/>
              <w:rPr>
                <w:bCs/>
                <w:szCs w:val="16"/>
              </w:rPr>
            </w:pPr>
            <w:r>
              <w:rPr>
                <w:bCs/>
                <w:szCs w:val="16"/>
              </w:rPr>
              <w:t>46</w:t>
            </w:r>
          </w:p>
        </w:tc>
        <w:tc>
          <w:tcPr>
            <w:tcW w:w="1986" w:type="dxa"/>
          </w:tcPr>
          <w:p w:rsidR="00000000" w:rsidRDefault="00000000">
            <w:pPr>
              <w:spacing w:before="40" w:after="40"/>
              <w:ind w:right="650"/>
              <w:jc w:val="right"/>
              <w:rPr>
                <w:bCs/>
                <w:szCs w:val="16"/>
              </w:rPr>
            </w:pPr>
            <w:r>
              <w:rPr>
                <w:bCs/>
                <w:szCs w:val="16"/>
              </w:rPr>
              <w:t>101</w:t>
            </w:r>
          </w:p>
        </w:tc>
      </w:tr>
      <w:tr w:rsidR="00000000">
        <w:tblPrEx>
          <w:tblCellMar>
            <w:top w:w="0" w:type="dxa"/>
            <w:bottom w:w="0" w:type="dxa"/>
          </w:tblCellMar>
        </w:tblPrEx>
        <w:tc>
          <w:tcPr>
            <w:tcW w:w="3360" w:type="dxa"/>
            <w:tcBorders>
              <w:bottom w:val="single" w:sz="4" w:space="0" w:color="auto"/>
            </w:tcBorders>
          </w:tcPr>
          <w:p w:rsidR="00000000" w:rsidRDefault="00000000">
            <w:pPr>
              <w:spacing w:before="40" w:after="40"/>
              <w:ind w:left="170"/>
              <w:rPr>
                <w:szCs w:val="16"/>
              </w:rPr>
            </w:pPr>
            <w:r>
              <w:rPr>
                <w:b/>
                <w:szCs w:val="16"/>
              </w:rPr>
              <w:t>Ensemble</w:t>
            </w:r>
          </w:p>
        </w:tc>
        <w:tc>
          <w:tcPr>
            <w:tcW w:w="2040" w:type="dxa"/>
            <w:tcBorders>
              <w:bottom w:val="single" w:sz="4" w:space="0" w:color="auto"/>
            </w:tcBorders>
          </w:tcPr>
          <w:p w:rsidR="00000000" w:rsidRDefault="00000000">
            <w:pPr>
              <w:spacing w:before="40" w:after="40"/>
              <w:ind w:right="650"/>
              <w:jc w:val="right"/>
              <w:rPr>
                <w:b/>
                <w:szCs w:val="16"/>
              </w:rPr>
            </w:pPr>
            <w:r>
              <w:rPr>
                <w:b/>
                <w:szCs w:val="16"/>
              </w:rPr>
              <w:t>115</w:t>
            </w:r>
          </w:p>
        </w:tc>
        <w:tc>
          <w:tcPr>
            <w:tcW w:w="2040" w:type="dxa"/>
            <w:tcBorders>
              <w:bottom w:val="single" w:sz="4" w:space="0" w:color="auto"/>
            </w:tcBorders>
          </w:tcPr>
          <w:p w:rsidR="00000000" w:rsidRDefault="00000000">
            <w:pPr>
              <w:spacing w:before="40" w:after="40"/>
              <w:ind w:right="650"/>
              <w:jc w:val="right"/>
              <w:rPr>
                <w:b/>
                <w:szCs w:val="16"/>
              </w:rPr>
            </w:pPr>
            <w:r>
              <w:rPr>
                <w:b/>
                <w:szCs w:val="16"/>
              </w:rPr>
              <w:t>99</w:t>
            </w:r>
          </w:p>
        </w:tc>
        <w:tc>
          <w:tcPr>
            <w:tcW w:w="1986" w:type="dxa"/>
            <w:tcBorders>
              <w:bottom w:val="single" w:sz="4" w:space="0" w:color="auto"/>
            </w:tcBorders>
          </w:tcPr>
          <w:p w:rsidR="00000000" w:rsidRDefault="00000000">
            <w:pPr>
              <w:spacing w:before="40" w:after="40"/>
              <w:ind w:right="650"/>
              <w:jc w:val="right"/>
              <w:rPr>
                <w:bCs/>
                <w:szCs w:val="16"/>
              </w:rPr>
            </w:pPr>
            <w:r>
              <w:rPr>
                <w:bCs/>
                <w:szCs w:val="16"/>
              </w:rPr>
              <w:t>203</w:t>
            </w:r>
          </w:p>
        </w:tc>
      </w:tr>
    </w:tbl>
    <w:p w:rsidR="00000000" w:rsidRDefault="00000000">
      <w:pPr>
        <w:spacing w:before="240" w:after="240"/>
        <w:ind w:firstLine="567"/>
        <w:rPr>
          <w:szCs w:val="16"/>
        </w:rPr>
      </w:pPr>
      <w:r>
        <w:rPr>
          <w:szCs w:val="16"/>
        </w:rPr>
        <w:t>Source: EDST 2003 p. 215 et 218.</w:t>
      </w:r>
    </w:p>
    <w:p w:rsidR="00000000" w:rsidRDefault="00000000">
      <w:pPr>
        <w:spacing w:after="240"/>
        <w:ind w:firstLine="567"/>
        <w:rPr>
          <w:i/>
          <w:szCs w:val="22"/>
        </w:rPr>
      </w:pPr>
      <w:r>
        <w:rPr>
          <w:iCs/>
          <w:szCs w:val="22"/>
        </w:rPr>
        <w:t>b)</w:t>
      </w:r>
      <w:r>
        <w:rPr>
          <w:iCs/>
          <w:szCs w:val="22"/>
        </w:rPr>
        <w:tab/>
      </w:r>
      <w:r>
        <w:rPr>
          <w:i/>
          <w:szCs w:val="22"/>
        </w:rPr>
        <w:t>La proportion d’enfants présentant une insuffisance pondérale</w:t>
      </w:r>
    </w:p>
    <w:p w:rsidR="00000000" w:rsidRDefault="00000000">
      <w:pPr>
        <w:spacing w:after="240"/>
        <w:rPr>
          <w:iCs/>
          <w:szCs w:val="22"/>
        </w:rPr>
      </w:pPr>
      <w:r>
        <w:rPr>
          <w:iCs/>
          <w:szCs w:val="22"/>
        </w:rPr>
        <w:t>186.</w:t>
      </w:r>
      <w:r>
        <w:rPr>
          <w:iCs/>
          <w:szCs w:val="22"/>
        </w:rPr>
        <w:tab/>
        <w:t xml:space="preserve">41 % d’enfants de moins de 5 ans accusent un retard de croissance dont près de la moitié sous une forme sévère et 14 % souffrent de la malnutrition aiguë. </w:t>
      </w:r>
    </w:p>
    <w:p w:rsidR="00000000" w:rsidRDefault="00000000">
      <w:pPr>
        <w:spacing w:after="240"/>
        <w:rPr>
          <w:iCs/>
          <w:szCs w:val="22"/>
        </w:rPr>
      </w:pPr>
      <w:r>
        <w:rPr>
          <w:iCs/>
          <w:szCs w:val="22"/>
        </w:rPr>
        <w:t>187.</w:t>
      </w:r>
      <w:r>
        <w:rPr>
          <w:iCs/>
          <w:szCs w:val="22"/>
        </w:rPr>
        <w:tab/>
        <w:t>Pour les enfants dont l’âge varie entre 24- 35 mois, 54 % sont trop petits pour leur âge.</w:t>
      </w:r>
    </w:p>
    <w:p w:rsidR="00000000" w:rsidRDefault="00000000">
      <w:pPr>
        <w:spacing w:after="240"/>
        <w:rPr>
          <w:iCs/>
          <w:szCs w:val="22"/>
        </w:rPr>
      </w:pPr>
      <w:r>
        <w:rPr>
          <w:iCs/>
          <w:szCs w:val="22"/>
        </w:rPr>
        <w:t>188.</w:t>
      </w:r>
      <w:r>
        <w:rPr>
          <w:iCs/>
          <w:szCs w:val="22"/>
        </w:rPr>
        <w:tab/>
        <w:t>Notons que la prévalence de l’insuffisance pondérale est particulièrement élevée parmi les enfants du BET, Kanem et Lac (59 %).</w:t>
      </w:r>
    </w:p>
    <w:p w:rsidR="00000000" w:rsidRDefault="00000000">
      <w:pPr>
        <w:spacing w:after="240"/>
        <w:rPr>
          <w:iCs/>
          <w:szCs w:val="22"/>
        </w:rPr>
      </w:pPr>
      <w:r>
        <w:rPr>
          <w:iCs/>
          <w:szCs w:val="22"/>
        </w:rPr>
        <w:t>189.</w:t>
      </w:r>
      <w:r>
        <w:rPr>
          <w:iCs/>
          <w:szCs w:val="22"/>
        </w:rPr>
        <w:tab/>
        <w:t xml:space="preserve">Le tableau et le graphique ci-dessous présentent le pourcentage d’enfants de moins de 5 ans considérés comme atteints de malnutrition selon les trois indices anthropométriques de l’état nutritionnel (taille pour âge, poids pour taille et poids pour âge) ainsi que le pourcentage des enfants accusant un retard de croissance. </w:t>
      </w:r>
    </w:p>
    <w:p w:rsidR="00000000" w:rsidRDefault="00000000">
      <w:pPr>
        <w:spacing w:after="240"/>
        <w:jc w:val="center"/>
        <w:rPr>
          <w:b/>
          <w:bCs/>
          <w:iCs/>
        </w:rPr>
      </w:pPr>
      <w:r>
        <w:rPr>
          <w:b/>
          <w:bCs/>
          <w:iCs/>
        </w:rPr>
        <w:t>Tableau 7.  Enfants atteints de malnutrition</w:t>
      </w:r>
    </w:p>
    <w:tbl>
      <w:tblPr>
        <w:tblW w:w="0" w:type="auto"/>
        <w:tblCellMar>
          <w:left w:w="70" w:type="dxa"/>
          <w:right w:w="70" w:type="dxa"/>
        </w:tblCellMar>
        <w:tblLook w:val="0000" w:firstRow="0" w:lastRow="0" w:firstColumn="0" w:lastColumn="0" w:noHBand="0" w:noVBand="0"/>
      </w:tblPr>
      <w:tblGrid>
        <w:gridCol w:w="1474"/>
        <w:gridCol w:w="1128"/>
        <w:gridCol w:w="1164"/>
        <w:gridCol w:w="1156"/>
        <w:gridCol w:w="1156"/>
        <w:gridCol w:w="1156"/>
        <w:gridCol w:w="1156"/>
        <w:gridCol w:w="1106"/>
      </w:tblGrid>
      <w:tr w:rsidR="00000000">
        <w:tblPrEx>
          <w:tblCellMar>
            <w:top w:w="0" w:type="dxa"/>
            <w:bottom w:w="0" w:type="dxa"/>
          </w:tblCellMar>
        </w:tblPrEx>
        <w:trPr>
          <w:tblHeader/>
        </w:trPr>
        <w:tc>
          <w:tcPr>
            <w:tcW w:w="2602" w:type="dxa"/>
            <w:gridSpan w:val="2"/>
            <w:tcBorders>
              <w:top w:val="single" w:sz="4" w:space="0" w:color="auto"/>
            </w:tcBorders>
          </w:tcPr>
          <w:p w:rsidR="00000000" w:rsidRDefault="00000000">
            <w:pPr>
              <w:spacing w:before="40" w:after="40"/>
              <w:jc w:val="center"/>
              <w:rPr>
                <w:szCs w:val="16"/>
              </w:rPr>
            </w:pPr>
          </w:p>
        </w:tc>
        <w:tc>
          <w:tcPr>
            <w:tcW w:w="2320" w:type="dxa"/>
            <w:gridSpan w:val="2"/>
            <w:tcBorders>
              <w:top w:val="single" w:sz="4" w:space="0" w:color="auto"/>
            </w:tcBorders>
          </w:tcPr>
          <w:p w:rsidR="00000000" w:rsidRDefault="00000000">
            <w:pPr>
              <w:spacing w:before="40" w:after="40"/>
              <w:jc w:val="center"/>
              <w:rPr>
                <w:szCs w:val="16"/>
              </w:rPr>
            </w:pPr>
            <w:r>
              <w:rPr>
                <w:szCs w:val="16"/>
              </w:rPr>
              <w:t>Taille pour âge</w:t>
            </w:r>
          </w:p>
        </w:tc>
        <w:tc>
          <w:tcPr>
            <w:tcW w:w="2312" w:type="dxa"/>
            <w:gridSpan w:val="2"/>
            <w:tcBorders>
              <w:top w:val="single" w:sz="4" w:space="0" w:color="auto"/>
            </w:tcBorders>
          </w:tcPr>
          <w:p w:rsidR="00000000" w:rsidRDefault="00000000">
            <w:pPr>
              <w:spacing w:before="40" w:after="40"/>
              <w:jc w:val="center"/>
              <w:rPr>
                <w:szCs w:val="16"/>
              </w:rPr>
            </w:pPr>
            <w:r>
              <w:rPr>
                <w:szCs w:val="16"/>
              </w:rPr>
              <w:t>poids pour taille</w:t>
            </w:r>
          </w:p>
        </w:tc>
        <w:tc>
          <w:tcPr>
            <w:tcW w:w="2262" w:type="dxa"/>
            <w:gridSpan w:val="2"/>
            <w:tcBorders>
              <w:top w:val="single" w:sz="4" w:space="0" w:color="auto"/>
            </w:tcBorders>
          </w:tcPr>
          <w:p w:rsidR="00000000" w:rsidRDefault="00000000">
            <w:pPr>
              <w:spacing w:before="40" w:after="40"/>
              <w:jc w:val="center"/>
              <w:rPr>
                <w:szCs w:val="16"/>
              </w:rPr>
            </w:pPr>
            <w:r>
              <w:rPr>
                <w:szCs w:val="16"/>
              </w:rPr>
              <w:t>poids pour âge</w:t>
            </w:r>
          </w:p>
        </w:tc>
      </w:tr>
      <w:tr w:rsidR="00000000">
        <w:tblPrEx>
          <w:tblCellMar>
            <w:top w:w="0" w:type="dxa"/>
            <w:bottom w:w="0" w:type="dxa"/>
          </w:tblCellMar>
        </w:tblPrEx>
        <w:trPr>
          <w:tblHeader/>
        </w:trPr>
        <w:tc>
          <w:tcPr>
            <w:tcW w:w="2602" w:type="dxa"/>
            <w:gridSpan w:val="2"/>
          </w:tcPr>
          <w:p w:rsidR="00000000" w:rsidRDefault="00000000">
            <w:pPr>
              <w:spacing w:before="40" w:after="40"/>
              <w:rPr>
                <w:szCs w:val="16"/>
              </w:rPr>
            </w:pPr>
            <w:r>
              <w:rPr>
                <w:szCs w:val="16"/>
              </w:rPr>
              <w:t>effectif d’enfants</w:t>
            </w:r>
          </w:p>
        </w:tc>
        <w:tc>
          <w:tcPr>
            <w:tcW w:w="2320" w:type="dxa"/>
            <w:gridSpan w:val="2"/>
          </w:tcPr>
          <w:p w:rsidR="00000000" w:rsidRDefault="00000000">
            <w:pPr>
              <w:spacing w:before="40" w:after="40"/>
              <w:rPr>
                <w:szCs w:val="16"/>
              </w:rPr>
            </w:pPr>
          </w:p>
        </w:tc>
        <w:tc>
          <w:tcPr>
            <w:tcW w:w="2312" w:type="dxa"/>
            <w:gridSpan w:val="2"/>
          </w:tcPr>
          <w:p w:rsidR="00000000" w:rsidRDefault="00000000">
            <w:pPr>
              <w:spacing w:before="40" w:after="40"/>
              <w:rPr>
                <w:szCs w:val="16"/>
              </w:rPr>
            </w:pPr>
          </w:p>
        </w:tc>
        <w:tc>
          <w:tcPr>
            <w:tcW w:w="2262" w:type="dxa"/>
            <w:gridSpan w:val="2"/>
          </w:tcPr>
          <w:p w:rsidR="00000000" w:rsidRDefault="00000000">
            <w:pPr>
              <w:spacing w:before="40" w:after="40"/>
              <w:rPr>
                <w:szCs w:val="16"/>
              </w:rPr>
            </w:pPr>
          </w:p>
        </w:tc>
      </w:tr>
      <w:tr w:rsidR="00000000">
        <w:tblPrEx>
          <w:tblCellMar>
            <w:top w:w="0" w:type="dxa"/>
            <w:bottom w:w="0" w:type="dxa"/>
          </w:tblCellMar>
        </w:tblPrEx>
        <w:trPr>
          <w:cantSplit/>
          <w:tblHeader/>
        </w:trPr>
        <w:tc>
          <w:tcPr>
            <w:tcW w:w="2602" w:type="dxa"/>
            <w:gridSpan w:val="2"/>
            <w:tcBorders>
              <w:bottom w:val="single" w:sz="4" w:space="0" w:color="auto"/>
            </w:tcBorders>
          </w:tcPr>
          <w:p w:rsidR="00000000" w:rsidRDefault="00000000">
            <w:pPr>
              <w:spacing w:before="40" w:after="40"/>
              <w:rPr>
                <w:szCs w:val="16"/>
              </w:rPr>
            </w:pPr>
          </w:p>
        </w:tc>
        <w:tc>
          <w:tcPr>
            <w:tcW w:w="1164" w:type="dxa"/>
            <w:tcBorders>
              <w:bottom w:val="single" w:sz="4" w:space="0" w:color="auto"/>
            </w:tcBorders>
          </w:tcPr>
          <w:p w:rsidR="00000000" w:rsidRDefault="00000000">
            <w:pPr>
              <w:spacing w:before="40" w:after="40"/>
              <w:jc w:val="center"/>
              <w:rPr>
                <w:szCs w:val="16"/>
              </w:rPr>
            </w:pPr>
            <w:r>
              <w:rPr>
                <w:szCs w:val="16"/>
              </w:rPr>
              <w:t>% &lt; -3 ET</w:t>
            </w:r>
          </w:p>
        </w:tc>
        <w:tc>
          <w:tcPr>
            <w:tcW w:w="1156" w:type="dxa"/>
            <w:tcBorders>
              <w:bottom w:val="single" w:sz="4" w:space="0" w:color="auto"/>
            </w:tcBorders>
          </w:tcPr>
          <w:p w:rsidR="00000000" w:rsidRDefault="00000000">
            <w:pPr>
              <w:spacing w:before="40" w:after="40"/>
              <w:jc w:val="center"/>
              <w:rPr>
                <w:szCs w:val="16"/>
              </w:rPr>
            </w:pPr>
            <w:r>
              <w:rPr>
                <w:szCs w:val="16"/>
              </w:rPr>
              <w:t>% &lt; -2ET</w:t>
            </w:r>
          </w:p>
        </w:tc>
        <w:tc>
          <w:tcPr>
            <w:tcW w:w="1156" w:type="dxa"/>
            <w:tcBorders>
              <w:bottom w:val="single" w:sz="4" w:space="0" w:color="auto"/>
            </w:tcBorders>
          </w:tcPr>
          <w:p w:rsidR="00000000" w:rsidRDefault="00000000">
            <w:pPr>
              <w:spacing w:before="40" w:after="40"/>
              <w:jc w:val="center"/>
              <w:rPr>
                <w:szCs w:val="16"/>
              </w:rPr>
            </w:pPr>
            <w:r>
              <w:rPr>
                <w:szCs w:val="16"/>
              </w:rPr>
              <w:t>% &lt; -3ET</w:t>
            </w:r>
          </w:p>
        </w:tc>
        <w:tc>
          <w:tcPr>
            <w:tcW w:w="1156" w:type="dxa"/>
            <w:tcBorders>
              <w:bottom w:val="single" w:sz="4" w:space="0" w:color="auto"/>
            </w:tcBorders>
          </w:tcPr>
          <w:p w:rsidR="00000000" w:rsidRDefault="00000000">
            <w:pPr>
              <w:spacing w:before="40" w:after="40"/>
              <w:jc w:val="center"/>
              <w:rPr>
                <w:szCs w:val="16"/>
              </w:rPr>
            </w:pPr>
            <w:r>
              <w:rPr>
                <w:szCs w:val="16"/>
              </w:rPr>
              <w:t>% &lt; -2ET</w:t>
            </w:r>
          </w:p>
        </w:tc>
        <w:tc>
          <w:tcPr>
            <w:tcW w:w="1156" w:type="dxa"/>
            <w:tcBorders>
              <w:bottom w:val="single" w:sz="4" w:space="0" w:color="auto"/>
            </w:tcBorders>
          </w:tcPr>
          <w:p w:rsidR="00000000" w:rsidRDefault="00000000">
            <w:pPr>
              <w:spacing w:before="40" w:after="40"/>
              <w:jc w:val="center"/>
              <w:rPr>
                <w:szCs w:val="16"/>
              </w:rPr>
            </w:pPr>
            <w:r>
              <w:rPr>
                <w:szCs w:val="16"/>
              </w:rPr>
              <w:t>% &lt; -3ET</w:t>
            </w:r>
          </w:p>
        </w:tc>
        <w:tc>
          <w:tcPr>
            <w:tcW w:w="1106" w:type="dxa"/>
            <w:tcBorders>
              <w:bottom w:val="single" w:sz="4" w:space="0" w:color="auto"/>
            </w:tcBorders>
          </w:tcPr>
          <w:p w:rsidR="00000000" w:rsidRDefault="00000000">
            <w:pPr>
              <w:spacing w:before="40" w:after="40"/>
              <w:jc w:val="center"/>
              <w:rPr>
                <w:szCs w:val="16"/>
              </w:rPr>
            </w:pPr>
            <w:r>
              <w:rPr>
                <w:szCs w:val="16"/>
              </w:rPr>
              <w:t>% &lt; -2ET</w:t>
            </w:r>
          </w:p>
        </w:tc>
      </w:tr>
      <w:tr w:rsidR="00000000">
        <w:tblPrEx>
          <w:tblCellMar>
            <w:top w:w="0" w:type="dxa"/>
            <w:bottom w:w="0" w:type="dxa"/>
          </w:tblCellMar>
        </w:tblPrEx>
        <w:trPr>
          <w:cantSplit/>
        </w:trPr>
        <w:tc>
          <w:tcPr>
            <w:tcW w:w="2602" w:type="dxa"/>
            <w:gridSpan w:val="2"/>
            <w:tcBorders>
              <w:top w:val="single" w:sz="4" w:space="0" w:color="auto"/>
            </w:tcBorders>
          </w:tcPr>
          <w:p w:rsidR="00000000" w:rsidRDefault="00000000">
            <w:pPr>
              <w:spacing w:before="40" w:after="40"/>
              <w:rPr>
                <w:szCs w:val="16"/>
              </w:rPr>
            </w:pPr>
            <w:r>
              <w:rPr>
                <w:szCs w:val="18"/>
              </w:rPr>
              <w:t xml:space="preserve">Caractéristique </w:t>
            </w:r>
            <w:proofErr w:type="spellStart"/>
            <w:r>
              <w:rPr>
                <w:szCs w:val="18"/>
              </w:rPr>
              <w:t>Socio</w:t>
            </w:r>
            <w:r>
              <w:rPr>
                <w:szCs w:val="18"/>
              </w:rPr>
              <w:noBreakHyphen/>
              <w:t>dém</w:t>
            </w:r>
            <w:proofErr w:type="spellEnd"/>
          </w:p>
        </w:tc>
        <w:tc>
          <w:tcPr>
            <w:tcW w:w="1164" w:type="dxa"/>
            <w:tcBorders>
              <w:top w:val="single" w:sz="4" w:space="0" w:color="auto"/>
            </w:tcBorders>
          </w:tcPr>
          <w:p w:rsidR="00000000" w:rsidRDefault="00000000">
            <w:pPr>
              <w:spacing w:before="40" w:after="40"/>
              <w:rPr>
                <w:szCs w:val="16"/>
              </w:rPr>
            </w:pPr>
          </w:p>
        </w:tc>
        <w:tc>
          <w:tcPr>
            <w:tcW w:w="1156" w:type="dxa"/>
            <w:tcBorders>
              <w:top w:val="single" w:sz="4" w:space="0" w:color="auto"/>
            </w:tcBorders>
          </w:tcPr>
          <w:p w:rsidR="00000000" w:rsidRDefault="00000000">
            <w:pPr>
              <w:spacing w:before="40" w:after="40"/>
              <w:rPr>
                <w:szCs w:val="16"/>
              </w:rPr>
            </w:pPr>
          </w:p>
        </w:tc>
        <w:tc>
          <w:tcPr>
            <w:tcW w:w="1156" w:type="dxa"/>
            <w:tcBorders>
              <w:top w:val="single" w:sz="4" w:space="0" w:color="auto"/>
            </w:tcBorders>
          </w:tcPr>
          <w:p w:rsidR="00000000" w:rsidRDefault="00000000">
            <w:pPr>
              <w:spacing w:before="40" w:after="40"/>
              <w:rPr>
                <w:szCs w:val="16"/>
              </w:rPr>
            </w:pPr>
          </w:p>
        </w:tc>
        <w:tc>
          <w:tcPr>
            <w:tcW w:w="1156" w:type="dxa"/>
            <w:tcBorders>
              <w:top w:val="single" w:sz="4" w:space="0" w:color="auto"/>
            </w:tcBorders>
          </w:tcPr>
          <w:p w:rsidR="00000000" w:rsidRDefault="00000000">
            <w:pPr>
              <w:spacing w:before="40" w:after="40"/>
              <w:rPr>
                <w:szCs w:val="16"/>
              </w:rPr>
            </w:pPr>
          </w:p>
        </w:tc>
        <w:tc>
          <w:tcPr>
            <w:tcW w:w="1156" w:type="dxa"/>
            <w:tcBorders>
              <w:top w:val="single" w:sz="4" w:space="0" w:color="auto"/>
            </w:tcBorders>
          </w:tcPr>
          <w:p w:rsidR="00000000" w:rsidRDefault="00000000">
            <w:pPr>
              <w:spacing w:before="40" w:after="40"/>
              <w:rPr>
                <w:szCs w:val="16"/>
              </w:rPr>
            </w:pPr>
          </w:p>
        </w:tc>
        <w:tc>
          <w:tcPr>
            <w:tcW w:w="1106" w:type="dxa"/>
            <w:tcBorders>
              <w:top w:val="single" w:sz="4" w:space="0" w:color="auto"/>
            </w:tcBorders>
          </w:tcPr>
          <w:p w:rsidR="00000000" w:rsidRDefault="00000000">
            <w:pPr>
              <w:spacing w:before="40" w:after="40"/>
              <w:rPr>
                <w:szCs w:val="16"/>
              </w:rPr>
            </w:pPr>
          </w:p>
        </w:tc>
      </w:tr>
      <w:tr w:rsidR="00000000">
        <w:tblPrEx>
          <w:tblCellMar>
            <w:top w:w="0" w:type="dxa"/>
            <w:bottom w:w="0" w:type="dxa"/>
          </w:tblCellMar>
        </w:tblPrEx>
        <w:trPr>
          <w:cantSplit/>
        </w:trPr>
        <w:tc>
          <w:tcPr>
            <w:tcW w:w="2602" w:type="dxa"/>
            <w:gridSpan w:val="2"/>
          </w:tcPr>
          <w:p w:rsidR="00000000" w:rsidRDefault="00000000">
            <w:pPr>
              <w:spacing w:before="40" w:after="40"/>
              <w:rPr>
                <w:szCs w:val="18"/>
              </w:rPr>
            </w:pPr>
            <w:r>
              <w:rPr>
                <w:b/>
                <w:szCs w:val="18"/>
              </w:rPr>
              <w:t>Age de l’enfant (mois)</w:t>
            </w:r>
          </w:p>
        </w:tc>
        <w:tc>
          <w:tcPr>
            <w:tcW w:w="1164" w:type="dxa"/>
          </w:tcPr>
          <w:p w:rsidR="00000000" w:rsidRDefault="00000000">
            <w:pPr>
              <w:spacing w:before="40" w:after="40"/>
              <w:rPr>
                <w:szCs w:val="16"/>
              </w:rPr>
            </w:pPr>
          </w:p>
        </w:tc>
        <w:tc>
          <w:tcPr>
            <w:tcW w:w="1156" w:type="dxa"/>
          </w:tcPr>
          <w:p w:rsidR="00000000" w:rsidRDefault="00000000">
            <w:pPr>
              <w:spacing w:before="40" w:after="40"/>
              <w:rPr>
                <w:szCs w:val="16"/>
              </w:rPr>
            </w:pPr>
          </w:p>
        </w:tc>
        <w:tc>
          <w:tcPr>
            <w:tcW w:w="1156" w:type="dxa"/>
          </w:tcPr>
          <w:p w:rsidR="00000000" w:rsidRDefault="00000000">
            <w:pPr>
              <w:spacing w:before="40" w:after="40"/>
              <w:rPr>
                <w:szCs w:val="16"/>
              </w:rPr>
            </w:pPr>
          </w:p>
        </w:tc>
        <w:tc>
          <w:tcPr>
            <w:tcW w:w="1156" w:type="dxa"/>
          </w:tcPr>
          <w:p w:rsidR="00000000" w:rsidRDefault="00000000">
            <w:pPr>
              <w:spacing w:before="40" w:after="40"/>
              <w:rPr>
                <w:szCs w:val="16"/>
              </w:rPr>
            </w:pPr>
          </w:p>
        </w:tc>
        <w:tc>
          <w:tcPr>
            <w:tcW w:w="1156" w:type="dxa"/>
          </w:tcPr>
          <w:p w:rsidR="00000000" w:rsidRDefault="00000000">
            <w:pPr>
              <w:spacing w:before="40" w:after="40"/>
              <w:rPr>
                <w:szCs w:val="16"/>
              </w:rPr>
            </w:pPr>
          </w:p>
        </w:tc>
        <w:tc>
          <w:tcPr>
            <w:tcW w:w="1106" w:type="dxa"/>
          </w:tcPr>
          <w:p w:rsidR="00000000" w:rsidRDefault="00000000">
            <w:pPr>
              <w:spacing w:before="40" w:after="40"/>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b/>
                <w:szCs w:val="18"/>
              </w:rPr>
            </w:pPr>
            <w:r>
              <w:rPr>
                <w:szCs w:val="18"/>
              </w:rPr>
              <w:t>&lt;6</w:t>
            </w:r>
          </w:p>
        </w:tc>
        <w:tc>
          <w:tcPr>
            <w:tcW w:w="1128" w:type="dxa"/>
            <w:vAlign w:val="bottom"/>
          </w:tcPr>
          <w:p w:rsidR="00000000" w:rsidRDefault="00000000">
            <w:pPr>
              <w:spacing w:before="40" w:after="40"/>
              <w:jc w:val="right"/>
              <w:rPr>
                <w:b/>
                <w:szCs w:val="18"/>
              </w:rPr>
            </w:pPr>
          </w:p>
        </w:tc>
        <w:tc>
          <w:tcPr>
            <w:tcW w:w="1164" w:type="dxa"/>
            <w:vAlign w:val="bottom"/>
          </w:tcPr>
          <w:p w:rsidR="00000000" w:rsidRDefault="00000000">
            <w:pPr>
              <w:spacing w:before="40" w:after="40"/>
              <w:jc w:val="right"/>
              <w:rPr>
                <w:b/>
                <w:szCs w:val="18"/>
              </w:rPr>
            </w:pPr>
            <w:r>
              <w:rPr>
                <w:szCs w:val="18"/>
              </w:rPr>
              <w:t>0,9</w:t>
            </w:r>
          </w:p>
        </w:tc>
        <w:tc>
          <w:tcPr>
            <w:tcW w:w="1156" w:type="dxa"/>
            <w:vAlign w:val="bottom"/>
          </w:tcPr>
          <w:p w:rsidR="00000000" w:rsidRDefault="00000000">
            <w:pPr>
              <w:spacing w:before="40" w:after="40"/>
              <w:jc w:val="right"/>
              <w:rPr>
                <w:szCs w:val="16"/>
              </w:rPr>
            </w:pPr>
            <w:r>
              <w:rPr>
                <w:szCs w:val="16"/>
              </w:rPr>
              <w:t>3,2</w:t>
            </w:r>
          </w:p>
        </w:tc>
        <w:tc>
          <w:tcPr>
            <w:tcW w:w="1156" w:type="dxa"/>
            <w:vAlign w:val="bottom"/>
          </w:tcPr>
          <w:p w:rsidR="00000000" w:rsidRDefault="00000000">
            <w:pPr>
              <w:spacing w:before="40" w:after="40"/>
              <w:jc w:val="right"/>
              <w:rPr>
                <w:szCs w:val="16"/>
              </w:rPr>
            </w:pPr>
            <w:r>
              <w:rPr>
                <w:szCs w:val="16"/>
              </w:rPr>
              <w:t>1,8</w:t>
            </w:r>
          </w:p>
        </w:tc>
        <w:tc>
          <w:tcPr>
            <w:tcW w:w="1156" w:type="dxa"/>
            <w:vAlign w:val="bottom"/>
          </w:tcPr>
          <w:p w:rsidR="00000000" w:rsidRDefault="00000000">
            <w:pPr>
              <w:spacing w:before="40" w:after="40"/>
              <w:jc w:val="right"/>
              <w:rPr>
                <w:szCs w:val="16"/>
              </w:rPr>
            </w:pPr>
            <w:r>
              <w:rPr>
                <w:szCs w:val="16"/>
              </w:rPr>
              <w:t>9,5</w:t>
            </w:r>
          </w:p>
        </w:tc>
        <w:tc>
          <w:tcPr>
            <w:tcW w:w="1156" w:type="dxa"/>
            <w:vAlign w:val="bottom"/>
          </w:tcPr>
          <w:p w:rsidR="00000000" w:rsidRDefault="00000000">
            <w:pPr>
              <w:spacing w:before="40" w:after="40"/>
              <w:jc w:val="right"/>
              <w:rPr>
                <w:szCs w:val="16"/>
              </w:rPr>
            </w:pPr>
            <w:r>
              <w:rPr>
                <w:szCs w:val="16"/>
              </w:rPr>
              <w:t>0,4</w:t>
            </w:r>
          </w:p>
        </w:tc>
        <w:tc>
          <w:tcPr>
            <w:tcW w:w="1106" w:type="dxa"/>
            <w:vAlign w:val="bottom"/>
          </w:tcPr>
          <w:p w:rsidR="00000000" w:rsidRDefault="00000000">
            <w:pPr>
              <w:spacing w:before="40" w:after="40"/>
              <w:jc w:val="right"/>
              <w:rPr>
                <w:szCs w:val="16"/>
              </w:rPr>
            </w:pPr>
            <w:r>
              <w:rPr>
                <w:szCs w:val="16"/>
              </w:rPr>
              <w:t>3,0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572</w:t>
            </w:r>
          </w:p>
        </w:tc>
        <w:tc>
          <w:tcPr>
            <w:tcW w:w="1164"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6-9</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6"/>
              </w:rPr>
            </w:pPr>
            <w:r>
              <w:rPr>
                <w:szCs w:val="16"/>
              </w:rPr>
              <w:t>4,8</w:t>
            </w:r>
          </w:p>
        </w:tc>
        <w:tc>
          <w:tcPr>
            <w:tcW w:w="1156" w:type="dxa"/>
            <w:vAlign w:val="bottom"/>
          </w:tcPr>
          <w:p w:rsidR="00000000" w:rsidRDefault="00000000">
            <w:pPr>
              <w:spacing w:before="40" w:after="40"/>
              <w:jc w:val="right"/>
              <w:rPr>
                <w:szCs w:val="16"/>
              </w:rPr>
            </w:pPr>
            <w:r>
              <w:rPr>
                <w:szCs w:val="16"/>
              </w:rPr>
              <w:t>12,1</w:t>
            </w:r>
          </w:p>
        </w:tc>
        <w:tc>
          <w:tcPr>
            <w:tcW w:w="1156" w:type="dxa"/>
            <w:vAlign w:val="bottom"/>
          </w:tcPr>
          <w:p w:rsidR="00000000" w:rsidRDefault="00000000">
            <w:pPr>
              <w:spacing w:before="40" w:after="40"/>
              <w:jc w:val="right"/>
              <w:rPr>
                <w:szCs w:val="16"/>
              </w:rPr>
            </w:pPr>
            <w:r>
              <w:rPr>
                <w:szCs w:val="16"/>
              </w:rPr>
              <w:t>4,2</w:t>
            </w:r>
          </w:p>
        </w:tc>
        <w:tc>
          <w:tcPr>
            <w:tcW w:w="1156" w:type="dxa"/>
            <w:vAlign w:val="bottom"/>
          </w:tcPr>
          <w:p w:rsidR="00000000" w:rsidRDefault="00000000">
            <w:pPr>
              <w:spacing w:before="40" w:after="40"/>
              <w:jc w:val="right"/>
              <w:rPr>
                <w:szCs w:val="16"/>
              </w:rPr>
            </w:pPr>
            <w:r>
              <w:rPr>
                <w:szCs w:val="16"/>
              </w:rPr>
              <w:t>18,8</w:t>
            </w:r>
          </w:p>
        </w:tc>
        <w:tc>
          <w:tcPr>
            <w:tcW w:w="1156" w:type="dxa"/>
            <w:vAlign w:val="bottom"/>
          </w:tcPr>
          <w:p w:rsidR="00000000" w:rsidRDefault="00000000">
            <w:pPr>
              <w:spacing w:before="40" w:after="40"/>
              <w:jc w:val="right"/>
              <w:rPr>
                <w:szCs w:val="16"/>
              </w:rPr>
            </w:pPr>
            <w:r>
              <w:rPr>
                <w:szCs w:val="16"/>
              </w:rPr>
              <w:t>4,9</w:t>
            </w:r>
          </w:p>
        </w:tc>
        <w:tc>
          <w:tcPr>
            <w:tcW w:w="1106" w:type="dxa"/>
            <w:vAlign w:val="bottom"/>
          </w:tcPr>
          <w:p w:rsidR="00000000" w:rsidRDefault="00000000">
            <w:pPr>
              <w:spacing w:before="40" w:after="40"/>
              <w:jc w:val="right"/>
              <w:rPr>
                <w:szCs w:val="16"/>
              </w:rPr>
            </w:pPr>
            <w:r>
              <w:rPr>
                <w:szCs w:val="16"/>
              </w:rPr>
              <w:t>22,8</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10-11</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6"/>
              </w:rPr>
            </w:pPr>
            <w:r>
              <w:rPr>
                <w:szCs w:val="16"/>
              </w:rPr>
              <w:t>11,5</w:t>
            </w:r>
          </w:p>
        </w:tc>
        <w:tc>
          <w:tcPr>
            <w:tcW w:w="1156" w:type="dxa"/>
            <w:vAlign w:val="bottom"/>
          </w:tcPr>
          <w:p w:rsidR="00000000" w:rsidRDefault="00000000">
            <w:pPr>
              <w:spacing w:before="40" w:after="40"/>
              <w:jc w:val="right"/>
              <w:rPr>
                <w:szCs w:val="16"/>
              </w:rPr>
            </w:pPr>
            <w:r>
              <w:rPr>
                <w:szCs w:val="16"/>
              </w:rPr>
              <w:t>27,7</w:t>
            </w:r>
          </w:p>
        </w:tc>
        <w:tc>
          <w:tcPr>
            <w:tcW w:w="1156" w:type="dxa"/>
            <w:vAlign w:val="bottom"/>
          </w:tcPr>
          <w:p w:rsidR="00000000" w:rsidRDefault="00000000">
            <w:pPr>
              <w:spacing w:before="40" w:after="40"/>
              <w:jc w:val="right"/>
              <w:rPr>
                <w:szCs w:val="16"/>
              </w:rPr>
            </w:pPr>
            <w:r>
              <w:rPr>
                <w:szCs w:val="16"/>
              </w:rPr>
              <w:t>0,9</w:t>
            </w:r>
          </w:p>
        </w:tc>
        <w:tc>
          <w:tcPr>
            <w:tcW w:w="1156" w:type="dxa"/>
            <w:vAlign w:val="bottom"/>
          </w:tcPr>
          <w:p w:rsidR="00000000" w:rsidRDefault="00000000">
            <w:pPr>
              <w:spacing w:before="40" w:after="40"/>
              <w:jc w:val="right"/>
              <w:rPr>
                <w:szCs w:val="16"/>
              </w:rPr>
            </w:pPr>
            <w:r>
              <w:rPr>
                <w:szCs w:val="16"/>
              </w:rPr>
              <w:t>26,2</w:t>
            </w:r>
          </w:p>
        </w:tc>
        <w:tc>
          <w:tcPr>
            <w:tcW w:w="1156" w:type="dxa"/>
            <w:vAlign w:val="bottom"/>
          </w:tcPr>
          <w:p w:rsidR="00000000" w:rsidRDefault="00000000">
            <w:pPr>
              <w:spacing w:before="40" w:after="40"/>
              <w:jc w:val="right"/>
              <w:rPr>
                <w:szCs w:val="16"/>
              </w:rPr>
            </w:pPr>
            <w:r>
              <w:rPr>
                <w:szCs w:val="16"/>
              </w:rPr>
              <w:t>13,6</w:t>
            </w:r>
          </w:p>
        </w:tc>
        <w:tc>
          <w:tcPr>
            <w:tcW w:w="1106" w:type="dxa"/>
            <w:vAlign w:val="bottom"/>
          </w:tcPr>
          <w:p w:rsidR="00000000" w:rsidRDefault="00000000">
            <w:pPr>
              <w:spacing w:before="40" w:after="40"/>
              <w:jc w:val="right"/>
              <w:rPr>
                <w:szCs w:val="16"/>
              </w:rPr>
            </w:pPr>
            <w:r>
              <w:rPr>
                <w:szCs w:val="16"/>
              </w:rPr>
              <w:t>33,0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137</w:t>
            </w:r>
          </w:p>
        </w:tc>
        <w:tc>
          <w:tcPr>
            <w:tcW w:w="1164"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12-23</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6"/>
              </w:rPr>
            </w:pPr>
            <w:r>
              <w:rPr>
                <w:szCs w:val="16"/>
              </w:rPr>
              <w:t>24,1</w:t>
            </w:r>
          </w:p>
        </w:tc>
        <w:tc>
          <w:tcPr>
            <w:tcW w:w="1156" w:type="dxa"/>
            <w:vAlign w:val="bottom"/>
          </w:tcPr>
          <w:p w:rsidR="00000000" w:rsidRDefault="00000000">
            <w:pPr>
              <w:spacing w:before="40" w:after="40"/>
              <w:jc w:val="right"/>
              <w:rPr>
                <w:szCs w:val="16"/>
              </w:rPr>
            </w:pPr>
            <w:r>
              <w:rPr>
                <w:szCs w:val="16"/>
              </w:rPr>
              <w:t>48,1</w:t>
            </w:r>
          </w:p>
        </w:tc>
        <w:tc>
          <w:tcPr>
            <w:tcW w:w="1156" w:type="dxa"/>
            <w:vAlign w:val="bottom"/>
          </w:tcPr>
          <w:p w:rsidR="00000000" w:rsidRDefault="00000000">
            <w:pPr>
              <w:spacing w:before="40" w:after="40"/>
              <w:jc w:val="right"/>
              <w:rPr>
                <w:szCs w:val="16"/>
              </w:rPr>
            </w:pPr>
            <w:r>
              <w:rPr>
                <w:szCs w:val="16"/>
              </w:rPr>
              <w:t>5,3</w:t>
            </w:r>
          </w:p>
        </w:tc>
        <w:tc>
          <w:tcPr>
            <w:tcW w:w="1156" w:type="dxa"/>
            <w:vAlign w:val="bottom"/>
          </w:tcPr>
          <w:p w:rsidR="00000000" w:rsidRDefault="00000000">
            <w:pPr>
              <w:spacing w:before="40" w:after="40"/>
              <w:jc w:val="right"/>
              <w:rPr>
                <w:szCs w:val="16"/>
              </w:rPr>
            </w:pPr>
            <w:r>
              <w:rPr>
                <w:szCs w:val="16"/>
              </w:rPr>
              <w:t>23,8</w:t>
            </w:r>
          </w:p>
        </w:tc>
        <w:tc>
          <w:tcPr>
            <w:tcW w:w="1156" w:type="dxa"/>
            <w:vAlign w:val="bottom"/>
          </w:tcPr>
          <w:p w:rsidR="00000000" w:rsidRDefault="00000000">
            <w:pPr>
              <w:spacing w:before="40" w:after="40"/>
              <w:jc w:val="right"/>
              <w:rPr>
                <w:szCs w:val="16"/>
              </w:rPr>
            </w:pPr>
            <w:r>
              <w:rPr>
                <w:szCs w:val="16"/>
              </w:rPr>
              <w:t>23,1</w:t>
            </w:r>
          </w:p>
        </w:tc>
        <w:tc>
          <w:tcPr>
            <w:tcW w:w="1106" w:type="dxa"/>
            <w:vAlign w:val="bottom"/>
          </w:tcPr>
          <w:p w:rsidR="00000000" w:rsidRDefault="00000000">
            <w:pPr>
              <w:spacing w:before="40" w:after="40"/>
              <w:jc w:val="right"/>
              <w:rPr>
                <w:szCs w:val="16"/>
              </w:rPr>
            </w:pPr>
            <w:r>
              <w:rPr>
                <w:szCs w:val="16"/>
              </w:rPr>
              <w:t>52,0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853</w:t>
            </w:r>
          </w:p>
        </w:tc>
        <w:tc>
          <w:tcPr>
            <w:tcW w:w="1164"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24-35</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6"/>
              </w:rPr>
            </w:pPr>
            <w:r>
              <w:rPr>
                <w:szCs w:val="16"/>
              </w:rPr>
              <w:t>33,3</w:t>
            </w:r>
          </w:p>
        </w:tc>
        <w:tc>
          <w:tcPr>
            <w:tcW w:w="1156" w:type="dxa"/>
            <w:vAlign w:val="bottom"/>
          </w:tcPr>
          <w:p w:rsidR="00000000" w:rsidRDefault="00000000">
            <w:pPr>
              <w:spacing w:before="40" w:after="40"/>
              <w:jc w:val="right"/>
              <w:rPr>
                <w:szCs w:val="16"/>
              </w:rPr>
            </w:pPr>
            <w:r>
              <w:rPr>
                <w:szCs w:val="16"/>
              </w:rPr>
              <w:t>54,0</w:t>
            </w:r>
          </w:p>
        </w:tc>
        <w:tc>
          <w:tcPr>
            <w:tcW w:w="1156" w:type="dxa"/>
            <w:vAlign w:val="bottom"/>
          </w:tcPr>
          <w:p w:rsidR="00000000" w:rsidRDefault="00000000">
            <w:pPr>
              <w:spacing w:before="40" w:after="40"/>
              <w:jc w:val="right"/>
              <w:rPr>
                <w:szCs w:val="16"/>
              </w:rPr>
            </w:pPr>
            <w:r>
              <w:rPr>
                <w:szCs w:val="16"/>
              </w:rPr>
              <w:t>3,0</w:t>
            </w:r>
          </w:p>
        </w:tc>
        <w:tc>
          <w:tcPr>
            <w:tcW w:w="1156" w:type="dxa"/>
            <w:vAlign w:val="bottom"/>
          </w:tcPr>
          <w:p w:rsidR="00000000" w:rsidRDefault="00000000">
            <w:pPr>
              <w:spacing w:before="40" w:after="40"/>
              <w:jc w:val="right"/>
              <w:rPr>
                <w:szCs w:val="16"/>
              </w:rPr>
            </w:pPr>
            <w:r>
              <w:rPr>
                <w:szCs w:val="16"/>
              </w:rPr>
              <w:t>13,4</w:t>
            </w:r>
          </w:p>
        </w:tc>
        <w:tc>
          <w:tcPr>
            <w:tcW w:w="1156" w:type="dxa"/>
            <w:vAlign w:val="bottom"/>
          </w:tcPr>
          <w:p w:rsidR="00000000" w:rsidRDefault="00000000">
            <w:pPr>
              <w:spacing w:before="40" w:after="40"/>
              <w:jc w:val="right"/>
              <w:rPr>
                <w:szCs w:val="16"/>
              </w:rPr>
            </w:pPr>
            <w:r>
              <w:rPr>
                <w:szCs w:val="16"/>
              </w:rPr>
              <w:t>22,6</w:t>
            </w:r>
          </w:p>
        </w:tc>
        <w:tc>
          <w:tcPr>
            <w:tcW w:w="1106" w:type="dxa"/>
            <w:vAlign w:val="bottom"/>
          </w:tcPr>
          <w:p w:rsidR="00000000" w:rsidRDefault="00000000">
            <w:pPr>
              <w:spacing w:before="40" w:after="40"/>
              <w:jc w:val="right"/>
              <w:rPr>
                <w:szCs w:val="16"/>
              </w:rPr>
            </w:pPr>
            <w:r>
              <w:rPr>
                <w:szCs w:val="16"/>
              </w:rPr>
              <w:t>51,0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902</w:t>
            </w:r>
          </w:p>
        </w:tc>
        <w:tc>
          <w:tcPr>
            <w:tcW w:w="1164"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36-47</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6"/>
              </w:rPr>
            </w:pPr>
            <w:r>
              <w:rPr>
                <w:szCs w:val="16"/>
              </w:rPr>
              <w:t>31,08</w:t>
            </w:r>
          </w:p>
        </w:tc>
        <w:tc>
          <w:tcPr>
            <w:tcW w:w="1156" w:type="dxa"/>
            <w:vAlign w:val="bottom"/>
          </w:tcPr>
          <w:p w:rsidR="00000000" w:rsidRDefault="00000000">
            <w:pPr>
              <w:spacing w:before="40" w:after="40"/>
              <w:jc w:val="right"/>
              <w:rPr>
                <w:szCs w:val="16"/>
              </w:rPr>
            </w:pPr>
            <w:r>
              <w:rPr>
                <w:szCs w:val="16"/>
              </w:rPr>
              <w:t>53,0</w:t>
            </w:r>
          </w:p>
        </w:tc>
        <w:tc>
          <w:tcPr>
            <w:tcW w:w="1156" w:type="dxa"/>
            <w:vAlign w:val="bottom"/>
          </w:tcPr>
          <w:p w:rsidR="00000000" w:rsidRDefault="00000000">
            <w:pPr>
              <w:spacing w:before="40" w:after="40"/>
              <w:jc w:val="right"/>
              <w:rPr>
                <w:szCs w:val="16"/>
              </w:rPr>
            </w:pPr>
            <w:r>
              <w:rPr>
                <w:szCs w:val="16"/>
              </w:rPr>
              <w:t>2,8</w:t>
            </w:r>
          </w:p>
        </w:tc>
        <w:tc>
          <w:tcPr>
            <w:tcW w:w="1156" w:type="dxa"/>
            <w:vAlign w:val="bottom"/>
          </w:tcPr>
          <w:p w:rsidR="00000000" w:rsidRDefault="00000000">
            <w:pPr>
              <w:spacing w:before="40" w:after="40"/>
              <w:jc w:val="right"/>
              <w:rPr>
                <w:szCs w:val="16"/>
              </w:rPr>
            </w:pPr>
            <w:r>
              <w:rPr>
                <w:szCs w:val="16"/>
              </w:rPr>
              <w:t>9,6</w:t>
            </w:r>
          </w:p>
        </w:tc>
        <w:tc>
          <w:tcPr>
            <w:tcW w:w="1156" w:type="dxa"/>
            <w:vAlign w:val="bottom"/>
          </w:tcPr>
          <w:p w:rsidR="00000000" w:rsidRDefault="00000000">
            <w:pPr>
              <w:spacing w:before="40" w:after="40"/>
              <w:jc w:val="right"/>
              <w:rPr>
                <w:szCs w:val="16"/>
              </w:rPr>
            </w:pPr>
            <w:r>
              <w:rPr>
                <w:szCs w:val="16"/>
              </w:rPr>
              <w:t>14,6</w:t>
            </w:r>
          </w:p>
        </w:tc>
        <w:tc>
          <w:tcPr>
            <w:tcW w:w="1106" w:type="dxa"/>
            <w:vAlign w:val="bottom"/>
          </w:tcPr>
          <w:p w:rsidR="00000000" w:rsidRDefault="00000000">
            <w:pPr>
              <w:spacing w:before="40" w:after="40"/>
              <w:jc w:val="right"/>
              <w:rPr>
                <w:szCs w:val="16"/>
              </w:rPr>
            </w:pPr>
            <w:r>
              <w:rPr>
                <w:szCs w:val="16"/>
              </w:rPr>
              <w:t>40,0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819</w:t>
            </w:r>
          </w:p>
        </w:tc>
        <w:tc>
          <w:tcPr>
            <w:tcW w:w="1164"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48-59</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27,2</w:t>
            </w:r>
          </w:p>
        </w:tc>
        <w:tc>
          <w:tcPr>
            <w:tcW w:w="1156" w:type="dxa"/>
            <w:vAlign w:val="bottom"/>
          </w:tcPr>
          <w:p w:rsidR="00000000" w:rsidRDefault="00000000">
            <w:pPr>
              <w:spacing w:before="40" w:after="40"/>
              <w:jc w:val="right"/>
              <w:rPr>
                <w:szCs w:val="16"/>
              </w:rPr>
            </w:pPr>
            <w:r>
              <w:rPr>
                <w:szCs w:val="16"/>
              </w:rPr>
              <w:t>47,1</w:t>
            </w:r>
          </w:p>
        </w:tc>
        <w:tc>
          <w:tcPr>
            <w:tcW w:w="1156" w:type="dxa"/>
            <w:vAlign w:val="bottom"/>
          </w:tcPr>
          <w:p w:rsidR="00000000" w:rsidRDefault="00000000">
            <w:pPr>
              <w:spacing w:before="40" w:after="40"/>
              <w:jc w:val="right"/>
              <w:rPr>
                <w:szCs w:val="16"/>
              </w:rPr>
            </w:pPr>
            <w:r>
              <w:rPr>
                <w:szCs w:val="16"/>
              </w:rPr>
              <w:t>2,2</w:t>
            </w:r>
          </w:p>
        </w:tc>
        <w:tc>
          <w:tcPr>
            <w:tcW w:w="1156" w:type="dxa"/>
            <w:vAlign w:val="bottom"/>
          </w:tcPr>
          <w:p w:rsidR="00000000" w:rsidRDefault="00000000">
            <w:pPr>
              <w:spacing w:before="40" w:after="40"/>
              <w:jc w:val="right"/>
              <w:rPr>
                <w:szCs w:val="16"/>
              </w:rPr>
            </w:pPr>
            <w:r>
              <w:rPr>
                <w:szCs w:val="16"/>
              </w:rPr>
              <w:t>6,7</w:t>
            </w:r>
          </w:p>
        </w:tc>
        <w:tc>
          <w:tcPr>
            <w:tcW w:w="1156" w:type="dxa"/>
            <w:vAlign w:val="bottom"/>
          </w:tcPr>
          <w:p w:rsidR="00000000" w:rsidRDefault="00000000">
            <w:pPr>
              <w:spacing w:before="40" w:after="40"/>
              <w:jc w:val="right"/>
              <w:rPr>
                <w:szCs w:val="16"/>
              </w:rPr>
            </w:pPr>
            <w:r>
              <w:rPr>
                <w:szCs w:val="16"/>
              </w:rPr>
              <w:t>9,2</w:t>
            </w:r>
          </w:p>
        </w:tc>
        <w:tc>
          <w:tcPr>
            <w:tcW w:w="1106" w:type="dxa"/>
            <w:vAlign w:val="bottom"/>
          </w:tcPr>
          <w:p w:rsidR="00000000" w:rsidRDefault="00000000">
            <w:pPr>
              <w:spacing w:before="40" w:after="40"/>
              <w:jc w:val="right"/>
              <w:rPr>
                <w:szCs w:val="16"/>
              </w:rPr>
            </w:pPr>
            <w:r>
              <w:rPr>
                <w:szCs w:val="16"/>
              </w:rPr>
              <w:t>33,0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987</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b/>
                <w:bCs/>
                <w:szCs w:val="18"/>
              </w:rPr>
            </w:pPr>
            <w:r>
              <w:rPr>
                <w:b/>
                <w:bCs/>
                <w:szCs w:val="18"/>
              </w:rPr>
              <w:t>Sexe</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ind w:left="113"/>
              <w:rPr>
                <w:szCs w:val="18"/>
              </w:rPr>
            </w:pPr>
            <w:r>
              <w:rPr>
                <w:szCs w:val="18"/>
              </w:rPr>
              <w:t>Masculin</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23,6</w:t>
            </w:r>
          </w:p>
        </w:tc>
        <w:tc>
          <w:tcPr>
            <w:tcW w:w="1156" w:type="dxa"/>
            <w:vAlign w:val="bottom"/>
          </w:tcPr>
          <w:p w:rsidR="00000000" w:rsidRDefault="00000000">
            <w:pPr>
              <w:spacing w:before="40" w:after="40"/>
              <w:jc w:val="right"/>
              <w:rPr>
                <w:szCs w:val="16"/>
              </w:rPr>
            </w:pPr>
            <w:r>
              <w:rPr>
                <w:szCs w:val="16"/>
              </w:rPr>
              <w:t>40,5</w:t>
            </w:r>
          </w:p>
        </w:tc>
        <w:tc>
          <w:tcPr>
            <w:tcW w:w="1156" w:type="dxa"/>
            <w:vAlign w:val="bottom"/>
          </w:tcPr>
          <w:p w:rsidR="00000000" w:rsidRDefault="00000000">
            <w:pPr>
              <w:spacing w:before="40" w:after="40"/>
              <w:jc w:val="right"/>
              <w:rPr>
                <w:szCs w:val="16"/>
              </w:rPr>
            </w:pPr>
            <w:r>
              <w:rPr>
                <w:szCs w:val="16"/>
              </w:rPr>
              <w:t>3,0</w:t>
            </w:r>
          </w:p>
        </w:tc>
        <w:tc>
          <w:tcPr>
            <w:tcW w:w="1156" w:type="dxa"/>
            <w:vAlign w:val="bottom"/>
          </w:tcPr>
          <w:p w:rsidR="00000000" w:rsidRDefault="00000000">
            <w:pPr>
              <w:spacing w:before="40" w:after="40"/>
              <w:jc w:val="right"/>
              <w:rPr>
                <w:szCs w:val="16"/>
              </w:rPr>
            </w:pPr>
            <w:r>
              <w:rPr>
                <w:szCs w:val="16"/>
              </w:rPr>
              <w:t>14,7</w:t>
            </w:r>
          </w:p>
        </w:tc>
        <w:tc>
          <w:tcPr>
            <w:tcW w:w="1156" w:type="dxa"/>
            <w:vAlign w:val="bottom"/>
          </w:tcPr>
          <w:p w:rsidR="00000000" w:rsidRDefault="00000000">
            <w:pPr>
              <w:spacing w:before="40" w:after="40"/>
              <w:jc w:val="right"/>
              <w:rPr>
                <w:szCs w:val="16"/>
              </w:rPr>
            </w:pPr>
            <w:r>
              <w:rPr>
                <w:szCs w:val="16"/>
              </w:rPr>
              <w:t>13,9</w:t>
            </w:r>
          </w:p>
        </w:tc>
        <w:tc>
          <w:tcPr>
            <w:tcW w:w="1106" w:type="dxa"/>
            <w:vAlign w:val="bottom"/>
          </w:tcPr>
          <w:p w:rsidR="00000000" w:rsidRDefault="00000000">
            <w:pPr>
              <w:spacing w:before="40" w:after="40"/>
              <w:jc w:val="right"/>
              <w:rPr>
                <w:szCs w:val="16"/>
              </w:rPr>
            </w:pPr>
            <w:r>
              <w:rPr>
                <w:szCs w:val="16"/>
              </w:rPr>
              <w:t>36,7</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2 337</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ind w:left="113"/>
              <w:rPr>
                <w:szCs w:val="18"/>
              </w:rPr>
            </w:pPr>
            <w:r>
              <w:rPr>
                <w:szCs w:val="18"/>
              </w:rPr>
              <w:t>Féminin</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22,7</w:t>
            </w:r>
          </w:p>
        </w:tc>
        <w:tc>
          <w:tcPr>
            <w:tcW w:w="1156" w:type="dxa"/>
            <w:vAlign w:val="bottom"/>
          </w:tcPr>
          <w:p w:rsidR="00000000" w:rsidRDefault="00000000">
            <w:pPr>
              <w:spacing w:before="40" w:after="40"/>
              <w:jc w:val="right"/>
              <w:rPr>
                <w:szCs w:val="16"/>
              </w:rPr>
            </w:pPr>
            <w:r>
              <w:rPr>
                <w:szCs w:val="16"/>
              </w:rPr>
              <w:t>41,4</w:t>
            </w:r>
          </w:p>
        </w:tc>
        <w:tc>
          <w:tcPr>
            <w:tcW w:w="1156" w:type="dxa"/>
            <w:vAlign w:val="bottom"/>
          </w:tcPr>
          <w:p w:rsidR="00000000" w:rsidRDefault="00000000">
            <w:pPr>
              <w:spacing w:before="40" w:after="40"/>
              <w:jc w:val="right"/>
              <w:rPr>
                <w:szCs w:val="16"/>
              </w:rPr>
            </w:pPr>
            <w:r>
              <w:rPr>
                <w:szCs w:val="16"/>
              </w:rPr>
              <w:t>3,3</w:t>
            </w:r>
          </w:p>
        </w:tc>
        <w:tc>
          <w:tcPr>
            <w:tcW w:w="1156" w:type="dxa"/>
            <w:vAlign w:val="bottom"/>
          </w:tcPr>
          <w:p w:rsidR="00000000" w:rsidRDefault="00000000">
            <w:pPr>
              <w:spacing w:before="40" w:after="40"/>
              <w:jc w:val="right"/>
              <w:rPr>
                <w:szCs w:val="16"/>
              </w:rPr>
            </w:pPr>
            <w:r>
              <w:rPr>
                <w:szCs w:val="16"/>
              </w:rPr>
              <w:t>12,4</w:t>
            </w:r>
          </w:p>
        </w:tc>
        <w:tc>
          <w:tcPr>
            <w:tcW w:w="1156" w:type="dxa"/>
            <w:vAlign w:val="bottom"/>
          </w:tcPr>
          <w:p w:rsidR="00000000" w:rsidRDefault="00000000">
            <w:pPr>
              <w:spacing w:before="40" w:after="40"/>
              <w:jc w:val="right"/>
              <w:rPr>
                <w:szCs w:val="16"/>
              </w:rPr>
            </w:pPr>
            <w:r>
              <w:rPr>
                <w:szCs w:val="16"/>
              </w:rPr>
              <w:t>14,2</w:t>
            </w:r>
          </w:p>
        </w:tc>
        <w:tc>
          <w:tcPr>
            <w:tcW w:w="1106" w:type="dxa"/>
            <w:vAlign w:val="bottom"/>
          </w:tcPr>
          <w:p w:rsidR="00000000" w:rsidRDefault="00000000">
            <w:pPr>
              <w:spacing w:before="40" w:after="40"/>
              <w:jc w:val="right"/>
              <w:rPr>
                <w:szCs w:val="16"/>
              </w:rPr>
            </w:pPr>
            <w:r>
              <w:rPr>
                <w:szCs w:val="16"/>
              </w:rPr>
              <w:t>36,8</w:t>
            </w:r>
          </w:p>
        </w:tc>
      </w:tr>
      <w:tr w:rsidR="00000000">
        <w:tblPrEx>
          <w:tblCellMar>
            <w:top w:w="0" w:type="dxa"/>
            <w:bottom w:w="0" w:type="dxa"/>
          </w:tblCellMar>
        </w:tblPrEx>
        <w:trPr>
          <w:cantSplit/>
        </w:trPr>
        <w:tc>
          <w:tcPr>
            <w:tcW w:w="1474" w:type="dxa"/>
            <w:vAlign w:val="bottom"/>
          </w:tcPr>
          <w:p w:rsidR="00000000" w:rsidRDefault="00000000">
            <w:pPr>
              <w:spacing w:before="40" w:after="40"/>
              <w:ind w:left="113"/>
              <w:rPr>
                <w:szCs w:val="18"/>
              </w:rPr>
            </w:pPr>
          </w:p>
        </w:tc>
        <w:tc>
          <w:tcPr>
            <w:tcW w:w="1128" w:type="dxa"/>
            <w:vAlign w:val="bottom"/>
          </w:tcPr>
          <w:p w:rsidR="00000000" w:rsidRDefault="00000000">
            <w:pPr>
              <w:spacing w:before="40" w:after="40"/>
              <w:jc w:val="right"/>
              <w:rPr>
                <w:szCs w:val="18"/>
              </w:rPr>
            </w:pPr>
            <w:r>
              <w:rPr>
                <w:szCs w:val="18"/>
              </w:rPr>
              <w:t>2 297</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vAlign w:val="bottom"/>
          </w:tcPr>
          <w:p w:rsidR="00000000" w:rsidRDefault="00000000">
            <w:pPr>
              <w:spacing w:before="40" w:after="40"/>
              <w:rPr>
                <w:szCs w:val="18"/>
              </w:rPr>
            </w:pPr>
            <w:r>
              <w:rPr>
                <w:b/>
                <w:bCs/>
                <w:szCs w:val="18"/>
              </w:rPr>
              <w:t>Rang de naissance</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2-3</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20,2</w:t>
            </w:r>
          </w:p>
        </w:tc>
        <w:tc>
          <w:tcPr>
            <w:tcW w:w="1156" w:type="dxa"/>
            <w:vAlign w:val="bottom"/>
          </w:tcPr>
          <w:p w:rsidR="00000000" w:rsidRDefault="00000000">
            <w:pPr>
              <w:spacing w:before="40" w:after="40"/>
              <w:jc w:val="right"/>
              <w:rPr>
                <w:szCs w:val="18"/>
              </w:rPr>
            </w:pPr>
            <w:r>
              <w:rPr>
                <w:szCs w:val="18"/>
              </w:rPr>
              <w:t>32,9</w:t>
            </w:r>
          </w:p>
        </w:tc>
        <w:tc>
          <w:tcPr>
            <w:tcW w:w="1156" w:type="dxa"/>
            <w:vAlign w:val="bottom"/>
          </w:tcPr>
          <w:p w:rsidR="00000000" w:rsidRDefault="00000000">
            <w:pPr>
              <w:spacing w:before="40" w:after="40"/>
              <w:jc w:val="right"/>
              <w:rPr>
                <w:szCs w:val="16"/>
              </w:rPr>
            </w:pPr>
            <w:r>
              <w:rPr>
                <w:szCs w:val="16"/>
              </w:rPr>
              <w:t>2,4</w:t>
            </w:r>
          </w:p>
        </w:tc>
        <w:tc>
          <w:tcPr>
            <w:tcW w:w="1156" w:type="dxa"/>
            <w:vAlign w:val="bottom"/>
          </w:tcPr>
          <w:p w:rsidR="00000000" w:rsidRDefault="00000000">
            <w:pPr>
              <w:spacing w:before="40" w:after="40"/>
              <w:jc w:val="right"/>
              <w:rPr>
                <w:szCs w:val="16"/>
              </w:rPr>
            </w:pPr>
            <w:r>
              <w:rPr>
                <w:szCs w:val="16"/>
              </w:rPr>
              <w:t>13,0</w:t>
            </w:r>
          </w:p>
        </w:tc>
        <w:tc>
          <w:tcPr>
            <w:tcW w:w="1156" w:type="dxa"/>
            <w:vAlign w:val="bottom"/>
          </w:tcPr>
          <w:p w:rsidR="00000000" w:rsidRDefault="00000000">
            <w:pPr>
              <w:spacing w:before="40" w:after="40"/>
              <w:jc w:val="right"/>
              <w:rPr>
                <w:szCs w:val="16"/>
              </w:rPr>
            </w:pPr>
            <w:r>
              <w:rPr>
                <w:szCs w:val="16"/>
              </w:rPr>
              <w:t>12,0</w:t>
            </w:r>
          </w:p>
        </w:tc>
        <w:tc>
          <w:tcPr>
            <w:tcW w:w="1106" w:type="dxa"/>
            <w:vAlign w:val="bottom"/>
          </w:tcPr>
          <w:p w:rsidR="00000000" w:rsidRDefault="00000000">
            <w:pPr>
              <w:spacing w:before="40" w:after="40"/>
              <w:jc w:val="right"/>
              <w:rPr>
                <w:szCs w:val="16"/>
              </w:rPr>
            </w:pPr>
            <w:r>
              <w:rPr>
                <w:szCs w:val="16"/>
              </w:rPr>
              <w:t>34,0</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764</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4-5</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24,8</w:t>
            </w:r>
          </w:p>
        </w:tc>
        <w:tc>
          <w:tcPr>
            <w:tcW w:w="1156" w:type="dxa"/>
            <w:vAlign w:val="bottom"/>
          </w:tcPr>
          <w:p w:rsidR="00000000" w:rsidRDefault="00000000">
            <w:pPr>
              <w:spacing w:before="40" w:after="40"/>
              <w:jc w:val="right"/>
              <w:rPr>
                <w:szCs w:val="18"/>
              </w:rPr>
            </w:pPr>
            <w:r>
              <w:rPr>
                <w:szCs w:val="18"/>
              </w:rPr>
              <w:t>43,3</w:t>
            </w:r>
          </w:p>
        </w:tc>
        <w:tc>
          <w:tcPr>
            <w:tcW w:w="1156" w:type="dxa"/>
            <w:vAlign w:val="bottom"/>
          </w:tcPr>
          <w:p w:rsidR="00000000" w:rsidRDefault="00000000">
            <w:pPr>
              <w:spacing w:before="40" w:after="40"/>
              <w:jc w:val="right"/>
              <w:rPr>
                <w:szCs w:val="16"/>
              </w:rPr>
            </w:pPr>
            <w:r>
              <w:rPr>
                <w:szCs w:val="16"/>
              </w:rPr>
              <w:t>2,6</w:t>
            </w:r>
          </w:p>
        </w:tc>
        <w:tc>
          <w:tcPr>
            <w:tcW w:w="1156" w:type="dxa"/>
            <w:vAlign w:val="bottom"/>
          </w:tcPr>
          <w:p w:rsidR="00000000" w:rsidRDefault="00000000">
            <w:pPr>
              <w:spacing w:before="40" w:after="40"/>
              <w:jc w:val="right"/>
              <w:rPr>
                <w:szCs w:val="16"/>
              </w:rPr>
            </w:pPr>
            <w:r>
              <w:rPr>
                <w:szCs w:val="16"/>
              </w:rPr>
              <w:t>12,2</w:t>
            </w:r>
          </w:p>
        </w:tc>
        <w:tc>
          <w:tcPr>
            <w:tcW w:w="1156" w:type="dxa"/>
            <w:vAlign w:val="bottom"/>
          </w:tcPr>
          <w:p w:rsidR="00000000" w:rsidRDefault="00000000">
            <w:pPr>
              <w:spacing w:before="40" w:after="40"/>
              <w:jc w:val="right"/>
              <w:rPr>
                <w:szCs w:val="16"/>
              </w:rPr>
            </w:pPr>
            <w:r>
              <w:rPr>
                <w:szCs w:val="16"/>
              </w:rPr>
              <w:t>14,9</w:t>
            </w:r>
          </w:p>
        </w:tc>
        <w:tc>
          <w:tcPr>
            <w:tcW w:w="1106" w:type="dxa"/>
            <w:vAlign w:val="bottom"/>
          </w:tcPr>
          <w:p w:rsidR="00000000" w:rsidRDefault="00000000">
            <w:pPr>
              <w:spacing w:before="40" w:after="40"/>
              <w:jc w:val="right"/>
              <w:rPr>
                <w:szCs w:val="16"/>
              </w:rPr>
            </w:pPr>
            <w:r>
              <w:rPr>
                <w:szCs w:val="16"/>
              </w:rPr>
              <w:t>35,7</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1 436</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r>
              <w:rPr>
                <w:szCs w:val="18"/>
              </w:rPr>
              <w:t>+6</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22,1</w:t>
            </w:r>
          </w:p>
        </w:tc>
        <w:tc>
          <w:tcPr>
            <w:tcW w:w="1156" w:type="dxa"/>
            <w:vAlign w:val="bottom"/>
          </w:tcPr>
          <w:p w:rsidR="00000000" w:rsidRDefault="00000000">
            <w:pPr>
              <w:spacing w:before="40" w:after="40"/>
              <w:jc w:val="right"/>
              <w:rPr>
                <w:szCs w:val="18"/>
              </w:rPr>
            </w:pPr>
            <w:r>
              <w:rPr>
                <w:szCs w:val="18"/>
              </w:rPr>
              <w:t>41,8</w:t>
            </w:r>
          </w:p>
        </w:tc>
        <w:tc>
          <w:tcPr>
            <w:tcW w:w="1156" w:type="dxa"/>
            <w:vAlign w:val="bottom"/>
          </w:tcPr>
          <w:p w:rsidR="00000000" w:rsidRDefault="00000000">
            <w:pPr>
              <w:spacing w:before="40" w:after="40"/>
              <w:jc w:val="right"/>
              <w:rPr>
                <w:szCs w:val="16"/>
              </w:rPr>
            </w:pPr>
            <w:r>
              <w:rPr>
                <w:szCs w:val="16"/>
              </w:rPr>
              <w:t>3,9</w:t>
            </w:r>
          </w:p>
        </w:tc>
        <w:tc>
          <w:tcPr>
            <w:tcW w:w="1156" w:type="dxa"/>
            <w:vAlign w:val="bottom"/>
          </w:tcPr>
          <w:p w:rsidR="00000000" w:rsidRDefault="00000000">
            <w:pPr>
              <w:spacing w:before="40" w:after="40"/>
              <w:jc w:val="right"/>
              <w:rPr>
                <w:szCs w:val="16"/>
              </w:rPr>
            </w:pPr>
            <w:r>
              <w:rPr>
                <w:szCs w:val="16"/>
              </w:rPr>
              <w:t>15,4</w:t>
            </w:r>
          </w:p>
        </w:tc>
        <w:tc>
          <w:tcPr>
            <w:tcW w:w="1156" w:type="dxa"/>
            <w:vAlign w:val="bottom"/>
          </w:tcPr>
          <w:p w:rsidR="00000000" w:rsidRDefault="00000000">
            <w:pPr>
              <w:spacing w:before="40" w:after="40"/>
              <w:jc w:val="right"/>
              <w:rPr>
                <w:szCs w:val="16"/>
              </w:rPr>
            </w:pPr>
            <w:r>
              <w:rPr>
                <w:szCs w:val="16"/>
              </w:rPr>
              <w:t>13,9</w:t>
            </w:r>
          </w:p>
        </w:tc>
        <w:tc>
          <w:tcPr>
            <w:tcW w:w="1106" w:type="dxa"/>
            <w:vAlign w:val="bottom"/>
          </w:tcPr>
          <w:p w:rsidR="00000000" w:rsidRDefault="00000000">
            <w:pPr>
              <w:spacing w:before="40" w:after="40"/>
              <w:jc w:val="right"/>
              <w:rPr>
                <w:szCs w:val="16"/>
              </w:rPr>
            </w:pPr>
            <w:r>
              <w:rPr>
                <w:szCs w:val="16"/>
              </w:rPr>
              <w:t>37,6</w:t>
            </w:r>
          </w:p>
        </w:tc>
      </w:tr>
      <w:tr w:rsidR="00000000">
        <w:tblPrEx>
          <w:tblCellMar>
            <w:top w:w="0" w:type="dxa"/>
            <w:bottom w:w="0" w:type="dxa"/>
          </w:tblCellMar>
        </w:tblPrEx>
        <w:trPr>
          <w:cantSplit/>
        </w:trPr>
        <w:tc>
          <w:tcPr>
            <w:tcW w:w="1474" w:type="dxa"/>
            <w:vAlign w:val="bottom"/>
          </w:tcPr>
          <w:p w:rsidR="00000000" w:rsidRDefault="00000000">
            <w:pPr>
              <w:spacing w:before="40" w:after="40"/>
              <w:rPr>
                <w:szCs w:val="18"/>
              </w:rPr>
            </w:pPr>
          </w:p>
        </w:tc>
        <w:tc>
          <w:tcPr>
            <w:tcW w:w="1128" w:type="dxa"/>
            <w:vAlign w:val="bottom"/>
          </w:tcPr>
          <w:p w:rsidR="00000000" w:rsidRDefault="00000000">
            <w:pPr>
              <w:spacing w:before="40" w:after="40"/>
              <w:jc w:val="right"/>
              <w:rPr>
                <w:szCs w:val="18"/>
              </w:rPr>
            </w:pPr>
            <w:r>
              <w:rPr>
                <w:szCs w:val="18"/>
              </w:rPr>
              <w:t>1 107</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tcPr>
          <w:p w:rsidR="00000000" w:rsidRDefault="00000000">
            <w:pPr>
              <w:spacing w:before="40" w:after="40"/>
              <w:rPr>
                <w:b/>
                <w:szCs w:val="16"/>
              </w:rPr>
            </w:pPr>
            <w:r>
              <w:rPr>
                <w:b/>
                <w:szCs w:val="16"/>
              </w:rPr>
              <w:t>Résidence</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tcPr>
          <w:p w:rsidR="00000000" w:rsidRDefault="00000000">
            <w:pPr>
              <w:spacing w:before="40" w:after="40"/>
              <w:ind w:left="170"/>
              <w:rPr>
                <w:b/>
                <w:szCs w:val="16"/>
              </w:rPr>
            </w:pPr>
            <w:r>
              <w:rPr>
                <w:szCs w:val="16"/>
              </w:rPr>
              <w:t>N’</w:t>
            </w:r>
            <w:proofErr w:type="spellStart"/>
            <w:r>
              <w:rPr>
                <w:szCs w:val="16"/>
              </w:rPr>
              <w:t>Djaména</w:t>
            </w:r>
            <w:proofErr w:type="spellEnd"/>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12,3</w:t>
            </w:r>
          </w:p>
        </w:tc>
        <w:tc>
          <w:tcPr>
            <w:tcW w:w="1156" w:type="dxa"/>
            <w:vAlign w:val="bottom"/>
          </w:tcPr>
          <w:p w:rsidR="00000000" w:rsidRDefault="00000000">
            <w:pPr>
              <w:spacing w:before="40" w:after="40"/>
              <w:jc w:val="right"/>
              <w:rPr>
                <w:szCs w:val="18"/>
              </w:rPr>
            </w:pPr>
            <w:r>
              <w:rPr>
                <w:szCs w:val="18"/>
              </w:rPr>
              <w:t>26,8</w:t>
            </w:r>
          </w:p>
        </w:tc>
        <w:tc>
          <w:tcPr>
            <w:tcW w:w="1156" w:type="dxa"/>
            <w:vAlign w:val="bottom"/>
          </w:tcPr>
          <w:p w:rsidR="00000000" w:rsidRDefault="00000000">
            <w:pPr>
              <w:spacing w:before="40" w:after="40"/>
              <w:jc w:val="right"/>
              <w:rPr>
                <w:szCs w:val="16"/>
              </w:rPr>
            </w:pPr>
            <w:r>
              <w:rPr>
                <w:szCs w:val="16"/>
              </w:rPr>
              <w:t>4,4</w:t>
            </w:r>
          </w:p>
        </w:tc>
        <w:tc>
          <w:tcPr>
            <w:tcW w:w="1156" w:type="dxa"/>
            <w:vAlign w:val="bottom"/>
          </w:tcPr>
          <w:p w:rsidR="00000000" w:rsidRDefault="00000000">
            <w:pPr>
              <w:spacing w:before="40" w:after="40"/>
              <w:jc w:val="right"/>
              <w:rPr>
                <w:szCs w:val="16"/>
              </w:rPr>
            </w:pPr>
            <w:r>
              <w:rPr>
                <w:szCs w:val="16"/>
              </w:rPr>
              <w:t>16,3</w:t>
            </w:r>
          </w:p>
        </w:tc>
        <w:tc>
          <w:tcPr>
            <w:tcW w:w="1156" w:type="dxa"/>
            <w:vAlign w:val="bottom"/>
          </w:tcPr>
          <w:p w:rsidR="00000000" w:rsidRDefault="00000000">
            <w:pPr>
              <w:spacing w:before="40" w:after="40"/>
              <w:jc w:val="right"/>
              <w:rPr>
                <w:szCs w:val="16"/>
              </w:rPr>
            </w:pPr>
            <w:r>
              <w:rPr>
                <w:szCs w:val="16"/>
              </w:rPr>
              <w:t>9,0</w:t>
            </w:r>
          </w:p>
        </w:tc>
        <w:tc>
          <w:tcPr>
            <w:tcW w:w="1106" w:type="dxa"/>
            <w:vAlign w:val="bottom"/>
          </w:tcPr>
          <w:p w:rsidR="00000000" w:rsidRDefault="00000000">
            <w:pPr>
              <w:spacing w:before="40" w:after="40"/>
              <w:jc w:val="right"/>
              <w:rPr>
                <w:szCs w:val="16"/>
              </w:rPr>
            </w:pPr>
            <w:r>
              <w:rPr>
                <w:szCs w:val="16"/>
              </w:rPr>
              <w:t>26,5</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335</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tcPr>
          <w:p w:rsidR="00000000" w:rsidRDefault="00000000">
            <w:pPr>
              <w:spacing w:before="40" w:after="40"/>
              <w:ind w:left="170"/>
              <w:rPr>
                <w:szCs w:val="18"/>
              </w:rPr>
            </w:pPr>
            <w:r>
              <w:rPr>
                <w:szCs w:val="16"/>
              </w:rPr>
              <w:t>Autres villes</w:t>
            </w:r>
          </w:p>
        </w:tc>
        <w:tc>
          <w:tcPr>
            <w:tcW w:w="1164" w:type="dxa"/>
            <w:vAlign w:val="bottom"/>
          </w:tcPr>
          <w:p w:rsidR="00000000" w:rsidRDefault="00000000">
            <w:pPr>
              <w:spacing w:before="40" w:after="40"/>
              <w:jc w:val="right"/>
              <w:rPr>
                <w:szCs w:val="18"/>
              </w:rPr>
            </w:pPr>
            <w:r>
              <w:rPr>
                <w:szCs w:val="18"/>
              </w:rPr>
              <w:t>18,1</w:t>
            </w:r>
          </w:p>
        </w:tc>
        <w:tc>
          <w:tcPr>
            <w:tcW w:w="1156" w:type="dxa"/>
            <w:vAlign w:val="bottom"/>
          </w:tcPr>
          <w:p w:rsidR="00000000" w:rsidRDefault="00000000">
            <w:pPr>
              <w:spacing w:before="40" w:after="40"/>
              <w:jc w:val="right"/>
              <w:rPr>
                <w:szCs w:val="18"/>
              </w:rPr>
            </w:pPr>
            <w:r>
              <w:rPr>
                <w:szCs w:val="18"/>
              </w:rPr>
              <w:t>35,6</w:t>
            </w:r>
          </w:p>
        </w:tc>
        <w:tc>
          <w:tcPr>
            <w:tcW w:w="1156" w:type="dxa"/>
            <w:vAlign w:val="bottom"/>
          </w:tcPr>
          <w:p w:rsidR="00000000" w:rsidRDefault="00000000">
            <w:pPr>
              <w:spacing w:before="40" w:after="40"/>
              <w:jc w:val="right"/>
              <w:rPr>
                <w:szCs w:val="16"/>
              </w:rPr>
            </w:pPr>
            <w:r>
              <w:rPr>
                <w:szCs w:val="16"/>
              </w:rPr>
              <w:t>3,1</w:t>
            </w:r>
          </w:p>
        </w:tc>
        <w:tc>
          <w:tcPr>
            <w:tcW w:w="1156" w:type="dxa"/>
            <w:vAlign w:val="bottom"/>
          </w:tcPr>
          <w:p w:rsidR="00000000" w:rsidRDefault="00000000">
            <w:pPr>
              <w:spacing w:before="40" w:after="40"/>
              <w:jc w:val="right"/>
              <w:rPr>
                <w:szCs w:val="16"/>
              </w:rPr>
            </w:pPr>
            <w:r>
              <w:rPr>
                <w:szCs w:val="16"/>
              </w:rPr>
              <w:t>13,2</w:t>
            </w:r>
          </w:p>
        </w:tc>
        <w:tc>
          <w:tcPr>
            <w:tcW w:w="1156" w:type="dxa"/>
            <w:vAlign w:val="bottom"/>
          </w:tcPr>
          <w:p w:rsidR="00000000" w:rsidRDefault="00000000">
            <w:pPr>
              <w:spacing w:before="40" w:after="40"/>
              <w:jc w:val="right"/>
              <w:rPr>
                <w:szCs w:val="16"/>
              </w:rPr>
            </w:pPr>
            <w:r>
              <w:rPr>
                <w:szCs w:val="16"/>
              </w:rPr>
              <w:t>9,6</w:t>
            </w:r>
          </w:p>
        </w:tc>
        <w:tc>
          <w:tcPr>
            <w:tcW w:w="1106" w:type="dxa"/>
            <w:vAlign w:val="bottom"/>
          </w:tcPr>
          <w:p w:rsidR="00000000" w:rsidRDefault="00000000">
            <w:pPr>
              <w:spacing w:before="40" w:after="40"/>
              <w:jc w:val="right"/>
              <w:rPr>
                <w:szCs w:val="16"/>
              </w:rPr>
            </w:pPr>
            <w:r>
              <w:rPr>
                <w:szCs w:val="16"/>
              </w:rPr>
              <w:t>32,1</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547</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tcPr>
          <w:p w:rsidR="00000000" w:rsidRDefault="00000000">
            <w:pPr>
              <w:spacing w:before="40" w:after="40"/>
              <w:ind w:left="170"/>
              <w:rPr>
                <w:szCs w:val="18"/>
              </w:rPr>
            </w:pPr>
            <w:r>
              <w:rPr>
                <w:szCs w:val="16"/>
              </w:rPr>
              <w:t>Ensemble urbain</w:t>
            </w:r>
          </w:p>
        </w:tc>
        <w:tc>
          <w:tcPr>
            <w:tcW w:w="1164" w:type="dxa"/>
            <w:vAlign w:val="bottom"/>
          </w:tcPr>
          <w:p w:rsidR="00000000" w:rsidRDefault="00000000">
            <w:pPr>
              <w:spacing w:before="40" w:after="40"/>
              <w:jc w:val="right"/>
              <w:rPr>
                <w:szCs w:val="18"/>
              </w:rPr>
            </w:pPr>
            <w:r>
              <w:rPr>
                <w:szCs w:val="18"/>
              </w:rPr>
              <w:t>15,9</w:t>
            </w:r>
          </w:p>
        </w:tc>
        <w:tc>
          <w:tcPr>
            <w:tcW w:w="1156" w:type="dxa"/>
            <w:vAlign w:val="bottom"/>
          </w:tcPr>
          <w:p w:rsidR="00000000" w:rsidRDefault="00000000">
            <w:pPr>
              <w:spacing w:before="40" w:after="40"/>
              <w:jc w:val="right"/>
              <w:rPr>
                <w:szCs w:val="18"/>
              </w:rPr>
            </w:pPr>
            <w:r>
              <w:rPr>
                <w:szCs w:val="18"/>
              </w:rPr>
              <w:t>32,3</w:t>
            </w:r>
          </w:p>
        </w:tc>
        <w:tc>
          <w:tcPr>
            <w:tcW w:w="1156" w:type="dxa"/>
            <w:vAlign w:val="bottom"/>
          </w:tcPr>
          <w:p w:rsidR="00000000" w:rsidRDefault="00000000">
            <w:pPr>
              <w:spacing w:before="40" w:after="40"/>
              <w:jc w:val="right"/>
              <w:rPr>
                <w:szCs w:val="16"/>
              </w:rPr>
            </w:pPr>
            <w:r>
              <w:rPr>
                <w:szCs w:val="16"/>
              </w:rPr>
              <w:t>3,6</w:t>
            </w:r>
          </w:p>
        </w:tc>
        <w:tc>
          <w:tcPr>
            <w:tcW w:w="1156" w:type="dxa"/>
            <w:vAlign w:val="bottom"/>
          </w:tcPr>
          <w:p w:rsidR="00000000" w:rsidRDefault="00000000">
            <w:pPr>
              <w:spacing w:before="40" w:after="40"/>
              <w:jc w:val="right"/>
              <w:rPr>
                <w:szCs w:val="16"/>
              </w:rPr>
            </w:pPr>
            <w:r>
              <w:rPr>
                <w:szCs w:val="16"/>
              </w:rPr>
              <w:t>14,4</w:t>
            </w:r>
          </w:p>
        </w:tc>
        <w:tc>
          <w:tcPr>
            <w:tcW w:w="1156" w:type="dxa"/>
            <w:vAlign w:val="bottom"/>
          </w:tcPr>
          <w:p w:rsidR="00000000" w:rsidRDefault="00000000">
            <w:pPr>
              <w:spacing w:before="40" w:after="40"/>
              <w:jc w:val="right"/>
              <w:rPr>
                <w:szCs w:val="16"/>
              </w:rPr>
            </w:pPr>
            <w:r>
              <w:rPr>
                <w:szCs w:val="16"/>
              </w:rPr>
              <w:t>9,4</w:t>
            </w:r>
          </w:p>
        </w:tc>
        <w:tc>
          <w:tcPr>
            <w:tcW w:w="1106" w:type="dxa"/>
            <w:vAlign w:val="bottom"/>
          </w:tcPr>
          <w:p w:rsidR="00000000" w:rsidRDefault="00000000">
            <w:pPr>
              <w:spacing w:before="40" w:after="40"/>
              <w:jc w:val="right"/>
              <w:rPr>
                <w:szCs w:val="16"/>
              </w:rPr>
            </w:pPr>
            <w:r>
              <w:rPr>
                <w:szCs w:val="16"/>
              </w:rPr>
              <w:t>29,9</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882</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r>
              <w:rPr>
                <w:szCs w:val="16"/>
              </w:rPr>
              <w:t>Rural</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24,9</w:t>
            </w:r>
          </w:p>
        </w:tc>
        <w:tc>
          <w:tcPr>
            <w:tcW w:w="1156" w:type="dxa"/>
            <w:vAlign w:val="bottom"/>
          </w:tcPr>
          <w:p w:rsidR="00000000" w:rsidRDefault="00000000">
            <w:pPr>
              <w:spacing w:before="40" w:after="40"/>
              <w:jc w:val="right"/>
              <w:rPr>
                <w:szCs w:val="18"/>
              </w:rPr>
            </w:pPr>
            <w:r>
              <w:rPr>
                <w:szCs w:val="18"/>
              </w:rPr>
              <w:t>43,0</w:t>
            </w:r>
          </w:p>
        </w:tc>
        <w:tc>
          <w:tcPr>
            <w:tcW w:w="1156" w:type="dxa"/>
            <w:vAlign w:val="bottom"/>
          </w:tcPr>
          <w:p w:rsidR="00000000" w:rsidRDefault="00000000">
            <w:pPr>
              <w:spacing w:before="40" w:after="40"/>
              <w:jc w:val="right"/>
              <w:rPr>
                <w:szCs w:val="16"/>
              </w:rPr>
            </w:pPr>
            <w:r>
              <w:rPr>
                <w:szCs w:val="16"/>
              </w:rPr>
              <w:t>3,0</w:t>
            </w:r>
          </w:p>
        </w:tc>
        <w:tc>
          <w:tcPr>
            <w:tcW w:w="1156" w:type="dxa"/>
            <w:vAlign w:val="bottom"/>
          </w:tcPr>
          <w:p w:rsidR="00000000" w:rsidRDefault="00000000">
            <w:pPr>
              <w:spacing w:before="40" w:after="40"/>
              <w:jc w:val="right"/>
              <w:rPr>
                <w:szCs w:val="16"/>
              </w:rPr>
            </w:pPr>
            <w:r>
              <w:rPr>
                <w:szCs w:val="16"/>
              </w:rPr>
              <w:t>13,3</w:t>
            </w:r>
          </w:p>
        </w:tc>
        <w:tc>
          <w:tcPr>
            <w:tcW w:w="1156" w:type="dxa"/>
            <w:vAlign w:val="bottom"/>
          </w:tcPr>
          <w:p w:rsidR="00000000" w:rsidRDefault="00000000">
            <w:pPr>
              <w:spacing w:before="40" w:after="40"/>
              <w:jc w:val="right"/>
              <w:rPr>
                <w:szCs w:val="16"/>
              </w:rPr>
            </w:pPr>
            <w:r>
              <w:rPr>
                <w:szCs w:val="16"/>
              </w:rPr>
              <w:t>15,1</w:t>
            </w:r>
          </w:p>
        </w:tc>
        <w:tc>
          <w:tcPr>
            <w:tcW w:w="1106" w:type="dxa"/>
            <w:vAlign w:val="bottom"/>
          </w:tcPr>
          <w:p w:rsidR="00000000" w:rsidRDefault="00000000">
            <w:pPr>
              <w:spacing w:before="40" w:after="40"/>
              <w:jc w:val="right"/>
              <w:rPr>
                <w:szCs w:val="16"/>
              </w:rPr>
            </w:pPr>
            <w:r>
              <w:rPr>
                <w:szCs w:val="16"/>
              </w:rPr>
              <w:t>38,3</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3 753</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tcPr>
          <w:p w:rsidR="00000000" w:rsidRDefault="00000000">
            <w:pPr>
              <w:keepNext/>
              <w:spacing w:before="40" w:after="40"/>
              <w:rPr>
                <w:szCs w:val="18"/>
              </w:rPr>
            </w:pPr>
            <w:r>
              <w:rPr>
                <w:b/>
                <w:szCs w:val="16"/>
              </w:rPr>
              <w:t>Niveau d’instruction mère</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tcPr>
          <w:p w:rsidR="00000000" w:rsidRDefault="00000000">
            <w:pPr>
              <w:keepNext/>
              <w:spacing w:before="40" w:after="40"/>
              <w:ind w:left="170"/>
              <w:rPr>
                <w:szCs w:val="18"/>
              </w:rPr>
            </w:pPr>
            <w:r>
              <w:rPr>
                <w:szCs w:val="16"/>
              </w:rPr>
              <w:t>Aucune instruction</w:t>
            </w:r>
          </w:p>
        </w:tc>
        <w:tc>
          <w:tcPr>
            <w:tcW w:w="1164" w:type="dxa"/>
            <w:vAlign w:val="bottom"/>
          </w:tcPr>
          <w:p w:rsidR="00000000" w:rsidRDefault="00000000">
            <w:pPr>
              <w:spacing w:before="40" w:after="40"/>
              <w:jc w:val="right"/>
              <w:rPr>
                <w:szCs w:val="18"/>
              </w:rPr>
            </w:pPr>
            <w:r>
              <w:rPr>
                <w:szCs w:val="18"/>
              </w:rPr>
              <w:t>26,3</w:t>
            </w:r>
          </w:p>
        </w:tc>
        <w:tc>
          <w:tcPr>
            <w:tcW w:w="1156" w:type="dxa"/>
            <w:vAlign w:val="bottom"/>
          </w:tcPr>
          <w:p w:rsidR="00000000" w:rsidRDefault="00000000">
            <w:pPr>
              <w:spacing w:before="40" w:after="40"/>
              <w:jc w:val="right"/>
              <w:rPr>
                <w:szCs w:val="18"/>
              </w:rPr>
            </w:pPr>
            <w:r>
              <w:rPr>
                <w:szCs w:val="18"/>
              </w:rPr>
              <w:t>44,3</w:t>
            </w:r>
          </w:p>
        </w:tc>
        <w:tc>
          <w:tcPr>
            <w:tcW w:w="1156" w:type="dxa"/>
            <w:vAlign w:val="bottom"/>
          </w:tcPr>
          <w:p w:rsidR="00000000" w:rsidRDefault="00000000">
            <w:pPr>
              <w:spacing w:before="40" w:after="40"/>
              <w:jc w:val="right"/>
              <w:rPr>
                <w:szCs w:val="16"/>
              </w:rPr>
            </w:pPr>
            <w:r>
              <w:rPr>
                <w:szCs w:val="16"/>
              </w:rPr>
              <w:t>3,5</w:t>
            </w:r>
          </w:p>
        </w:tc>
        <w:tc>
          <w:tcPr>
            <w:tcW w:w="1156" w:type="dxa"/>
            <w:vAlign w:val="bottom"/>
          </w:tcPr>
          <w:p w:rsidR="00000000" w:rsidRDefault="00000000">
            <w:pPr>
              <w:spacing w:before="40" w:after="40"/>
              <w:jc w:val="right"/>
              <w:rPr>
                <w:szCs w:val="16"/>
              </w:rPr>
            </w:pPr>
            <w:r>
              <w:rPr>
                <w:szCs w:val="16"/>
              </w:rPr>
              <w:t>14,9</w:t>
            </w:r>
          </w:p>
        </w:tc>
        <w:tc>
          <w:tcPr>
            <w:tcW w:w="1156" w:type="dxa"/>
            <w:vAlign w:val="bottom"/>
          </w:tcPr>
          <w:p w:rsidR="00000000" w:rsidRDefault="00000000">
            <w:pPr>
              <w:spacing w:before="40" w:after="40"/>
              <w:jc w:val="right"/>
              <w:rPr>
                <w:szCs w:val="16"/>
              </w:rPr>
            </w:pPr>
            <w:r>
              <w:rPr>
                <w:szCs w:val="16"/>
              </w:rPr>
              <w:t>16,6</w:t>
            </w:r>
          </w:p>
        </w:tc>
        <w:tc>
          <w:tcPr>
            <w:tcW w:w="1106" w:type="dxa"/>
            <w:vAlign w:val="bottom"/>
          </w:tcPr>
          <w:p w:rsidR="00000000" w:rsidRDefault="00000000">
            <w:pPr>
              <w:spacing w:before="40" w:after="40"/>
              <w:jc w:val="right"/>
              <w:rPr>
                <w:szCs w:val="16"/>
              </w:rPr>
            </w:pPr>
            <w:r>
              <w:rPr>
                <w:szCs w:val="16"/>
              </w:rPr>
              <w:t>40,5</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3 539</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r>
              <w:rPr>
                <w:szCs w:val="16"/>
              </w:rPr>
              <w:t>Primaire</w:t>
            </w:r>
          </w:p>
        </w:tc>
        <w:tc>
          <w:tcPr>
            <w:tcW w:w="1128" w:type="dxa"/>
            <w:vAlign w:val="bottom"/>
          </w:tcPr>
          <w:p w:rsidR="00000000" w:rsidRDefault="00000000">
            <w:pPr>
              <w:spacing w:before="40" w:after="40"/>
              <w:jc w:val="right"/>
              <w:rPr>
                <w:szCs w:val="18"/>
              </w:rPr>
            </w:pPr>
          </w:p>
        </w:tc>
        <w:tc>
          <w:tcPr>
            <w:tcW w:w="1164" w:type="dxa"/>
            <w:vAlign w:val="bottom"/>
          </w:tcPr>
          <w:p w:rsidR="00000000" w:rsidRDefault="00000000">
            <w:pPr>
              <w:spacing w:before="40" w:after="40"/>
              <w:jc w:val="right"/>
              <w:rPr>
                <w:szCs w:val="18"/>
              </w:rPr>
            </w:pPr>
            <w:r>
              <w:rPr>
                <w:szCs w:val="18"/>
              </w:rPr>
              <w:t>13,5</w:t>
            </w:r>
          </w:p>
        </w:tc>
        <w:tc>
          <w:tcPr>
            <w:tcW w:w="1156" w:type="dxa"/>
            <w:vAlign w:val="bottom"/>
          </w:tcPr>
          <w:p w:rsidR="00000000" w:rsidRDefault="00000000">
            <w:pPr>
              <w:spacing w:before="40" w:after="40"/>
              <w:jc w:val="right"/>
              <w:rPr>
                <w:szCs w:val="18"/>
              </w:rPr>
            </w:pPr>
            <w:r>
              <w:rPr>
                <w:szCs w:val="18"/>
              </w:rPr>
              <w:t>31,9</w:t>
            </w:r>
          </w:p>
        </w:tc>
        <w:tc>
          <w:tcPr>
            <w:tcW w:w="1156" w:type="dxa"/>
            <w:vAlign w:val="bottom"/>
          </w:tcPr>
          <w:p w:rsidR="00000000" w:rsidRDefault="00000000">
            <w:pPr>
              <w:spacing w:before="40" w:after="40"/>
              <w:jc w:val="right"/>
              <w:rPr>
                <w:szCs w:val="16"/>
              </w:rPr>
            </w:pPr>
            <w:r>
              <w:rPr>
                <w:szCs w:val="16"/>
              </w:rPr>
              <w:t>1,7</w:t>
            </w:r>
          </w:p>
        </w:tc>
        <w:tc>
          <w:tcPr>
            <w:tcW w:w="1156" w:type="dxa"/>
            <w:vAlign w:val="bottom"/>
          </w:tcPr>
          <w:p w:rsidR="00000000" w:rsidRDefault="00000000">
            <w:pPr>
              <w:spacing w:before="40" w:after="40"/>
              <w:jc w:val="right"/>
              <w:rPr>
                <w:szCs w:val="16"/>
              </w:rPr>
            </w:pPr>
            <w:r>
              <w:rPr>
                <w:szCs w:val="16"/>
              </w:rPr>
              <w:t>9,4</w:t>
            </w:r>
          </w:p>
        </w:tc>
        <w:tc>
          <w:tcPr>
            <w:tcW w:w="1156" w:type="dxa"/>
            <w:vAlign w:val="bottom"/>
          </w:tcPr>
          <w:p w:rsidR="00000000" w:rsidRDefault="00000000">
            <w:pPr>
              <w:spacing w:before="40" w:after="40"/>
              <w:jc w:val="right"/>
              <w:rPr>
                <w:szCs w:val="16"/>
              </w:rPr>
            </w:pPr>
            <w:r>
              <w:rPr>
                <w:szCs w:val="16"/>
              </w:rPr>
              <w:t>5,8</w:t>
            </w:r>
          </w:p>
        </w:tc>
        <w:tc>
          <w:tcPr>
            <w:tcW w:w="1106" w:type="dxa"/>
            <w:vAlign w:val="bottom"/>
          </w:tcPr>
          <w:p w:rsidR="00000000" w:rsidRDefault="00000000">
            <w:pPr>
              <w:spacing w:before="40" w:after="40"/>
              <w:jc w:val="right"/>
              <w:rPr>
                <w:szCs w:val="16"/>
              </w:rPr>
            </w:pPr>
            <w:r>
              <w:rPr>
                <w:szCs w:val="16"/>
              </w:rPr>
              <w:t>25,7</w:t>
            </w:r>
          </w:p>
        </w:tc>
      </w:tr>
      <w:tr w:rsidR="00000000">
        <w:tblPrEx>
          <w:tblCellMar>
            <w:top w:w="0" w:type="dxa"/>
            <w:bottom w:w="0" w:type="dxa"/>
          </w:tblCellMar>
        </w:tblPrEx>
        <w:trPr>
          <w:cantSplit/>
        </w:trPr>
        <w:tc>
          <w:tcPr>
            <w:tcW w:w="1474" w:type="dxa"/>
          </w:tcPr>
          <w:p w:rsidR="00000000" w:rsidRDefault="00000000">
            <w:pPr>
              <w:spacing w:before="40" w:after="40"/>
              <w:ind w:left="170"/>
              <w:rPr>
                <w:szCs w:val="16"/>
              </w:rPr>
            </w:pPr>
          </w:p>
        </w:tc>
        <w:tc>
          <w:tcPr>
            <w:tcW w:w="1128" w:type="dxa"/>
            <w:vAlign w:val="bottom"/>
          </w:tcPr>
          <w:p w:rsidR="00000000" w:rsidRDefault="00000000">
            <w:pPr>
              <w:spacing w:before="40" w:after="40"/>
              <w:jc w:val="right"/>
              <w:rPr>
                <w:szCs w:val="18"/>
              </w:rPr>
            </w:pPr>
            <w:r>
              <w:rPr>
                <w:szCs w:val="18"/>
              </w:rPr>
              <w:t>902</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2602" w:type="dxa"/>
            <w:gridSpan w:val="2"/>
          </w:tcPr>
          <w:p w:rsidR="00000000" w:rsidRDefault="00000000">
            <w:pPr>
              <w:keepNext/>
              <w:spacing w:before="40" w:after="40"/>
              <w:ind w:left="170"/>
              <w:rPr>
                <w:szCs w:val="16"/>
              </w:rPr>
            </w:pPr>
            <w:r>
              <w:rPr>
                <w:szCs w:val="16"/>
              </w:rPr>
              <w:t>Secondaire ou plus</w:t>
            </w:r>
          </w:p>
        </w:tc>
        <w:tc>
          <w:tcPr>
            <w:tcW w:w="1164" w:type="dxa"/>
            <w:vAlign w:val="bottom"/>
          </w:tcPr>
          <w:p w:rsidR="00000000" w:rsidRDefault="00000000">
            <w:pPr>
              <w:spacing w:before="40" w:after="40"/>
              <w:jc w:val="right"/>
              <w:rPr>
                <w:szCs w:val="18"/>
              </w:rPr>
            </w:pPr>
            <w:r>
              <w:rPr>
                <w:szCs w:val="18"/>
              </w:rPr>
              <w:t>10,9</w:t>
            </w:r>
          </w:p>
        </w:tc>
        <w:tc>
          <w:tcPr>
            <w:tcW w:w="1156" w:type="dxa"/>
            <w:vAlign w:val="bottom"/>
          </w:tcPr>
          <w:p w:rsidR="00000000" w:rsidRDefault="00000000">
            <w:pPr>
              <w:spacing w:before="40" w:after="40"/>
              <w:jc w:val="right"/>
              <w:rPr>
                <w:szCs w:val="18"/>
              </w:rPr>
            </w:pPr>
            <w:r>
              <w:rPr>
                <w:szCs w:val="18"/>
              </w:rPr>
              <w:t>22,1</w:t>
            </w:r>
          </w:p>
        </w:tc>
        <w:tc>
          <w:tcPr>
            <w:tcW w:w="1156" w:type="dxa"/>
            <w:vAlign w:val="bottom"/>
          </w:tcPr>
          <w:p w:rsidR="00000000" w:rsidRDefault="00000000">
            <w:pPr>
              <w:spacing w:before="40" w:after="40"/>
              <w:jc w:val="right"/>
              <w:rPr>
                <w:szCs w:val="16"/>
              </w:rPr>
            </w:pPr>
            <w:r>
              <w:rPr>
                <w:szCs w:val="16"/>
              </w:rPr>
              <w:t>2,2</w:t>
            </w:r>
          </w:p>
        </w:tc>
        <w:tc>
          <w:tcPr>
            <w:tcW w:w="1156" w:type="dxa"/>
            <w:vAlign w:val="bottom"/>
          </w:tcPr>
          <w:p w:rsidR="00000000" w:rsidRDefault="00000000">
            <w:pPr>
              <w:spacing w:before="40" w:after="40"/>
              <w:jc w:val="right"/>
              <w:rPr>
                <w:szCs w:val="16"/>
              </w:rPr>
            </w:pPr>
            <w:r>
              <w:rPr>
                <w:szCs w:val="16"/>
              </w:rPr>
              <w:t>8,3</w:t>
            </w:r>
          </w:p>
        </w:tc>
        <w:tc>
          <w:tcPr>
            <w:tcW w:w="1156" w:type="dxa"/>
            <w:vAlign w:val="bottom"/>
          </w:tcPr>
          <w:p w:rsidR="00000000" w:rsidRDefault="00000000">
            <w:pPr>
              <w:spacing w:before="40" w:after="40"/>
              <w:jc w:val="right"/>
              <w:rPr>
                <w:szCs w:val="16"/>
              </w:rPr>
            </w:pPr>
            <w:r>
              <w:rPr>
                <w:szCs w:val="16"/>
              </w:rPr>
              <w:t>5,3</w:t>
            </w:r>
          </w:p>
        </w:tc>
        <w:tc>
          <w:tcPr>
            <w:tcW w:w="1106" w:type="dxa"/>
            <w:vAlign w:val="bottom"/>
          </w:tcPr>
          <w:p w:rsidR="00000000" w:rsidRDefault="00000000">
            <w:pPr>
              <w:spacing w:before="40" w:after="40"/>
              <w:jc w:val="right"/>
              <w:rPr>
                <w:szCs w:val="16"/>
              </w:rPr>
            </w:pPr>
            <w:r>
              <w:rPr>
                <w:szCs w:val="16"/>
              </w:rPr>
              <w:t>20,3</w:t>
            </w:r>
          </w:p>
        </w:tc>
      </w:tr>
      <w:tr w:rsidR="00000000">
        <w:tblPrEx>
          <w:tblCellMar>
            <w:top w:w="0" w:type="dxa"/>
            <w:bottom w:w="0" w:type="dxa"/>
          </w:tblCellMar>
        </w:tblPrEx>
        <w:trPr>
          <w:cantSplit/>
        </w:trPr>
        <w:tc>
          <w:tcPr>
            <w:tcW w:w="1474" w:type="dxa"/>
            <w:vAlign w:val="bottom"/>
          </w:tcPr>
          <w:p w:rsidR="00000000" w:rsidRDefault="00000000">
            <w:pPr>
              <w:keepNext/>
              <w:spacing w:before="40" w:after="40"/>
              <w:rPr>
                <w:szCs w:val="18"/>
              </w:rPr>
            </w:pPr>
          </w:p>
        </w:tc>
        <w:tc>
          <w:tcPr>
            <w:tcW w:w="1128" w:type="dxa"/>
            <w:vAlign w:val="bottom"/>
          </w:tcPr>
          <w:p w:rsidR="00000000" w:rsidRDefault="00000000">
            <w:pPr>
              <w:spacing w:before="40" w:after="40"/>
              <w:jc w:val="right"/>
              <w:rPr>
                <w:szCs w:val="18"/>
              </w:rPr>
            </w:pPr>
            <w:r>
              <w:rPr>
                <w:szCs w:val="18"/>
              </w:rPr>
              <w:t>194</w:t>
            </w:r>
          </w:p>
        </w:tc>
        <w:tc>
          <w:tcPr>
            <w:tcW w:w="1164"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8"/>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56" w:type="dxa"/>
            <w:vAlign w:val="bottom"/>
          </w:tcPr>
          <w:p w:rsidR="00000000" w:rsidRDefault="00000000">
            <w:pPr>
              <w:spacing w:before="40" w:after="40"/>
              <w:jc w:val="right"/>
              <w:rPr>
                <w:szCs w:val="16"/>
              </w:rPr>
            </w:pPr>
          </w:p>
        </w:tc>
        <w:tc>
          <w:tcPr>
            <w:tcW w:w="1106" w:type="dxa"/>
            <w:vAlign w:val="bottom"/>
          </w:tcPr>
          <w:p w:rsidR="00000000" w:rsidRDefault="00000000">
            <w:pPr>
              <w:spacing w:before="40" w:after="40"/>
              <w:jc w:val="right"/>
              <w:rPr>
                <w:szCs w:val="16"/>
              </w:rPr>
            </w:pPr>
          </w:p>
        </w:tc>
      </w:tr>
      <w:tr w:rsidR="00000000">
        <w:tblPrEx>
          <w:tblCellMar>
            <w:top w:w="0" w:type="dxa"/>
            <w:bottom w:w="0" w:type="dxa"/>
          </w:tblCellMar>
        </w:tblPrEx>
        <w:trPr>
          <w:cantSplit/>
        </w:trPr>
        <w:tc>
          <w:tcPr>
            <w:tcW w:w="1474" w:type="dxa"/>
            <w:vAlign w:val="bottom"/>
          </w:tcPr>
          <w:p w:rsidR="00000000" w:rsidRDefault="00000000">
            <w:pPr>
              <w:spacing w:before="40" w:after="40"/>
              <w:rPr>
                <w:b/>
                <w:bCs/>
                <w:szCs w:val="18"/>
              </w:rPr>
            </w:pPr>
            <w:r>
              <w:rPr>
                <w:b/>
                <w:bCs/>
                <w:szCs w:val="18"/>
              </w:rPr>
              <w:t>Ensemble</w:t>
            </w:r>
          </w:p>
        </w:tc>
        <w:tc>
          <w:tcPr>
            <w:tcW w:w="1128" w:type="dxa"/>
            <w:vAlign w:val="bottom"/>
          </w:tcPr>
          <w:p w:rsidR="00000000" w:rsidRDefault="00000000">
            <w:pPr>
              <w:spacing w:before="40" w:after="40"/>
              <w:jc w:val="right"/>
              <w:rPr>
                <w:b/>
                <w:bCs/>
                <w:szCs w:val="18"/>
              </w:rPr>
            </w:pPr>
          </w:p>
        </w:tc>
        <w:tc>
          <w:tcPr>
            <w:tcW w:w="1164" w:type="dxa"/>
            <w:vAlign w:val="bottom"/>
          </w:tcPr>
          <w:p w:rsidR="00000000" w:rsidRDefault="00000000">
            <w:pPr>
              <w:spacing w:before="40" w:after="40"/>
              <w:jc w:val="right"/>
              <w:rPr>
                <w:b/>
                <w:bCs/>
                <w:szCs w:val="18"/>
              </w:rPr>
            </w:pPr>
            <w:r>
              <w:rPr>
                <w:b/>
                <w:bCs/>
                <w:szCs w:val="18"/>
              </w:rPr>
              <w:t>23,2</w:t>
            </w:r>
          </w:p>
        </w:tc>
        <w:tc>
          <w:tcPr>
            <w:tcW w:w="1156" w:type="dxa"/>
            <w:vAlign w:val="bottom"/>
          </w:tcPr>
          <w:p w:rsidR="00000000" w:rsidRDefault="00000000">
            <w:pPr>
              <w:spacing w:before="40" w:after="40"/>
              <w:jc w:val="right"/>
              <w:rPr>
                <w:b/>
                <w:bCs/>
                <w:szCs w:val="18"/>
              </w:rPr>
            </w:pPr>
            <w:r>
              <w:rPr>
                <w:b/>
                <w:bCs/>
                <w:szCs w:val="18"/>
              </w:rPr>
              <w:t>40,9</w:t>
            </w:r>
          </w:p>
        </w:tc>
        <w:tc>
          <w:tcPr>
            <w:tcW w:w="1156" w:type="dxa"/>
            <w:vAlign w:val="bottom"/>
          </w:tcPr>
          <w:p w:rsidR="00000000" w:rsidRDefault="00000000">
            <w:pPr>
              <w:spacing w:before="40" w:after="40"/>
              <w:jc w:val="right"/>
              <w:rPr>
                <w:b/>
                <w:bCs/>
                <w:szCs w:val="16"/>
              </w:rPr>
            </w:pPr>
            <w:r>
              <w:rPr>
                <w:b/>
                <w:bCs/>
                <w:szCs w:val="16"/>
              </w:rPr>
              <w:t>3,1</w:t>
            </w:r>
          </w:p>
        </w:tc>
        <w:tc>
          <w:tcPr>
            <w:tcW w:w="1156" w:type="dxa"/>
            <w:vAlign w:val="bottom"/>
          </w:tcPr>
          <w:p w:rsidR="00000000" w:rsidRDefault="00000000">
            <w:pPr>
              <w:spacing w:before="40" w:after="40"/>
              <w:jc w:val="right"/>
              <w:rPr>
                <w:b/>
                <w:bCs/>
                <w:szCs w:val="16"/>
              </w:rPr>
            </w:pPr>
            <w:r>
              <w:rPr>
                <w:b/>
                <w:bCs/>
                <w:szCs w:val="16"/>
              </w:rPr>
              <w:t>13,5</w:t>
            </w:r>
          </w:p>
        </w:tc>
        <w:tc>
          <w:tcPr>
            <w:tcW w:w="1156" w:type="dxa"/>
            <w:vAlign w:val="bottom"/>
          </w:tcPr>
          <w:p w:rsidR="00000000" w:rsidRDefault="00000000">
            <w:pPr>
              <w:spacing w:before="40" w:after="40"/>
              <w:jc w:val="right"/>
              <w:rPr>
                <w:b/>
                <w:bCs/>
                <w:szCs w:val="16"/>
              </w:rPr>
            </w:pPr>
            <w:r>
              <w:rPr>
                <w:b/>
                <w:bCs/>
                <w:szCs w:val="16"/>
              </w:rPr>
              <w:t>14,0</w:t>
            </w:r>
          </w:p>
        </w:tc>
        <w:tc>
          <w:tcPr>
            <w:tcW w:w="1106" w:type="dxa"/>
            <w:vAlign w:val="bottom"/>
          </w:tcPr>
          <w:p w:rsidR="00000000" w:rsidRDefault="00000000">
            <w:pPr>
              <w:spacing w:before="40" w:after="40"/>
              <w:jc w:val="right"/>
              <w:rPr>
                <w:b/>
                <w:bCs/>
                <w:szCs w:val="16"/>
              </w:rPr>
            </w:pPr>
            <w:r>
              <w:rPr>
                <w:b/>
                <w:bCs/>
                <w:szCs w:val="16"/>
              </w:rPr>
              <w:t>36,7</w:t>
            </w:r>
          </w:p>
        </w:tc>
      </w:tr>
      <w:tr w:rsidR="00000000">
        <w:tblPrEx>
          <w:tblCellMar>
            <w:top w:w="0" w:type="dxa"/>
            <w:bottom w:w="0" w:type="dxa"/>
          </w:tblCellMar>
        </w:tblPrEx>
        <w:trPr>
          <w:cantSplit/>
        </w:trPr>
        <w:tc>
          <w:tcPr>
            <w:tcW w:w="1474" w:type="dxa"/>
            <w:tcBorders>
              <w:bottom w:val="single" w:sz="4" w:space="0" w:color="auto"/>
            </w:tcBorders>
            <w:vAlign w:val="bottom"/>
          </w:tcPr>
          <w:p w:rsidR="00000000" w:rsidRDefault="00000000">
            <w:pPr>
              <w:spacing w:before="40" w:after="40"/>
              <w:rPr>
                <w:szCs w:val="18"/>
              </w:rPr>
            </w:pPr>
          </w:p>
        </w:tc>
        <w:tc>
          <w:tcPr>
            <w:tcW w:w="1128" w:type="dxa"/>
            <w:tcBorders>
              <w:bottom w:val="single" w:sz="4" w:space="0" w:color="auto"/>
            </w:tcBorders>
            <w:vAlign w:val="bottom"/>
          </w:tcPr>
          <w:p w:rsidR="00000000" w:rsidRDefault="00000000">
            <w:pPr>
              <w:spacing w:before="40" w:after="40"/>
              <w:jc w:val="right"/>
              <w:rPr>
                <w:b/>
                <w:bCs/>
                <w:szCs w:val="18"/>
              </w:rPr>
            </w:pPr>
            <w:r>
              <w:rPr>
                <w:b/>
                <w:bCs/>
                <w:szCs w:val="18"/>
              </w:rPr>
              <w:t>4 636</w:t>
            </w:r>
          </w:p>
        </w:tc>
        <w:tc>
          <w:tcPr>
            <w:tcW w:w="1164" w:type="dxa"/>
            <w:tcBorders>
              <w:bottom w:val="single" w:sz="4" w:space="0" w:color="auto"/>
            </w:tcBorders>
            <w:vAlign w:val="bottom"/>
          </w:tcPr>
          <w:p w:rsidR="00000000" w:rsidRDefault="00000000">
            <w:pPr>
              <w:spacing w:before="40" w:after="40"/>
              <w:jc w:val="right"/>
              <w:rPr>
                <w:b/>
                <w:bCs/>
                <w:szCs w:val="18"/>
              </w:rPr>
            </w:pPr>
          </w:p>
        </w:tc>
        <w:tc>
          <w:tcPr>
            <w:tcW w:w="1156" w:type="dxa"/>
            <w:tcBorders>
              <w:bottom w:val="single" w:sz="4" w:space="0" w:color="auto"/>
            </w:tcBorders>
            <w:vAlign w:val="bottom"/>
          </w:tcPr>
          <w:p w:rsidR="00000000" w:rsidRDefault="00000000">
            <w:pPr>
              <w:spacing w:before="40" w:after="40"/>
              <w:jc w:val="right"/>
              <w:rPr>
                <w:b/>
                <w:bCs/>
                <w:szCs w:val="18"/>
              </w:rPr>
            </w:pPr>
          </w:p>
        </w:tc>
        <w:tc>
          <w:tcPr>
            <w:tcW w:w="1156" w:type="dxa"/>
            <w:tcBorders>
              <w:bottom w:val="single" w:sz="4" w:space="0" w:color="auto"/>
            </w:tcBorders>
            <w:vAlign w:val="bottom"/>
          </w:tcPr>
          <w:p w:rsidR="00000000" w:rsidRDefault="00000000">
            <w:pPr>
              <w:spacing w:before="40" w:after="40"/>
              <w:jc w:val="right"/>
              <w:rPr>
                <w:b/>
                <w:bCs/>
                <w:szCs w:val="16"/>
              </w:rPr>
            </w:pPr>
          </w:p>
        </w:tc>
        <w:tc>
          <w:tcPr>
            <w:tcW w:w="1156" w:type="dxa"/>
            <w:tcBorders>
              <w:bottom w:val="single" w:sz="4" w:space="0" w:color="auto"/>
            </w:tcBorders>
            <w:vAlign w:val="bottom"/>
          </w:tcPr>
          <w:p w:rsidR="00000000" w:rsidRDefault="00000000">
            <w:pPr>
              <w:spacing w:before="40" w:after="40"/>
              <w:jc w:val="right"/>
              <w:rPr>
                <w:b/>
                <w:bCs/>
                <w:szCs w:val="16"/>
              </w:rPr>
            </w:pPr>
          </w:p>
        </w:tc>
        <w:tc>
          <w:tcPr>
            <w:tcW w:w="1156" w:type="dxa"/>
            <w:tcBorders>
              <w:bottom w:val="single" w:sz="4" w:space="0" w:color="auto"/>
            </w:tcBorders>
            <w:vAlign w:val="bottom"/>
          </w:tcPr>
          <w:p w:rsidR="00000000" w:rsidRDefault="00000000">
            <w:pPr>
              <w:spacing w:before="40" w:after="40"/>
              <w:jc w:val="right"/>
              <w:rPr>
                <w:b/>
                <w:bCs/>
                <w:szCs w:val="16"/>
              </w:rPr>
            </w:pPr>
          </w:p>
        </w:tc>
        <w:tc>
          <w:tcPr>
            <w:tcW w:w="1106" w:type="dxa"/>
            <w:tcBorders>
              <w:bottom w:val="single" w:sz="4" w:space="0" w:color="auto"/>
            </w:tcBorders>
            <w:vAlign w:val="bottom"/>
          </w:tcPr>
          <w:p w:rsidR="00000000" w:rsidRDefault="00000000">
            <w:pPr>
              <w:spacing w:before="40" w:after="40"/>
              <w:jc w:val="right"/>
              <w:rPr>
                <w:b/>
                <w:bCs/>
                <w:szCs w:val="16"/>
              </w:rPr>
            </w:pPr>
          </w:p>
        </w:tc>
      </w:tr>
    </w:tbl>
    <w:p w:rsidR="00000000" w:rsidRDefault="00000000">
      <w:pPr>
        <w:spacing w:before="240" w:after="240"/>
        <w:rPr>
          <w:szCs w:val="16"/>
        </w:rPr>
      </w:pPr>
      <w:proofErr w:type="spellStart"/>
      <w:r>
        <w:rPr>
          <w:bCs/>
          <w:szCs w:val="16"/>
        </w:rPr>
        <w:t>NB</w:t>
      </w:r>
      <w:proofErr w:type="spellEnd"/>
      <w:r>
        <w:rPr>
          <w:bCs/>
          <w:szCs w:val="16"/>
        </w:rPr>
        <w:t>.</w:t>
      </w:r>
      <w:r>
        <w:rPr>
          <w:bCs/>
          <w:szCs w:val="16"/>
        </w:rPr>
        <w:tab/>
      </w:r>
      <w:r>
        <w:rPr>
          <w:szCs w:val="16"/>
        </w:rPr>
        <w:t xml:space="preserve">Chaque indice est exprimé en terme de nombre d’unités d’écart type (ET) par rapport à la médiane de la Population de Référence Internationale du NCHS/CDC/OMS. Le tableau présente les pourcentages d’enfants qui se situent à moins de -3 ET ou à moins de -2 ET de la médiane de la population de référence. </w:t>
      </w:r>
    </w:p>
    <w:p w:rsidR="00000000" w:rsidRDefault="00000000">
      <w:pPr>
        <w:spacing w:after="240"/>
        <w:ind w:firstLine="567"/>
        <w:rPr>
          <w:iCs/>
          <w:szCs w:val="16"/>
        </w:rPr>
      </w:pPr>
      <w:r>
        <w:rPr>
          <w:iCs/>
          <w:szCs w:val="16"/>
        </w:rPr>
        <w:t>Source</w:t>
      </w:r>
      <w:r>
        <w:rPr>
          <w:i/>
          <w:szCs w:val="16"/>
        </w:rPr>
        <w:t>: EDST2004</w:t>
      </w:r>
      <w:r>
        <w:rPr>
          <w:iCs/>
          <w:szCs w:val="16"/>
        </w:rPr>
        <w:t xml:space="preserve"> p. 201</w:t>
      </w:r>
    </w:p>
    <w:p w:rsidR="00000000" w:rsidRDefault="00000000">
      <w:pPr>
        <w:spacing w:after="240"/>
        <w:jc w:val="center"/>
        <w:rPr>
          <w:b/>
          <w:szCs w:val="16"/>
        </w:rPr>
      </w:pPr>
      <w:r>
        <w:rPr>
          <w:b/>
          <w:szCs w:val="16"/>
        </w:rPr>
        <w:t>Tableau 8.  Pourcentage d’enfants de moins de 5 ans accusant</w:t>
      </w:r>
      <w:r>
        <w:rPr>
          <w:b/>
          <w:szCs w:val="16"/>
        </w:rPr>
        <w:br/>
        <w:t>un retard de croissance</w:t>
      </w:r>
    </w:p>
    <w:bookmarkStart w:id="4" w:name="_MON_1248678375"/>
    <w:bookmarkStart w:id="5" w:name="_MON_1249389429"/>
    <w:bookmarkStart w:id="6" w:name="_MON_1249389653"/>
    <w:bookmarkEnd w:id="4"/>
    <w:bookmarkEnd w:id="5"/>
    <w:bookmarkEnd w:id="6"/>
    <w:p w:rsidR="00000000" w:rsidRDefault="00000000">
      <w:pPr>
        <w:spacing w:after="240"/>
        <w:rPr>
          <w:szCs w:val="16"/>
        </w:rPr>
      </w:pPr>
      <w:r>
        <w:object w:dxaOrig="10246" w:dyaOrig="8101">
          <v:shape id="_x0000_i1027" type="#_x0000_t75" style="width:455.25pt;height:360.75pt" o:ole="">
            <v:imagedata r:id="rId11" o:title=""/>
          </v:shape>
          <o:OLEObject Type="Embed" ProgID="Word.Picture.8" ShapeID="_x0000_i1027" DrawAspect="Content" ObjectID="_1394862674" r:id="rId12"/>
        </w:object>
      </w:r>
    </w:p>
    <w:p w:rsidR="00000000" w:rsidRDefault="00000000">
      <w:pPr>
        <w:spacing w:after="240"/>
        <w:ind w:firstLine="567"/>
        <w:rPr>
          <w:iCs/>
          <w:szCs w:val="16"/>
        </w:rPr>
      </w:pPr>
      <w:r>
        <w:rPr>
          <w:iCs/>
          <w:szCs w:val="16"/>
        </w:rPr>
        <w:t>Source: EDST2004 p. 202 à 203</w:t>
      </w:r>
    </w:p>
    <w:p w:rsidR="00000000" w:rsidRDefault="00000000">
      <w:pPr>
        <w:spacing w:after="240"/>
        <w:ind w:left="1134" w:hanging="567"/>
        <w:rPr>
          <w:b/>
          <w:bCs/>
          <w:i/>
          <w:iCs/>
        </w:rPr>
      </w:pPr>
      <w:r>
        <w:rPr>
          <w:iCs/>
        </w:rPr>
        <w:t>c)</w:t>
      </w:r>
      <w:r>
        <w:rPr>
          <w:iCs/>
        </w:rPr>
        <w:tab/>
      </w:r>
      <w:r>
        <w:rPr>
          <w:i/>
          <w:iCs/>
        </w:rPr>
        <w:t>Pourcentage de foyers dépourvus d’accès à des installations d’assainissement conformes à l’hygiène et d’accès à une eau potable</w:t>
      </w:r>
    </w:p>
    <w:p w:rsidR="00000000" w:rsidRDefault="00000000">
      <w:pPr>
        <w:spacing w:after="240"/>
      </w:pPr>
      <w:r>
        <w:t>190.</w:t>
      </w:r>
      <w:r>
        <w:tab/>
        <w:t xml:space="preserve">36 % des ménages au Tchad consomment de l’eau salubre. En milieu urbain, cette proportion est de 57 % contre 30 % en zone rurale où 15 % des ménages utilisent pour la consommation de l’eau non protégée, d’un fleuve ou d’une rivière. </w:t>
      </w:r>
    </w:p>
    <w:p w:rsidR="00000000" w:rsidRDefault="00000000">
      <w:pPr>
        <w:spacing w:after="240"/>
      </w:pPr>
      <w:r>
        <w:t>191.</w:t>
      </w:r>
      <w:r>
        <w:tab/>
        <w:t>Par ailleurs, 74 % des ménages ne possèdent pas de toilettes. Cette proportion atteint 88 % en milieu rural.</w:t>
      </w:r>
    </w:p>
    <w:p w:rsidR="00000000" w:rsidRDefault="00000000">
      <w:pPr>
        <w:spacing w:after="240"/>
        <w:ind w:left="1134" w:hanging="567"/>
        <w:rPr>
          <w:i/>
          <w:iCs/>
        </w:rPr>
      </w:pPr>
      <w:r>
        <w:t>d)</w:t>
      </w:r>
      <w:r>
        <w:tab/>
      </w:r>
      <w:r>
        <w:rPr>
          <w:i/>
          <w:iCs/>
        </w:rPr>
        <w:t>Pourcentage d’enfants d’un an qui sont complètement vaccinés contre la tuberculose, la diphtérie, la coqueluche, le tétanos, la poliomyélite et la rougeole</w:t>
      </w:r>
    </w:p>
    <w:p w:rsidR="00000000" w:rsidRDefault="00000000">
      <w:pPr>
        <w:spacing w:after="240"/>
      </w:pPr>
      <w:r>
        <w:t>192.</w:t>
      </w:r>
      <w:r>
        <w:tab/>
        <w:t>La couverture vaccinale nationale est de 11 %</w:t>
      </w:r>
    </w:p>
    <w:p w:rsidR="00000000" w:rsidRDefault="00000000">
      <w:pPr>
        <w:spacing w:after="240"/>
        <w:ind w:firstLine="567"/>
        <w:rPr>
          <w:i/>
          <w:iCs/>
        </w:rPr>
      </w:pPr>
      <w:r>
        <w:t>e)</w:t>
      </w:r>
      <w:r>
        <w:tab/>
      </w:r>
      <w:r>
        <w:rPr>
          <w:i/>
          <w:iCs/>
        </w:rPr>
        <w:t>Taux de mortalité maternelle et ses principales causes</w:t>
      </w:r>
    </w:p>
    <w:p w:rsidR="00000000" w:rsidRDefault="00000000">
      <w:pPr>
        <w:spacing w:after="240"/>
        <w:rPr>
          <w:bCs/>
        </w:rPr>
      </w:pPr>
      <w:r>
        <w:t>193.</w:t>
      </w:r>
      <w:r>
        <w:tab/>
        <w:t>Le taux de mortalité maternelle est estimé à 1 099 décès pour 100 000 naissances vivantes pour la période de 1997-2004 contre 827 pour la période de 1989-1997. Les causes principales sont les grossesses trop précoces, trop rapprochées, des accouchements non assistés et le manque de consultations prénatales</w:t>
      </w:r>
      <w:r>
        <w:rPr>
          <w:b/>
          <w:bCs/>
        </w:rPr>
        <w:t xml:space="preserve">. </w:t>
      </w:r>
    </w:p>
    <w:p w:rsidR="00000000" w:rsidRDefault="00000000">
      <w:pPr>
        <w:spacing w:after="240"/>
        <w:ind w:firstLine="567"/>
        <w:rPr>
          <w:i/>
          <w:iCs/>
        </w:rPr>
      </w:pPr>
      <w:r>
        <w:t>f)</w:t>
      </w:r>
      <w:r>
        <w:tab/>
      </w:r>
      <w:r>
        <w:rPr>
          <w:i/>
          <w:iCs/>
        </w:rPr>
        <w:t>Proportion de femmes enceintes ayant accès aux soins prénatals et postnatals</w:t>
      </w:r>
    </w:p>
    <w:p w:rsidR="00000000" w:rsidRDefault="00000000">
      <w:pPr>
        <w:spacing w:after="240"/>
      </w:pPr>
      <w:r>
        <w:t>194.</w:t>
      </w:r>
      <w:r>
        <w:tab/>
        <w:t xml:space="preserve">Le recours aux consultations prénatales au Tchad varie de façon très importante avec le niveau d’instruction des femmes. Le suivi est fait pour la quasi-totalité des naissances issues de femmes ayant un niveau d’instruction secondaire ou plus (92 %). Pour un peu moins d’une naissance sur cinq (18 %), les mères ont effectué au moins les quatre visites recommandées par l’OMS. Par ailleurs, on constate que pour seulement 17 % des naissances, la première visite s’est effectuée à moins de quatre mois de grossesse. </w:t>
      </w:r>
    </w:p>
    <w:p w:rsidR="00000000" w:rsidRDefault="00000000">
      <w:pPr>
        <w:spacing w:after="240"/>
      </w:pPr>
      <w:r>
        <w:t>195.</w:t>
      </w:r>
      <w:r>
        <w:tab/>
        <w:t xml:space="preserve">La quasi totalité des naissances qui ne se sont pas déroulées en établissement sanitaire n’a été suivie d’aucune consultation postnatale (92 %). Ce manque de suivi de la mère et de l’enfant est important en milieu rural (93 %) et surtout lorsque la mère est n’est pas instruite (94 %). </w:t>
      </w:r>
    </w:p>
    <w:p w:rsidR="00000000" w:rsidRDefault="00000000">
      <w:pPr>
        <w:spacing w:after="240"/>
        <w:ind w:firstLine="567"/>
        <w:rPr>
          <w:i/>
          <w:iCs/>
        </w:rPr>
      </w:pPr>
      <w:r>
        <w:t>g)</w:t>
      </w:r>
      <w:r>
        <w:tab/>
      </w:r>
      <w:r>
        <w:rPr>
          <w:i/>
          <w:iCs/>
        </w:rPr>
        <w:t>Proportion d’enfants nés à l’hôpital</w:t>
      </w:r>
    </w:p>
    <w:p w:rsidR="00000000" w:rsidRDefault="00000000">
      <w:pPr>
        <w:spacing w:after="240"/>
      </w:pPr>
      <w:r>
        <w:t>196.</w:t>
      </w:r>
      <w:r>
        <w:tab/>
        <w:t xml:space="preserve">Au cours des cinq dernières années, seulement 13 % des naissances se sont déroulées en établissement sanitaire. La quasi totalité des femmes en milieu rural (93 %) et celles qui sont sans instruction (91 %) ont accouché à la maison. </w:t>
      </w:r>
    </w:p>
    <w:p w:rsidR="00000000" w:rsidRDefault="00000000">
      <w:pPr>
        <w:spacing w:after="240"/>
        <w:ind w:left="1134" w:hanging="567"/>
      </w:pPr>
      <w:r>
        <w:t>h)</w:t>
      </w:r>
      <w:r>
        <w:tab/>
      </w:r>
      <w:r>
        <w:rPr>
          <w:i/>
          <w:iCs/>
        </w:rPr>
        <w:t>Proportion du personnel formé aux soins et aux techniques d’accouchement en milieu hospitalier</w:t>
      </w:r>
    </w:p>
    <w:p w:rsidR="00000000" w:rsidRDefault="00000000">
      <w:pPr>
        <w:spacing w:after="240"/>
      </w:pPr>
      <w:r>
        <w:t>197.</w:t>
      </w:r>
      <w:r>
        <w:tab/>
        <w:t>La desserte médicale montre que le Tchad dispose de 4 médecins pour 100 000 habitants et 11 sages femmes pour 100 000 femmes en âge de procréer. Ces chiffres sont en deçà des normes de l’OMS qui sont de 1 médecin pour 10 000 habitants et 1 sage femme pour 5 000 femmes en âge de procréer. Par contre le ratio population/infirmier qualifié est conforme à la norme de l’OMS.</w:t>
      </w:r>
    </w:p>
    <w:p w:rsidR="00000000" w:rsidRDefault="00000000">
      <w:pPr>
        <w:spacing w:after="240"/>
      </w:pPr>
      <w:r>
        <w:t>198.</w:t>
      </w:r>
      <w:r>
        <w:tab/>
        <w:t>Ce déficit en personnel qualifié a suscité ces dernières années un intérêt particulier pour la formation des agents de santé afin de réduire cet écart.</w:t>
      </w:r>
    </w:p>
    <w:p w:rsidR="00000000" w:rsidRDefault="00000000">
      <w:pPr>
        <w:spacing w:after="240"/>
      </w:pPr>
      <w:r>
        <w:t>199.</w:t>
      </w:r>
      <w:r>
        <w:tab/>
        <w:t>C’est ainsi qu’en 2003, 19 médecins et 39 paramédicaux avaient bénéficié de formations spécialisées à l’extérieur du pays.</w:t>
      </w:r>
    </w:p>
    <w:p w:rsidR="00000000" w:rsidRDefault="00000000">
      <w:pPr>
        <w:spacing w:after="240"/>
      </w:pPr>
      <w:r>
        <w:t>200.</w:t>
      </w:r>
      <w:r>
        <w:tab/>
        <w:t>Au niveau national en 2003, la faculté de Médecine comptait 316 étudiants dont 60 étaient en instance de soutenance de leur doctorat. L’Institut universitaire des sciences et techniques d’Abéché (IUSTA) a formé 25 techniciens supérieurs en pharmacie et laboratoires d’analyse médicale.</w:t>
      </w:r>
    </w:p>
    <w:p w:rsidR="00000000" w:rsidRDefault="00000000">
      <w:pPr>
        <w:spacing w:after="240"/>
      </w:pPr>
      <w:r>
        <w:t>201.</w:t>
      </w:r>
      <w:r>
        <w:tab/>
        <w:t xml:space="preserve">Pour pallier la carence en cadres moyens, l’École nationale des Agents sanitaires et sociaux (ENASS) et la formation initiale décentralisée (FID) avaient mis à la disposition du Ministère 46 infirmiers d’état, 21 sages femmes, 16 laborantins, 159 agents techniques de santé, 31 infirmières accoucheuses soit au total 273 agents qualifiés. </w:t>
      </w:r>
    </w:p>
    <w:p w:rsidR="00000000" w:rsidRDefault="00000000">
      <w:pPr>
        <w:spacing w:after="240"/>
        <w:ind w:left="1134" w:hanging="567"/>
      </w:pPr>
      <w:r>
        <w:rPr>
          <w:iCs/>
        </w:rPr>
        <w:t>i)</w:t>
      </w:r>
      <w:r>
        <w:rPr>
          <w:iCs/>
        </w:rPr>
        <w:tab/>
      </w:r>
      <w:r>
        <w:rPr>
          <w:i/>
          <w:iCs/>
        </w:rPr>
        <w:t>Proportion de mères qui pratiquent exclusivement l’allaitement au sein et la durée de cet allaitement</w:t>
      </w:r>
    </w:p>
    <w:p w:rsidR="00000000" w:rsidRDefault="00000000">
      <w:pPr>
        <w:spacing w:after="240"/>
        <w:rPr>
          <w:iCs/>
        </w:rPr>
      </w:pPr>
      <w:r>
        <w:rPr>
          <w:iCs/>
        </w:rPr>
        <w:t>202.</w:t>
      </w:r>
      <w:r>
        <w:rPr>
          <w:iCs/>
        </w:rPr>
        <w:tab/>
        <w:t xml:space="preserve">La pratique de l’allaitement exclusif est quasiment inexistante. Parmi les enfants de moins de six mois, 2 % seulement reçoivent exclusivement le lait maternel. Entre 6 et 9 mois, 77 % des enfants sont allaités et reçoivent des aliments de complément. </w:t>
      </w:r>
    </w:p>
    <w:p w:rsidR="00000000" w:rsidRDefault="00000000">
      <w:pPr>
        <w:spacing w:after="240"/>
      </w:pPr>
      <w:r>
        <w:rPr>
          <w:b/>
          <w:bCs/>
        </w:rPr>
        <w:t>Données ventilées</w:t>
      </w:r>
      <w:r>
        <w:t>:</w:t>
      </w:r>
    </w:p>
    <w:p w:rsidR="00000000" w:rsidRDefault="00000000">
      <w:pPr>
        <w:spacing w:after="240"/>
        <w:ind w:firstLine="567"/>
        <w:rPr>
          <w:i/>
        </w:rPr>
      </w:pPr>
      <w:r>
        <w:rPr>
          <w:iCs/>
        </w:rPr>
        <w:t>a)</w:t>
      </w:r>
      <w:r>
        <w:rPr>
          <w:iCs/>
        </w:rPr>
        <w:tab/>
      </w:r>
      <w:r>
        <w:rPr>
          <w:i/>
        </w:rPr>
        <w:t xml:space="preserve">Le nombre et le pourcentage d’enfants infectés par le VIH/SIDA </w:t>
      </w:r>
    </w:p>
    <w:p w:rsidR="00000000" w:rsidRDefault="00000000">
      <w:pPr>
        <w:spacing w:after="240"/>
      </w:pPr>
      <w:r>
        <w:t>203.</w:t>
      </w:r>
      <w:r>
        <w:tab/>
        <w:t>Le nombre d’enfants de 0 à 14 ans vivant avec le VIH est estimé à 18 000 (ONUSIDA, 2003);</w:t>
      </w:r>
    </w:p>
    <w:p w:rsidR="00000000" w:rsidRDefault="00000000">
      <w:pPr>
        <w:spacing w:after="240"/>
      </w:pPr>
      <w:r>
        <w:t>204.</w:t>
      </w:r>
      <w:r>
        <w:tab/>
        <w:t xml:space="preserve">Cependant, le nombre des orphelins du SIDA est estimé à 96 000 (ONUSIDA,.2003). Les données concernant les orphelins du SIDA accueillis dans les institutions ne sont pas disponibles. </w:t>
      </w:r>
    </w:p>
    <w:p w:rsidR="00000000" w:rsidRDefault="00000000">
      <w:pPr>
        <w:spacing w:after="240"/>
        <w:ind w:left="1134" w:hanging="567"/>
        <w:rPr>
          <w:i/>
        </w:rPr>
      </w:pPr>
      <w:r>
        <w:rPr>
          <w:iCs/>
        </w:rPr>
        <w:t>b)</w:t>
      </w:r>
      <w:r>
        <w:rPr>
          <w:iCs/>
        </w:rPr>
        <w:tab/>
      </w:r>
      <w:r>
        <w:rPr>
          <w:i/>
        </w:rPr>
        <w:t xml:space="preserve">Le nombre et le pourcentage d’enfants affectés par SIDA recevant des traitements médicaux </w:t>
      </w:r>
    </w:p>
    <w:p w:rsidR="00000000" w:rsidRDefault="00000000">
      <w:pPr>
        <w:spacing w:after="240"/>
      </w:pPr>
      <w:r>
        <w:t>205.</w:t>
      </w:r>
      <w:r>
        <w:tab/>
        <w:t>Pas de données disponibles sur les enfants affectés recevant les traitements médicaux.</w:t>
      </w:r>
    </w:p>
    <w:p w:rsidR="00000000" w:rsidRDefault="00000000">
      <w:pPr>
        <w:spacing w:after="240"/>
        <w:ind w:left="1134" w:hanging="567"/>
        <w:rPr>
          <w:i/>
        </w:rPr>
      </w:pPr>
      <w:r>
        <w:rPr>
          <w:iCs/>
        </w:rPr>
        <w:t>c)</w:t>
      </w:r>
      <w:r>
        <w:rPr>
          <w:iCs/>
        </w:rPr>
        <w:tab/>
      </w:r>
      <w:r>
        <w:rPr>
          <w:i/>
        </w:rPr>
        <w:t>Le nombre et le pourcentage de ces enfants qui vivent avec des parents, dans des nourricières, dans des établissements ou dans la rue</w:t>
      </w:r>
    </w:p>
    <w:p w:rsidR="00000000" w:rsidRDefault="00000000">
      <w:pPr>
        <w:spacing w:after="240"/>
      </w:pPr>
      <w:r>
        <w:t>206.</w:t>
      </w:r>
      <w:r>
        <w:tab/>
        <w:t xml:space="preserve">7 % des enfants orphelins vivent dans les ménages selon EDST 2004. </w:t>
      </w:r>
    </w:p>
    <w:p w:rsidR="00000000" w:rsidRDefault="00000000">
      <w:pPr>
        <w:spacing w:after="240"/>
        <w:ind w:left="1134" w:hanging="567"/>
        <w:rPr>
          <w:iCs/>
        </w:rPr>
      </w:pPr>
      <w:r>
        <w:rPr>
          <w:iCs/>
        </w:rPr>
        <w:t>d)</w:t>
      </w:r>
      <w:r>
        <w:rPr>
          <w:iCs/>
        </w:rPr>
        <w:tab/>
      </w:r>
      <w:r>
        <w:rPr>
          <w:i/>
        </w:rPr>
        <w:t>Le nombre de foyers dont les enfants doivent assumer la responsabilité à cause du VIH/SIDA</w:t>
      </w:r>
    </w:p>
    <w:p w:rsidR="00000000" w:rsidRDefault="00000000">
      <w:pPr>
        <w:spacing w:after="240"/>
      </w:pPr>
      <w:r>
        <w:t>207.</w:t>
      </w:r>
      <w:r>
        <w:tab/>
        <w:t>Pas de données disponibles.</w:t>
      </w:r>
    </w:p>
    <w:p w:rsidR="00000000" w:rsidRDefault="00000000">
      <w:pPr>
        <w:spacing w:after="240"/>
        <w:rPr>
          <w:b/>
          <w:bCs/>
        </w:rPr>
      </w:pPr>
      <w:r>
        <w:rPr>
          <w:b/>
          <w:bCs/>
        </w:rPr>
        <w:t>Données ventilées</w:t>
      </w:r>
    </w:p>
    <w:p w:rsidR="00000000" w:rsidRDefault="00000000">
      <w:pPr>
        <w:spacing w:after="240"/>
        <w:ind w:left="1134" w:hanging="567"/>
        <w:rPr>
          <w:iCs/>
        </w:rPr>
      </w:pPr>
      <w:r>
        <w:rPr>
          <w:iCs/>
        </w:rPr>
        <w:t>a)</w:t>
      </w:r>
      <w:r>
        <w:rPr>
          <w:iCs/>
        </w:rPr>
        <w:tab/>
      </w:r>
      <w:r>
        <w:rPr>
          <w:i/>
        </w:rPr>
        <w:t>Le nombre d’adolescents touchés par les grossesses précoces, les infections sexuellement transmissibles, les problèmes de santé mentale, la toxicomanie et l’alcoolisme</w:t>
      </w:r>
    </w:p>
    <w:p w:rsidR="00000000" w:rsidRDefault="00000000">
      <w:pPr>
        <w:spacing w:after="240"/>
      </w:pPr>
      <w:r>
        <w:t>208.</w:t>
      </w:r>
      <w:r>
        <w:tab/>
        <w:t xml:space="preserve">Il ressort de l’Annuaire des statistiques sanitaires du Tchad 2004 que la fécondité des femmes tchadiennes est précoce et très élevée dès le jeune âge: on enregistre 194 naissances pour 1 000 filles âgées de 15 à 19 ans. Les filles âgées de 12 à 15 ans contribuent pour 15,3 % à la natalité et 13 % à la fécondité. </w:t>
      </w:r>
    </w:p>
    <w:p w:rsidR="00000000" w:rsidRDefault="00000000">
      <w:pPr>
        <w:spacing w:after="240"/>
      </w:pPr>
      <w:r>
        <w:t>209.</w:t>
      </w:r>
      <w:r>
        <w:tab/>
        <w:t>Notons également que les mutilations génitales féminines (MGF) sont encore très présentes dans le pays: 45 % en total (dont 43 % en milieu urbain et 46 % en milieu rural). La grande majorité des femmes sont excisées entre 5 et 14 ans dans les régions où sévissent les </w:t>
      </w:r>
      <w:proofErr w:type="spellStart"/>
      <w:r>
        <w:t>MGF</w:t>
      </w:r>
      <w:proofErr w:type="spellEnd"/>
      <w:r>
        <w:t>.</w:t>
      </w:r>
    </w:p>
    <w:p w:rsidR="00000000" w:rsidRDefault="00000000">
      <w:pPr>
        <w:spacing w:after="240"/>
        <w:ind w:left="1134" w:hanging="567"/>
        <w:rPr>
          <w:iCs/>
        </w:rPr>
      </w:pPr>
      <w:r>
        <w:rPr>
          <w:iCs/>
        </w:rPr>
        <w:t>b)</w:t>
      </w:r>
      <w:r>
        <w:rPr>
          <w:iCs/>
        </w:rPr>
        <w:tab/>
      </w:r>
      <w:r>
        <w:rPr>
          <w:i/>
        </w:rPr>
        <w:t>Le nombre de programmes et de services visant à prévoir et à traiter les problèmes de santé touchant les adolescents</w:t>
      </w:r>
    </w:p>
    <w:p w:rsidR="00000000" w:rsidRDefault="00000000">
      <w:pPr>
        <w:spacing w:after="240"/>
      </w:pPr>
      <w:r>
        <w:t>210.</w:t>
      </w:r>
      <w:r>
        <w:tab/>
        <w:t xml:space="preserve">Il faut noter l’existence d’un cadre stratégique national ainsi que d’un plan triennal. Cette stratégie est focalisée sur la prévention chez les jeunes et en cas de maladie, sur le traitement aux </w:t>
      </w:r>
      <w:proofErr w:type="spellStart"/>
      <w:r>
        <w:t>antirétroviraux</w:t>
      </w:r>
      <w:proofErr w:type="spellEnd"/>
      <w:r>
        <w:t xml:space="preserve"> (ARV) et le suivi. Les structures sanitaires appropriées sont dotées des ARV mais on constate de temps en temps des ruptures. </w:t>
      </w:r>
    </w:p>
    <w:p w:rsidR="00000000" w:rsidRDefault="00000000">
      <w:pPr>
        <w:spacing w:after="240"/>
      </w:pPr>
      <w:r>
        <w:t>211.</w:t>
      </w:r>
      <w:r>
        <w:tab/>
        <w:t xml:space="preserve">En outre, on constate qu’il n’y a pas suffisamment de centres du dépistage volontaire et peu d’engouement dans la population pour les tests de dépistage gratuit. </w:t>
      </w:r>
    </w:p>
    <w:p w:rsidR="00000000" w:rsidRDefault="00000000">
      <w:pPr>
        <w:spacing w:after="240"/>
      </w:pPr>
      <w:r>
        <w:t>212.</w:t>
      </w:r>
      <w:r>
        <w:tab/>
        <w:t>Le Programme national de la santé de reproduction considère les mutilations comme une priorité d’intervention. Les projets tels que la santé des adolescents, la réparation des fistules et l’insertion sociale des victimes sont en cours d’exécution. La prévention et la prise en charge des MGF sont intégrées dans les programmes de formation professionnelle à l’</w:t>
      </w:r>
      <w:proofErr w:type="spellStart"/>
      <w:r>
        <w:t>ENASS</w:t>
      </w:r>
      <w:proofErr w:type="spellEnd"/>
      <w:r>
        <w:t xml:space="preserve">. </w:t>
      </w:r>
    </w:p>
    <w:p w:rsidR="00000000" w:rsidRDefault="00000000">
      <w:pPr>
        <w:spacing w:after="240"/>
        <w:rPr>
          <w:iCs/>
        </w:rPr>
      </w:pPr>
      <w:r>
        <w:t>213.</w:t>
      </w:r>
      <w:r>
        <w:tab/>
        <w:t xml:space="preserve">Enfin, plusieurs associations féminines (CELIAF, CONACIAF Tchad, ASTBEF et AFJT) mènent des campagnes de sensibilisation auprès des différentes couches de la population pour enrayer cette pratique. </w:t>
      </w:r>
    </w:p>
    <w:p w:rsidR="00000000" w:rsidRDefault="00000000">
      <w:pPr>
        <w:spacing w:after="240"/>
        <w:rPr>
          <w:b/>
          <w:bCs/>
        </w:rPr>
      </w:pPr>
      <w:r>
        <w:rPr>
          <w:b/>
          <w:bCs/>
        </w:rPr>
        <w:t>Tabac</w:t>
      </w:r>
    </w:p>
    <w:p w:rsidR="00000000" w:rsidRDefault="00000000">
      <w:pPr>
        <w:spacing w:after="240"/>
      </w:pPr>
      <w:r>
        <w:t>214.</w:t>
      </w:r>
      <w:r>
        <w:tab/>
        <w:t xml:space="preserve">Le Tchad a signé la Convention de l’OMS anti-tabac et des actions de sensibilisation sont menées surtout par les associations de lutte contre la drogue à l’endroit des jeunes mais il faut noter que beaucoup reste à faire pour réduire les effets néfastes de la drogue et de l’alcool chez les jeunes au Tchad. </w:t>
      </w:r>
    </w:p>
    <w:p w:rsidR="00000000" w:rsidRDefault="00000000">
      <w:pPr>
        <w:spacing w:after="240"/>
        <w:jc w:val="center"/>
        <w:rPr>
          <w:b/>
        </w:rPr>
      </w:pPr>
      <w:r>
        <w:rPr>
          <w:b/>
        </w:rPr>
        <w:t>D.  La sécurité sociale et les services et établissements de garde d’enfants</w:t>
      </w:r>
      <w:r>
        <w:rPr>
          <w:b/>
        </w:rPr>
        <w:br/>
        <w:t>(art. 18, par 3, et 26)</w:t>
      </w:r>
    </w:p>
    <w:p w:rsidR="00000000" w:rsidRDefault="00000000">
      <w:pPr>
        <w:spacing w:after="240"/>
      </w:pPr>
      <w:r>
        <w:t>215.</w:t>
      </w:r>
      <w:r>
        <w:tab/>
        <w:t>Voir le rapport initial (CRC/C/3/</w:t>
      </w:r>
      <w:proofErr w:type="spellStart"/>
      <w:r>
        <w:t>Add</w:t>
      </w:r>
      <w:proofErr w:type="spellEnd"/>
      <w:r>
        <w:t xml:space="preserve">. 50, par. 145 à 148). </w:t>
      </w:r>
    </w:p>
    <w:p w:rsidR="00000000" w:rsidRDefault="00000000">
      <w:pPr>
        <w:keepNext/>
        <w:spacing w:after="240"/>
        <w:jc w:val="center"/>
        <w:rPr>
          <w:b/>
        </w:rPr>
      </w:pPr>
      <w:r>
        <w:rPr>
          <w:b/>
        </w:rPr>
        <w:t>E.  Le niveau de vie (art. 27, par. 1 à 3)</w:t>
      </w:r>
    </w:p>
    <w:p w:rsidR="00000000" w:rsidRDefault="00000000">
      <w:pPr>
        <w:keepNext/>
        <w:spacing w:after="240"/>
      </w:pPr>
      <w:r>
        <w:t>216.</w:t>
      </w:r>
      <w:r>
        <w:tab/>
        <w:t xml:space="preserve">Le Tchad reste l’un des pays les plus pauvres de la planète. Sa situation s’est considérablement dégradée. Selon le </w:t>
      </w:r>
      <w:r>
        <w:rPr>
          <w:iCs/>
        </w:rPr>
        <w:t>Rapport mondial sur le développement humain</w:t>
      </w:r>
      <w:r>
        <w:t xml:space="preserve"> (2005), le Tchad est passé du 167</w:t>
      </w:r>
      <w:r>
        <w:rPr>
          <w:vertAlign w:val="superscript"/>
        </w:rPr>
        <w:t>ème</w:t>
      </w:r>
      <w:r>
        <w:t xml:space="preserve"> rang en 2000 au 173</w:t>
      </w:r>
      <w:r>
        <w:rPr>
          <w:vertAlign w:val="superscript"/>
        </w:rPr>
        <w:t>ème</w:t>
      </w:r>
      <w:r>
        <w:t xml:space="preserve"> rang sur 177 pays en 2003 avec un indice de développement humain de 0,341. 64 % de la population vivent en dessous du seuil de pauvreté monétaire avec 1 à 2 dollars des États-Unis par jour. </w:t>
      </w:r>
    </w:p>
    <w:p w:rsidR="00000000" w:rsidRDefault="00000000">
      <w:pPr>
        <w:spacing w:after="240"/>
        <w:rPr>
          <w:b/>
          <w:bCs/>
        </w:rPr>
      </w:pPr>
      <w:r>
        <w:t>217.</w:t>
      </w:r>
      <w:r>
        <w:tab/>
        <w:t>Le Produit intérieur brut (PIB) par habitant est de 495 dollars (BEAC 2004) alors qu’il était de 193 dollars en 2000.</w:t>
      </w:r>
    </w:p>
    <w:p w:rsidR="00000000" w:rsidRDefault="00000000">
      <w:pPr>
        <w:spacing w:after="240"/>
      </w:pPr>
      <w:r>
        <w:t>218.</w:t>
      </w:r>
      <w:r>
        <w:tab/>
        <w:t xml:space="preserve">L’espérance de vie à la naissance est de 47 ans pour les hommes et 50 ans pour les femmes (EDST 2004). </w:t>
      </w:r>
    </w:p>
    <w:p w:rsidR="00000000" w:rsidRDefault="00000000">
      <w:pPr>
        <w:spacing w:after="240"/>
      </w:pPr>
      <w:r>
        <w:t>219.</w:t>
      </w:r>
      <w:r>
        <w:tab/>
        <w:t>Une grande partie de la population vit une insécurité alimentaire chronique; l’habitat reste encore, à près de 90 % sensible aux intempéries; seulement 1 % de la population a accès à l’énergie électrique et 23 % à l’eau potable; moins de 10 % de la population bénéficient des services d’assainissement de base.</w:t>
      </w:r>
    </w:p>
    <w:p w:rsidR="00000000" w:rsidRDefault="00000000">
      <w:pPr>
        <w:spacing w:after="240"/>
        <w:jc w:val="center"/>
        <w:rPr>
          <w:b/>
        </w:rPr>
      </w:pPr>
      <w:r>
        <w:rPr>
          <w:b/>
        </w:rPr>
        <w:t>VII.  ÉDUCATION, LOISIRS ET ACTIVITÉS CULTURELLES</w:t>
      </w:r>
      <w:r>
        <w:rPr>
          <w:b/>
        </w:rPr>
        <w:br/>
        <w:t>(art. 28, 29 et 31)</w:t>
      </w:r>
    </w:p>
    <w:p w:rsidR="00000000" w:rsidRDefault="00000000">
      <w:pPr>
        <w:spacing w:after="240"/>
        <w:jc w:val="center"/>
        <w:rPr>
          <w:b/>
          <w:bCs/>
        </w:rPr>
      </w:pPr>
      <w:r>
        <w:rPr>
          <w:b/>
          <w:bCs/>
        </w:rPr>
        <w:t>A.  L’éducation, y compris la formation et l’orientation</w:t>
      </w:r>
      <w:r>
        <w:rPr>
          <w:b/>
          <w:bCs/>
        </w:rPr>
        <w:br/>
        <w:t>professionnelles (art. 28)</w:t>
      </w:r>
    </w:p>
    <w:p w:rsidR="00000000" w:rsidRDefault="00000000">
      <w:pPr>
        <w:spacing w:after="240"/>
      </w:pPr>
      <w:r>
        <w:t>220.</w:t>
      </w:r>
      <w:r>
        <w:tab/>
        <w:t xml:space="preserve">Dans la Constitution tchadienne (du 31 mars 1996), le droit à l’éducation est énoncé dans les articles 35 et 36. Il est précisé que l’enseignement public est laïc et gratuit, que l’État crée les conditions et les institutions qui assurent et garantissent l’éducation des enfants. </w:t>
      </w:r>
    </w:p>
    <w:p w:rsidR="00000000" w:rsidRDefault="00000000">
      <w:pPr>
        <w:spacing w:after="240"/>
      </w:pPr>
      <w:r>
        <w:t>221.</w:t>
      </w:r>
      <w:r>
        <w:tab/>
        <w:t xml:space="preserve">L’objectif fondamental de ce secteur est d’assurer un développement approprié de l’éducation pour tous. </w:t>
      </w:r>
    </w:p>
    <w:p w:rsidR="00000000" w:rsidRDefault="00000000">
      <w:pPr>
        <w:spacing w:after="240"/>
      </w:pPr>
      <w:r>
        <w:t>222.</w:t>
      </w:r>
      <w:r>
        <w:tab/>
        <w:t>Les actions prioritaires liées à cet objectif et conformes au DSRP sont:</w:t>
      </w:r>
    </w:p>
    <w:p w:rsidR="00000000" w:rsidRDefault="00000000">
      <w:pPr>
        <w:spacing w:after="240"/>
        <w:ind w:firstLine="567"/>
      </w:pPr>
      <w:r>
        <w:t>a)</w:t>
      </w:r>
      <w:r>
        <w:tab/>
        <w:t>La promotion de l’équité de l’accès à l’éducation et de fréquentation de l’école sans discrimination de sexe ou d’handicap physique;</w:t>
      </w:r>
    </w:p>
    <w:p w:rsidR="00000000" w:rsidRDefault="00000000">
      <w:pPr>
        <w:spacing w:after="240"/>
        <w:ind w:firstLine="567"/>
      </w:pPr>
      <w:r>
        <w:t>b)</w:t>
      </w:r>
      <w:r>
        <w:tab/>
        <w:t>L’amélioration de l’efficacité et de la qualité du système éducatif;</w:t>
      </w:r>
    </w:p>
    <w:p w:rsidR="00000000" w:rsidRDefault="00000000">
      <w:pPr>
        <w:spacing w:after="240"/>
        <w:ind w:firstLine="567"/>
      </w:pPr>
      <w:r>
        <w:t>c)</w:t>
      </w:r>
      <w:r>
        <w:tab/>
        <w:t>Le renforcement des capacités de planification, de gestion et de pilotage du développement du système éducation;</w:t>
      </w:r>
    </w:p>
    <w:p w:rsidR="00000000" w:rsidRDefault="00000000">
      <w:pPr>
        <w:spacing w:after="240"/>
        <w:ind w:firstLine="567"/>
      </w:pPr>
      <w:r>
        <w:t>d)</w:t>
      </w:r>
      <w:r>
        <w:tab/>
        <w:t>L’adaptation par des actions spécifiques du profil des diplômés avec les besoins du marché de travail;</w:t>
      </w:r>
    </w:p>
    <w:p w:rsidR="00000000" w:rsidRDefault="00000000">
      <w:pPr>
        <w:spacing w:after="240"/>
      </w:pPr>
      <w:r>
        <w:t>223.</w:t>
      </w:r>
      <w:r>
        <w:tab/>
        <w:t>Les principaux projets et programmes mis en œuvre sont:</w:t>
      </w:r>
    </w:p>
    <w:p w:rsidR="00000000" w:rsidRDefault="00000000">
      <w:pPr>
        <w:numPr>
          <w:ilvl w:val="0"/>
          <w:numId w:val="141"/>
        </w:numPr>
        <w:spacing w:after="240"/>
      </w:pPr>
      <w:r>
        <w:t>Le projet d’éradication de l’analphabétisme au Tchad</w:t>
      </w:r>
    </w:p>
    <w:p w:rsidR="00000000" w:rsidRDefault="00000000">
      <w:pPr>
        <w:numPr>
          <w:ilvl w:val="0"/>
          <w:numId w:val="141"/>
        </w:numPr>
        <w:spacing w:after="240"/>
      </w:pPr>
      <w:r>
        <w:t>Le programme d’appui à l’enseignement bilingue (PAEB I, II, III, IV et V)</w:t>
      </w:r>
    </w:p>
    <w:p w:rsidR="00000000" w:rsidRDefault="00000000">
      <w:pPr>
        <w:numPr>
          <w:ilvl w:val="0"/>
          <w:numId w:val="141"/>
        </w:numPr>
        <w:spacing w:after="240"/>
      </w:pPr>
      <w:r>
        <w:t>Le projet de construction des salles de classe</w:t>
      </w:r>
    </w:p>
    <w:p w:rsidR="00000000" w:rsidRDefault="00000000">
      <w:pPr>
        <w:numPr>
          <w:ilvl w:val="0"/>
          <w:numId w:val="141"/>
        </w:numPr>
        <w:spacing w:after="240"/>
      </w:pPr>
      <w:r>
        <w:t>Le projet de développement de l’enseignement primaire bilingue</w:t>
      </w:r>
    </w:p>
    <w:p w:rsidR="00000000" w:rsidRDefault="00000000">
      <w:pPr>
        <w:numPr>
          <w:ilvl w:val="0"/>
          <w:numId w:val="141"/>
        </w:numPr>
        <w:spacing w:after="240"/>
      </w:pPr>
      <w:r>
        <w:t>Le programme «Éducation»</w:t>
      </w:r>
    </w:p>
    <w:p w:rsidR="00000000" w:rsidRDefault="00000000">
      <w:pPr>
        <w:numPr>
          <w:ilvl w:val="0"/>
          <w:numId w:val="141"/>
        </w:numPr>
        <w:spacing w:after="240"/>
      </w:pPr>
      <w:r>
        <w:t>Le programme de l’enseignement technique et de la formation professionnelle</w:t>
      </w:r>
    </w:p>
    <w:p w:rsidR="00000000" w:rsidRDefault="00000000">
      <w:pPr>
        <w:numPr>
          <w:ilvl w:val="0"/>
          <w:numId w:val="141"/>
        </w:numPr>
        <w:spacing w:after="240"/>
      </w:pPr>
      <w:r>
        <w:t xml:space="preserve">Le projet d’appui aux réformes du système éducatif au Tchad. </w:t>
      </w:r>
    </w:p>
    <w:p w:rsidR="00000000" w:rsidRDefault="00000000">
      <w:pPr>
        <w:spacing w:after="240"/>
        <w:rPr>
          <w:iCs/>
        </w:rPr>
      </w:pPr>
      <w:r>
        <w:rPr>
          <w:iCs/>
        </w:rPr>
        <w:t>224.</w:t>
      </w:r>
      <w:r>
        <w:rPr>
          <w:iCs/>
        </w:rPr>
        <w:tab/>
        <w:t>Les sources de financement du système éducatif proviennent de l’État, des partenaires au développement et des associations de parents d’élèves.</w:t>
      </w:r>
    </w:p>
    <w:p w:rsidR="00000000" w:rsidRDefault="00000000">
      <w:pPr>
        <w:spacing w:after="240"/>
        <w:jc w:val="center"/>
        <w:rPr>
          <w:b/>
          <w:bCs/>
        </w:rPr>
      </w:pPr>
      <w:r>
        <w:rPr>
          <w:b/>
          <w:bCs/>
        </w:rPr>
        <w:t>Tableau 9.  Ressources de l’État consacrées à l’Éducation nationale</w:t>
      </w:r>
    </w:p>
    <w:tbl>
      <w:tblPr>
        <w:tblW w:w="8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2270"/>
        <w:gridCol w:w="2240"/>
        <w:gridCol w:w="2729"/>
      </w:tblGrid>
      <w:tr w:rsidR="00000000">
        <w:trPr>
          <w:cantSplit/>
          <w:jc w:val="center"/>
        </w:trPr>
        <w:tc>
          <w:tcPr>
            <w:tcW w:w="1197" w:type="dxa"/>
            <w:vAlign w:val="center"/>
          </w:tcPr>
          <w:p w:rsidR="00000000" w:rsidRDefault="00000000">
            <w:pPr>
              <w:spacing w:before="60" w:after="60"/>
              <w:jc w:val="center"/>
            </w:pPr>
            <w:r>
              <w:t>Année</w:t>
            </w:r>
          </w:p>
        </w:tc>
        <w:tc>
          <w:tcPr>
            <w:tcW w:w="2270" w:type="dxa"/>
            <w:vAlign w:val="center"/>
          </w:tcPr>
          <w:p w:rsidR="00000000" w:rsidRDefault="00000000">
            <w:pPr>
              <w:spacing w:before="60" w:after="60"/>
              <w:jc w:val="center"/>
            </w:pPr>
            <w:r>
              <w:t>Budget global</w:t>
            </w:r>
          </w:p>
        </w:tc>
        <w:tc>
          <w:tcPr>
            <w:tcW w:w="2240" w:type="dxa"/>
            <w:vAlign w:val="center"/>
          </w:tcPr>
          <w:p w:rsidR="00000000" w:rsidRDefault="00000000">
            <w:pPr>
              <w:spacing w:before="60" w:after="60"/>
              <w:jc w:val="center"/>
            </w:pPr>
            <w:r>
              <w:t>Budget de l’éducation nationale</w:t>
            </w:r>
          </w:p>
        </w:tc>
        <w:tc>
          <w:tcPr>
            <w:tcW w:w="2729" w:type="dxa"/>
            <w:vAlign w:val="center"/>
          </w:tcPr>
          <w:p w:rsidR="00000000" w:rsidRDefault="00000000">
            <w:pPr>
              <w:spacing w:before="60" w:after="60"/>
              <w:jc w:val="center"/>
            </w:pPr>
            <w:r>
              <w:t>Part du Budget de l’Éducation nationale (%)</w:t>
            </w:r>
          </w:p>
        </w:tc>
      </w:tr>
      <w:tr w:rsidR="00000000">
        <w:trPr>
          <w:cantSplit/>
          <w:jc w:val="center"/>
        </w:trPr>
        <w:tc>
          <w:tcPr>
            <w:tcW w:w="1197" w:type="dxa"/>
          </w:tcPr>
          <w:p w:rsidR="00000000" w:rsidRDefault="00000000">
            <w:pPr>
              <w:spacing w:before="60" w:after="60"/>
            </w:pPr>
            <w:r>
              <w:t>2002</w:t>
            </w:r>
          </w:p>
        </w:tc>
        <w:tc>
          <w:tcPr>
            <w:tcW w:w="2270" w:type="dxa"/>
          </w:tcPr>
          <w:p w:rsidR="00000000" w:rsidRDefault="00000000">
            <w:pPr>
              <w:spacing w:before="60" w:after="60"/>
              <w:jc w:val="right"/>
            </w:pPr>
            <w:r>
              <w:t>409 500 265</w:t>
            </w:r>
          </w:p>
        </w:tc>
        <w:tc>
          <w:tcPr>
            <w:tcW w:w="2240" w:type="dxa"/>
          </w:tcPr>
          <w:p w:rsidR="00000000" w:rsidRDefault="00000000">
            <w:pPr>
              <w:spacing w:before="60" w:after="60"/>
              <w:jc w:val="right"/>
            </w:pPr>
            <w:r>
              <w:t>35 144 377</w:t>
            </w:r>
          </w:p>
        </w:tc>
        <w:tc>
          <w:tcPr>
            <w:tcW w:w="2729" w:type="dxa"/>
          </w:tcPr>
          <w:p w:rsidR="00000000" w:rsidRDefault="00000000">
            <w:pPr>
              <w:spacing w:before="60" w:after="60"/>
              <w:ind w:right="868"/>
              <w:jc w:val="right"/>
            </w:pPr>
            <w:r>
              <w:t>9 %</w:t>
            </w:r>
          </w:p>
        </w:tc>
      </w:tr>
      <w:tr w:rsidR="00000000">
        <w:trPr>
          <w:cantSplit/>
          <w:jc w:val="center"/>
        </w:trPr>
        <w:tc>
          <w:tcPr>
            <w:tcW w:w="1197" w:type="dxa"/>
          </w:tcPr>
          <w:p w:rsidR="00000000" w:rsidRDefault="00000000">
            <w:pPr>
              <w:spacing w:before="60" w:after="60"/>
            </w:pPr>
            <w:r>
              <w:t>2003</w:t>
            </w:r>
          </w:p>
        </w:tc>
        <w:tc>
          <w:tcPr>
            <w:tcW w:w="2270" w:type="dxa"/>
          </w:tcPr>
          <w:p w:rsidR="00000000" w:rsidRDefault="00000000">
            <w:pPr>
              <w:spacing w:before="60" w:after="60"/>
              <w:jc w:val="right"/>
            </w:pPr>
            <w:r>
              <w:t>395 724 188</w:t>
            </w:r>
          </w:p>
        </w:tc>
        <w:tc>
          <w:tcPr>
            <w:tcW w:w="2240" w:type="dxa"/>
          </w:tcPr>
          <w:p w:rsidR="00000000" w:rsidRDefault="00000000">
            <w:pPr>
              <w:spacing w:before="60" w:after="60"/>
              <w:jc w:val="right"/>
            </w:pPr>
            <w:r>
              <w:t>46 144 377</w:t>
            </w:r>
          </w:p>
        </w:tc>
        <w:tc>
          <w:tcPr>
            <w:tcW w:w="2729" w:type="dxa"/>
          </w:tcPr>
          <w:p w:rsidR="00000000" w:rsidRDefault="00000000">
            <w:pPr>
              <w:spacing w:before="60" w:after="60"/>
              <w:ind w:right="868"/>
              <w:jc w:val="right"/>
            </w:pPr>
            <w:r>
              <w:t>12 %</w:t>
            </w:r>
          </w:p>
        </w:tc>
      </w:tr>
      <w:tr w:rsidR="00000000">
        <w:trPr>
          <w:cantSplit/>
          <w:jc w:val="center"/>
        </w:trPr>
        <w:tc>
          <w:tcPr>
            <w:tcW w:w="1197" w:type="dxa"/>
          </w:tcPr>
          <w:p w:rsidR="00000000" w:rsidRDefault="00000000">
            <w:pPr>
              <w:spacing w:before="60" w:after="60"/>
            </w:pPr>
            <w:r>
              <w:t>2004</w:t>
            </w:r>
          </w:p>
        </w:tc>
        <w:tc>
          <w:tcPr>
            <w:tcW w:w="2270" w:type="dxa"/>
          </w:tcPr>
          <w:p w:rsidR="00000000" w:rsidRDefault="00000000">
            <w:pPr>
              <w:spacing w:before="60" w:after="60"/>
              <w:jc w:val="right"/>
            </w:pPr>
            <w:r>
              <w:t>484 246 759</w:t>
            </w:r>
          </w:p>
        </w:tc>
        <w:tc>
          <w:tcPr>
            <w:tcW w:w="2240" w:type="dxa"/>
          </w:tcPr>
          <w:p w:rsidR="00000000" w:rsidRDefault="00000000">
            <w:pPr>
              <w:spacing w:before="60" w:after="60"/>
              <w:jc w:val="right"/>
            </w:pPr>
            <w:r>
              <w:t>54 667 476</w:t>
            </w:r>
          </w:p>
        </w:tc>
        <w:tc>
          <w:tcPr>
            <w:tcW w:w="2729" w:type="dxa"/>
          </w:tcPr>
          <w:p w:rsidR="00000000" w:rsidRDefault="00000000">
            <w:pPr>
              <w:spacing w:before="60" w:after="60"/>
              <w:ind w:right="868"/>
              <w:jc w:val="right"/>
            </w:pPr>
            <w:r>
              <w:t>12 %</w:t>
            </w:r>
          </w:p>
        </w:tc>
      </w:tr>
      <w:tr w:rsidR="00000000">
        <w:trPr>
          <w:cantSplit/>
          <w:jc w:val="center"/>
        </w:trPr>
        <w:tc>
          <w:tcPr>
            <w:tcW w:w="1197" w:type="dxa"/>
          </w:tcPr>
          <w:p w:rsidR="00000000" w:rsidRDefault="00000000">
            <w:pPr>
              <w:spacing w:before="60" w:after="60"/>
            </w:pPr>
            <w:r>
              <w:t>2005</w:t>
            </w:r>
          </w:p>
        </w:tc>
        <w:tc>
          <w:tcPr>
            <w:tcW w:w="2270" w:type="dxa"/>
          </w:tcPr>
          <w:p w:rsidR="00000000" w:rsidRDefault="00000000">
            <w:pPr>
              <w:spacing w:before="60" w:after="60"/>
              <w:jc w:val="right"/>
            </w:pPr>
            <w:r>
              <w:t>527 199 830</w:t>
            </w:r>
          </w:p>
        </w:tc>
        <w:tc>
          <w:tcPr>
            <w:tcW w:w="2240" w:type="dxa"/>
          </w:tcPr>
          <w:p w:rsidR="00000000" w:rsidRDefault="00000000">
            <w:pPr>
              <w:spacing w:before="60" w:after="60"/>
              <w:jc w:val="right"/>
            </w:pPr>
            <w:r>
              <w:t>58 010 947</w:t>
            </w:r>
          </w:p>
        </w:tc>
        <w:tc>
          <w:tcPr>
            <w:tcW w:w="2729" w:type="dxa"/>
          </w:tcPr>
          <w:p w:rsidR="00000000" w:rsidRDefault="00000000">
            <w:pPr>
              <w:spacing w:before="60" w:after="60"/>
              <w:ind w:right="868"/>
              <w:jc w:val="right"/>
            </w:pPr>
            <w:r>
              <w:t>11 %</w:t>
            </w:r>
          </w:p>
        </w:tc>
      </w:tr>
      <w:tr w:rsidR="00000000">
        <w:trPr>
          <w:cantSplit/>
          <w:jc w:val="center"/>
        </w:trPr>
        <w:tc>
          <w:tcPr>
            <w:tcW w:w="1197" w:type="dxa"/>
          </w:tcPr>
          <w:p w:rsidR="00000000" w:rsidRDefault="00000000">
            <w:pPr>
              <w:spacing w:before="60" w:after="60"/>
            </w:pPr>
            <w:r>
              <w:t>2006</w:t>
            </w:r>
          </w:p>
        </w:tc>
        <w:tc>
          <w:tcPr>
            <w:tcW w:w="2270" w:type="dxa"/>
          </w:tcPr>
          <w:p w:rsidR="00000000" w:rsidRDefault="00000000">
            <w:pPr>
              <w:spacing w:before="60" w:after="60"/>
              <w:jc w:val="right"/>
            </w:pPr>
            <w:r>
              <w:t>641 299 000</w:t>
            </w:r>
          </w:p>
        </w:tc>
        <w:tc>
          <w:tcPr>
            <w:tcW w:w="2240" w:type="dxa"/>
          </w:tcPr>
          <w:p w:rsidR="00000000" w:rsidRDefault="00000000">
            <w:pPr>
              <w:spacing w:before="60" w:after="60"/>
              <w:jc w:val="right"/>
            </w:pPr>
            <w:r>
              <w:t>30 859 711</w:t>
            </w:r>
          </w:p>
        </w:tc>
        <w:tc>
          <w:tcPr>
            <w:tcW w:w="2729" w:type="dxa"/>
          </w:tcPr>
          <w:p w:rsidR="00000000" w:rsidRDefault="00000000">
            <w:pPr>
              <w:spacing w:before="60" w:after="60"/>
              <w:ind w:right="868"/>
              <w:jc w:val="right"/>
            </w:pPr>
            <w:r>
              <w:t>5 %</w:t>
            </w:r>
          </w:p>
        </w:tc>
      </w:tr>
    </w:tbl>
    <w:p w:rsidR="00000000" w:rsidRDefault="00000000">
      <w:pPr>
        <w:spacing w:before="240" w:after="240"/>
        <w:ind w:firstLine="567"/>
        <w:rPr>
          <w:bCs/>
        </w:rPr>
      </w:pPr>
      <w:r>
        <w:rPr>
          <w:bCs/>
        </w:rPr>
        <w:t>Sources: Budget général de l’État, Gestion 2002, 2003, 2004, 2005 et 2006</w:t>
      </w:r>
    </w:p>
    <w:p w:rsidR="00000000" w:rsidRDefault="00000000">
      <w:pPr>
        <w:spacing w:after="240"/>
      </w:pPr>
      <w:r>
        <w:t>Graphique VII.1: La proportion des élèves filles par statut simple, milieu et selon le niveau</w:t>
      </w:r>
    </w:p>
    <w:p w:rsidR="00000000" w:rsidRDefault="00000000">
      <w:pPr>
        <w:spacing w:after="240"/>
        <w:jc w:val="center"/>
        <w:rPr>
          <w:b/>
        </w:rPr>
      </w:pPr>
      <w:r>
        <w:rPr>
          <w:b/>
        </w:rPr>
        <w:t>Tableau 10.  Les taux bruts de scolarisation au premier et second cycle</w:t>
      </w:r>
      <w:r>
        <w:rPr>
          <w:b/>
        </w:rPr>
        <w:br/>
        <w:t>de l’enseignement secondaire général</w:t>
      </w:r>
    </w:p>
    <w:tbl>
      <w:tblPr>
        <w:tblW w:w="5000" w:type="pct"/>
        <w:tblCellMar>
          <w:left w:w="68" w:type="dxa"/>
          <w:right w:w="68" w:type="dxa"/>
        </w:tblCellMar>
        <w:tblLook w:val="0000" w:firstRow="0" w:lastRow="0" w:firstColumn="0" w:lastColumn="0" w:noHBand="0" w:noVBand="0"/>
      </w:tblPr>
      <w:tblGrid>
        <w:gridCol w:w="1783"/>
        <w:gridCol w:w="1312"/>
        <w:gridCol w:w="1313"/>
        <w:gridCol w:w="1313"/>
        <w:gridCol w:w="1313"/>
        <w:gridCol w:w="1313"/>
        <w:gridCol w:w="1145"/>
      </w:tblGrid>
      <w:tr w:rsidR="00000000">
        <w:trPr>
          <w:cantSplit/>
          <w:trHeight w:val="270"/>
          <w:tblHeader/>
        </w:trPr>
        <w:tc>
          <w:tcPr>
            <w:tcW w:w="805" w:type="pct"/>
            <w:vMerge w:val="restart"/>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rPr>
                <w:rFonts w:eastAsia="Arial Unicode MS"/>
              </w:rPr>
            </w:pPr>
            <w:r>
              <w:t> </w:t>
            </w:r>
          </w:p>
        </w:tc>
        <w:tc>
          <w:tcPr>
            <w:tcW w:w="2142" w:type="pct"/>
            <w:gridSpan w:val="3"/>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lang w:val="de-CH"/>
              </w:rPr>
            </w:pPr>
            <w:r>
              <w:rPr>
                <w:lang w:val="de-CH"/>
              </w:rPr>
              <w:t>TBS 1</w:t>
            </w:r>
            <w:r>
              <w:rPr>
                <w:vertAlign w:val="superscript"/>
                <w:lang w:val="de-CH"/>
              </w:rPr>
              <w:t>er</w:t>
            </w:r>
            <w:r>
              <w:rPr>
                <w:lang w:val="de-CH"/>
              </w:rPr>
              <w:t xml:space="preserve"> </w:t>
            </w:r>
            <w:proofErr w:type="spellStart"/>
            <w:r>
              <w:rPr>
                <w:lang w:val="de-CH"/>
              </w:rPr>
              <w:t>Cycle</w:t>
            </w:r>
            <w:proofErr w:type="spellEnd"/>
            <w:r>
              <w:rPr>
                <w:lang w:val="de-CH"/>
              </w:rPr>
              <w:t xml:space="preserve"> 2003/2004</w:t>
            </w:r>
          </w:p>
        </w:tc>
        <w:tc>
          <w:tcPr>
            <w:tcW w:w="2054" w:type="pct"/>
            <w:gridSpan w:val="3"/>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TBS 2nd Cycle 2003/2004</w:t>
            </w:r>
          </w:p>
        </w:tc>
      </w:tr>
      <w:tr w:rsidR="00000000">
        <w:trPr>
          <w:cantSplit/>
          <w:trHeight w:val="270"/>
          <w:tblHeader/>
        </w:trPr>
        <w:tc>
          <w:tcPr>
            <w:tcW w:w="805"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rPr>
                <w:rFonts w:eastAsia="Arial Unicode MS"/>
              </w:rPr>
            </w:pPr>
          </w:p>
        </w:tc>
        <w:tc>
          <w:tcPr>
            <w:tcW w:w="714"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G</w:t>
            </w:r>
          </w:p>
        </w:tc>
        <w:tc>
          <w:tcPr>
            <w:tcW w:w="714"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F</w:t>
            </w:r>
          </w:p>
        </w:tc>
        <w:tc>
          <w:tcPr>
            <w:tcW w:w="714"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T</w:t>
            </w:r>
          </w:p>
        </w:tc>
        <w:tc>
          <w:tcPr>
            <w:tcW w:w="714"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G</w:t>
            </w:r>
          </w:p>
        </w:tc>
        <w:tc>
          <w:tcPr>
            <w:tcW w:w="714"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F</w:t>
            </w:r>
          </w:p>
        </w:tc>
        <w:tc>
          <w:tcPr>
            <w:tcW w:w="626"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center"/>
              <w:rPr>
                <w:rFonts w:eastAsia="Arial Unicode MS"/>
              </w:rPr>
            </w:pPr>
            <w:r>
              <w:t>T</w:t>
            </w:r>
          </w:p>
        </w:tc>
      </w:tr>
      <w:tr w:rsidR="00000000">
        <w:trPr>
          <w:trHeight w:val="270"/>
        </w:trPr>
        <w:tc>
          <w:tcPr>
            <w:tcW w:w="805" w:type="pct"/>
            <w:tcBorders>
              <w:top w:val="single" w:sz="4" w:space="0" w:color="auto"/>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Assongha</w:t>
            </w:r>
            <w:proofErr w:type="spellEnd"/>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6,0 %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1,9 %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3,9 %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1,4 %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0,9 %</w:t>
            </w:r>
          </w:p>
        </w:tc>
        <w:tc>
          <w:tcPr>
            <w:tcW w:w="626" w:type="pct"/>
            <w:tcBorders>
              <w:top w:val="single" w:sz="4" w:space="0" w:color="auto"/>
              <w:left w:val="nil"/>
              <w:bottom w:val="nil"/>
              <w:right w:val="single" w:sz="4" w:space="0" w:color="auto"/>
            </w:tcBorders>
            <w:noWrap/>
            <w:vAlign w:val="bottom"/>
          </w:tcPr>
          <w:p w:rsidR="00000000" w:rsidRDefault="00000000">
            <w:pPr>
              <w:spacing w:before="40" w:after="40"/>
              <w:jc w:val="right"/>
              <w:rPr>
                <w:rFonts w:eastAsia="Arial Unicode MS"/>
                <w:lang w:val="de-CH"/>
              </w:rPr>
            </w:pPr>
            <w:r>
              <w:rPr>
                <w:lang w:val="de-CH"/>
              </w:rPr>
              <w:t>1,1 %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de-CH"/>
              </w:rPr>
            </w:pPr>
            <w:proofErr w:type="spellStart"/>
            <w:r>
              <w:rPr>
                <w:lang w:val="de-CH"/>
              </w:rPr>
              <w:t>Baguirmi</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8,7 %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2,0 %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5,3 %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2,6 %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0,5 %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de-CH"/>
              </w:rPr>
            </w:pPr>
            <w:r>
              <w:rPr>
                <w:lang w:val="de-CH"/>
              </w:rPr>
              <w:t>1,6 %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de-CH"/>
              </w:rPr>
            </w:pPr>
            <w:r>
              <w:rPr>
                <w:lang w:val="de-CH"/>
              </w:rPr>
              <w:t xml:space="preserve">Bahr el </w:t>
            </w:r>
            <w:proofErr w:type="spellStart"/>
            <w:r>
              <w:rPr>
                <w:lang w:val="de-CH"/>
              </w:rPr>
              <w:t>gazal</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6,7 %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1,3 %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4,0 %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7,1 %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1,4 %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de-CH"/>
              </w:rPr>
            </w:pPr>
            <w:r>
              <w:rPr>
                <w:lang w:val="de-CH"/>
              </w:rPr>
              <w:t>4,3 %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de-CH"/>
              </w:rPr>
            </w:pPr>
            <w:r>
              <w:rPr>
                <w:lang w:val="de-CH"/>
              </w:rPr>
              <w:t xml:space="preserve">Bahr </w:t>
            </w:r>
            <w:proofErr w:type="spellStart"/>
            <w:r>
              <w:rPr>
                <w:lang w:val="de-CH"/>
              </w:rPr>
              <w:t>koh</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41,1 %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16,1 %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28,6 %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25,5 %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de-CH"/>
              </w:rPr>
            </w:pPr>
            <w:r>
              <w:rPr>
                <w:lang w:val="de-CH"/>
              </w:rPr>
              <w:t>6,8 %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de-CH"/>
              </w:rPr>
            </w:pPr>
            <w:r>
              <w:rPr>
                <w:lang w:val="de-CH"/>
              </w:rPr>
              <w:t>16,2 %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de-CH"/>
              </w:rPr>
            </w:pPr>
            <w:proofErr w:type="spellStart"/>
            <w:r>
              <w:rPr>
                <w:lang w:val="de-CH"/>
              </w:rPr>
              <w:t>Batha</w:t>
            </w:r>
            <w:proofErr w:type="spellEnd"/>
            <w:r>
              <w:rPr>
                <w:lang w:val="de-CH"/>
              </w:rPr>
              <w:t xml:space="preserve"> </w:t>
            </w:r>
            <w:proofErr w:type="spellStart"/>
            <w:r>
              <w:rPr>
                <w:lang w:val="de-CH"/>
              </w:rPr>
              <w:t>est</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8,7 %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6,6 %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0,6 %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3,6 %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Batha</w:t>
            </w:r>
            <w:proofErr w:type="spellEnd"/>
            <w:r>
              <w:t xml:space="preserve"> ouest</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5,5 %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3,5 %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0,5 %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2,0 %</w:t>
            </w:r>
          </w:p>
        </w:tc>
      </w:tr>
      <w:tr w:rsidR="00000000">
        <w:trPr>
          <w:trHeight w:val="255"/>
        </w:trPr>
        <w:tc>
          <w:tcPr>
            <w:tcW w:w="805" w:type="pct"/>
            <w:tcBorders>
              <w:top w:val="nil"/>
              <w:left w:val="single" w:sz="4" w:space="0" w:color="auto"/>
              <w:right w:val="single" w:sz="4" w:space="0" w:color="000000"/>
            </w:tcBorders>
            <w:noWrap/>
            <w:vAlign w:val="bottom"/>
          </w:tcPr>
          <w:p w:rsidR="00000000" w:rsidRDefault="00000000">
            <w:pPr>
              <w:spacing w:before="40" w:after="40"/>
              <w:rPr>
                <w:rFonts w:eastAsia="Arial Unicode MS"/>
              </w:rPr>
            </w:pPr>
            <w:proofErr w:type="spellStart"/>
            <w:r>
              <w:t>Biltine</w:t>
            </w:r>
            <w:proofErr w:type="spellEnd"/>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7,0 %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2,5 %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4,7 %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2,7 %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0,6 %</w:t>
            </w:r>
          </w:p>
        </w:tc>
        <w:tc>
          <w:tcPr>
            <w:tcW w:w="626" w:type="pct"/>
            <w:tcBorders>
              <w:top w:val="nil"/>
              <w:left w:val="nil"/>
              <w:right w:val="single" w:sz="4" w:space="0" w:color="auto"/>
            </w:tcBorders>
            <w:noWrap/>
            <w:vAlign w:val="bottom"/>
          </w:tcPr>
          <w:p w:rsidR="00000000" w:rsidRDefault="00000000">
            <w:pPr>
              <w:spacing w:before="40" w:after="40"/>
              <w:jc w:val="right"/>
              <w:rPr>
                <w:rFonts w:eastAsia="Arial Unicode MS"/>
              </w:rPr>
            </w:pPr>
            <w:r>
              <w:t>1,7 %</w:t>
            </w:r>
          </w:p>
        </w:tc>
      </w:tr>
      <w:tr w:rsidR="00000000">
        <w:trPr>
          <w:trHeight w:val="255"/>
        </w:trPr>
        <w:tc>
          <w:tcPr>
            <w:tcW w:w="805" w:type="pct"/>
            <w:tcBorders>
              <w:top w:val="nil"/>
              <w:left w:val="single" w:sz="4" w:space="0" w:color="auto"/>
              <w:bottom w:val="single" w:sz="4" w:space="0" w:color="auto"/>
              <w:right w:val="single" w:sz="4" w:space="0" w:color="000000"/>
            </w:tcBorders>
            <w:noWrap/>
            <w:vAlign w:val="bottom"/>
          </w:tcPr>
          <w:p w:rsidR="00000000" w:rsidRDefault="00000000">
            <w:pPr>
              <w:spacing w:before="40" w:after="40"/>
              <w:rPr>
                <w:rFonts w:eastAsia="Arial Unicode MS"/>
              </w:rPr>
            </w:pPr>
            <w:r>
              <w:t>Borkou</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16,3 %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4,6 %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10,5 %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10,1 %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2,3 %</w:t>
            </w:r>
          </w:p>
        </w:tc>
        <w:tc>
          <w:tcPr>
            <w:tcW w:w="626" w:type="pct"/>
            <w:tcBorders>
              <w:top w:val="nil"/>
              <w:left w:val="nil"/>
              <w:bottom w:val="single" w:sz="4" w:space="0" w:color="auto"/>
              <w:right w:val="single" w:sz="4" w:space="0" w:color="auto"/>
            </w:tcBorders>
            <w:noWrap/>
            <w:vAlign w:val="bottom"/>
          </w:tcPr>
          <w:p w:rsidR="00000000" w:rsidRDefault="00000000">
            <w:pPr>
              <w:spacing w:before="40" w:after="40"/>
              <w:jc w:val="right"/>
              <w:rPr>
                <w:rFonts w:eastAsia="Arial Unicode MS"/>
              </w:rPr>
            </w:pPr>
            <w:r>
              <w:t>6,2 %</w:t>
            </w:r>
          </w:p>
        </w:tc>
      </w:tr>
      <w:tr w:rsidR="00000000">
        <w:trPr>
          <w:trHeight w:val="255"/>
        </w:trPr>
        <w:tc>
          <w:tcPr>
            <w:tcW w:w="805" w:type="pct"/>
            <w:tcBorders>
              <w:top w:val="single" w:sz="4" w:space="0" w:color="auto"/>
              <w:left w:val="single" w:sz="4" w:space="0" w:color="auto"/>
              <w:bottom w:val="nil"/>
              <w:right w:val="single" w:sz="4" w:space="0" w:color="000000"/>
            </w:tcBorders>
            <w:noWrap/>
            <w:vAlign w:val="bottom"/>
          </w:tcPr>
          <w:p w:rsidR="00000000" w:rsidRDefault="00000000">
            <w:pPr>
              <w:spacing w:before="40" w:after="40"/>
              <w:rPr>
                <w:rFonts w:eastAsia="Arial Unicode MS"/>
              </w:rPr>
            </w:pPr>
            <w:r>
              <w:t>Com N’Djamena</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rPr>
            </w:pPr>
            <w:r>
              <w:t>77,1 %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rPr>
            </w:pPr>
            <w:r>
              <w:t>45,0 %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rPr>
            </w:pPr>
            <w:r>
              <w:t>61,1 %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rPr>
            </w:pPr>
            <w:r>
              <w:t>67,0 %</w:t>
            </w:r>
          </w:p>
        </w:tc>
        <w:tc>
          <w:tcPr>
            <w:tcW w:w="714" w:type="pct"/>
            <w:tcBorders>
              <w:top w:val="single" w:sz="4" w:space="0" w:color="auto"/>
              <w:left w:val="nil"/>
              <w:bottom w:val="nil"/>
              <w:right w:val="single" w:sz="4" w:space="0" w:color="000000"/>
            </w:tcBorders>
            <w:noWrap/>
            <w:vAlign w:val="bottom"/>
          </w:tcPr>
          <w:p w:rsidR="00000000" w:rsidRDefault="00000000">
            <w:pPr>
              <w:spacing w:before="40" w:after="40"/>
              <w:jc w:val="right"/>
              <w:rPr>
                <w:rFonts w:eastAsia="Arial Unicode MS"/>
              </w:rPr>
            </w:pPr>
            <w:r>
              <w:t>24,9 %</w:t>
            </w:r>
          </w:p>
        </w:tc>
        <w:tc>
          <w:tcPr>
            <w:tcW w:w="626" w:type="pct"/>
            <w:tcBorders>
              <w:top w:val="single" w:sz="4" w:space="0" w:color="auto"/>
              <w:left w:val="nil"/>
              <w:bottom w:val="nil"/>
              <w:right w:val="single" w:sz="4" w:space="0" w:color="auto"/>
            </w:tcBorders>
            <w:noWrap/>
            <w:vAlign w:val="bottom"/>
          </w:tcPr>
          <w:p w:rsidR="00000000" w:rsidRDefault="00000000">
            <w:pPr>
              <w:spacing w:before="40" w:after="40"/>
              <w:jc w:val="right"/>
              <w:rPr>
                <w:rFonts w:eastAsia="Arial Unicode MS"/>
              </w:rPr>
            </w:pPr>
            <w:r>
              <w:t>46,0 %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Dababa</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0,0 %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0,2 %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Ennedi</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10,7 %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7,1 %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0,3 %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0,6 %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Guera</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17,8 %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4,3 %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11,1 %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16,2 %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2,8 %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nl-NL"/>
              </w:rPr>
            </w:pPr>
            <w:r>
              <w:rPr>
                <w:lang w:val="nl-NL"/>
              </w:rPr>
              <w:t>9,5 %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nl-NL"/>
              </w:rPr>
            </w:pPr>
            <w:proofErr w:type="spellStart"/>
            <w:r>
              <w:rPr>
                <w:lang w:val="nl-NL"/>
              </w:rPr>
              <w:t>Hadjer</w:t>
            </w:r>
            <w:proofErr w:type="spellEnd"/>
            <w:r>
              <w:rPr>
                <w:lang w:val="nl-NL"/>
              </w:rPr>
              <w:t xml:space="preserve"> </w:t>
            </w:r>
            <w:proofErr w:type="spellStart"/>
            <w:r>
              <w:rPr>
                <w:lang w:val="nl-NL"/>
              </w:rPr>
              <w:t>Lamis</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14,2 %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4,6 %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9,4 %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7,3 %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nl-NL"/>
              </w:rPr>
            </w:pPr>
            <w:r>
              <w:rPr>
                <w:lang w:val="nl-NL"/>
              </w:rPr>
              <w:t>1,8 %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nl-NL"/>
              </w:rPr>
            </w:pPr>
            <w:r>
              <w:rPr>
                <w:lang w:val="nl-NL"/>
              </w:rPr>
              <w:t>4,6 %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nl-NL"/>
              </w:rPr>
            </w:pPr>
            <w:proofErr w:type="spellStart"/>
            <w:r>
              <w:rPr>
                <w:lang w:val="nl-NL"/>
              </w:rPr>
              <w:t>Kabbia</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53,7 %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11,8 %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32,8 %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22,4 %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2,5 %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12,5 %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Kanem</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0,8 %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2,2 %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Lac</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6,1 %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0,6 %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1,7 %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 xml:space="preserve">Lac </w:t>
            </w:r>
            <w:proofErr w:type="spellStart"/>
            <w:r>
              <w:t>Iro</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18,9 %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6,7 %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12,8 %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6,2 %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3,1 %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4,7 %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Log occidental</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40,7 %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14,7 %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27,7 %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19,8 %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5,4 %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12,7 %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Log oriental</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64,3 %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15,2 %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39,8 %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25,6 %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5,2 %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15,4 %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Mandoul</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30,8 %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9,9 %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20,4 %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11,1 %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2,5 %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en-GB"/>
              </w:rPr>
            </w:pPr>
            <w:r>
              <w:rPr>
                <w:lang w:val="en-GB"/>
              </w:rPr>
              <w:t>6,8 %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en-GB"/>
              </w:rPr>
            </w:pPr>
            <w:r>
              <w:rPr>
                <w:lang w:val="en-GB"/>
              </w:rPr>
              <w:t xml:space="preserve">Mayo </w:t>
            </w:r>
            <w:proofErr w:type="spellStart"/>
            <w:r>
              <w:rPr>
                <w:lang w:val="en-GB"/>
              </w:rPr>
              <w:t>Beneye</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43,2 %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11,0 %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27,1 %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29,0 %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lang w:val="en-GB"/>
              </w:rPr>
            </w:pPr>
            <w:r>
              <w:rPr>
                <w:lang w:val="en-GB"/>
              </w:rPr>
              <w:t>5,0 %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lang w:val="en-GB"/>
              </w:rPr>
            </w:pPr>
            <w:r>
              <w:rPr>
                <w:lang w:val="en-GB"/>
              </w:rPr>
              <w:t>17,1 %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lang w:val="en-GB"/>
              </w:rPr>
            </w:pPr>
            <w:r>
              <w:rPr>
                <w:lang w:val="en-GB"/>
              </w:rPr>
              <w:t xml:space="preserve">Mayo </w:t>
            </w:r>
            <w:proofErr w:type="spellStart"/>
            <w:r>
              <w:rPr>
                <w:lang w:val="en-GB"/>
              </w:rPr>
              <w:t>Dallah</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86,5 %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28,9 %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57,8 %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45,0 %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5,6 %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25,4 %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r>
              <w:t>Monts de Lam</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40,1 %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22,7 %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14,1 %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2,1 %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8,1 %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Ouaddai</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13,6 %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8,0 %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10,8 %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10,6 %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3,9 %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7,3 %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Salamat</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5,9 %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1,4 %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0,5 %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1,7 %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Sila</w:t>
            </w:r>
            <w:proofErr w:type="spellEnd"/>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0,6 %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1,1 %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0,2 %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0,0 %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0,1 %</w:t>
            </w:r>
          </w:p>
        </w:tc>
      </w:tr>
      <w:tr w:rsidR="00000000">
        <w:trPr>
          <w:trHeight w:val="255"/>
        </w:trPr>
        <w:tc>
          <w:tcPr>
            <w:tcW w:w="805" w:type="pct"/>
            <w:tcBorders>
              <w:top w:val="nil"/>
              <w:left w:val="single" w:sz="4" w:space="0" w:color="auto"/>
              <w:bottom w:val="nil"/>
              <w:right w:val="single" w:sz="4" w:space="0" w:color="000000"/>
            </w:tcBorders>
            <w:noWrap/>
            <w:vAlign w:val="bottom"/>
          </w:tcPr>
          <w:p w:rsidR="00000000" w:rsidRDefault="00000000">
            <w:pPr>
              <w:spacing w:before="40" w:after="40"/>
              <w:rPr>
                <w:rFonts w:eastAsia="Arial Unicode MS"/>
              </w:rPr>
            </w:pPr>
            <w:proofErr w:type="spellStart"/>
            <w:r>
              <w:t>Tandjile</w:t>
            </w:r>
            <w:proofErr w:type="spellEnd"/>
            <w:r>
              <w:t xml:space="preserve"> Est</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33,8 %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8,7 %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21,3 %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9,0 %</w:t>
            </w:r>
          </w:p>
        </w:tc>
        <w:tc>
          <w:tcPr>
            <w:tcW w:w="714" w:type="pct"/>
            <w:tcBorders>
              <w:top w:val="nil"/>
              <w:left w:val="nil"/>
              <w:bottom w:val="nil"/>
              <w:right w:val="single" w:sz="4" w:space="0" w:color="000000"/>
            </w:tcBorders>
            <w:noWrap/>
            <w:vAlign w:val="bottom"/>
          </w:tcPr>
          <w:p w:rsidR="00000000" w:rsidRDefault="00000000">
            <w:pPr>
              <w:spacing w:before="40" w:after="40"/>
              <w:jc w:val="right"/>
              <w:rPr>
                <w:rFonts w:eastAsia="Arial Unicode MS"/>
              </w:rPr>
            </w:pPr>
            <w:r>
              <w:t>1,6 %</w:t>
            </w:r>
          </w:p>
        </w:tc>
        <w:tc>
          <w:tcPr>
            <w:tcW w:w="626" w:type="pct"/>
            <w:tcBorders>
              <w:top w:val="nil"/>
              <w:left w:val="nil"/>
              <w:bottom w:val="nil"/>
              <w:right w:val="single" w:sz="4" w:space="0" w:color="auto"/>
            </w:tcBorders>
            <w:noWrap/>
            <w:vAlign w:val="bottom"/>
          </w:tcPr>
          <w:p w:rsidR="00000000" w:rsidRDefault="00000000">
            <w:pPr>
              <w:spacing w:before="40" w:after="40"/>
              <w:jc w:val="right"/>
              <w:rPr>
                <w:rFonts w:eastAsia="Arial Unicode MS"/>
              </w:rPr>
            </w:pPr>
            <w:r>
              <w:t>5,3 %</w:t>
            </w:r>
          </w:p>
        </w:tc>
      </w:tr>
      <w:tr w:rsidR="00000000">
        <w:trPr>
          <w:trHeight w:val="255"/>
        </w:trPr>
        <w:tc>
          <w:tcPr>
            <w:tcW w:w="805" w:type="pct"/>
            <w:tcBorders>
              <w:top w:val="nil"/>
              <w:left w:val="single" w:sz="4" w:space="0" w:color="auto"/>
              <w:right w:val="single" w:sz="4" w:space="0" w:color="000000"/>
            </w:tcBorders>
            <w:noWrap/>
            <w:vAlign w:val="bottom"/>
          </w:tcPr>
          <w:p w:rsidR="00000000" w:rsidRDefault="00000000">
            <w:pPr>
              <w:spacing w:before="40" w:after="40"/>
              <w:rPr>
                <w:rFonts w:eastAsia="Arial Unicode MS"/>
              </w:rPr>
            </w:pPr>
            <w:proofErr w:type="spellStart"/>
            <w:r>
              <w:t>Tandjile</w:t>
            </w:r>
            <w:proofErr w:type="spellEnd"/>
            <w:r>
              <w:t xml:space="preserve"> Ouest</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42,6 %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13,6 %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28,1 %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18,3 %</w:t>
            </w:r>
          </w:p>
        </w:tc>
        <w:tc>
          <w:tcPr>
            <w:tcW w:w="714" w:type="pct"/>
            <w:tcBorders>
              <w:top w:val="nil"/>
              <w:left w:val="nil"/>
              <w:right w:val="single" w:sz="4" w:space="0" w:color="000000"/>
            </w:tcBorders>
            <w:noWrap/>
            <w:vAlign w:val="bottom"/>
          </w:tcPr>
          <w:p w:rsidR="00000000" w:rsidRDefault="00000000">
            <w:pPr>
              <w:spacing w:before="40" w:after="40"/>
              <w:jc w:val="right"/>
              <w:rPr>
                <w:rFonts w:eastAsia="Arial Unicode MS"/>
              </w:rPr>
            </w:pPr>
            <w:r>
              <w:t>2,9 %</w:t>
            </w:r>
          </w:p>
        </w:tc>
        <w:tc>
          <w:tcPr>
            <w:tcW w:w="626" w:type="pct"/>
            <w:tcBorders>
              <w:top w:val="nil"/>
              <w:left w:val="nil"/>
              <w:right w:val="single" w:sz="4" w:space="0" w:color="auto"/>
            </w:tcBorders>
            <w:noWrap/>
            <w:vAlign w:val="bottom"/>
          </w:tcPr>
          <w:p w:rsidR="00000000" w:rsidRDefault="00000000">
            <w:pPr>
              <w:spacing w:before="40" w:after="40"/>
              <w:jc w:val="right"/>
              <w:rPr>
                <w:rFonts w:eastAsia="Arial Unicode MS"/>
              </w:rPr>
            </w:pPr>
            <w:r>
              <w:t>10,6 %</w:t>
            </w:r>
          </w:p>
        </w:tc>
      </w:tr>
      <w:tr w:rsidR="00000000">
        <w:trPr>
          <w:trHeight w:val="270"/>
        </w:trPr>
        <w:tc>
          <w:tcPr>
            <w:tcW w:w="805" w:type="pct"/>
            <w:tcBorders>
              <w:top w:val="nil"/>
              <w:left w:val="single" w:sz="4" w:space="0" w:color="auto"/>
              <w:bottom w:val="single" w:sz="4" w:space="0" w:color="auto"/>
              <w:right w:val="single" w:sz="4" w:space="0" w:color="000000"/>
            </w:tcBorders>
            <w:noWrap/>
            <w:vAlign w:val="bottom"/>
          </w:tcPr>
          <w:p w:rsidR="00000000" w:rsidRDefault="00000000">
            <w:pPr>
              <w:spacing w:before="40" w:after="40"/>
              <w:rPr>
                <w:rFonts w:eastAsia="Arial Unicode MS"/>
              </w:rPr>
            </w:pPr>
            <w:r>
              <w:t>Tibesti</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31,0 %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8,9 %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20,0 %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0,0 %</w:t>
            </w:r>
          </w:p>
        </w:tc>
        <w:tc>
          <w:tcPr>
            <w:tcW w:w="714" w:type="pct"/>
            <w:tcBorders>
              <w:top w:val="nil"/>
              <w:left w:val="nil"/>
              <w:bottom w:val="single" w:sz="4" w:space="0" w:color="auto"/>
              <w:right w:val="single" w:sz="4" w:space="0" w:color="000000"/>
            </w:tcBorders>
            <w:noWrap/>
            <w:vAlign w:val="bottom"/>
          </w:tcPr>
          <w:p w:rsidR="00000000" w:rsidRDefault="00000000">
            <w:pPr>
              <w:spacing w:before="40" w:after="40"/>
              <w:jc w:val="right"/>
              <w:rPr>
                <w:rFonts w:eastAsia="Arial Unicode MS"/>
              </w:rPr>
            </w:pPr>
            <w:r>
              <w:t>0,0 %</w:t>
            </w:r>
          </w:p>
        </w:tc>
        <w:tc>
          <w:tcPr>
            <w:tcW w:w="626" w:type="pct"/>
            <w:tcBorders>
              <w:top w:val="nil"/>
              <w:left w:val="nil"/>
              <w:bottom w:val="single" w:sz="4" w:space="0" w:color="auto"/>
              <w:right w:val="single" w:sz="4" w:space="0" w:color="auto"/>
            </w:tcBorders>
            <w:noWrap/>
            <w:vAlign w:val="bottom"/>
          </w:tcPr>
          <w:p w:rsidR="00000000" w:rsidRDefault="00000000">
            <w:pPr>
              <w:spacing w:before="40" w:after="40"/>
              <w:jc w:val="right"/>
              <w:rPr>
                <w:rFonts w:eastAsia="Arial Unicode MS"/>
              </w:rPr>
            </w:pPr>
            <w:r>
              <w:t>0,0 %</w:t>
            </w:r>
          </w:p>
        </w:tc>
      </w:tr>
      <w:tr w:rsidR="00000000">
        <w:trPr>
          <w:trHeight w:val="285"/>
        </w:trPr>
        <w:tc>
          <w:tcPr>
            <w:tcW w:w="805" w:type="pct"/>
            <w:tcBorders>
              <w:top w:val="single" w:sz="4" w:space="0" w:color="auto"/>
              <w:left w:val="single" w:sz="4" w:space="0" w:color="auto"/>
              <w:bottom w:val="single" w:sz="4" w:space="0" w:color="auto"/>
              <w:right w:val="single" w:sz="4" w:space="0" w:color="000000"/>
            </w:tcBorders>
            <w:noWrap/>
            <w:vAlign w:val="bottom"/>
          </w:tcPr>
          <w:p w:rsidR="00000000" w:rsidRDefault="00000000">
            <w:pPr>
              <w:spacing w:before="40" w:after="40"/>
              <w:rPr>
                <w:rFonts w:eastAsia="Arial Unicode MS"/>
                <w:b/>
                <w:bCs/>
              </w:rPr>
            </w:pPr>
            <w:r>
              <w:rPr>
                <w:b/>
                <w:bCs/>
              </w:rPr>
              <w:t>Total</w:t>
            </w:r>
          </w:p>
        </w:tc>
        <w:tc>
          <w:tcPr>
            <w:tcW w:w="714" w:type="pct"/>
            <w:tcBorders>
              <w:top w:val="single" w:sz="4" w:space="0" w:color="auto"/>
              <w:left w:val="nil"/>
              <w:bottom w:val="single" w:sz="4" w:space="0" w:color="auto"/>
              <w:right w:val="single" w:sz="4" w:space="0" w:color="000000"/>
            </w:tcBorders>
            <w:noWrap/>
            <w:vAlign w:val="bottom"/>
          </w:tcPr>
          <w:p w:rsidR="00000000" w:rsidRDefault="00000000">
            <w:pPr>
              <w:spacing w:before="40" w:after="40"/>
              <w:jc w:val="right"/>
              <w:rPr>
                <w:rFonts w:eastAsia="Arial Unicode MS"/>
                <w:b/>
                <w:bCs/>
              </w:rPr>
            </w:pPr>
            <w:r>
              <w:rPr>
                <w:b/>
                <w:bCs/>
              </w:rPr>
              <w:t>31,8 %</w:t>
            </w:r>
          </w:p>
        </w:tc>
        <w:tc>
          <w:tcPr>
            <w:tcW w:w="714" w:type="pct"/>
            <w:tcBorders>
              <w:top w:val="single" w:sz="4" w:space="0" w:color="auto"/>
              <w:left w:val="nil"/>
              <w:bottom w:val="single" w:sz="4" w:space="0" w:color="auto"/>
              <w:right w:val="single" w:sz="4" w:space="0" w:color="000000"/>
            </w:tcBorders>
            <w:noWrap/>
            <w:vAlign w:val="bottom"/>
          </w:tcPr>
          <w:p w:rsidR="00000000" w:rsidRDefault="00000000">
            <w:pPr>
              <w:spacing w:before="40" w:after="40"/>
              <w:jc w:val="right"/>
              <w:rPr>
                <w:rFonts w:eastAsia="Arial Unicode MS"/>
                <w:b/>
                <w:bCs/>
              </w:rPr>
            </w:pPr>
            <w:r>
              <w:rPr>
                <w:b/>
                <w:bCs/>
              </w:rPr>
              <w:t>11,3 %</w:t>
            </w:r>
          </w:p>
        </w:tc>
        <w:tc>
          <w:tcPr>
            <w:tcW w:w="714" w:type="pct"/>
            <w:tcBorders>
              <w:top w:val="single" w:sz="4" w:space="0" w:color="auto"/>
              <w:left w:val="nil"/>
              <w:bottom w:val="single" w:sz="4" w:space="0" w:color="auto"/>
              <w:right w:val="single" w:sz="4" w:space="0" w:color="000000"/>
            </w:tcBorders>
            <w:noWrap/>
            <w:vAlign w:val="bottom"/>
          </w:tcPr>
          <w:p w:rsidR="00000000" w:rsidRDefault="00000000">
            <w:pPr>
              <w:spacing w:before="40" w:after="40"/>
              <w:jc w:val="right"/>
              <w:rPr>
                <w:rFonts w:eastAsia="Arial Unicode MS"/>
                <w:b/>
                <w:bCs/>
              </w:rPr>
            </w:pPr>
            <w:r>
              <w:rPr>
                <w:b/>
                <w:bCs/>
              </w:rPr>
              <w:t>21,6 %</w:t>
            </w:r>
          </w:p>
        </w:tc>
        <w:tc>
          <w:tcPr>
            <w:tcW w:w="714" w:type="pct"/>
            <w:tcBorders>
              <w:top w:val="single" w:sz="4" w:space="0" w:color="auto"/>
              <w:left w:val="nil"/>
              <w:bottom w:val="single" w:sz="4" w:space="0" w:color="auto"/>
              <w:right w:val="single" w:sz="4" w:space="0" w:color="000000"/>
            </w:tcBorders>
            <w:noWrap/>
            <w:vAlign w:val="bottom"/>
          </w:tcPr>
          <w:p w:rsidR="00000000" w:rsidRDefault="00000000">
            <w:pPr>
              <w:spacing w:before="40" w:after="40"/>
              <w:jc w:val="right"/>
              <w:rPr>
                <w:rFonts w:eastAsia="Arial Unicode MS"/>
                <w:b/>
                <w:bCs/>
              </w:rPr>
            </w:pPr>
            <w:r>
              <w:rPr>
                <w:b/>
                <w:bCs/>
              </w:rPr>
              <w:t>17,8 %</w:t>
            </w:r>
          </w:p>
        </w:tc>
        <w:tc>
          <w:tcPr>
            <w:tcW w:w="714" w:type="pct"/>
            <w:tcBorders>
              <w:top w:val="single" w:sz="4" w:space="0" w:color="auto"/>
              <w:left w:val="nil"/>
              <w:bottom w:val="single" w:sz="4" w:space="0" w:color="auto"/>
              <w:right w:val="single" w:sz="4" w:space="0" w:color="000000"/>
            </w:tcBorders>
            <w:noWrap/>
            <w:vAlign w:val="bottom"/>
          </w:tcPr>
          <w:p w:rsidR="00000000" w:rsidRDefault="00000000">
            <w:pPr>
              <w:spacing w:before="40" w:after="40"/>
              <w:jc w:val="right"/>
              <w:rPr>
                <w:rFonts w:eastAsia="Arial Unicode MS"/>
                <w:b/>
                <w:bCs/>
              </w:rPr>
            </w:pPr>
            <w:r>
              <w:rPr>
                <w:b/>
                <w:bCs/>
              </w:rPr>
              <w:t>4,4 %</w:t>
            </w:r>
          </w:p>
        </w:tc>
        <w:tc>
          <w:tcPr>
            <w:tcW w:w="626" w:type="pct"/>
            <w:tcBorders>
              <w:top w:val="single" w:sz="4" w:space="0" w:color="auto"/>
              <w:left w:val="nil"/>
              <w:bottom w:val="single" w:sz="4" w:space="0" w:color="auto"/>
              <w:right w:val="single" w:sz="4" w:space="0" w:color="auto"/>
            </w:tcBorders>
            <w:noWrap/>
            <w:vAlign w:val="bottom"/>
          </w:tcPr>
          <w:p w:rsidR="00000000" w:rsidRDefault="00000000">
            <w:pPr>
              <w:spacing w:before="40" w:after="40"/>
              <w:jc w:val="right"/>
              <w:rPr>
                <w:rFonts w:eastAsia="Arial Unicode MS"/>
                <w:b/>
                <w:bCs/>
              </w:rPr>
            </w:pPr>
            <w:r>
              <w:rPr>
                <w:b/>
                <w:bCs/>
              </w:rPr>
              <w:t>11,2 %</w:t>
            </w:r>
          </w:p>
        </w:tc>
      </w:tr>
    </w:tbl>
    <w:p w:rsidR="00000000" w:rsidRDefault="00000000">
      <w:pPr>
        <w:spacing w:before="240" w:after="240"/>
        <w:ind w:firstLine="567"/>
      </w:pPr>
      <w:r>
        <w:t>Sources: Données statistiques de l’éducation 2002-2003</w:t>
      </w:r>
    </w:p>
    <w:p w:rsidR="00000000" w:rsidRDefault="00000000">
      <w:pPr>
        <w:spacing w:before="240" w:after="240"/>
        <w:jc w:val="center"/>
        <w:rPr>
          <w:b/>
          <w:bCs/>
        </w:rPr>
      </w:pPr>
      <w:r>
        <w:br w:type="page"/>
      </w:r>
      <w:r>
        <w:rPr>
          <w:b/>
          <w:bCs/>
        </w:rPr>
        <w:t>1.  Les taux de rétention et le pourcentage d’abandon pour les établissements</w:t>
      </w:r>
      <w:r>
        <w:rPr>
          <w:b/>
          <w:bCs/>
        </w:rPr>
        <w:br/>
        <w:t>primaires et secondaires et les centres de formations professionnelles</w:t>
      </w:r>
    </w:p>
    <w:p w:rsidR="00000000" w:rsidRDefault="00000000">
      <w:pPr>
        <w:spacing w:after="240"/>
        <w:jc w:val="center"/>
        <w:rPr>
          <w:b/>
          <w:bCs/>
          <w:szCs w:val="16"/>
        </w:rPr>
      </w:pPr>
      <w:r>
        <w:rPr>
          <w:b/>
          <w:bCs/>
          <w:szCs w:val="16"/>
        </w:rPr>
        <w:t>Tableau 11.  Les taux de rétention et le pourcentage d’abandon pour le primaire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424"/>
        <w:gridCol w:w="887"/>
        <w:gridCol w:w="887"/>
        <w:gridCol w:w="890"/>
        <w:gridCol w:w="887"/>
        <w:gridCol w:w="887"/>
        <w:gridCol w:w="969"/>
        <w:gridCol w:w="806"/>
        <w:gridCol w:w="887"/>
        <w:gridCol w:w="888"/>
      </w:tblGrid>
      <w:tr w:rsidR="00000000">
        <w:trPr>
          <w:jc w:val="center"/>
        </w:trPr>
        <w:tc>
          <w:tcPr>
            <w:tcW w:w="756" w:type="pct"/>
            <w:vAlign w:val="center"/>
          </w:tcPr>
          <w:p w:rsidR="00000000" w:rsidRDefault="00000000">
            <w:pPr>
              <w:spacing w:before="60" w:after="60"/>
              <w:jc w:val="center"/>
            </w:pPr>
            <w:r>
              <w:t>Niveau</w:t>
            </w:r>
          </w:p>
        </w:tc>
        <w:tc>
          <w:tcPr>
            <w:tcW w:w="1415" w:type="pct"/>
            <w:gridSpan w:val="3"/>
            <w:vAlign w:val="center"/>
          </w:tcPr>
          <w:p w:rsidR="00000000" w:rsidRDefault="00000000">
            <w:pPr>
              <w:spacing w:before="60" w:after="60"/>
              <w:jc w:val="center"/>
            </w:pPr>
            <w:r>
              <w:t>Taux de promotion</w:t>
            </w:r>
            <w:r>
              <w:br/>
              <w:t>en %</w:t>
            </w:r>
          </w:p>
        </w:tc>
        <w:tc>
          <w:tcPr>
            <w:tcW w:w="1457" w:type="pct"/>
            <w:gridSpan w:val="3"/>
            <w:vAlign w:val="center"/>
          </w:tcPr>
          <w:p w:rsidR="00000000" w:rsidRDefault="00000000">
            <w:pPr>
              <w:spacing w:before="60" w:after="60"/>
              <w:jc w:val="center"/>
            </w:pPr>
            <w:r>
              <w:t>Taux de redoublement</w:t>
            </w:r>
            <w:r>
              <w:br/>
              <w:t>en %</w:t>
            </w:r>
          </w:p>
        </w:tc>
        <w:tc>
          <w:tcPr>
            <w:tcW w:w="1371" w:type="pct"/>
            <w:gridSpan w:val="3"/>
            <w:vAlign w:val="center"/>
          </w:tcPr>
          <w:p w:rsidR="00000000" w:rsidRDefault="00000000">
            <w:pPr>
              <w:spacing w:before="60" w:after="60"/>
              <w:jc w:val="center"/>
            </w:pPr>
            <w:r>
              <w:t>Taux d’abandon</w:t>
            </w:r>
            <w:r>
              <w:br/>
              <w:t>en %</w:t>
            </w:r>
          </w:p>
        </w:tc>
      </w:tr>
      <w:tr w:rsidR="00000000">
        <w:trPr>
          <w:jc w:val="center"/>
        </w:trPr>
        <w:tc>
          <w:tcPr>
            <w:tcW w:w="756" w:type="pct"/>
          </w:tcPr>
          <w:p w:rsidR="00000000" w:rsidRDefault="00000000">
            <w:pPr>
              <w:spacing w:before="60" w:after="60"/>
            </w:pPr>
            <w:r>
              <w:t>Niveau</w:t>
            </w:r>
          </w:p>
        </w:tc>
        <w:tc>
          <w:tcPr>
            <w:tcW w:w="471" w:type="pct"/>
            <w:vAlign w:val="center"/>
          </w:tcPr>
          <w:p w:rsidR="00000000" w:rsidRDefault="00000000">
            <w:pPr>
              <w:spacing w:before="60" w:after="60"/>
              <w:jc w:val="center"/>
            </w:pPr>
            <w:r>
              <w:t>G</w:t>
            </w:r>
          </w:p>
        </w:tc>
        <w:tc>
          <w:tcPr>
            <w:tcW w:w="471" w:type="pct"/>
            <w:vAlign w:val="center"/>
          </w:tcPr>
          <w:p w:rsidR="00000000" w:rsidRDefault="00000000">
            <w:pPr>
              <w:spacing w:before="60" w:after="60"/>
              <w:jc w:val="center"/>
            </w:pPr>
            <w:r>
              <w:t>F</w:t>
            </w:r>
          </w:p>
        </w:tc>
        <w:tc>
          <w:tcPr>
            <w:tcW w:w="473" w:type="pct"/>
            <w:vAlign w:val="center"/>
          </w:tcPr>
          <w:p w:rsidR="00000000" w:rsidRDefault="00000000">
            <w:pPr>
              <w:spacing w:before="60" w:after="60"/>
              <w:jc w:val="center"/>
            </w:pPr>
            <w:r>
              <w:t>T</w:t>
            </w:r>
          </w:p>
        </w:tc>
        <w:tc>
          <w:tcPr>
            <w:tcW w:w="471" w:type="pct"/>
            <w:vAlign w:val="center"/>
          </w:tcPr>
          <w:p w:rsidR="00000000" w:rsidRDefault="00000000">
            <w:pPr>
              <w:spacing w:before="60" w:after="60"/>
              <w:jc w:val="center"/>
            </w:pPr>
            <w:r>
              <w:t>G</w:t>
            </w:r>
          </w:p>
        </w:tc>
        <w:tc>
          <w:tcPr>
            <w:tcW w:w="471" w:type="pct"/>
            <w:vAlign w:val="center"/>
          </w:tcPr>
          <w:p w:rsidR="00000000" w:rsidRDefault="00000000">
            <w:pPr>
              <w:spacing w:before="60" w:after="60"/>
              <w:jc w:val="center"/>
            </w:pPr>
            <w:r>
              <w:t>F</w:t>
            </w:r>
          </w:p>
        </w:tc>
        <w:tc>
          <w:tcPr>
            <w:tcW w:w="515" w:type="pct"/>
            <w:vAlign w:val="center"/>
          </w:tcPr>
          <w:p w:rsidR="00000000" w:rsidRDefault="00000000">
            <w:pPr>
              <w:spacing w:before="60" w:after="60"/>
              <w:jc w:val="center"/>
            </w:pPr>
            <w:r>
              <w:t>T</w:t>
            </w:r>
          </w:p>
        </w:tc>
        <w:tc>
          <w:tcPr>
            <w:tcW w:w="428" w:type="pct"/>
            <w:vAlign w:val="center"/>
          </w:tcPr>
          <w:p w:rsidR="00000000" w:rsidRDefault="00000000">
            <w:pPr>
              <w:spacing w:before="60" w:after="60"/>
              <w:jc w:val="center"/>
            </w:pPr>
            <w:r>
              <w:t>G</w:t>
            </w:r>
          </w:p>
        </w:tc>
        <w:tc>
          <w:tcPr>
            <w:tcW w:w="471" w:type="pct"/>
            <w:vAlign w:val="center"/>
          </w:tcPr>
          <w:p w:rsidR="00000000" w:rsidRDefault="00000000">
            <w:pPr>
              <w:spacing w:before="60" w:after="60"/>
              <w:jc w:val="center"/>
            </w:pPr>
            <w:r>
              <w:t>F</w:t>
            </w:r>
          </w:p>
        </w:tc>
        <w:tc>
          <w:tcPr>
            <w:tcW w:w="472" w:type="pct"/>
            <w:vAlign w:val="center"/>
          </w:tcPr>
          <w:p w:rsidR="00000000" w:rsidRDefault="00000000">
            <w:pPr>
              <w:spacing w:before="60" w:after="60"/>
              <w:jc w:val="center"/>
            </w:pPr>
            <w:r>
              <w:t>T</w:t>
            </w:r>
          </w:p>
        </w:tc>
      </w:tr>
      <w:tr w:rsidR="00000000">
        <w:trPr>
          <w:jc w:val="center"/>
        </w:trPr>
        <w:tc>
          <w:tcPr>
            <w:tcW w:w="756" w:type="pct"/>
          </w:tcPr>
          <w:p w:rsidR="00000000" w:rsidRDefault="00000000">
            <w:pPr>
              <w:spacing w:before="60" w:after="60"/>
            </w:pPr>
            <w:r>
              <w:t>CP1</w:t>
            </w:r>
          </w:p>
        </w:tc>
        <w:tc>
          <w:tcPr>
            <w:tcW w:w="471" w:type="pct"/>
          </w:tcPr>
          <w:p w:rsidR="00000000" w:rsidRDefault="00000000">
            <w:pPr>
              <w:spacing w:before="60" w:after="60"/>
              <w:jc w:val="right"/>
            </w:pPr>
            <w:r>
              <w:t>64,79</w:t>
            </w:r>
          </w:p>
        </w:tc>
        <w:tc>
          <w:tcPr>
            <w:tcW w:w="471" w:type="pct"/>
          </w:tcPr>
          <w:p w:rsidR="00000000" w:rsidRDefault="00000000">
            <w:pPr>
              <w:spacing w:before="60" w:after="60"/>
              <w:jc w:val="right"/>
            </w:pPr>
            <w:r>
              <w:t>62,80</w:t>
            </w:r>
          </w:p>
        </w:tc>
        <w:tc>
          <w:tcPr>
            <w:tcW w:w="473" w:type="pct"/>
          </w:tcPr>
          <w:p w:rsidR="00000000" w:rsidRDefault="00000000">
            <w:pPr>
              <w:spacing w:before="60" w:after="60"/>
              <w:jc w:val="right"/>
            </w:pPr>
            <w:r>
              <w:t>64,37</w:t>
            </w:r>
          </w:p>
        </w:tc>
        <w:tc>
          <w:tcPr>
            <w:tcW w:w="471" w:type="pct"/>
          </w:tcPr>
          <w:p w:rsidR="00000000" w:rsidRDefault="00000000">
            <w:pPr>
              <w:spacing w:before="60" w:after="60"/>
              <w:jc w:val="right"/>
            </w:pPr>
            <w:r>
              <w:t>22,21</w:t>
            </w:r>
          </w:p>
        </w:tc>
        <w:tc>
          <w:tcPr>
            <w:tcW w:w="471" w:type="pct"/>
          </w:tcPr>
          <w:p w:rsidR="00000000" w:rsidRDefault="00000000">
            <w:pPr>
              <w:spacing w:before="60" w:after="60"/>
              <w:jc w:val="right"/>
            </w:pPr>
            <w:r>
              <w:t>23,20</w:t>
            </w:r>
          </w:p>
        </w:tc>
        <w:tc>
          <w:tcPr>
            <w:tcW w:w="515" w:type="pct"/>
          </w:tcPr>
          <w:p w:rsidR="00000000" w:rsidRDefault="00000000">
            <w:pPr>
              <w:spacing w:before="60" w:after="60"/>
              <w:jc w:val="right"/>
            </w:pPr>
            <w:r>
              <w:t>22,63</w:t>
            </w:r>
          </w:p>
        </w:tc>
        <w:tc>
          <w:tcPr>
            <w:tcW w:w="428" w:type="pct"/>
          </w:tcPr>
          <w:p w:rsidR="00000000" w:rsidRDefault="00000000">
            <w:pPr>
              <w:spacing w:before="60" w:after="60"/>
              <w:jc w:val="right"/>
            </w:pPr>
            <w:r>
              <w:t>13,00</w:t>
            </w:r>
          </w:p>
        </w:tc>
        <w:tc>
          <w:tcPr>
            <w:tcW w:w="471" w:type="pct"/>
          </w:tcPr>
          <w:p w:rsidR="00000000" w:rsidRDefault="00000000">
            <w:pPr>
              <w:spacing w:before="60" w:after="60"/>
              <w:jc w:val="right"/>
            </w:pPr>
            <w:r>
              <w:t>14,00</w:t>
            </w:r>
          </w:p>
        </w:tc>
        <w:tc>
          <w:tcPr>
            <w:tcW w:w="472" w:type="pct"/>
          </w:tcPr>
          <w:p w:rsidR="00000000" w:rsidRDefault="00000000">
            <w:pPr>
              <w:spacing w:before="60" w:after="60"/>
              <w:jc w:val="right"/>
            </w:pPr>
            <w:r>
              <w:t>13,00</w:t>
            </w:r>
          </w:p>
        </w:tc>
      </w:tr>
      <w:tr w:rsidR="00000000">
        <w:trPr>
          <w:jc w:val="center"/>
        </w:trPr>
        <w:tc>
          <w:tcPr>
            <w:tcW w:w="756" w:type="pct"/>
          </w:tcPr>
          <w:p w:rsidR="00000000" w:rsidRDefault="00000000">
            <w:pPr>
              <w:spacing w:before="60" w:after="60"/>
            </w:pPr>
            <w:r>
              <w:t>CP2</w:t>
            </w:r>
          </w:p>
        </w:tc>
        <w:tc>
          <w:tcPr>
            <w:tcW w:w="471" w:type="pct"/>
          </w:tcPr>
          <w:p w:rsidR="00000000" w:rsidRDefault="00000000">
            <w:pPr>
              <w:spacing w:before="60" w:after="60"/>
              <w:jc w:val="right"/>
            </w:pPr>
            <w:r>
              <w:t>66,97</w:t>
            </w:r>
          </w:p>
        </w:tc>
        <w:tc>
          <w:tcPr>
            <w:tcW w:w="471" w:type="pct"/>
          </w:tcPr>
          <w:p w:rsidR="00000000" w:rsidRDefault="00000000">
            <w:pPr>
              <w:spacing w:before="60" w:after="60"/>
              <w:jc w:val="right"/>
            </w:pPr>
            <w:r>
              <w:t>62,10</w:t>
            </w:r>
          </w:p>
        </w:tc>
        <w:tc>
          <w:tcPr>
            <w:tcW w:w="473" w:type="pct"/>
          </w:tcPr>
          <w:p w:rsidR="00000000" w:rsidRDefault="00000000">
            <w:pPr>
              <w:spacing w:before="60" w:after="60"/>
              <w:jc w:val="right"/>
            </w:pPr>
            <w:r>
              <w:t>64,61</w:t>
            </w:r>
          </w:p>
        </w:tc>
        <w:tc>
          <w:tcPr>
            <w:tcW w:w="471" w:type="pct"/>
          </w:tcPr>
          <w:p w:rsidR="00000000" w:rsidRDefault="00000000">
            <w:pPr>
              <w:spacing w:before="60" w:after="60"/>
              <w:jc w:val="right"/>
            </w:pPr>
            <w:r>
              <w:t>22,03</w:t>
            </w:r>
          </w:p>
        </w:tc>
        <w:tc>
          <w:tcPr>
            <w:tcW w:w="471" w:type="pct"/>
          </w:tcPr>
          <w:p w:rsidR="00000000" w:rsidRDefault="00000000">
            <w:pPr>
              <w:spacing w:before="60" w:after="60"/>
              <w:jc w:val="right"/>
            </w:pPr>
            <w:r>
              <w:t>22,90</w:t>
            </w:r>
          </w:p>
        </w:tc>
        <w:tc>
          <w:tcPr>
            <w:tcW w:w="515" w:type="pct"/>
          </w:tcPr>
          <w:p w:rsidR="00000000" w:rsidRDefault="00000000">
            <w:pPr>
              <w:spacing w:before="60" w:after="60"/>
              <w:jc w:val="right"/>
            </w:pPr>
            <w:r>
              <w:t>22,39</w:t>
            </w:r>
          </w:p>
        </w:tc>
        <w:tc>
          <w:tcPr>
            <w:tcW w:w="428" w:type="pct"/>
          </w:tcPr>
          <w:p w:rsidR="00000000" w:rsidRDefault="00000000">
            <w:pPr>
              <w:spacing w:before="60" w:after="60"/>
              <w:jc w:val="right"/>
            </w:pPr>
            <w:r>
              <w:t>11,00</w:t>
            </w:r>
          </w:p>
        </w:tc>
        <w:tc>
          <w:tcPr>
            <w:tcW w:w="471" w:type="pct"/>
          </w:tcPr>
          <w:p w:rsidR="00000000" w:rsidRDefault="00000000">
            <w:pPr>
              <w:spacing w:before="60" w:after="60"/>
              <w:jc w:val="right"/>
            </w:pPr>
            <w:r>
              <w:t>15,00</w:t>
            </w:r>
          </w:p>
        </w:tc>
        <w:tc>
          <w:tcPr>
            <w:tcW w:w="472" w:type="pct"/>
          </w:tcPr>
          <w:p w:rsidR="00000000" w:rsidRDefault="00000000">
            <w:pPr>
              <w:spacing w:before="60" w:after="60"/>
              <w:jc w:val="right"/>
            </w:pPr>
            <w:r>
              <w:t>13,00</w:t>
            </w:r>
          </w:p>
        </w:tc>
      </w:tr>
      <w:tr w:rsidR="00000000">
        <w:trPr>
          <w:jc w:val="center"/>
        </w:trPr>
        <w:tc>
          <w:tcPr>
            <w:tcW w:w="756" w:type="pct"/>
          </w:tcPr>
          <w:p w:rsidR="00000000" w:rsidRDefault="00000000">
            <w:pPr>
              <w:spacing w:before="60" w:after="60"/>
            </w:pPr>
            <w:r>
              <w:t>CE1</w:t>
            </w:r>
          </w:p>
        </w:tc>
        <w:tc>
          <w:tcPr>
            <w:tcW w:w="471" w:type="pct"/>
          </w:tcPr>
          <w:p w:rsidR="00000000" w:rsidRDefault="00000000">
            <w:pPr>
              <w:spacing w:before="60" w:after="60"/>
              <w:jc w:val="right"/>
            </w:pPr>
            <w:r>
              <w:t>68,95</w:t>
            </w:r>
          </w:p>
        </w:tc>
        <w:tc>
          <w:tcPr>
            <w:tcW w:w="471" w:type="pct"/>
          </w:tcPr>
          <w:p w:rsidR="00000000" w:rsidRDefault="00000000">
            <w:pPr>
              <w:spacing w:before="60" w:after="60"/>
              <w:jc w:val="right"/>
            </w:pPr>
            <w:r>
              <w:t>62,56</w:t>
            </w:r>
          </w:p>
        </w:tc>
        <w:tc>
          <w:tcPr>
            <w:tcW w:w="473" w:type="pct"/>
          </w:tcPr>
          <w:p w:rsidR="00000000" w:rsidRDefault="00000000">
            <w:pPr>
              <w:spacing w:before="60" w:after="60"/>
              <w:jc w:val="right"/>
            </w:pPr>
            <w:r>
              <w:t>66,39</w:t>
            </w:r>
          </w:p>
        </w:tc>
        <w:tc>
          <w:tcPr>
            <w:tcW w:w="471" w:type="pct"/>
          </w:tcPr>
          <w:p w:rsidR="00000000" w:rsidRDefault="00000000">
            <w:pPr>
              <w:spacing w:before="60" w:after="60"/>
              <w:jc w:val="right"/>
            </w:pPr>
            <w:r>
              <w:t>22,05</w:t>
            </w:r>
          </w:p>
        </w:tc>
        <w:tc>
          <w:tcPr>
            <w:tcW w:w="471" w:type="pct"/>
          </w:tcPr>
          <w:p w:rsidR="00000000" w:rsidRDefault="00000000">
            <w:pPr>
              <w:spacing w:before="60" w:after="60"/>
              <w:jc w:val="right"/>
            </w:pPr>
            <w:r>
              <w:t>23,44</w:t>
            </w:r>
          </w:p>
        </w:tc>
        <w:tc>
          <w:tcPr>
            <w:tcW w:w="515" w:type="pct"/>
          </w:tcPr>
          <w:p w:rsidR="00000000" w:rsidRDefault="00000000">
            <w:pPr>
              <w:spacing w:before="60" w:after="60"/>
              <w:jc w:val="right"/>
            </w:pPr>
            <w:r>
              <w:t>22,61</w:t>
            </w:r>
          </w:p>
        </w:tc>
        <w:tc>
          <w:tcPr>
            <w:tcW w:w="428" w:type="pct"/>
          </w:tcPr>
          <w:p w:rsidR="00000000" w:rsidRDefault="00000000">
            <w:pPr>
              <w:spacing w:before="60" w:after="60"/>
              <w:jc w:val="right"/>
            </w:pPr>
            <w:r>
              <w:t>9,00</w:t>
            </w:r>
          </w:p>
        </w:tc>
        <w:tc>
          <w:tcPr>
            <w:tcW w:w="471" w:type="pct"/>
          </w:tcPr>
          <w:p w:rsidR="00000000" w:rsidRDefault="00000000">
            <w:pPr>
              <w:spacing w:before="60" w:after="60"/>
              <w:jc w:val="right"/>
            </w:pPr>
            <w:r>
              <w:t>14,00</w:t>
            </w:r>
          </w:p>
        </w:tc>
        <w:tc>
          <w:tcPr>
            <w:tcW w:w="472" w:type="pct"/>
          </w:tcPr>
          <w:p w:rsidR="00000000" w:rsidRDefault="00000000">
            <w:pPr>
              <w:spacing w:before="60" w:after="60"/>
              <w:jc w:val="right"/>
            </w:pPr>
            <w:r>
              <w:t>11,00</w:t>
            </w:r>
          </w:p>
        </w:tc>
      </w:tr>
      <w:tr w:rsidR="00000000">
        <w:trPr>
          <w:jc w:val="center"/>
        </w:trPr>
        <w:tc>
          <w:tcPr>
            <w:tcW w:w="756" w:type="pct"/>
          </w:tcPr>
          <w:p w:rsidR="00000000" w:rsidRDefault="00000000">
            <w:pPr>
              <w:spacing w:before="60" w:after="60"/>
            </w:pPr>
            <w:r>
              <w:t>CE2</w:t>
            </w:r>
          </w:p>
        </w:tc>
        <w:tc>
          <w:tcPr>
            <w:tcW w:w="471" w:type="pct"/>
          </w:tcPr>
          <w:p w:rsidR="00000000" w:rsidRDefault="00000000">
            <w:pPr>
              <w:spacing w:before="60" w:after="60"/>
              <w:jc w:val="right"/>
            </w:pPr>
            <w:r>
              <w:t>69,10</w:t>
            </w:r>
          </w:p>
        </w:tc>
        <w:tc>
          <w:tcPr>
            <w:tcW w:w="471" w:type="pct"/>
          </w:tcPr>
          <w:p w:rsidR="00000000" w:rsidRDefault="00000000">
            <w:pPr>
              <w:spacing w:before="60" w:after="60"/>
              <w:jc w:val="right"/>
            </w:pPr>
            <w:r>
              <w:t>61,75</w:t>
            </w:r>
          </w:p>
        </w:tc>
        <w:tc>
          <w:tcPr>
            <w:tcW w:w="473" w:type="pct"/>
          </w:tcPr>
          <w:p w:rsidR="00000000" w:rsidRDefault="00000000">
            <w:pPr>
              <w:spacing w:before="60" w:after="60"/>
              <w:jc w:val="right"/>
            </w:pPr>
            <w:r>
              <w:t>66,19</w:t>
            </w:r>
          </w:p>
        </w:tc>
        <w:tc>
          <w:tcPr>
            <w:tcW w:w="471" w:type="pct"/>
          </w:tcPr>
          <w:p w:rsidR="00000000" w:rsidRDefault="00000000">
            <w:pPr>
              <w:spacing w:before="60" w:after="60"/>
              <w:jc w:val="right"/>
            </w:pPr>
            <w:r>
              <w:t>20,90</w:t>
            </w:r>
          </w:p>
        </w:tc>
        <w:tc>
          <w:tcPr>
            <w:tcW w:w="471" w:type="pct"/>
          </w:tcPr>
          <w:p w:rsidR="00000000" w:rsidRDefault="00000000">
            <w:pPr>
              <w:spacing w:before="60" w:after="60"/>
              <w:jc w:val="right"/>
            </w:pPr>
            <w:r>
              <w:t>23,25</w:t>
            </w:r>
          </w:p>
        </w:tc>
        <w:tc>
          <w:tcPr>
            <w:tcW w:w="515" w:type="pct"/>
          </w:tcPr>
          <w:p w:rsidR="00000000" w:rsidRDefault="00000000">
            <w:pPr>
              <w:spacing w:before="60" w:after="60"/>
              <w:jc w:val="right"/>
            </w:pPr>
            <w:r>
              <w:t>21,81</w:t>
            </w:r>
          </w:p>
        </w:tc>
        <w:tc>
          <w:tcPr>
            <w:tcW w:w="428" w:type="pct"/>
          </w:tcPr>
          <w:p w:rsidR="00000000" w:rsidRDefault="00000000">
            <w:pPr>
              <w:spacing w:before="60" w:after="60"/>
              <w:jc w:val="right"/>
            </w:pPr>
            <w:r>
              <w:t>10,00</w:t>
            </w:r>
          </w:p>
        </w:tc>
        <w:tc>
          <w:tcPr>
            <w:tcW w:w="471" w:type="pct"/>
          </w:tcPr>
          <w:p w:rsidR="00000000" w:rsidRDefault="00000000">
            <w:pPr>
              <w:spacing w:before="60" w:after="60"/>
              <w:jc w:val="right"/>
            </w:pPr>
            <w:r>
              <w:t>15,00</w:t>
            </w:r>
          </w:p>
        </w:tc>
        <w:tc>
          <w:tcPr>
            <w:tcW w:w="472" w:type="pct"/>
          </w:tcPr>
          <w:p w:rsidR="00000000" w:rsidRDefault="00000000">
            <w:pPr>
              <w:spacing w:before="60" w:after="60"/>
              <w:jc w:val="right"/>
            </w:pPr>
            <w:r>
              <w:t>12,00</w:t>
            </w:r>
          </w:p>
        </w:tc>
      </w:tr>
      <w:tr w:rsidR="00000000">
        <w:trPr>
          <w:jc w:val="center"/>
        </w:trPr>
        <w:tc>
          <w:tcPr>
            <w:tcW w:w="756" w:type="pct"/>
          </w:tcPr>
          <w:p w:rsidR="00000000" w:rsidRDefault="00000000">
            <w:pPr>
              <w:spacing w:before="60" w:after="60"/>
            </w:pPr>
            <w:r>
              <w:t>CM1</w:t>
            </w:r>
          </w:p>
        </w:tc>
        <w:tc>
          <w:tcPr>
            <w:tcW w:w="471" w:type="pct"/>
          </w:tcPr>
          <w:p w:rsidR="00000000" w:rsidRDefault="00000000">
            <w:pPr>
              <w:spacing w:before="60" w:after="60"/>
              <w:jc w:val="right"/>
            </w:pPr>
            <w:r>
              <w:t>69,20</w:t>
            </w:r>
          </w:p>
        </w:tc>
        <w:tc>
          <w:tcPr>
            <w:tcW w:w="471" w:type="pct"/>
          </w:tcPr>
          <w:p w:rsidR="00000000" w:rsidRDefault="00000000">
            <w:pPr>
              <w:spacing w:before="60" w:after="60"/>
              <w:jc w:val="right"/>
            </w:pPr>
            <w:r>
              <w:t>61,48</w:t>
            </w:r>
          </w:p>
        </w:tc>
        <w:tc>
          <w:tcPr>
            <w:tcW w:w="473" w:type="pct"/>
          </w:tcPr>
          <w:p w:rsidR="00000000" w:rsidRDefault="00000000">
            <w:pPr>
              <w:spacing w:before="60" w:after="60"/>
              <w:jc w:val="right"/>
            </w:pPr>
            <w:r>
              <w:t>66,21</w:t>
            </w:r>
          </w:p>
        </w:tc>
        <w:tc>
          <w:tcPr>
            <w:tcW w:w="471" w:type="pct"/>
          </w:tcPr>
          <w:p w:rsidR="00000000" w:rsidRDefault="00000000">
            <w:pPr>
              <w:spacing w:before="60" w:after="60"/>
              <w:jc w:val="right"/>
            </w:pPr>
            <w:r>
              <w:t>19,80</w:t>
            </w:r>
          </w:p>
        </w:tc>
        <w:tc>
          <w:tcPr>
            <w:tcW w:w="471" w:type="pct"/>
          </w:tcPr>
          <w:p w:rsidR="00000000" w:rsidRDefault="00000000">
            <w:pPr>
              <w:spacing w:before="60" w:after="60"/>
              <w:jc w:val="right"/>
            </w:pPr>
            <w:r>
              <w:t>22,52</w:t>
            </w:r>
          </w:p>
        </w:tc>
        <w:tc>
          <w:tcPr>
            <w:tcW w:w="515" w:type="pct"/>
          </w:tcPr>
          <w:p w:rsidR="00000000" w:rsidRDefault="00000000">
            <w:pPr>
              <w:spacing w:before="60" w:after="60"/>
              <w:jc w:val="right"/>
            </w:pPr>
            <w:r>
              <w:t>20,79</w:t>
            </w:r>
          </w:p>
        </w:tc>
        <w:tc>
          <w:tcPr>
            <w:tcW w:w="428" w:type="pct"/>
          </w:tcPr>
          <w:p w:rsidR="00000000" w:rsidRDefault="00000000">
            <w:pPr>
              <w:spacing w:before="60" w:after="60"/>
              <w:jc w:val="right"/>
            </w:pPr>
            <w:r>
              <w:t>11,00</w:t>
            </w:r>
          </w:p>
        </w:tc>
        <w:tc>
          <w:tcPr>
            <w:tcW w:w="471" w:type="pct"/>
          </w:tcPr>
          <w:p w:rsidR="00000000" w:rsidRDefault="00000000">
            <w:pPr>
              <w:spacing w:before="60" w:after="60"/>
              <w:jc w:val="right"/>
            </w:pPr>
            <w:r>
              <w:t>16,00</w:t>
            </w:r>
          </w:p>
        </w:tc>
        <w:tc>
          <w:tcPr>
            <w:tcW w:w="472" w:type="pct"/>
          </w:tcPr>
          <w:p w:rsidR="00000000" w:rsidRDefault="00000000">
            <w:pPr>
              <w:spacing w:before="60" w:after="60"/>
              <w:jc w:val="right"/>
            </w:pPr>
            <w:r>
              <w:t>13,00</w:t>
            </w:r>
          </w:p>
        </w:tc>
      </w:tr>
      <w:tr w:rsidR="00000000">
        <w:trPr>
          <w:jc w:val="center"/>
        </w:trPr>
        <w:tc>
          <w:tcPr>
            <w:tcW w:w="756" w:type="pct"/>
          </w:tcPr>
          <w:p w:rsidR="00000000" w:rsidRDefault="00000000">
            <w:pPr>
              <w:spacing w:before="60" w:after="60"/>
            </w:pPr>
            <w:r>
              <w:t>CM2</w:t>
            </w:r>
          </w:p>
        </w:tc>
        <w:tc>
          <w:tcPr>
            <w:tcW w:w="471" w:type="pct"/>
          </w:tcPr>
          <w:p w:rsidR="00000000" w:rsidRDefault="00000000">
            <w:pPr>
              <w:spacing w:before="60" w:after="60"/>
              <w:jc w:val="right"/>
            </w:pPr>
            <w:r>
              <w:t>46,33</w:t>
            </w:r>
          </w:p>
        </w:tc>
        <w:tc>
          <w:tcPr>
            <w:tcW w:w="471" w:type="pct"/>
          </w:tcPr>
          <w:p w:rsidR="00000000" w:rsidRDefault="00000000">
            <w:pPr>
              <w:spacing w:before="60" w:after="60"/>
              <w:jc w:val="right"/>
            </w:pPr>
            <w:r>
              <w:t>38,78</w:t>
            </w:r>
          </w:p>
        </w:tc>
        <w:tc>
          <w:tcPr>
            <w:tcW w:w="473" w:type="pct"/>
          </w:tcPr>
          <w:p w:rsidR="00000000" w:rsidRDefault="00000000">
            <w:pPr>
              <w:spacing w:before="60" w:after="60"/>
              <w:jc w:val="right"/>
            </w:pPr>
            <w:r>
              <w:t>43,84</w:t>
            </w:r>
          </w:p>
        </w:tc>
        <w:tc>
          <w:tcPr>
            <w:tcW w:w="471" w:type="pct"/>
          </w:tcPr>
          <w:p w:rsidR="00000000" w:rsidRDefault="00000000">
            <w:pPr>
              <w:spacing w:before="60" w:after="60"/>
              <w:jc w:val="right"/>
            </w:pPr>
            <w:r>
              <w:t>20,67</w:t>
            </w:r>
          </w:p>
        </w:tc>
        <w:tc>
          <w:tcPr>
            <w:tcW w:w="471" w:type="pct"/>
          </w:tcPr>
          <w:p w:rsidR="00000000" w:rsidRDefault="00000000">
            <w:pPr>
              <w:spacing w:before="60" w:after="60"/>
              <w:jc w:val="right"/>
            </w:pPr>
            <w:r>
              <w:t>22,22</w:t>
            </w:r>
          </w:p>
        </w:tc>
        <w:tc>
          <w:tcPr>
            <w:tcW w:w="515" w:type="pct"/>
          </w:tcPr>
          <w:p w:rsidR="00000000" w:rsidRDefault="00000000">
            <w:pPr>
              <w:spacing w:before="60" w:after="60"/>
              <w:jc w:val="right"/>
            </w:pPr>
            <w:r>
              <w:t>21,16</w:t>
            </w:r>
          </w:p>
        </w:tc>
        <w:tc>
          <w:tcPr>
            <w:tcW w:w="428" w:type="pct"/>
          </w:tcPr>
          <w:p w:rsidR="00000000" w:rsidRDefault="00000000">
            <w:pPr>
              <w:spacing w:before="60" w:after="60"/>
              <w:jc w:val="right"/>
            </w:pPr>
            <w:r>
              <w:t>33,00</w:t>
            </w:r>
          </w:p>
        </w:tc>
        <w:tc>
          <w:tcPr>
            <w:tcW w:w="471" w:type="pct"/>
          </w:tcPr>
          <w:p w:rsidR="00000000" w:rsidRDefault="00000000">
            <w:pPr>
              <w:spacing w:before="60" w:after="60"/>
              <w:jc w:val="right"/>
            </w:pPr>
            <w:r>
              <w:t>39,00</w:t>
            </w:r>
          </w:p>
        </w:tc>
        <w:tc>
          <w:tcPr>
            <w:tcW w:w="472" w:type="pct"/>
          </w:tcPr>
          <w:p w:rsidR="00000000" w:rsidRDefault="00000000">
            <w:pPr>
              <w:spacing w:before="60" w:after="60"/>
              <w:jc w:val="right"/>
            </w:pPr>
            <w:r>
              <w:t>35,00</w:t>
            </w:r>
          </w:p>
        </w:tc>
      </w:tr>
      <w:tr w:rsidR="00000000">
        <w:trPr>
          <w:jc w:val="center"/>
        </w:trPr>
        <w:tc>
          <w:tcPr>
            <w:tcW w:w="756" w:type="pct"/>
          </w:tcPr>
          <w:p w:rsidR="00000000" w:rsidRDefault="00000000">
            <w:pPr>
              <w:spacing w:before="60" w:after="60"/>
              <w:rPr>
                <w:b/>
                <w:bCs/>
              </w:rPr>
            </w:pPr>
            <w:r>
              <w:rPr>
                <w:b/>
                <w:bCs/>
              </w:rPr>
              <w:t>Ensemble</w:t>
            </w:r>
          </w:p>
        </w:tc>
        <w:tc>
          <w:tcPr>
            <w:tcW w:w="471" w:type="pct"/>
          </w:tcPr>
          <w:p w:rsidR="00000000" w:rsidRDefault="00000000">
            <w:pPr>
              <w:spacing w:before="60" w:after="60"/>
              <w:jc w:val="right"/>
              <w:rPr>
                <w:b/>
                <w:bCs/>
              </w:rPr>
            </w:pPr>
            <w:r>
              <w:rPr>
                <w:b/>
                <w:bCs/>
              </w:rPr>
              <w:t>67,48</w:t>
            </w:r>
          </w:p>
        </w:tc>
        <w:tc>
          <w:tcPr>
            <w:tcW w:w="471" w:type="pct"/>
          </w:tcPr>
          <w:p w:rsidR="00000000" w:rsidRDefault="00000000">
            <w:pPr>
              <w:spacing w:before="60" w:after="60"/>
              <w:jc w:val="right"/>
              <w:rPr>
                <w:b/>
                <w:bCs/>
              </w:rPr>
            </w:pPr>
            <w:r>
              <w:rPr>
                <w:b/>
                <w:bCs/>
              </w:rPr>
              <w:t>62,14</w:t>
            </w:r>
          </w:p>
        </w:tc>
        <w:tc>
          <w:tcPr>
            <w:tcW w:w="473" w:type="pct"/>
          </w:tcPr>
          <w:p w:rsidR="00000000" w:rsidRDefault="00000000">
            <w:pPr>
              <w:spacing w:before="60" w:after="60"/>
              <w:jc w:val="right"/>
              <w:rPr>
                <w:b/>
                <w:bCs/>
              </w:rPr>
            </w:pPr>
            <w:r>
              <w:rPr>
                <w:b/>
                <w:bCs/>
              </w:rPr>
              <w:t>64,95</w:t>
            </w:r>
          </w:p>
        </w:tc>
        <w:tc>
          <w:tcPr>
            <w:tcW w:w="471" w:type="pct"/>
          </w:tcPr>
          <w:p w:rsidR="00000000" w:rsidRDefault="00000000">
            <w:pPr>
              <w:spacing w:before="60" w:after="60"/>
              <w:jc w:val="right"/>
              <w:rPr>
                <w:b/>
                <w:bCs/>
              </w:rPr>
            </w:pPr>
            <w:r>
              <w:rPr>
                <w:b/>
                <w:bCs/>
              </w:rPr>
              <w:t>21,52</w:t>
            </w:r>
          </w:p>
        </w:tc>
        <w:tc>
          <w:tcPr>
            <w:tcW w:w="471" w:type="pct"/>
          </w:tcPr>
          <w:p w:rsidR="00000000" w:rsidRDefault="00000000">
            <w:pPr>
              <w:spacing w:before="60" w:after="60"/>
              <w:jc w:val="right"/>
              <w:rPr>
                <w:b/>
                <w:bCs/>
              </w:rPr>
            </w:pPr>
            <w:r>
              <w:rPr>
                <w:b/>
                <w:bCs/>
              </w:rPr>
              <w:t>22,86</w:t>
            </w:r>
          </w:p>
        </w:tc>
        <w:tc>
          <w:tcPr>
            <w:tcW w:w="515" w:type="pct"/>
          </w:tcPr>
          <w:p w:rsidR="00000000" w:rsidRDefault="00000000">
            <w:pPr>
              <w:spacing w:before="60" w:after="60"/>
              <w:jc w:val="right"/>
              <w:rPr>
                <w:b/>
                <w:bCs/>
              </w:rPr>
            </w:pPr>
            <w:r>
              <w:rPr>
                <w:b/>
                <w:bCs/>
              </w:rPr>
              <w:t>22,05</w:t>
            </w:r>
          </w:p>
        </w:tc>
        <w:tc>
          <w:tcPr>
            <w:tcW w:w="428" w:type="pct"/>
          </w:tcPr>
          <w:p w:rsidR="00000000" w:rsidRDefault="00000000">
            <w:pPr>
              <w:spacing w:before="60" w:after="60"/>
              <w:jc w:val="right"/>
              <w:rPr>
                <w:b/>
                <w:bCs/>
              </w:rPr>
            </w:pPr>
            <w:r>
              <w:rPr>
                <w:b/>
                <w:bCs/>
              </w:rPr>
              <w:t>11,00</w:t>
            </w:r>
          </w:p>
        </w:tc>
        <w:tc>
          <w:tcPr>
            <w:tcW w:w="471" w:type="pct"/>
          </w:tcPr>
          <w:p w:rsidR="00000000" w:rsidRDefault="00000000">
            <w:pPr>
              <w:spacing w:before="60" w:after="60"/>
              <w:jc w:val="right"/>
              <w:rPr>
                <w:b/>
                <w:bCs/>
              </w:rPr>
            </w:pPr>
            <w:r>
              <w:rPr>
                <w:b/>
                <w:bCs/>
              </w:rPr>
              <w:t>15,00</w:t>
            </w:r>
          </w:p>
        </w:tc>
        <w:tc>
          <w:tcPr>
            <w:tcW w:w="472" w:type="pct"/>
          </w:tcPr>
          <w:p w:rsidR="00000000" w:rsidRDefault="00000000">
            <w:pPr>
              <w:spacing w:before="60" w:after="60"/>
              <w:jc w:val="right"/>
              <w:rPr>
                <w:b/>
                <w:bCs/>
              </w:rPr>
            </w:pPr>
            <w:r>
              <w:rPr>
                <w:b/>
                <w:bCs/>
              </w:rPr>
              <w:t>13,00</w:t>
            </w:r>
          </w:p>
        </w:tc>
      </w:tr>
    </w:tbl>
    <w:p w:rsidR="00000000" w:rsidRDefault="00000000">
      <w:pPr>
        <w:spacing w:before="240" w:after="240"/>
        <w:ind w:firstLine="567"/>
      </w:pPr>
      <w:r>
        <w:t>Sources: Données statistiques de l’éducation 2002-2003</w:t>
      </w:r>
    </w:p>
    <w:p w:rsidR="00000000" w:rsidRDefault="00000000">
      <w:pPr>
        <w:spacing w:after="240"/>
        <w:jc w:val="center"/>
        <w:rPr>
          <w:b/>
          <w:bCs/>
          <w:u w:val="single"/>
        </w:rPr>
      </w:pPr>
      <w:r>
        <w:rPr>
          <w:b/>
          <w:bCs/>
        </w:rPr>
        <w:t>Tableau 12.  Les taux de rendement interne dans l’enseignement secondaire généra</w:t>
      </w:r>
      <w:r>
        <w:rPr>
          <w:b/>
          <w:bCs/>
          <w:u w:val="single"/>
        </w:rPr>
        <w:t>l</w:t>
      </w:r>
    </w:p>
    <w:tbl>
      <w:tblPr>
        <w:tblW w:w="9558" w:type="dxa"/>
        <w:jc w:val="center"/>
        <w:tblLayout w:type="fixed"/>
        <w:tblCellMar>
          <w:left w:w="0" w:type="dxa"/>
          <w:right w:w="0" w:type="dxa"/>
        </w:tblCellMar>
        <w:tblLook w:val="0000" w:firstRow="0" w:lastRow="0" w:firstColumn="0" w:lastColumn="0" w:noHBand="0" w:noVBand="0"/>
      </w:tblPr>
      <w:tblGrid>
        <w:gridCol w:w="596"/>
        <w:gridCol w:w="1187"/>
        <w:gridCol w:w="1040"/>
        <w:gridCol w:w="1043"/>
        <w:gridCol w:w="52"/>
        <w:gridCol w:w="1223"/>
        <w:gridCol w:w="1119"/>
        <w:gridCol w:w="989"/>
        <w:gridCol w:w="1132"/>
        <w:gridCol w:w="1127"/>
        <w:gridCol w:w="50"/>
      </w:tblGrid>
      <w:tr w:rsidR="00000000">
        <w:trPr>
          <w:gridAfter w:val="1"/>
          <w:wAfter w:w="50" w:type="dxa"/>
          <w:trHeight w:val="310"/>
          <w:jc w:val="center"/>
        </w:trPr>
        <w:tc>
          <w:tcPr>
            <w:tcW w:w="596"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p>
        </w:tc>
        <w:tc>
          <w:tcPr>
            <w:tcW w:w="1187"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Cs/>
                <w:szCs w:val="18"/>
              </w:rPr>
            </w:pPr>
            <w:r>
              <w:rPr>
                <w:rFonts w:eastAsia="Arial Unicode MS"/>
                <w:b/>
                <w:bCs/>
                <w:iCs/>
                <w:szCs w:val="18"/>
              </w:rPr>
              <w:t>6ème</w:t>
            </w:r>
          </w:p>
        </w:tc>
        <w:tc>
          <w:tcPr>
            <w:tcW w:w="1040"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5ème</w:t>
            </w:r>
          </w:p>
        </w:tc>
        <w:tc>
          <w:tcPr>
            <w:tcW w:w="1043"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4ème</w:t>
            </w:r>
          </w:p>
        </w:tc>
        <w:tc>
          <w:tcPr>
            <w:tcW w:w="1275"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3ème</w:t>
            </w:r>
          </w:p>
        </w:tc>
        <w:tc>
          <w:tcPr>
            <w:tcW w:w="1119"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2nde</w:t>
            </w:r>
          </w:p>
        </w:tc>
        <w:tc>
          <w:tcPr>
            <w:tcW w:w="989"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1ère</w:t>
            </w:r>
          </w:p>
        </w:tc>
        <w:tc>
          <w:tcPr>
            <w:tcW w:w="1132"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proofErr w:type="spellStart"/>
            <w:r>
              <w:rPr>
                <w:b/>
                <w:bCs/>
                <w:i/>
                <w:iCs/>
              </w:rPr>
              <w:t>Tle</w:t>
            </w:r>
            <w:proofErr w:type="spellEnd"/>
          </w:p>
        </w:tc>
        <w:tc>
          <w:tcPr>
            <w:tcW w:w="1127" w:type="dxa"/>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b/>
                <w:bCs/>
                <w:i/>
                <w:iCs/>
              </w:rPr>
            </w:pPr>
            <w:r>
              <w:rPr>
                <w:b/>
                <w:bCs/>
                <w:i/>
                <w:iCs/>
              </w:rPr>
              <w:t>Total</w:t>
            </w:r>
          </w:p>
        </w:tc>
      </w:tr>
      <w:tr w:rsidR="00000000">
        <w:trPr>
          <w:gridAfter w:val="1"/>
          <w:wAfter w:w="50" w:type="dxa"/>
          <w:trHeight w:val="293"/>
          <w:jc w:val="center"/>
        </w:trPr>
        <w:tc>
          <w:tcPr>
            <w:tcW w:w="9508" w:type="dxa"/>
            <w:gridSpan w:val="10"/>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bCs/>
                <w:i/>
                <w:iCs/>
              </w:rPr>
            </w:pPr>
            <w:r>
              <w:rPr>
                <w:b/>
                <w:bCs/>
                <w:i/>
                <w:iCs/>
              </w:rPr>
              <w:t>Promotion</w:t>
            </w:r>
            <w:r>
              <w:t xml:space="preserve">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rPr>
            </w:pPr>
            <w:r>
              <w:t>G</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60,7 %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72,3 %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74,1 %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62,4 %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66,3 %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63,6 %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31,1 %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62,9 %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rPr>
            </w:pPr>
            <w:r>
              <w:t>F</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57,3 %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68,5 %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69,1 %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51,3 %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58,8 %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60,9 %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31,1 %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58,8 %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bCs/>
              </w:rPr>
            </w:pPr>
            <w:r>
              <w:rPr>
                <w:b/>
                <w:bCs/>
              </w:rPr>
              <w:t>T</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59,8 %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71,4 %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72,9 %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59,8 %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64,7 %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63,1 %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31,1 %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61,9 %</w:t>
            </w:r>
          </w:p>
        </w:tc>
      </w:tr>
      <w:tr w:rsidR="00000000">
        <w:trPr>
          <w:gridAfter w:val="1"/>
          <w:wAfter w:w="50" w:type="dxa"/>
          <w:trHeight w:val="293"/>
          <w:jc w:val="center"/>
        </w:trPr>
        <w:tc>
          <w:tcPr>
            <w:tcW w:w="9508" w:type="dxa"/>
            <w:gridSpan w:val="10"/>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bCs/>
                <w:i/>
                <w:iCs/>
              </w:rPr>
            </w:pPr>
            <w:r>
              <w:rPr>
                <w:b/>
                <w:bCs/>
                <w:i/>
                <w:iCs/>
              </w:rPr>
              <w:t>Redoublement</w:t>
            </w:r>
          </w:p>
        </w:tc>
      </w:tr>
      <w:tr w:rsidR="00000000">
        <w:trPr>
          <w:gridAfter w:val="1"/>
          <w:wAfter w:w="50" w:type="dxa"/>
          <w:trHeight w:val="37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rPr>
            </w:pPr>
            <w:r>
              <w:t xml:space="preserve"> G</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19,4 %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15,9 %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16,2 %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19,3 %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20,6 %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18,2 %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36,6 %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20,0 %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rPr>
            </w:pPr>
            <w:r>
              <w:t>F</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23,3 %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19,4 %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20,5 %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21,8 %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22,8 %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19,2 %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35,3 %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22,6 %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bCs/>
                <w:i/>
                <w:iCs/>
              </w:rPr>
            </w:pPr>
            <w:r>
              <w:rPr>
                <w:b/>
                <w:bCs/>
                <w:i/>
                <w:iCs/>
              </w:rPr>
              <w:t>T</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20,4 %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16,8 %</w:t>
            </w:r>
          </w:p>
        </w:tc>
        <w:tc>
          <w:tcPr>
            <w:tcW w:w="109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17,2 %</w:t>
            </w:r>
          </w:p>
        </w:tc>
        <w:tc>
          <w:tcPr>
            <w:tcW w:w="122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19,9 %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21,1 %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18,4 %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36,3 %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i/>
                <w:iCs/>
              </w:rPr>
            </w:pPr>
            <w:r>
              <w:rPr>
                <w:b/>
                <w:bCs/>
                <w:i/>
                <w:iCs/>
              </w:rPr>
              <w:t>20,6 %</w:t>
            </w:r>
          </w:p>
        </w:tc>
      </w:tr>
      <w:tr w:rsidR="00000000">
        <w:trPr>
          <w:jc w:val="center"/>
        </w:trPr>
        <w:tc>
          <w:tcPr>
            <w:tcW w:w="9508" w:type="dxa"/>
            <w:gridSpan w:val="10"/>
            <w:tcBorders>
              <w:top w:val="nil"/>
              <w:left w:val="single" w:sz="4" w:space="0" w:color="auto"/>
              <w:bottom w:val="single" w:sz="4" w:space="0" w:color="auto"/>
              <w:right w:val="single" w:sz="4" w:space="0" w:color="auto"/>
            </w:tcBorders>
            <w:noWrap/>
            <w:vAlign w:val="center"/>
          </w:tcPr>
          <w:p w:rsidR="00000000" w:rsidRDefault="00000000">
            <w:pPr>
              <w:spacing w:before="60" w:after="60"/>
              <w:rPr>
                <w:rFonts w:eastAsia="Arial Unicode MS"/>
                <w:b/>
                <w:bCs/>
                <w:i/>
                <w:iCs/>
              </w:rPr>
            </w:pPr>
            <w:r>
              <w:rPr>
                <w:b/>
                <w:bCs/>
                <w:i/>
                <w:iCs/>
              </w:rPr>
              <w:t>Abandon</w:t>
            </w:r>
          </w:p>
        </w:tc>
        <w:tc>
          <w:tcPr>
            <w:tcW w:w="50" w:type="dxa"/>
            <w:tcBorders>
              <w:top w:val="nil"/>
              <w:left w:val="single" w:sz="4" w:space="0" w:color="auto"/>
              <w:bottom w:val="single" w:sz="4" w:space="0" w:color="auto"/>
              <w:right w:val="single" w:sz="4" w:space="0" w:color="auto"/>
            </w:tcBorders>
            <w:noWrap/>
            <w:vAlign w:val="bottom"/>
          </w:tcPr>
          <w:p w:rsidR="00000000" w:rsidRDefault="00000000">
            <w:pPr>
              <w:spacing w:after="240"/>
              <w:rPr>
                <w:rFonts w:eastAsia="Arial Unicode MS"/>
              </w:rPr>
            </w:pPr>
            <w:r>
              <w:t>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pPr>
            <w:r>
              <w:t>G</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19,9 %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11,8 %</w:t>
            </w:r>
          </w:p>
        </w:tc>
        <w:tc>
          <w:tcPr>
            <w:tcW w:w="104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9,8 %</w:t>
            </w:r>
          </w:p>
        </w:tc>
        <w:tc>
          <w:tcPr>
            <w:tcW w:w="127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18,3 %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13,1 %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18,2 %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32,3 %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17,1 %</w:t>
            </w:r>
          </w:p>
        </w:tc>
      </w:tr>
      <w:tr w:rsidR="00000000">
        <w:trPr>
          <w:gridAfter w:val="1"/>
          <w:wAfter w:w="50" w:type="dxa"/>
          <w:trHeight w:val="293"/>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rPr>
            </w:pPr>
            <w:r>
              <w:t>F</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19,4 %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12,1 %</w:t>
            </w:r>
          </w:p>
        </w:tc>
        <w:tc>
          <w:tcPr>
            <w:tcW w:w="104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10,4 %</w:t>
            </w:r>
          </w:p>
        </w:tc>
        <w:tc>
          <w:tcPr>
            <w:tcW w:w="127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26,9 %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18,3 %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19,8 %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33,5 %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rPr>
            </w:pPr>
            <w:r>
              <w:t>18,6 %</w:t>
            </w:r>
          </w:p>
        </w:tc>
      </w:tr>
      <w:tr w:rsidR="00000000">
        <w:trPr>
          <w:gridAfter w:val="1"/>
          <w:wAfter w:w="50" w:type="dxa"/>
          <w:trHeight w:val="310"/>
          <w:jc w:val="center"/>
        </w:trPr>
        <w:tc>
          <w:tcPr>
            <w:tcW w:w="596" w:type="dxa"/>
            <w:tcBorders>
              <w:top w:val="nil"/>
              <w:left w:val="single" w:sz="4" w:space="0" w:color="auto"/>
              <w:bottom w:val="single" w:sz="4" w:space="0" w:color="auto"/>
              <w:right w:val="single" w:sz="4" w:space="0" w:color="auto"/>
            </w:tcBorders>
            <w:noWrap/>
            <w:vAlign w:val="bottom"/>
          </w:tcPr>
          <w:p w:rsidR="00000000" w:rsidRDefault="00000000">
            <w:pPr>
              <w:spacing w:before="60" w:after="60"/>
              <w:rPr>
                <w:rFonts w:eastAsia="Arial Unicode MS"/>
                <w:b/>
                <w:bCs/>
              </w:rPr>
            </w:pPr>
            <w:r>
              <w:rPr>
                <w:b/>
                <w:bCs/>
              </w:rPr>
              <w:t>T</w:t>
            </w:r>
          </w:p>
        </w:tc>
        <w:tc>
          <w:tcPr>
            <w:tcW w:w="118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19,7 %</w:t>
            </w:r>
          </w:p>
        </w:tc>
        <w:tc>
          <w:tcPr>
            <w:tcW w:w="1040"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11,9 %</w:t>
            </w:r>
          </w:p>
        </w:tc>
        <w:tc>
          <w:tcPr>
            <w:tcW w:w="1043"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9,9 %</w:t>
            </w:r>
          </w:p>
        </w:tc>
        <w:tc>
          <w:tcPr>
            <w:tcW w:w="1275" w:type="dxa"/>
            <w:gridSpan w:val="2"/>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20,3 %</w:t>
            </w:r>
          </w:p>
        </w:tc>
        <w:tc>
          <w:tcPr>
            <w:tcW w:w="111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14,2 %</w:t>
            </w:r>
          </w:p>
        </w:tc>
        <w:tc>
          <w:tcPr>
            <w:tcW w:w="989"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18,5 %</w:t>
            </w:r>
          </w:p>
        </w:tc>
        <w:tc>
          <w:tcPr>
            <w:tcW w:w="1132"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32,5 %</w:t>
            </w:r>
          </w:p>
        </w:tc>
        <w:tc>
          <w:tcPr>
            <w:tcW w:w="112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b/>
                <w:bCs/>
              </w:rPr>
            </w:pPr>
            <w:r>
              <w:rPr>
                <w:b/>
                <w:bCs/>
              </w:rPr>
              <w:t>17,5 %</w:t>
            </w:r>
          </w:p>
        </w:tc>
      </w:tr>
    </w:tbl>
    <w:p w:rsidR="00000000" w:rsidRDefault="00000000">
      <w:pPr>
        <w:spacing w:before="240" w:after="240"/>
        <w:ind w:firstLine="567"/>
      </w:pPr>
      <w:r>
        <w:t>Sources: Données statistiques de l’éducation 2002-2003</w:t>
      </w:r>
    </w:p>
    <w:p w:rsidR="00000000" w:rsidRDefault="00000000">
      <w:pPr>
        <w:spacing w:after="180"/>
        <w:jc w:val="center"/>
        <w:rPr>
          <w:b/>
          <w:bCs/>
        </w:rPr>
      </w:pPr>
      <w:r>
        <w:rPr>
          <w:b/>
          <w:bCs/>
        </w:rPr>
        <w:t>2.  Le nombre moyen d’élèves par enseignant avec indication de toute disparité</w:t>
      </w:r>
      <w:r>
        <w:rPr>
          <w:b/>
          <w:bCs/>
        </w:rPr>
        <w:br/>
        <w:t>significative entre les régions et entre les zones rurales et urbaines</w:t>
      </w:r>
    </w:p>
    <w:p w:rsidR="00000000" w:rsidRDefault="00000000">
      <w:pPr>
        <w:spacing w:after="180"/>
      </w:pPr>
      <w:r>
        <w:t xml:space="preserve">221. Le pays comptait pour l’année 2003 -2004, 18.510 enseignants au niveau primaire, soit 1 enseignant pour 69 élèves en moyenne. </w:t>
      </w:r>
    </w:p>
    <w:p w:rsidR="00000000" w:rsidRDefault="00000000">
      <w:pPr>
        <w:spacing w:after="180"/>
        <w:jc w:val="center"/>
        <w:rPr>
          <w:b/>
          <w:bCs/>
          <w:szCs w:val="16"/>
        </w:rPr>
      </w:pPr>
      <w:r>
        <w:rPr>
          <w:b/>
          <w:bCs/>
          <w:szCs w:val="16"/>
        </w:rPr>
        <w:t>Tableau 13.  Nombre d’élèves par enseignant</w:t>
      </w:r>
      <w:r>
        <w:rPr>
          <w:b/>
          <w:bCs/>
          <w:i/>
          <w:szCs w:val="16"/>
        </w:rPr>
        <w:t xml:space="preserve"> </w:t>
      </w:r>
      <w:r>
        <w:rPr>
          <w:b/>
          <w:bCs/>
          <w:szCs w:val="16"/>
        </w:rPr>
        <w:t>au primaire</w:t>
      </w:r>
    </w:p>
    <w:tbl>
      <w:tblPr>
        <w:tblW w:w="0" w:type="auto"/>
        <w:tblLayout w:type="fixed"/>
        <w:tblCellMar>
          <w:left w:w="70" w:type="dxa"/>
          <w:right w:w="70" w:type="dxa"/>
        </w:tblCellMar>
        <w:tblLook w:val="0000" w:firstRow="0" w:lastRow="0" w:firstColumn="0" w:lastColumn="0" w:noHBand="0" w:noVBand="0"/>
      </w:tblPr>
      <w:tblGrid>
        <w:gridCol w:w="2110"/>
        <w:gridCol w:w="1560"/>
        <w:gridCol w:w="1440"/>
        <w:gridCol w:w="1680"/>
        <w:gridCol w:w="1320"/>
        <w:gridCol w:w="1386"/>
      </w:tblGrid>
      <w:tr w:rsidR="00000000">
        <w:tblPrEx>
          <w:tblCellMar>
            <w:top w:w="0" w:type="dxa"/>
            <w:bottom w:w="0" w:type="dxa"/>
          </w:tblCellMar>
        </w:tblPrEx>
        <w:trPr>
          <w:tblHeader/>
        </w:trPr>
        <w:tc>
          <w:tcPr>
            <w:tcW w:w="2110" w:type="dxa"/>
            <w:vAlign w:val="center"/>
          </w:tcPr>
          <w:p w:rsidR="00000000" w:rsidRDefault="00000000">
            <w:pPr>
              <w:spacing w:before="30" w:after="30"/>
              <w:jc w:val="center"/>
              <w:rPr>
                <w:szCs w:val="16"/>
              </w:rPr>
            </w:pPr>
            <w:r>
              <w:rPr>
                <w:szCs w:val="16"/>
              </w:rPr>
              <w:t>Région</w:t>
            </w:r>
          </w:p>
        </w:tc>
        <w:tc>
          <w:tcPr>
            <w:tcW w:w="1560" w:type="dxa"/>
            <w:vAlign w:val="center"/>
          </w:tcPr>
          <w:p w:rsidR="00000000" w:rsidRDefault="00000000">
            <w:pPr>
              <w:spacing w:before="30" w:after="30"/>
              <w:jc w:val="center"/>
              <w:rPr>
                <w:szCs w:val="16"/>
              </w:rPr>
            </w:pPr>
            <w:r>
              <w:rPr>
                <w:szCs w:val="16"/>
              </w:rPr>
              <w:t>public</w:t>
            </w:r>
          </w:p>
        </w:tc>
        <w:tc>
          <w:tcPr>
            <w:tcW w:w="1440" w:type="dxa"/>
            <w:vAlign w:val="center"/>
          </w:tcPr>
          <w:p w:rsidR="00000000" w:rsidRDefault="00000000">
            <w:pPr>
              <w:spacing w:before="30" w:after="30"/>
              <w:jc w:val="center"/>
              <w:rPr>
                <w:szCs w:val="16"/>
              </w:rPr>
            </w:pPr>
            <w:r>
              <w:rPr>
                <w:szCs w:val="16"/>
              </w:rPr>
              <w:t>privé</w:t>
            </w:r>
          </w:p>
        </w:tc>
        <w:tc>
          <w:tcPr>
            <w:tcW w:w="1680" w:type="dxa"/>
            <w:vAlign w:val="center"/>
          </w:tcPr>
          <w:p w:rsidR="00000000" w:rsidRDefault="00000000">
            <w:pPr>
              <w:spacing w:before="30" w:after="30"/>
              <w:jc w:val="center"/>
              <w:rPr>
                <w:szCs w:val="16"/>
              </w:rPr>
            </w:pPr>
            <w:r>
              <w:rPr>
                <w:szCs w:val="16"/>
              </w:rPr>
              <w:t>communautaire</w:t>
            </w:r>
          </w:p>
        </w:tc>
        <w:tc>
          <w:tcPr>
            <w:tcW w:w="1320" w:type="dxa"/>
            <w:vAlign w:val="center"/>
          </w:tcPr>
          <w:p w:rsidR="00000000" w:rsidRDefault="00000000">
            <w:pPr>
              <w:spacing w:before="30" w:after="30"/>
              <w:jc w:val="center"/>
              <w:rPr>
                <w:szCs w:val="16"/>
              </w:rPr>
            </w:pPr>
            <w:r>
              <w:rPr>
                <w:szCs w:val="16"/>
              </w:rPr>
              <w:t>nomade</w:t>
            </w:r>
          </w:p>
        </w:tc>
        <w:tc>
          <w:tcPr>
            <w:tcW w:w="1386" w:type="dxa"/>
            <w:vAlign w:val="center"/>
          </w:tcPr>
          <w:p w:rsidR="00000000" w:rsidRDefault="00000000">
            <w:pPr>
              <w:spacing w:before="30" w:after="30"/>
              <w:jc w:val="center"/>
              <w:rPr>
                <w:i/>
                <w:szCs w:val="16"/>
              </w:rPr>
            </w:pPr>
            <w:r>
              <w:rPr>
                <w:szCs w:val="16"/>
              </w:rPr>
              <w:t>Total</w:t>
            </w:r>
          </w:p>
        </w:tc>
      </w:tr>
      <w:tr w:rsidR="00000000">
        <w:tblPrEx>
          <w:tblCellMar>
            <w:top w:w="0" w:type="dxa"/>
            <w:bottom w:w="0" w:type="dxa"/>
          </w:tblCellMar>
        </w:tblPrEx>
        <w:tc>
          <w:tcPr>
            <w:tcW w:w="2110" w:type="dxa"/>
            <w:vAlign w:val="center"/>
          </w:tcPr>
          <w:p w:rsidR="00000000" w:rsidRDefault="00000000">
            <w:pPr>
              <w:spacing w:before="30" w:after="30"/>
              <w:rPr>
                <w:szCs w:val="16"/>
              </w:rPr>
            </w:pPr>
            <w:r>
              <w:rPr>
                <w:szCs w:val="16"/>
                <w:lang w:val="es-ES_tradnl"/>
              </w:rPr>
              <w:t>Assongha</w:t>
            </w:r>
          </w:p>
        </w:tc>
        <w:tc>
          <w:tcPr>
            <w:tcW w:w="1560" w:type="dxa"/>
            <w:vAlign w:val="center"/>
          </w:tcPr>
          <w:p w:rsidR="00000000" w:rsidRDefault="00000000">
            <w:pPr>
              <w:spacing w:before="30" w:after="30"/>
              <w:ind w:right="410"/>
              <w:jc w:val="right"/>
              <w:rPr>
                <w:szCs w:val="16"/>
              </w:rPr>
            </w:pPr>
            <w:r>
              <w:rPr>
                <w:szCs w:val="16"/>
              </w:rPr>
              <w:t>96</w:t>
            </w:r>
          </w:p>
        </w:tc>
        <w:tc>
          <w:tcPr>
            <w:tcW w:w="1440" w:type="dxa"/>
            <w:vAlign w:val="center"/>
          </w:tcPr>
          <w:p w:rsidR="00000000" w:rsidRDefault="00000000">
            <w:pPr>
              <w:spacing w:before="30" w:after="30"/>
              <w:ind w:right="410"/>
              <w:jc w:val="right"/>
              <w:rPr>
                <w:szCs w:val="16"/>
              </w:rPr>
            </w:pPr>
            <w:r>
              <w:rPr>
                <w:szCs w:val="16"/>
              </w:rPr>
              <w:t>61</w:t>
            </w:r>
          </w:p>
        </w:tc>
        <w:tc>
          <w:tcPr>
            <w:tcW w:w="1680" w:type="dxa"/>
            <w:vAlign w:val="center"/>
          </w:tcPr>
          <w:p w:rsidR="00000000" w:rsidRDefault="00000000">
            <w:pPr>
              <w:spacing w:before="30" w:after="30"/>
              <w:ind w:right="410"/>
              <w:jc w:val="right"/>
              <w:rPr>
                <w:szCs w:val="16"/>
              </w:rPr>
            </w:pPr>
            <w:r>
              <w:rPr>
                <w:szCs w:val="16"/>
              </w:rPr>
              <w:t>115</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101</w:t>
            </w:r>
          </w:p>
        </w:tc>
      </w:tr>
      <w:tr w:rsidR="00000000">
        <w:tblPrEx>
          <w:tblCellMar>
            <w:top w:w="0" w:type="dxa"/>
            <w:bottom w:w="0" w:type="dxa"/>
          </w:tblCellMar>
        </w:tblPrEx>
        <w:tc>
          <w:tcPr>
            <w:tcW w:w="2110" w:type="dxa"/>
            <w:vAlign w:val="center"/>
          </w:tcPr>
          <w:p w:rsidR="00000000" w:rsidRDefault="00000000">
            <w:pPr>
              <w:spacing w:before="30" w:after="30"/>
              <w:rPr>
                <w:szCs w:val="16"/>
              </w:rPr>
            </w:pPr>
            <w:r>
              <w:rPr>
                <w:szCs w:val="16"/>
              </w:rPr>
              <w:t>Baguirmi</w:t>
            </w:r>
          </w:p>
        </w:tc>
        <w:tc>
          <w:tcPr>
            <w:tcW w:w="1560" w:type="dxa"/>
            <w:vAlign w:val="center"/>
          </w:tcPr>
          <w:p w:rsidR="00000000" w:rsidRDefault="00000000">
            <w:pPr>
              <w:spacing w:before="30" w:after="30"/>
              <w:ind w:right="410"/>
              <w:jc w:val="right"/>
              <w:rPr>
                <w:szCs w:val="16"/>
              </w:rPr>
            </w:pPr>
            <w:r>
              <w:rPr>
                <w:szCs w:val="16"/>
              </w:rPr>
              <w:t>63</w:t>
            </w:r>
          </w:p>
        </w:tc>
        <w:tc>
          <w:tcPr>
            <w:tcW w:w="1440" w:type="dxa"/>
            <w:vAlign w:val="center"/>
          </w:tcPr>
          <w:p w:rsidR="00000000" w:rsidRDefault="00000000">
            <w:pPr>
              <w:spacing w:before="30" w:after="30"/>
              <w:ind w:right="410"/>
              <w:jc w:val="right"/>
              <w:rPr>
                <w:szCs w:val="16"/>
              </w:rPr>
            </w:pPr>
            <w:r>
              <w:rPr>
                <w:szCs w:val="16"/>
              </w:rPr>
              <w:t>-</w:t>
            </w:r>
          </w:p>
        </w:tc>
        <w:tc>
          <w:tcPr>
            <w:tcW w:w="1680" w:type="dxa"/>
            <w:vAlign w:val="center"/>
          </w:tcPr>
          <w:p w:rsidR="00000000" w:rsidRDefault="00000000">
            <w:pPr>
              <w:spacing w:before="30" w:after="30"/>
              <w:ind w:right="410"/>
              <w:jc w:val="right"/>
              <w:rPr>
                <w:szCs w:val="16"/>
              </w:rPr>
            </w:pPr>
            <w:r>
              <w:rPr>
                <w:szCs w:val="16"/>
              </w:rPr>
              <w:t>64</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63</w:t>
            </w:r>
          </w:p>
        </w:tc>
      </w:tr>
      <w:tr w:rsidR="00000000">
        <w:tblPrEx>
          <w:tblCellMar>
            <w:top w:w="0" w:type="dxa"/>
            <w:bottom w:w="0" w:type="dxa"/>
          </w:tblCellMar>
        </w:tblPrEx>
        <w:tc>
          <w:tcPr>
            <w:tcW w:w="2110" w:type="dxa"/>
            <w:vAlign w:val="center"/>
          </w:tcPr>
          <w:p w:rsidR="00000000" w:rsidRDefault="00000000">
            <w:pPr>
              <w:spacing w:before="30" w:after="30"/>
              <w:rPr>
                <w:szCs w:val="16"/>
              </w:rPr>
            </w:pPr>
            <w:r>
              <w:rPr>
                <w:szCs w:val="16"/>
                <w:lang w:val="es-ES_tradnl"/>
              </w:rPr>
              <w:t>Bahr el Gazal</w:t>
            </w:r>
          </w:p>
        </w:tc>
        <w:tc>
          <w:tcPr>
            <w:tcW w:w="1560" w:type="dxa"/>
            <w:vAlign w:val="center"/>
          </w:tcPr>
          <w:p w:rsidR="00000000" w:rsidRDefault="00000000">
            <w:pPr>
              <w:spacing w:before="30" w:after="30"/>
              <w:ind w:right="410"/>
              <w:jc w:val="right"/>
              <w:rPr>
                <w:szCs w:val="16"/>
              </w:rPr>
            </w:pPr>
            <w:r>
              <w:rPr>
                <w:szCs w:val="16"/>
              </w:rPr>
              <w:t>66</w:t>
            </w:r>
          </w:p>
        </w:tc>
        <w:tc>
          <w:tcPr>
            <w:tcW w:w="1440" w:type="dxa"/>
            <w:vAlign w:val="center"/>
          </w:tcPr>
          <w:p w:rsidR="00000000" w:rsidRDefault="00000000">
            <w:pPr>
              <w:spacing w:before="30" w:after="30"/>
              <w:ind w:right="410"/>
              <w:jc w:val="right"/>
              <w:rPr>
                <w:szCs w:val="16"/>
              </w:rPr>
            </w:pPr>
            <w:r>
              <w:rPr>
                <w:szCs w:val="16"/>
              </w:rPr>
              <w:t>82</w:t>
            </w:r>
          </w:p>
        </w:tc>
        <w:tc>
          <w:tcPr>
            <w:tcW w:w="1680" w:type="dxa"/>
            <w:vAlign w:val="center"/>
          </w:tcPr>
          <w:p w:rsidR="00000000" w:rsidRDefault="00000000">
            <w:pPr>
              <w:spacing w:before="30" w:after="30"/>
              <w:ind w:right="410"/>
              <w:jc w:val="right"/>
              <w:rPr>
                <w:szCs w:val="16"/>
              </w:rPr>
            </w:pPr>
            <w:r>
              <w:rPr>
                <w:szCs w:val="16"/>
              </w:rPr>
              <w:t>67</w:t>
            </w:r>
          </w:p>
        </w:tc>
        <w:tc>
          <w:tcPr>
            <w:tcW w:w="1320" w:type="dxa"/>
            <w:vAlign w:val="center"/>
          </w:tcPr>
          <w:p w:rsidR="00000000" w:rsidRDefault="00000000">
            <w:pPr>
              <w:spacing w:before="30" w:after="30"/>
              <w:ind w:right="410"/>
              <w:jc w:val="right"/>
              <w:rPr>
                <w:szCs w:val="16"/>
              </w:rPr>
            </w:pPr>
            <w:r>
              <w:rPr>
                <w:szCs w:val="16"/>
              </w:rPr>
              <w:t>48</w:t>
            </w:r>
          </w:p>
        </w:tc>
        <w:tc>
          <w:tcPr>
            <w:tcW w:w="1386" w:type="dxa"/>
            <w:vAlign w:val="center"/>
          </w:tcPr>
          <w:p w:rsidR="00000000" w:rsidRDefault="00000000">
            <w:pPr>
              <w:spacing w:before="30" w:after="30"/>
              <w:ind w:right="410"/>
              <w:jc w:val="right"/>
              <w:rPr>
                <w:szCs w:val="16"/>
              </w:rPr>
            </w:pPr>
            <w:r>
              <w:rPr>
                <w:szCs w:val="16"/>
              </w:rPr>
              <w:t>66</w:t>
            </w:r>
          </w:p>
        </w:tc>
      </w:tr>
      <w:tr w:rsidR="00000000">
        <w:tblPrEx>
          <w:tblCellMar>
            <w:top w:w="0" w:type="dxa"/>
            <w:bottom w:w="0" w:type="dxa"/>
          </w:tblCellMar>
        </w:tblPrEx>
        <w:tc>
          <w:tcPr>
            <w:tcW w:w="2110" w:type="dxa"/>
            <w:vAlign w:val="center"/>
          </w:tcPr>
          <w:p w:rsidR="00000000" w:rsidRDefault="00000000">
            <w:pPr>
              <w:spacing w:before="30" w:after="30"/>
              <w:rPr>
                <w:szCs w:val="16"/>
                <w:lang w:val="es-ES_tradnl"/>
              </w:rPr>
            </w:pPr>
            <w:proofErr w:type="spellStart"/>
            <w:r>
              <w:rPr>
                <w:szCs w:val="16"/>
              </w:rPr>
              <w:t>Bahr</w:t>
            </w:r>
            <w:proofErr w:type="spellEnd"/>
            <w:r>
              <w:rPr>
                <w:szCs w:val="16"/>
              </w:rPr>
              <w:t xml:space="preserve"> </w:t>
            </w:r>
            <w:proofErr w:type="spellStart"/>
            <w:r>
              <w:rPr>
                <w:szCs w:val="16"/>
              </w:rPr>
              <w:t>Koh</w:t>
            </w:r>
            <w:proofErr w:type="spellEnd"/>
          </w:p>
        </w:tc>
        <w:tc>
          <w:tcPr>
            <w:tcW w:w="1560" w:type="dxa"/>
            <w:vAlign w:val="center"/>
          </w:tcPr>
          <w:p w:rsidR="00000000" w:rsidRDefault="00000000">
            <w:pPr>
              <w:spacing w:before="30" w:after="30"/>
              <w:ind w:right="410"/>
              <w:jc w:val="right"/>
              <w:rPr>
                <w:szCs w:val="16"/>
              </w:rPr>
            </w:pPr>
            <w:r>
              <w:rPr>
                <w:szCs w:val="16"/>
              </w:rPr>
              <w:t>76</w:t>
            </w:r>
          </w:p>
        </w:tc>
        <w:tc>
          <w:tcPr>
            <w:tcW w:w="1440" w:type="dxa"/>
            <w:vAlign w:val="center"/>
          </w:tcPr>
          <w:p w:rsidR="00000000" w:rsidRDefault="00000000">
            <w:pPr>
              <w:spacing w:before="30" w:after="30"/>
              <w:ind w:right="410"/>
              <w:jc w:val="right"/>
              <w:rPr>
                <w:szCs w:val="16"/>
              </w:rPr>
            </w:pPr>
            <w:r>
              <w:rPr>
                <w:szCs w:val="16"/>
              </w:rPr>
              <w:t>56</w:t>
            </w:r>
          </w:p>
        </w:tc>
        <w:tc>
          <w:tcPr>
            <w:tcW w:w="1680" w:type="dxa"/>
            <w:vAlign w:val="center"/>
          </w:tcPr>
          <w:p w:rsidR="00000000" w:rsidRDefault="00000000">
            <w:pPr>
              <w:spacing w:before="30" w:after="30"/>
              <w:ind w:right="410"/>
              <w:jc w:val="right"/>
              <w:rPr>
                <w:szCs w:val="16"/>
              </w:rPr>
            </w:pPr>
            <w:r>
              <w:rPr>
                <w:szCs w:val="16"/>
              </w:rPr>
              <w:t>56</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68</w:t>
            </w:r>
          </w:p>
        </w:tc>
      </w:tr>
      <w:tr w:rsidR="00000000">
        <w:tblPrEx>
          <w:tblCellMar>
            <w:top w:w="0" w:type="dxa"/>
            <w:bottom w:w="0" w:type="dxa"/>
          </w:tblCellMar>
        </w:tblPrEx>
        <w:tc>
          <w:tcPr>
            <w:tcW w:w="2110" w:type="dxa"/>
            <w:vAlign w:val="center"/>
          </w:tcPr>
          <w:p w:rsidR="00000000" w:rsidRDefault="00000000">
            <w:pPr>
              <w:spacing w:before="30" w:after="30"/>
              <w:rPr>
                <w:szCs w:val="16"/>
              </w:rPr>
            </w:pPr>
            <w:proofErr w:type="spellStart"/>
            <w:r>
              <w:rPr>
                <w:szCs w:val="16"/>
              </w:rPr>
              <w:t>Batha</w:t>
            </w:r>
            <w:proofErr w:type="spellEnd"/>
            <w:r>
              <w:rPr>
                <w:szCs w:val="16"/>
              </w:rPr>
              <w:t xml:space="preserve"> Est</w:t>
            </w:r>
          </w:p>
        </w:tc>
        <w:tc>
          <w:tcPr>
            <w:tcW w:w="1560" w:type="dxa"/>
            <w:vAlign w:val="center"/>
          </w:tcPr>
          <w:p w:rsidR="00000000" w:rsidRDefault="00000000">
            <w:pPr>
              <w:spacing w:before="30" w:after="30"/>
              <w:ind w:right="410"/>
              <w:jc w:val="right"/>
              <w:rPr>
                <w:szCs w:val="16"/>
              </w:rPr>
            </w:pPr>
            <w:r>
              <w:rPr>
                <w:szCs w:val="16"/>
              </w:rPr>
              <w:t>58</w:t>
            </w:r>
          </w:p>
        </w:tc>
        <w:tc>
          <w:tcPr>
            <w:tcW w:w="1440" w:type="dxa"/>
            <w:vAlign w:val="center"/>
          </w:tcPr>
          <w:p w:rsidR="00000000" w:rsidRDefault="00000000">
            <w:pPr>
              <w:spacing w:before="30" w:after="30"/>
              <w:ind w:right="410"/>
              <w:jc w:val="right"/>
              <w:rPr>
                <w:szCs w:val="16"/>
              </w:rPr>
            </w:pPr>
            <w:r>
              <w:rPr>
                <w:szCs w:val="16"/>
              </w:rPr>
              <w:t>63</w:t>
            </w:r>
          </w:p>
        </w:tc>
        <w:tc>
          <w:tcPr>
            <w:tcW w:w="1680" w:type="dxa"/>
            <w:vAlign w:val="center"/>
          </w:tcPr>
          <w:p w:rsidR="00000000" w:rsidRDefault="00000000">
            <w:pPr>
              <w:spacing w:before="30" w:after="30"/>
              <w:ind w:right="410"/>
              <w:jc w:val="right"/>
              <w:rPr>
                <w:szCs w:val="16"/>
              </w:rPr>
            </w:pPr>
            <w:r>
              <w:rPr>
                <w:szCs w:val="16"/>
              </w:rPr>
              <w:t>109</w:t>
            </w:r>
          </w:p>
        </w:tc>
        <w:tc>
          <w:tcPr>
            <w:tcW w:w="1320" w:type="dxa"/>
            <w:vAlign w:val="center"/>
          </w:tcPr>
          <w:p w:rsidR="00000000" w:rsidRDefault="00000000">
            <w:pPr>
              <w:spacing w:before="30" w:after="30"/>
              <w:ind w:right="410"/>
              <w:jc w:val="right"/>
              <w:rPr>
                <w:szCs w:val="16"/>
              </w:rPr>
            </w:pPr>
            <w:r>
              <w:rPr>
                <w:szCs w:val="16"/>
              </w:rPr>
              <w:t>58</w:t>
            </w:r>
          </w:p>
        </w:tc>
        <w:tc>
          <w:tcPr>
            <w:tcW w:w="1386" w:type="dxa"/>
            <w:vAlign w:val="center"/>
          </w:tcPr>
          <w:p w:rsidR="00000000" w:rsidRDefault="00000000">
            <w:pPr>
              <w:spacing w:before="30" w:after="30"/>
              <w:ind w:right="410"/>
              <w:jc w:val="right"/>
              <w:rPr>
                <w:szCs w:val="16"/>
              </w:rPr>
            </w:pPr>
            <w:r>
              <w:rPr>
                <w:szCs w:val="16"/>
              </w:rPr>
              <w:t>63</w:t>
            </w:r>
          </w:p>
        </w:tc>
      </w:tr>
      <w:tr w:rsidR="00000000">
        <w:tblPrEx>
          <w:tblCellMar>
            <w:top w:w="0" w:type="dxa"/>
            <w:bottom w:w="0" w:type="dxa"/>
          </w:tblCellMar>
        </w:tblPrEx>
        <w:tc>
          <w:tcPr>
            <w:tcW w:w="2110" w:type="dxa"/>
            <w:vAlign w:val="center"/>
          </w:tcPr>
          <w:p w:rsidR="00000000" w:rsidRDefault="00000000">
            <w:pPr>
              <w:spacing w:before="30" w:after="30"/>
              <w:rPr>
                <w:szCs w:val="16"/>
              </w:rPr>
            </w:pPr>
            <w:proofErr w:type="spellStart"/>
            <w:r>
              <w:rPr>
                <w:szCs w:val="16"/>
              </w:rPr>
              <w:t>Batha</w:t>
            </w:r>
            <w:proofErr w:type="spellEnd"/>
            <w:r>
              <w:rPr>
                <w:szCs w:val="16"/>
              </w:rPr>
              <w:t xml:space="preserve"> Ouest</w:t>
            </w:r>
          </w:p>
        </w:tc>
        <w:tc>
          <w:tcPr>
            <w:tcW w:w="1560" w:type="dxa"/>
            <w:vAlign w:val="center"/>
          </w:tcPr>
          <w:p w:rsidR="00000000" w:rsidRDefault="00000000">
            <w:pPr>
              <w:spacing w:before="30" w:after="30"/>
              <w:ind w:right="410"/>
              <w:jc w:val="right"/>
              <w:rPr>
                <w:szCs w:val="16"/>
              </w:rPr>
            </w:pPr>
            <w:r>
              <w:rPr>
                <w:szCs w:val="16"/>
              </w:rPr>
              <w:t>73</w:t>
            </w:r>
          </w:p>
        </w:tc>
        <w:tc>
          <w:tcPr>
            <w:tcW w:w="1440" w:type="dxa"/>
            <w:vAlign w:val="center"/>
          </w:tcPr>
          <w:p w:rsidR="00000000" w:rsidRDefault="00000000">
            <w:pPr>
              <w:spacing w:before="30" w:after="30"/>
              <w:ind w:right="410"/>
              <w:jc w:val="right"/>
              <w:rPr>
                <w:szCs w:val="16"/>
              </w:rPr>
            </w:pPr>
            <w:r>
              <w:rPr>
                <w:szCs w:val="16"/>
              </w:rPr>
              <w:t>46</w:t>
            </w:r>
          </w:p>
        </w:tc>
        <w:tc>
          <w:tcPr>
            <w:tcW w:w="1680" w:type="dxa"/>
            <w:vAlign w:val="center"/>
          </w:tcPr>
          <w:p w:rsidR="00000000" w:rsidRDefault="00000000">
            <w:pPr>
              <w:spacing w:before="30" w:after="30"/>
              <w:ind w:right="410"/>
              <w:jc w:val="right"/>
              <w:rPr>
                <w:szCs w:val="16"/>
              </w:rPr>
            </w:pPr>
            <w:r>
              <w:rPr>
                <w:szCs w:val="16"/>
              </w:rPr>
              <w:t>91</w:t>
            </w:r>
          </w:p>
        </w:tc>
        <w:tc>
          <w:tcPr>
            <w:tcW w:w="1320" w:type="dxa"/>
            <w:vAlign w:val="center"/>
          </w:tcPr>
          <w:p w:rsidR="00000000" w:rsidRDefault="00000000">
            <w:pPr>
              <w:spacing w:before="30" w:after="30"/>
              <w:ind w:right="410"/>
              <w:jc w:val="right"/>
              <w:rPr>
                <w:szCs w:val="16"/>
              </w:rPr>
            </w:pPr>
            <w:r>
              <w:rPr>
                <w:szCs w:val="16"/>
              </w:rPr>
              <w:t>71</w:t>
            </w:r>
          </w:p>
        </w:tc>
        <w:tc>
          <w:tcPr>
            <w:tcW w:w="1386" w:type="dxa"/>
            <w:vAlign w:val="center"/>
          </w:tcPr>
          <w:p w:rsidR="00000000" w:rsidRDefault="00000000">
            <w:pPr>
              <w:spacing w:before="30" w:after="30"/>
              <w:ind w:right="410"/>
              <w:jc w:val="right"/>
              <w:rPr>
                <w:szCs w:val="16"/>
              </w:rPr>
            </w:pPr>
            <w:r>
              <w:rPr>
                <w:szCs w:val="16"/>
              </w:rPr>
              <w:t>76</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Biltine</w:t>
            </w:r>
            <w:proofErr w:type="spellEnd"/>
          </w:p>
        </w:tc>
        <w:tc>
          <w:tcPr>
            <w:tcW w:w="1560" w:type="dxa"/>
            <w:vAlign w:val="center"/>
          </w:tcPr>
          <w:p w:rsidR="00000000" w:rsidRDefault="00000000">
            <w:pPr>
              <w:spacing w:before="30" w:after="30"/>
              <w:ind w:right="410"/>
              <w:jc w:val="right"/>
              <w:rPr>
                <w:szCs w:val="16"/>
              </w:rPr>
            </w:pPr>
            <w:r>
              <w:rPr>
                <w:szCs w:val="16"/>
              </w:rPr>
              <w:t>68</w:t>
            </w:r>
          </w:p>
        </w:tc>
        <w:tc>
          <w:tcPr>
            <w:tcW w:w="1440" w:type="dxa"/>
            <w:vAlign w:val="center"/>
          </w:tcPr>
          <w:p w:rsidR="00000000" w:rsidRDefault="00000000">
            <w:pPr>
              <w:spacing w:before="30" w:after="30"/>
              <w:ind w:right="410"/>
              <w:jc w:val="right"/>
              <w:rPr>
                <w:szCs w:val="16"/>
              </w:rPr>
            </w:pPr>
            <w:r>
              <w:rPr>
                <w:szCs w:val="16"/>
              </w:rPr>
              <w:t>118</w:t>
            </w:r>
          </w:p>
        </w:tc>
        <w:tc>
          <w:tcPr>
            <w:tcW w:w="1680" w:type="dxa"/>
            <w:vAlign w:val="center"/>
          </w:tcPr>
          <w:p w:rsidR="00000000" w:rsidRDefault="00000000">
            <w:pPr>
              <w:spacing w:before="30" w:after="30"/>
              <w:ind w:right="410"/>
              <w:jc w:val="right"/>
              <w:rPr>
                <w:szCs w:val="16"/>
              </w:rPr>
            </w:pPr>
            <w:r>
              <w:rPr>
                <w:szCs w:val="16"/>
              </w:rPr>
              <w:t>80</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71</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Borkou</w:t>
            </w:r>
          </w:p>
        </w:tc>
        <w:tc>
          <w:tcPr>
            <w:tcW w:w="1560" w:type="dxa"/>
            <w:vAlign w:val="center"/>
          </w:tcPr>
          <w:p w:rsidR="00000000" w:rsidRDefault="00000000">
            <w:pPr>
              <w:spacing w:before="30" w:after="30"/>
              <w:ind w:right="410"/>
              <w:jc w:val="right"/>
              <w:rPr>
                <w:szCs w:val="16"/>
              </w:rPr>
            </w:pPr>
            <w:r>
              <w:rPr>
                <w:szCs w:val="16"/>
              </w:rPr>
              <w:t>66</w:t>
            </w:r>
          </w:p>
        </w:tc>
        <w:tc>
          <w:tcPr>
            <w:tcW w:w="1440" w:type="dxa"/>
            <w:vAlign w:val="center"/>
          </w:tcPr>
          <w:p w:rsidR="00000000" w:rsidRDefault="00000000">
            <w:pPr>
              <w:spacing w:before="30" w:after="30"/>
              <w:ind w:right="410"/>
              <w:jc w:val="right"/>
              <w:rPr>
                <w:szCs w:val="16"/>
              </w:rPr>
            </w:pPr>
            <w:r>
              <w:rPr>
                <w:szCs w:val="16"/>
              </w:rPr>
              <w:t>31</w:t>
            </w:r>
          </w:p>
        </w:tc>
        <w:tc>
          <w:tcPr>
            <w:tcW w:w="1680" w:type="dxa"/>
            <w:vAlign w:val="center"/>
          </w:tcPr>
          <w:p w:rsidR="00000000" w:rsidRDefault="00000000">
            <w:pPr>
              <w:spacing w:before="30" w:after="30"/>
              <w:ind w:right="410"/>
              <w:jc w:val="right"/>
              <w:rPr>
                <w:szCs w:val="16"/>
              </w:rPr>
            </w:pPr>
            <w:r>
              <w:rPr>
                <w:szCs w:val="16"/>
              </w:rPr>
              <w:t>43</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65</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Commun/NDJ</w:t>
            </w:r>
          </w:p>
        </w:tc>
        <w:tc>
          <w:tcPr>
            <w:tcW w:w="1560" w:type="dxa"/>
            <w:vAlign w:val="center"/>
          </w:tcPr>
          <w:p w:rsidR="00000000" w:rsidRDefault="00000000">
            <w:pPr>
              <w:spacing w:before="30" w:after="30"/>
              <w:ind w:right="410"/>
              <w:jc w:val="right"/>
              <w:rPr>
                <w:szCs w:val="16"/>
              </w:rPr>
            </w:pPr>
            <w:r>
              <w:rPr>
                <w:szCs w:val="16"/>
              </w:rPr>
              <w:t>76</w:t>
            </w:r>
          </w:p>
        </w:tc>
        <w:tc>
          <w:tcPr>
            <w:tcW w:w="1440" w:type="dxa"/>
            <w:vAlign w:val="center"/>
          </w:tcPr>
          <w:p w:rsidR="00000000" w:rsidRDefault="00000000">
            <w:pPr>
              <w:spacing w:before="30" w:after="30"/>
              <w:ind w:right="410"/>
              <w:jc w:val="right"/>
              <w:rPr>
                <w:szCs w:val="16"/>
              </w:rPr>
            </w:pPr>
            <w:r>
              <w:rPr>
                <w:szCs w:val="16"/>
              </w:rPr>
              <w:t>45</w:t>
            </w:r>
          </w:p>
        </w:tc>
        <w:tc>
          <w:tcPr>
            <w:tcW w:w="1680" w:type="dxa"/>
            <w:vAlign w:val="center"/>
          </w:tcPr>
          <w:p w:rsidR="00000000" w:rsidRDefault="00000000">
            <w:pPr>
              <w:spacing w:before="30" w:after="30"/>
              <w:ind w:right="410"/>
              <w:jc w:val="right"/>
              <w:rPr>
                <w:szCs w:val="16"/>
              </w:rPr>
            </w:pPr>
            <w:r>
              <w:rPr>
                <w:szCs w:val="16"/>
              </w:rPr>
              <w:t>51</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58</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Dababa</w:t>
            </w:r>
            <w:proofErr w:type="spellEnd"/>
          </w:p>
        </w:tc>
        <w:tc>
          <w:tcPr>
            <w:tcW w:w="1560" w:type="dxa"/>
            <w:vAlign w:val="center"/>
          </w:tcPr>
          <w:p w:rsidR="00000000" w:rsidRDefault="00000000">
            <w:pPr>
              <w:spacing w:before="30" w:after="30"/>
              <w:ind w:right="410"/>
              <w:jc w:val="right"/>
              <w:rPr>
                <w:szCs w:val="16"/>
              </w:rPr>
            </w:pPr>
            <w:r>
              <w:rPr>
                <w:szCs w:val="16"/>
              </w:rPr>
              <w:t>59</w:t>
            </w:r>
          </w:p>
        </w:tc>
        <w:tc>
          <w:tcPr>
            <w:tcW w:w="1440" w:type="dxa"/>
            <w:vAlign w:val="center"/>
          </w:tcPr>
          <w:p w:rsidR="00000000" w:rsidRDefault="00000000">
            <w:pPr>
              <w:spacing w:before="30" w:after="30"/>
              <w:ind w:right="410"/>
              <w:jc w:val="right"/>
              <w:rPr>
                <w:szCs w:val="16"/>
              </w:rPr>
            </w:pPr>
            <w:r>
              <w:rPr>
                <w:szCs w:val="16"/>
              </w:rPr>
              <w:t>93</w:t>
            </w:r>
          </w:p>
        </w:tc>
        <w:tc>
          <w:tcPr>
            <w:tcW w:w="1680" w:type="dxa"/>
            <w:vAlign w:val="center"/>
          </w:tcPr>
          <w:p w:rsidR="00000000" w:rsidRDefault="00000000">
            <w:pPr>
              <w:spacing w:before="30" w:after="30"/>
              <w:ind w:right="410"/>
              <w:jc w:val="right"/>
              <w:rPr>
                <w:szCs w:val="16"/>
              </w:rPr>
            </w:pPr>
            <w:r>
              <w:rPr>
                <w:szCs w:val="16"/>
              </w:rPr>
              <w:t>68</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Ennedi</w:t>
            </w:r>
          </w:p>
        </w:tc>
        <w:tc>
          <w:tcPr>
            <w:tcW w:w="1560" w:type="dxa"/>
            <w:vAlign w:val="center"/>
          </w:tcPr>
          <w:p w:rsidR="00000000" w:rsidRDefault="00000000">
            <w:pPr>
              <w:spacing w:before="30" w:after="30"/>
              <w:ind w:right="410"/>
              <w:jc w:val="right"/>
              <w:rPr>
                <w:szCs w:val="16"/>
              </w:rPr>
            </w:pPr>
            <w:r>
              <w:rPr>
                <w:szCs w:val="16"/>
              </w:rPr>
              <w:t>40</w:t>
            </w:r>
          </w:p>
        </w:tc>
        <w:tc>
          <w:tcPr>
            <w:tcW w:w="1440" w:type="dxa"/>
            <w:vAlign w:val="center"/>
          </w:tcPr>
          <w:p w:rsidR="00000000" w:rsidRDefault="00000000">
            <w:pPr>
              <w:spacing w:before="30" w:after="30"/>
              <w:ind w:right="410"/>
              <w:jc w:val="right"/>
              <w:rPr>
                <w:szCs w:val="16"/>
              </w:rPr>
            </w:pPr>
            <w:r>
              <w:rPr>
                <w:szCs w:val="16"/>
              </w:rPr>
              <w:t>104</w:t>
            </w:r>
          </w:p>
        </w:tc>
        <w:tc>
          <w:tcPr>
            <w:tcW w:w="1680" w:type="dxa"/>
            <w:vAlign w:val="center"/>
          </w:tcPr>
          <w:p w:rsidR="00000000" w:rsidRDefault="00000000">
            <w:pPr>
              <w:spacing w:before="30" w:after="30"/>
              <w:ind w:right="410"/>
              <w:jc w:val="right"/>
              <w:rPr>
                <w:szCs w:val="16"/>
              </w:rPr>
            </w:pPr>
            <w:r>
              <w:rPr>
                <w:szCs w:val="16"/>
              </w:rPr>
              <w:t>54</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42</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Guera</w:t>
            </w:r>
            <w:proofErr w:type="spellEnd"/>
          </w:p>
        </w:tc>
        <w:tc>
          <w:tcPr>
            <w:tcW w:w="1560" w:type="dxa"/>
            <w:vAlign w:val="center"/>
          </w:tcPr>
          <w:p w:rsidR="00000000" w:rsidRDefault="00000000">
            <w:pPr>
              <w:spacing w:before="30" w:after="30"/>
              <w:ind w:right="410"/>
              <w:jc w:val="right"/>
              <w:rPr>
                <w:szCs w:val="16"/>
              </w:rPr>
            </w:pPr>
            <w:r>
              <w:rPr>
                <w:szCs w:val="16"/>
              </w:rPr>
              <w:t>65</w:t>
            </w:r>
          </w:p>
        </w:tc>
        <w:tc>
          <w:tcPr>
            <w:tcW w:w="1440" w:type="dxa"/>
            <w:vAlign w:val="center"/>
          </w:tcPr>
          <w:p w:rsidR="00000000" w:rsidRDefault="00000000">
            <w:pPr>
              <w:spacing w:before="30" w:after="30"/>
              <w:ind w:right="410"/>
              <w:jc w:val="right"/>
              <w:rPr>
                <w:szCs w:val="16"/>
              </w:rPr>
            </w:pPr>
            <w:r>
              <w:rPr>
                <w:szCs w:val="16"/>
              </w:rPr>
              <w:t>59</w:t>
            </w:r>
          </w:p>
        </w:tc>
        <w:tc>
          <w:tcPr>
            <w:tcW w:w="1680" w:type="dxa"/>
            <w:vAlign w:val="center"/>
          </w:tcPr>
          <w:p w:rsidR="00000000" w:rsidRDefault="00000000">
            <w:pPr>
              <w:spacing w:before="30" w:after="30"/>
              <w:ind w:right="410"/>
              <w:jc w:val="right"/>
              <w:rPr>
                <w:szCs w:val="16"/>
              </w:rPr>
            </w:pPr>
            <w:r>
              <w:rPr>
                <w:szCs w:val="16"/>
              </w:rPr>
              <w:t>78</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65</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lang w:val="nl-NL"/>
              </w:rPr>
            </w:pPr>
            <w:proofErr w:type="spellStart"/>
            <w:r>
              <w:rPr>
                <w:lang w:val="nl-NL"/>
              </w:rPr>
              <w:t>Hadjer</w:t>
            </w:r>
            <w:proofErr w:type="spellEnd"/>
            <w:r>
              <w:rPr>
                <w:lang w:val="nl-NL"/>
              </w:rPr>
              <w:t xml:space="preserve"> </w:t>
            </w:r>
            <w:proofErr w:type="spellStart"/>
            <w:r>
              <w:rPr>
                <w:lang w:val="nl-NL"/>
              </w:rPr>
              <w:t>Lamis</w:t>
            </w:r>
            <w:proofErr w:type="spellEnd"/>
          </w:p>
        </w:tc>
        <w:tc>
          <w:tcPr>
            <w:tcW w:w="1560" w:type="dxa"/>
            <w:vAlign w:val="center"/>
          </w:tcPr>
          <w:p w:rsidR="00000000" w:rsidRDefault="00000000">
            <w:pPr>
              <w:spacing w:before="30" w:after="30"/>
              <w:ind w:right="410"/>
              <w:jc w:val="right"/>
              <w:rPr>
                <w:szCs w:val="16"/>
                <w:lang w:val="nl-NL"/>
              </w:rPr>
            </w:pPr>
            <w:r>
              <w:rPr>
                <w:szCs w:val="16"/>
                <w:lang w:val="nl-NL"/>
              </w:rPr>
              <w:t>77</w:t>
            </w:r>
          </w:p>
        </w:tc>
        <w:tc>
          <w:tcPr>
            <w:tcW w:w="1440" w:type="dxa"/>
            <w:vAlign w:val="center"/>
          </w:tcPr>
          <w:p w:rsidR="00000000" w:rsidRDefault="00000000">
            <w:pPr>
              <w:spacing w:before="30" w:after="30"/>
              <w:ind w:right="410"/>
              <w:jc w:val="right"/>
              <w:rPr>
                <w:szCs w:val="16"/>
                <w:lang w:val="nl-NL"/>
              </w:rPr>
            </w:pPr>
            <w:r>
              <w:rPr>
                <w:szCs w:val="16"/>
                <w:lang w:val="nl-NL"/>
              </w:rPr>
              <w:t>48</w:t>
            </w:r>
          </w:p>
        </w:tc>
        <w:tc>
          <w:tcPr>
            <w:tcW w:w="1680" w:type="dxa"/>
            <w:vAlign w:val="center"/>
          </w:tcPr>
          <w:p w:rsidR="00000000" w:rsidRDefault="00000000">
            <w:pPr>
              <w:spacing w:before="30" w:after="30"/>
              <w:ind w:right="410"/>
              <w:jc w:val="right"/>
              <w:rPr>
                <w:szCs w:val="16"/>
                <w:lang w:val="nl-NL"/>
              </w:rPr>
            </w:pPr>
            <w:r>
              <w:rPr>
                <w:szCs w:val="16"/>
                <w:lang w:val="nl-NL"/>
              </w:rPr>
              <w:t>58</w:t>
            </w:r>
          </w:p>
        </w:tc>
        <w:tc>
          <w:tcPr>
            <w:tcW w:w="1320" w:type="dxa"/>
            <w:vAlign w:val="center"/>
          </w:tcPr>
          <w:p w:rsidR="00000000" w:rsidRDefault="00000000">
            <w:pPr>
              <w:spacing w:before="30" w:after="30"/>
              <w:ind w:right="410"/>
              <w:jc w:val="right"/>
              <w:rPr>
                <w:szCs w:val="16"/>
                <w:lang w:val="nl-NL"/>
              </w:rPr>
            </w:pPr>
            <w:r>
              <w:rPr>
                <w:szCs w:val="16"/>
                <w:lang w:val="nl-NL"/>
              </w:rPr>
              <w:t>32</w:t>
            </w:r>
          </w:p>
        </w:tc>
        <w:tc>
          <w:tcPr>
            <w:tcW w:w="1386" w:type="dxa"/>
            <w:vAlign w:val="center"/>
          </w:tcPr>
          <w:p w:rsidR="00000000" w:rsidRDefault="00000000">
            <w:pPr>
              <w:spacing w:before="30" w:after="30"/>
              <w:ind w:right="410"/>
              <w:jc w:val="right"/>
              <w:rPr>
                <w:szCs w:val="16"/>
                <w:lang w:val="nl-NL"/>
              </w:rPr>
            </w:pPr>
            <w:r>
              <w:rPr>
                <w:szCs w:val="16"/>
                <w:lang w:val="nl-NL"/>
              </w:rPr>
              <w:t>71</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lang w:val="nl-NL"/>
              </w:rPr>
            </w:pPr>
            <w:proofErr w:type="spellStart"/>
            <w:r>
              <w:rPr>
                <w:lang w:val="nl-NL"/>
              </w:rPr>
              <w:t>Kabbia</w:t>
            </w:r>
            <w:proofErr w:type="spellEnd"/>
          </w:p>
        </w:tc>
        <w:tc>
          <w:tcPr>
            <w:tcW w:w="1560" w:type="dxa"/>
            <w:vAlign w:val="center"/>
          </w:tcPr>
          <w:p w:rsidR="00000000" w:rsidRDefault="00000000">
            <w:pPr>
              <w:spacing w:before="30" w:after="30"/>
              <w:ind w:right="410"/>
              <w:jc w:val="right"/>
              <w:rPr>
                <w:szCs w:val="16"/>
                <w:lang w:val="nl-NL"/>
              </w:rPr>
            </w:pPr>
            <w:r>
              <w:rPr>
                <w:szCs w:val="16"/>
                <w:lang w:val="nl-NL"/>
              </w:rPr>
              <w:t>72</w:t>
            </w:r>
          </w:p>
        </w:tc>
        <w:tc>
          <w:tcPr>
            <w:tcW w:w="1440" w:type="dxa"/>
            <w:vAlign w:val="center"/>
          </w:tcPr>
          <w:p w:rsidR="00000000" w:rsidRDefault="00000000">
            <w:pPr>
              <w:spacing w:before="30" w:after="30"/>
              <w:ind w:right="410"/>
              <w:jc w:val="right"/>
              <w:rPr>
                <w:szCs w:val="16"/>
                <w:lang w:val="nl-NL"/>
              </w:rPr>
            </w:pPr>
            <w:r>
              <w:rPr>
                <w:szCs w:val="16"/>
                <w:lang w:val="nl-NL"/>
              </w:rPr>
              <w:t>53</w:t>
            </w:r>
          </w:p>
        </w:tc>
        <w:tc>
          <w:tcPr>
            <w:tcW w:w="1680" w:type="dxa"/>
            <w:vAlign w:val="center"/>
          </w:tcPr>
          <w:p w:rsidR="00000000" w:rsidRDefault="00000000">
            <w:pPr>
              <w:spacing w:before="30" w:after="30"/>
              <w:ind w:right="410"/>
              <w:jc w:val="right"/>
              <w:rPr>
                <w:szCs w:val="16"/>
                <w:lang w:val="nl-NL"/>
              </w:rPr>
            </w:pPr>
            <w:r>
              <w:rPr>
                <w:szCs w:val="16"/>
                <w:lang w:val="nl-NL"/>
              </w:rPr>
              <w:t>52</w:t>
            </w:r>
          </w:p>
        </w:tc>
        <w:tc>
          <w:tcPr>
            <w:tcW w:w="1320" w:type="dxa"/>
            <w:vAlign w:val="center"/>
          </w:tcPr>
          <w:p w:rsidR="00000000" w:rsidRDefault="00000000">
            <w:pPr>
              <w:spacing w:before="30" w:after="30"/>
              <w:ind w:right="410"/>
              <w:jc w:val="right"/>
              <w:rPr>
                <w:szCs w:val="16"/>
                <w:lang w:val="nl-NL"/>
              </w:rPr>
            </w:pPr>
            <w:r>
              <w:rPr>
                <w:szCs w:val="16"/>
              </w:rPr>
              <w:t>--</w:t>
            </w:r>
          </w:p>
        </w:tc>
        <w:tc>
          <w:tcPr>
            <w:tcW w:w="1386" w:type="dxa"/>
            <w:vAlign w:val="center"/>
          </w:tcPr>
          <w:p w:rsidR="00000000" w:rsidRDefault="00000000">
            <w:pPr>
              <w:spacing w:before="30" w:after="30"/>
              <w:ind w:right="410"/>
              <w:jc w:val="right"/>
              <w:rPr>
                <w:szCs w:val="16"/>
                <w:lang w:val="nl-NL"/>
              </w:rPr>
            </w:pPr>
            <w:r>
              <w:rPr>
                <w:szCs w:val="16"/>
                <w:lang w:val="nl-NL"/>
              </w:rPr>
              <w:t>64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Kanem</w:t>
            </w:r>
          </w:p>
        </w:tc>
        <w:tc>
          <w:tcPr>
            <w:tcW w:w="1560" w:type="dxa"/>
            <w:vAlign w:val="center"/>
          </w:tcPr>
          <w:p w:rsidR="00000000" w:rsidRDefault="00000000">
            <w:pPr>
              <w:spacing w:before="30" w:after="30"/>
              <w:ind w:right="410"/>
              <w:jc w:val="right"/>
              <w:rPr>
                <w:szCs w:val="16"/>
              </w:rPr>
            </w:pPr>
            <w:r>
              <w:rPr>
                <w:szCs w:val="16"/>
              </w:rPr>
              <w:t>67</w:t>
            </w:r>
          </w:p>
        </w:tc>
        <w:tc>
          <w:tcPr>
            <w:tcW w:w="1440" w:type="dxa"/>
            <w:vAlign w:val="center"/>
          </w:tcPr>
          <w:p w:rsidR="00000000" w:rsidRDefault="00000000">
            <w:pPr>
              <w:spacing w:before="30" w:after="30"/>
              <w:ind w:right="410"/>
              <w:jc w:val="right"/>
              <w:rPr>
                <w:szCs w:val="16"/>
              </w:rPr>
            </w:pPr>
            <w:r>
              <w:rPr>
                <w:szCs w:val="16"/>
              </w:rPr>
              <w:t>87</w:t>
            </w:r>
          </w:p>
        </w:tc>
        <w:tc>
          <w:tcPr>
            <w:tcW w:w="1680" w:type="dxa"/>
            <w:vAlign w:val="center"/>
          </w:tcPr>
          <w:p w:rsidR="00000000" w:rsidRDefault="00000000">
            <w:pPr>
              <w:spacing w:before="30" w:after="30"/>
              <w:ind w:right="410"/>
              <w:jc w:val="right"/>
              <w:rPr>
                <w:szCs w:val="16"/>
              </w:rPr>
            </w:pPr>
            <w:r>
              <w:rPr>
                <w:szCs w:val="16"/>
              </w:rPr>
              <w:t>89</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74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Lac</w:t>
            </w:r>
          </w:p>
        </w:tc>
        <w:tc>
          <w:tcPr>
            <w:tcW w:w="1560" w:type="dxa"/>
            <w:vAlign w:val="center"/>
          </w:tcPr>
          <w:p w:rsidR="00000000" w:rsidRDefault="00000000">
            <w:pPr>
              <w:spacing w:before="30" w:after="30"/>
              <w:ind w:right="410"/>
              <w:jc w:val="right"/>
              <w:rPr>
                <w:szCs w:val="16"/>
              </w:rPr>
            </w:pPr>
            <w:r>
              <w:rPr>
                <w:szCs w:val="16"/>
              </w:rPr>
              <w:t>66</w:t>
            </w:r>
          </w:p>
        </w:tc>
        <w:tc>
          <w:tcPr>
            <w:tcW w:w="1440" w:type="dxa"/>
            <w:vAlign w:val="center"/>
          </w:tcPr>
          <w:p w:rsidR="00000000" w:rsidRDefault="00000000">
            <w:pPr>
              <w:spacing w:before="30" w:after="30"/>
              <w:ind w:right="410"/>
              <w:jc w:val="right"/>
              <w:rPr>
                <w:szCs w:val="16"/>
              </w:rPr>
            </w:pPr>
            <w:r>
              <w:rPr>
                <w:szCs w:val="16"/>
              </w:rPr>
              <w:t>46</w:t>
            </w:r>
          </w:p>
        </w:tc>
        <w:tc>
          <w:tcPr>
            <w:tcW w:w="1680" w:type="dxa"/>
            <w:vAlign w:val="center"/>
          </w:tcPr>
          <w:p w:rsidR="00000000" w:rsidRDefault="00000000">
            <w:pPr>
              <w:spacing w:before="30" w:after="30"/>
              <w:ind w:right="410"/>
              <w:jc w:val="right"/>
              <w:rPr>
                <w:szCs w:val="16"/>
              </w:rPr>
            </w:pPr>
            <w:r>
              <w:rPr>
                <w:szCs w:val="16"/>
              </w:rPr>
              <w:t>56</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 xml:space="preserve">Lac </w:t>
            </w:r>
            <w:proofErr w:type="spellStart"/>
            <w:r>
              <w:t>Iro</w:t>
            </w:r>
            <w:proofErr w:type="spellEnd"/>
          </w:p>
        </w:tc>
        <w:tc>
          <w:tcPr>
            <w:tcW w:w="1560" w:type="dxa"/>
            <w:vAlign w:val="center"/>
          </w:tcPr>
          <w:p w:rsidR="00000000" w:rsidRDefault="00000000">
            <w:pPr>
              <w:spacing w:before="30" w:after="30"/>
              <w:ind w:right="410"/>
              <w:jc w:val="right"/>
              <w:rPr>
                <w:szCs w:val="16"/>
              </w:rPr>
            </w:pPr>
            <w:r>
              <w:rPr>
                <w:szCs w:val="16"/>
              </w:rPr>
              <w:t>83</w:t>
            </w:r>
          </w:p>
        </w:tc>
        <w:tc>
          <w:tcPr>
            <w:tcW w:w="1440" w:type="dxa"/>
            <w:vAlign w:val="center"/>
          </w:tcPr>
          <w:p w:rsidR="00000000" w:rsidRDefault="00000000">
            <w:pPr>
              <w:spacing w:before="30" w:after="30"/>
              <w:ind w:right="410"/>
              <w:jc w:val="right"/>
              <w:rPr>
                <w:szCs w:val="16"/>
              </w:rPr>
            </w:pPr>
            <w:r>
              <w:rPr>
                <w:szCs w:val="16"/>
              </w:rPr>
              <w:t>--</w:t>
            </w:r>
          </w:p>
        </w:tc>
        <w:tc>
          <w:tcPr>
            <w:tcW w:w="1680" w:type="dxa"/>
            <w:vAlign w:val="center"/>
          </w:tcPr>
          <w:p w:rsidR="00000000" w:rsidRDefault="00000000">
            <w:pPr>
              <w:spacing w:before="30" w:after="30"/>
              <w:ind w:right="410"/>
              <w:jc w:val="right"/>
              <w:rPr>
                <w:szCs w:val="16"/>
              </w:rPr>
            </w:pPr>
            <w:r>
              <w:rPr>
                <w:szCs w:val="16"/>
              </w:rPr>
              <w:t>73</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81</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 xml:space="preserve">Logone </w:t>
            </w:r>
            <w:proofErr w:type="spellStart"/>
            <w:r>
              <w:t>Occ</w:t>
            </w:r>
            <w:proofErr w:type="spellEnd"/>
          </w:p>
        </w:tc>
        <w:tc>
          <w:tcPr>
            <w:tcW w:w="1560" w:type="dxa"/>
            <w:vAlign w:val="center"/>
          </w:tcPr>
          <w:p w:rsidR="00000000" w:rsidRDefault="00000000">
            <w:pPr>
              <w:spacing w:before="30" w:after="30"/>
              <w:ind w:right="410"/>
              <w:jc w:val="right"/>
              <w:rPr>
                <w:szCs w:val="16"/>
              </w:rPr>
            </w:pPr>
            <w:r>
              <w:rPr>
                <w:szCs w:val="16"/>
              </w:rPr>
              <w:t>84</w:t>
            </w:r>
          </w:p>
        </w:tc>
        <w:tc>
          <w:tcPr>
            <w:tcW w:w="1440" w:type="dxa"/>
            <w:vAlign w:val="center"/>
          </w:tcPr>
          <w:p w:rsidR="00000000" w:rsidRDefault="00000000">
            <w:pPr>
              <w:spacing w:before="30" w:after="30"/>
              <w:ind w:right="410"/>
              <w:jc w:val="right"/>
              <w:rPr>
                <w:szCs w:val="16"/>
              </w:rPr>
            </w:pPr>
            <w:r>
              <w:rPr>
                <w:szCs w:val="16"/>
              </w:rPr>
              <w:t>50</w:t>
            </w:r>
          </w:p>
        </w:tc>
        <w:tc>
          <w:tcPr>
            <w:tcW w:w="1680" w:type="dxa"/>
            <w:vAlign w:val="center"/>
          </w:tcPr>
          <w:p w:rsidR="00000000" w:rsidRDefault="00000000">
            <w:pPr>
              <w:spacing w:before="30" w:after="30"/>
              <w:ind w:right="410"/>
              <w:jc w:val="right"/>
              <w:rPr>
                <w:szCs w:val="16"/>
              </w:rPr>
            </w:pPr>
            <w:r>
              <w:rPr>
                <w:szCs w:val="16"/>
              </w:rPr>
              <w:t>104</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87</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 xml:space="preserve">Logone </w:t>
            </w:r>
            <w:proofErr w:type="spellStart"/>
            <w:r>
              <w:t>Orie</w:t>
            </w:r>
            <w:proofErr w:type="spellEnd"/>
          </w:p>
        </w:tc>
        <w:tc>
          <w:tcPr>
            <w:tcW w:w="1560" w:type="dxa"/>
            <w:vAlign w:val="center"/>
          </w:tcPr>
          <w:p w:rsidR="00000000" w:rsidRDefault="00000000">
            <w:pPr>
              <w:spacing w:before="30" w:after="30"/>
              <w:ind w:right="410"/>
              <w:jc w:val="right"/>
              <w:rPr>
                <w:szCs w:val="16"/>
              </w:rPr>
            </w:pPr>
            <w:r>
              <w:rPr>
                <w:szCs w:val="16"/>
              </w:rPr>
              <w:t>71</w:t>
            </w:r>
          </w:p>
        </w:tc>
        <w:tc>
          <w:tcPr>
            <w:tcW w:w="1440" w:type="dxa"/>
            <w:vAlign w:val="center"/>
          </w:tcPr>
          <w:p w:rsidR="00000000" w:rsidRDefault="00000000">
            <w:pPr>
              <w:spacing w:before="30" w:after="30"/>
              <w:ind w:right="410"/>
              <w:jc w:val="right"/>
              <w:rPr>
                <w:szCs w:val="16"/>
              </w:rPr>
            </w:pPr>
            <w:r>
              <w:rPr>
                <w:szCs w:val="16"/>
              </w:rPr>
              <w:t>58</w:t>
            </w:r>
          </w:p>
        </w:tc>
        <w:tc>
          <w:tcPr>
            <w:tcW w:w="1680" w:type="dxa"/>
            <w:vAlign w:val="center"/>
          </w:tcPr>
          <w:p w:rsidR="00000000" w:rsidRDefault="00000000">
            <w:pPr>
              <w:spacing w:before="30" w:after="30"/>
              <w:ind w:right="410"/>
              <w:jc w:val="right"/>
              <w:rPr>
                <w:szCs w:val="16"/>
              </w:rPr>
            </w:pPr>
            <w:r>
              <w:rPr>
                <w:szCs w:val="16"/>
              </w:rPr>
              <w:t>55</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67</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Mandoul</w:t>
            </w:r>
            <w:proofErr w:type="spellEnd"/>
          </w:p>
        </w:tc>
        <w:tc>
          <w:tcPr>
            <w:tcW w:w="1560" w:type="dxa"/>
            <w:vAlign w:val="center"/>
          </w:tcPr>
          <w:p w:rsidR="00000000" w:rsidRDefault="00000000">
            <w:pPr>
              <w:spacing w:before="30" w:after="30"/>
              <w:ind w:right="410"/>
              <w:jc w:val="right"/>
              <w:rPr>
                <w:szCs w:val="16"/>
              </w:rPr>
            </w:pPr>
            <w:r>
              <w:rPr>
                <w:szCs w:val="16"/>
              </w:rPr>
              <w:t>70</w:t>
            </w:r>
          </w:p>
        </w:tc>
        <w:tc>
          <w:tcPr>
            <w:tcW w:w="1440" w:type="dxa"/>
            <w:vAlign w:val="center"/>
          </w:tcPr>
          <w:p w:rsidR="00000000" w:rsidRDefault="00000000">
            <w:pPr>
              <w:spacing w:before="30" w:after="30"/>
              <w:ind w:right="410"/>
              <w:jc w:val="right"/>
              <w:rPr>
                <w:szCs w:val="16"/>
              </w:rPr>
            </w:pPr>
            <w:r>
              <w:rPr>
                <w:szCs w:val="16"/>
              </w:rPr>
              <w:t>45</w:t>
            </w:r>
          </w:p>
        </w:tc>
        <w:tc>
          <w:tcPr>
            <w:tcW w:w="1680" w:type="dxa"/>
            <w:vAlign w:val="center"/>
          </w:tcPr>
          <w:p w:rsidR="00000000" w:rsidRDefault="00000000">
            <w:pPr>
              <w:spacing w:before="30" w:after="30"/>
              <w:ind w:right="410"/>
              <w:jc w:val="right"/>
              <w:rPr>
                <w:szCs w:val="16"/>
              </w:rPr>
            </w:pPr>
            <w:r>
              <w:rPr>
                <w:szCs w:val="16"/>
              </w:rPr>
              <w:t>59</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65</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lang w:val="en-GB"/>
              </w:rPr>
            </w:pPr>
            <w:r>
              <w:rPr>
                <w:lang w:val="en-GB"/>
              </w:rPr>
              <w:t xml:space="preserve">Mayo </w:t>
            </w:r>
            <w:proofErr w:type="spellStart"/>
            <w:r>
              <w:rPr>
                <w:lang w:val="en-GB"/>
              </w:rPr>
              <w:t>Beneye</w:t>
            </w:r>
            <w:proofErr w:type="spellEnd"/>
          </w:p>
        </w:tc>
        <w:tc>
          <w:tcPr>
            <w:tcW w:w="1560" w:type="dxa"/>
            <w:vAlign w:val="center"/>
          </w:tcPr>
          <w:p w:rsidR="00000000" w:rsidRDefault="00000000">
            <w:pPr>
              <w:spacing w:before="30" w:after="30"/>
              <w:ind w:right="410"/>
              <w:jc w:val="right"/>
              <w:rPr>
                <w:szCs w:val="16"/>
                <w:lang w:val="en-GB"/>
              </w:rPr>
            </w:pPr>
            <w:r>
              <w:rPr>
                <w:szCs w:val="16"/>
                <w:lang w:val="en-GB"/>
              </w:rPr>
              <w:t>70</w:t>
            </w:r>
          </w:p>
        </w:tc>
        <w:tc>
          <w:tcPr>
            <w:tcW w:w="1440" w:type="dxa"/>
            <w:vAlign w:val="center"/>
          </w:tcPr>
          <w:p w:rsidR="00000000" w:rsidRDefault="00000000">
            <w:pPr>
              <w:spacing w:before="30" w:after="30"/>
              <w:ind w:right="410"/>
              <w:jc w:val="right"/>
              <w:rPr>
                <w:szCs w:val="16"/>
                <w:lang w:val="en-GB"/>
              </w:rPr>
            </w:pPr>
            <w:r>
              <w:rPr>
                <w:szCs w:val="16"/>
                <w:lang w:val="en-GB"/>
              </w:rPr>
              <w:t>58</w:t>
            </w:r>
          </w:p>
        </w:tc>
        <w:tc>
          <w:tcPr>
            <w:tcW w:w="1680" w:type="dxa"/>
            <w:vAlign w:val="center"/>
          </w:tcPr>
          <w:p w:rsidR="00000000" w:rsidRDefault="00000000">
            <w:pPr>
              <w:spacing w:before="30" w:after="30"/>
              <w:ind w:right="410"/>
              <w:jc w:val="right"/>
              <w:rPr>
                <w:szCs w:val="16"/>
                <w:lang w:val="en-GB"/>
              </w:rPr>
            </w:pPr>
            <w:r>
              <w:rPr>
                <w:szCs w:val="16"/>
                <w:lang w:val="en-GB"/>
              </w:rPr>
              <w:t>52</w:t>
            </w:r>
          </w:p>
        </w:tc>
        <w:tc>
          <w:tcPr>
            <w:tcW w:w="1320" w:type="dxa"/>
            <w:vAlign w:val="center"/>
          </w:tcPr>
          <w:p w:rsidR="00000000" w:rsidRDefault="00000000">
            <w:pPr>
              <w:spacing w:before="30" w:after="30"/>
              <w:ind w:right="410"/>
              <w:jc w:val="right"/>
              <w:rPr>
                <w:szCs w:val="16"/>
                <w:lang w:val="en-GB"/>
              </w:rPr>
            </w:pPr>
            <w:r>
              <w:rPr>
                <w:szCs w:val="16"/>
              </w:rPr>
              <w:t>--</w:t>
            </w:r>
          </w:p>
        </w:tc>
        <w:tc>
          <w:tcPr>
            <w:tcW w:w="1386" w:type="dxa"/>
            <w:vAlign w:val="center"/>
          </w:tcPr>
          <w:p w:rsidR="00000000" w:rsidRDefault="00000000">
            <w:pPr>
              <w:spacing w:before="30" w:after="30"/>
              <w:ind w:right="410"/>
              <w:jc w:val="right"/>
              <w:rPr>
                <w:szCs w:val="16"/>
                <w:lang w:val="en-GB"/>
              </w:rPr>
            </w:pPr>
            <w:r>
              <w:rPr>
                <w:szCs w:val="16"/>
                <w:lang w:val="en-GB"/>
              </w:rPr>
              <w:t>64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lang w:val="en-GB"/>
              </w:rPr>
            </w:pPr>
            <w:r>
              <w:rPr>
                <w:lang w:val="en-GB"/>
              </w:rPr>
              <w:t xml:space="preserve">Mayo </w:t>
            </w:r>
            <w:proofErr w:type="spellStart"/>
            <w:r>
              <w:rPr>
                <w:lang w:val="en-GB"/>
              </w:rPr>
              <w:t>Dallah</w:t>
            </w:r>
            <w:proofErr w:type="spellEnd"/>
          </w:p>
        </w:tc>
        <w:tc>
          <w:tcPr>
            <w:tcW w:w="1560" w:type="dxa"/>
            <w:vAlign w:val="center"/>
          </w:tcPr>
          <w:p w:rsidR="00000000" w:rsidRDefault="00000000">
            <w:pPr>
              <w:spacing w:before="30" w:after="30"/>
              <w:ind w:right="410"/>
              <w:jc w:val="right"/>
              <w:rPr>
                <w:szCs w:val="16"/>
                <w:lang w:val="en-GB"/>
              </w:rPr>
            </w:pPr>
            <w:r>
              <w:rPr>
                <w:szCs w:val="16"/>
                <w:lang w:val="en-GB"/>
              </w:rPr>
              <w:t>69</w:t>
            </w:r>
          </w:p>
        </w:tc>
        <w:tc>
          <w:tcPr>
            <w:tcW w:w="1440" w:type="dxa"/>
            <w:vAlign w:val="center"/>
          </w:tcPr>
          <w:p w:rsidR="00000000" w:rsidRDefault="00000000">
            <w:pPr>
              <w:spacing w:before="30" w:after="30"/>
              <w:ind w:right="410"/>
              <w:jc w:val="right"/>
              <w:rPr>
                <w:szCs w:val="16"/>
                <w:lang w:val="en-GB"/>
              </w:rPr>
            </w:pPr>
            <w:r>
              <w:rPr>
                <w:szCs w:val="16"/>
                <w:lang w:val="en-GB"/>
              </w:rPr>
              <w:t>40</w:t>
            </w:r>
          </w:p>
        </w:tc>
        <w:tc>
          <w:tcPr>
            <w:tcW w:w="1680" w:type="dxa"/>
            <w:vAlign w:val="center"/>
          </w:tcPr>
          <w:p w:rsidR="00000000" w:rsidRDefault="00000000">
            <w:pPr>
              <w:spacing w:before="30" w:after="30"/>
              <w:ind w:right="410"/>
              <w:jc w:val="right"/>
              <w:rPr>
                <w:szCs w:val="16"/>
                <w:lang w:val="en-GB"/>
              </w:rPr>
            </w:pPr>
            <w:r>
              <w:rPr>
                <w:szCs w:val="16"/>
                <w:lang w:val="en-GB"/>
              </w:rPr>
              <w:t>45</w:t>
            </w:r>
          </w:p>
        </w:tc>
        <w:tc>
          <w:tcPr>
            <w:tcW w:w="1320" w:type="dxa"/>
            <w:vAlign w:val="center"/>
          </w:tcPr>
          <w:p w:rsidR="00000000" w:rsidRDefault="00000000">
            <w:pPr>
              <w:spacing w:before="30" w:after="30"/>
              <w:ind w:right="410"/>
              <w:jc w:val="right"/>
              <w:rPr>
                <w:szCs w:val="16"/>
                <w:lang w:val="en-GB"/>
              </w:rPr>
            </w:pPr>
            <w:r>
              <w:rPr>
                <w:szCs w:val="16"/>
              </w:rPr>
              <w:t>--</w:t>
            </w:r>
          </w:p>
        </w:tc>
        <w:tc>
          <w:tcPr>
            <w:tcW w:w="1386" w:type="dxa"/>
            <w:vAlign w:val="center"/>
          </w:tcPr>
          <w:p w:rsidR="00000000" w:rsidRDefault="00000000">
            <w:pPr>
              <w:spacing w:before="30" w:after="30"/>
              <w:ind w:right="410"/>
              <w:jc w:val="right"/>
              <w:rPr>
                <w:szCs w:val="16"/>
                <w:lang w:val="en-GB"/>
              </w:rPr>
            </w:pPr>
            <w:r>
              <w:rPr>
                <w:szCs w:val="16"/>
                <w:lang w:val="en-GB"/>
              </w:rPr>
              <w:t>62</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Monts de Lam</w:t>
            </w:r>
          </w:p>
        </w:tc>
        <w:tc>
          <w:tcPr>
            <w:tcW w:w="1560" w:type="dxa"/>
            <w:vAlign w:val="center"/>
          </w:tcPr>
          <w:p w:rsidR="00000000" w:rsidRDefault="00000000">
            <w:pPr>
              <w:spacing w:before="30" w:after="30"/>
              <w:ind w:right="410"/>
              <w:jc w:val="right"/>
              <w:rPr>
                <w:szCs w:val="16"/>
              </w:rPr>
            </w:pPr>
            <w:r>
              <w:rPr>
                <w:szCs w:val="16"/>
              </w:rPr>
              <w:t>69</w:t>
            </w:r>
          </w:p>
        </w:tc>
        <w:tc>
          <w:tcPr>
            <w:tcW w:w="1440" w:type="dxa"/>
            <w:vAlign w:val="center"/>
          </w:tcPr>
          <w:p w:rsidR="00000000" w:rsidRDefault="00000000">
            <w:pPr>
              <w:spacing w:before="30" w:after="30"/>
              <w:ind w:right="410"/>
              <w:jc w:val="right"/>
              <w:rPr>
                <w:szCs w:val="16"/>
              </w:rPr>
            </w:pPr>
            <w:r>
              <w:rPr>
                <w:szCs w:val="16"/>
              </w:rPr>
              <w:t>57</w:t>
            </w:r>
          </w:p>
        </w:tc>
        <w:tc>
          <w:tcPr>
            <w:tcW w:w="1680" w:type="dxa"/>
            <w:vAlign w:val="center"/>
          </w:tcPr>
          <w:p w:rsidR="00000000" w:rsidRDefault="00000000">
            <w:pPr>
              <w:spacing w:before="30" w:after="30"/>
              <w:ind w:right="410"/>
              <w:jc w:val="right"/>
              <w:rPr>
                <w:szCs w:val="16"/>
              </w:rPr>
            </w:pPr>
            <w:r>
              <w:rPr>
                <w:szCs w:val="16"/>
              </w:rPr>
              <w:t>61</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66</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Ouaddaï</w:t>
            </w:r>
          </w:p>
        </w:tc>
        <w:tc>
          <w:tcPr>
            <w:tcW w:w="1560" w:type="dxa"/>
            <w:vAlign w:val="center"/>
          </w:tcPr>
          <w:p w:rsidR="00000000" w:rsidRDefault="00000000">
            <w:pPr>
              <w:spacing w:before="30" w:after="30"/>
              <w:ind w:right="410"/>
              <w:jc w:val="right"/>
              <w:rPr>
                <w:szCs w:val="16"/>
              </w:rPr>
            </w:pPr>
            <w:r>
              <w:rPr>
                <w:szCs w:val="16"/>
              </w:rPr>
              <w:t>98</w:t>
            </w:r>
          </w:p>
        </w:tc>
        <w:tc>
          <w:tcPr>
            <w:tcW w:w="1440" w:type="dxa"/>
            <w:vAlign w:val="center"/>
          </w:tcPr>
          <w:p w:rsidR="00000000" w:rsidRDefault="00000000">
            <w:pPr>
              <w:spacing w:before="30" w:after="30"/>
              <w:ind w:right="410"/>
              <w:jc w:val="right"/>
              <w:rPr>
                <w:szCs w:val="16"/>
              </w:rPr>
            </w:pPr>
            <w:r>
              <w:rPr>
                <w:szCs w:val="16"/>
              </w:rPr>
              <w:t>68</w:t>
            </w:r>
          </w:p>
        </w:tc>
        <w:tc>
          <w:tcPr>
            <w:tcW w:w="1680" w:type="dxa"/>
            <w:vAlign w:val="center"/>
          </w:tcPr>
          <w:p w:rsidR="00000000" w:rsidRDefault="00000000">
            <w:pPr>
              <w:spacing w:before="30" w:after="30"/>
              <w:ind w:right="410"/>
              <w:jc w:val="right"/>
              <w:rPr>
                <w:szCs w:val="16"/>
              </w:rPr>
            </w:pPr>
            <w:r>
              <w:rPr>
                <w:szCs w:val="16"/>
              </w:rPr>
              <w:t>93</w:t>
            </w:r>
          </w:p>
        </w:tc>
        <w:tc>
          <w:tcPr>
            <w:tcW w:w="1320" w:type="dxa"/>
            <w:vAlign w:val="center"/>
          </w:tcPr>
          <w:p w:rsidR="00000000" w:rsidRDefault="00000000">
            <w:pPr>
              <w:spacing w:before="30" w:after="30"/>
              <w:ind w:right="410"/>
              <w:jc w:val="right"/>
              <w:rPr>
                <w:szCs w:val="16"/>
              </w:rPr>
            </w:pPr>
            <w:r>
              <w:rPr>
                <w:szCs w:val="16"/>
              </w:rPr>
              <w:t>41</w:t>
            </w:r>
          </w:p>
        </w:tc>
        <w:tc>
          <w:tcPr>
            <w:tcW w:w="1386" w:type="dxa"/>
            <w:vAlign w:val="center"/>
          </w:tcPr>
          <w:p w:rsidR="00000000" w:rsidRDefault="00000000">
            <w:pPr>
              <w:spacing w:before="30" w:after="30"/>
              <w:ind w:right="410"/>
              <w:jc w:val="right"/>
              <w:rPr>
                <w:szCs w:val="16"/>
              </w:rPr>
            </w:pPr>
            <w:r>
              <w:rPr>
                <w:szCs w:val="16"/>
              </w:rPr>
              <w:t>93</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Salamat</w:t>
            </w:r>
            <w:proofErr w:type="spellEnd"/>
          </w:p>
        </w:tc>
        <w:tc>
          <w:tcPr>
            <w:tcW w:w="1560" w:type="dxa"/>
            <w:vAlign w:val="center"/>
          </w:tcPr>
          <w:p w:rsidR="00000000" w:rsidRDefault="00000000">
            <w:pPr>
              <w:spacing w:before="30" w:after="30"/>
              <w:ind w:right="410"/>
              <w:jc w:val="right"/>
              <w:rPr>
                <w:szCs w:val="16"/>
              </w:rPr>
            </w:pPr>
            <w:r>
              <w:rPr>
                <w:szCs w:val="16"/>
              </w:rPr>
              <w:t>63</w:t>
            </w:r>
          </w:p>
        </w:tc>
        <w:tc>
          <w:tcPr>
            <w:tcW w:w="1440" w:type="dxa"/>
            <w:vAlign w:val="center"/>
          </w:tcPr>
          <w:p w:rsidR="00000000" w:rsidRDefault="00000000">
            <w:pPr>
              <w:spacing w:before="30" w:after="30"/>
              <w:ind w:right="410"/>
              <w:jc w:val="right"/>
              <w:rPr>
                <w:szCs w:val="16"/>
              </w:rPr>
            </w:pPr>
            <w:r>
              <w:rPr>
                <w:szCs w:val="16"/>
              </w:rPr>
              <w:t>115</w:t>
            </w:r>
          </w:p>
        </w:tc>
        <w:tc>
          <w:tcPr>
            <w:tcW w:w="1680" w:type="dxa"/>
            <w:vAlign w:val="center"/>
          </w:tcPr>
          <w:p w:rsidR="00000000" w:rsidRDefault="00000000">
            <w:pPr>
              <w:spacing w:before="30" w:after="30"/>
              <w:ind w:right="410"/>
              <w:jc w:val="right"/>
              <w:rPr>
                <w:szCs w:val="16"/>
              </w:rPr>
            </w:pPr>
            <w:r>
              <w:rPr>
                <w:szCs w:val="16"/>
              </w:rPr>
              <w:t>84</w:t>
            </w:r>
          </w:p>
        </w:tc>
        <w:tc>
          <w:tcPr>
            <w:tcW w:w="1320" w:type="dxa"/>
            <w:vAlign w:val="center"/>
          </w:tcPr>
          <w:p w:rsidR="00000000" w:rsidRDefault="00000000">
            <w:pPr>
              <w:spacing w:before="30" w:after="30"/>
              <w:ind w:right="410"/>
              <w:jc w:val="right"/>
              <w:rPr>
                <w:szCs w:val="16"/>
              </w:rPr>
            </w:pPr>
            <w:r>
              <w:rPr>
                <w:szCs w:val="16"/>
              </w:rPr>
              <w:t>61</w:t>
            </w:r>
          </w:p>
        </w:tc>
        <w:tc>
          <w:tcPr>
            <w:tcW w:w="1386" w:type="dxa"/>
            <w:vAlign w:val="center"/>
          </w:tcPr>
          <w:p w:rsidR="00000000" w:rsidRDefault="00000000">
            <w:pPr>
              <w:spacing w:before="30" w:after="30"/>
              <w:ind w:right="410"/>
              <w:jc w:val="right"/>
              <w:rPr>
                <w:szCs w:val="16"/>
              </w:rPr>
            </w:pPr>
            <w:r>
              <w:rPr>
                <w:szCs w:val="16"/>
              </w:rPr>
              <w:t>69</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Sila</w:t>
            </w:r>
            <w:proofErr w:type="spellEnd"/>
          </w:p>
        </w:tc>
        <w:tc>
          <w:tcPr>
            <w:tcW w:w="1560" w:type="dxa"/>
            <w:vAlign w:val="center"/>
          </w:tcPr>
          <w:p w:rsidR="00000000" w:rsidRDefault="00000000">
            <w:pPr>
              <w:spacing w:before="30" w:after="30"/>
              <w:ind w:right="410"/>
              <w:jc w:val="right"/>
              <w:rPr>
                <w:szCs w:val="16"/>
              </w:rPr>
            </w:pPr>
            <w:r>
              <w:rPr>
                <w:szCs w:val="16"/>
              </w:rPr>
              <w:t>83</w:t>
            </w:r>
          </w:p>
        </w:tc>
        <w:tc>
          <w:tcPr>
            <w:tcW w:w="1440" w:type="dxa"/>
            <w:vAlign w:val="center"/>
          </w:tcPr>
          <w:p w:rsidR="00000000" w:rsidRDefault="00000000">
            <w:pPr>
              <w:spacing w:before="30" w:after="30"/>
              <w:ind w:right="410"/>
              <w:jc w:val="right"/>
              <w:rPr>
                <w:szCs w:val="16"/>
              </w:rPr>
            </w:pPr>
            <w:r>
              <w:rPr>
                <w:szCs w:val="16"/>
              </w:rPr>
              <w:t>--</w:t>
            </w:r>
          </w:p>
        </w:tc>
        <w:tc>
          <w:tcPr>
            <w:tcW w:w="1680" w:type="dxa"/>
            <w:vAlign w:val="center"/>
          </w:tcPr>
          <w:p w:rsidR="00000000" w:rsidRDefault="00000000">
            <w:pPr>
              <w:spacing w:before="30" w:after="30"/>
              <w:ind w:right="410"/>
              <w:jc w:val="right"/>
              <w:rPr>
                <w:szCs w:val="16"/>
              </w:rPr>
            </w:pPr>
            <w:r>
              <w:rPr>
                <w:szCs w:val="16"/>
              </w:rPr>
              <w:t>85</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84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Tandjile</w:t>
            </w:r>
            <w:proofErr w:type="spellEnd"/>
            <w:r>
              <w:t xml:space="preserve"> Est</w:t>
            </w:r>
          </w:p>
        </w:tc>
        <w:tc>
          <w:tcPr>
            <w:tcW w:w="1560" w:type="dxa"/>
            <w:vAlign w:val="center"/>
          </w:tcPr>
          <w:p w:rsidR="00000000" w:rsidRDefault="00000000">
            <w:pPr>
              <w:spacing w:before="30" w:after="30"/>
              <w:ind w:right="410"/>
              <w:jc w:val="right"/>
              <w:rPr>
                <w:szCs w:val="16"/>
              </w:rPr>
            </w:pPr>
            <w:r>
              <w:rPr>
                <w:szCs w:val="16"/>
              </w:rPr>
              <w:t>70</w:t>
            </w:r>
          </w:p>
        </w:tc>
        <w:tc>
          <w:tcPr>
            <w:tcW w:w="1440" w:type="dxa"/>
            <w:vAlign w:val="center"/>
          </w:tcPr>
          <w:p w:rsidR="00000000" w:rsidRDefault="00000000">
            <w:pPr>
              <w:spacing w:before="30" w:after="30"/>
              <w:ind w:right="410"/>
              <w:jc w:val="right"/>
              <w:rPr>
                <w:szCs w:val="16"/>
              </w:rPr>
            </w:pPr>
            <w:r>
              <w:rPr>
                <w:szCs w:val="16"/>
              </w:rPr>
              <w:t>44</w:t>
            </w:r>
          </w:p>
        </w:tc>
        <w:tc>
          <w:tcPr>
            <w:tcW w:w="1680" w:type="dxa"/>
            <w:vAlign w:val="center"/>
          </w:tcPr>
          <w:p w:rsidR="00000000" w:rsidRDefault="00000000">
            <w:pPr>
              <w:spacing w:before="30" w:after="30"/>
              <w:ind w:right="410"/>
              <w:jc w:val="right"/>
              <w:rPr>
                <w:szCs w:val="16"/>
              </w:rPr>
            </w:pPr>
            <w:r>
              <w:rPr>
                <w:szCs w:val="16"/>
              </w:rPr>
              <w:t>52</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65</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proofErr w:type="spellStart"/>
            <w:r>
              <w:t>Tandjile</w:t>
            </w:r>
            <w:proofErr w:type="spellEnd"/>
            <w:r>
              <w:t xml:space="preserve"> Ouest</w:t>
            </w:r>
          </w:p>
        </w:tc>
        <w:tc>
          <w:tcPr>
            <w:tcW w:w="1560" w:type="dxa"/>
            <w:vAlign w:val="center"/>
          </w:tcPr>
          <w:p w:rsidR="00000000" w:rsidRDefault="00000000">
            <w:pPr>
              <w:spacing w:before="30" w:after="30"/>
              <w:ind w:right="410"/>
              <w:jc w:val="right"/>
              <w:rPr>
                <w:szCs w:val="16"/>
              </w:rPr>
            </w:pPr>
            <w:r>
              <w:rPr>
                <w:szCs w:val="16"/>
              </w:rPr>
              <w:t>69</w:t>
            </w:r>
          </w:p>
        </w:tc>
        <w:tc>
          <w:tcPr>
            <w:tcW w:w="1440" w:type="dxa"/>
            <w:vAlign w:val="center"/>
          </w:tcPr>
          <w:p w:rsidR="00000000" w:rsidRDefault="00000000">
            <w:pPr>
              <w:spacing w:before="30" w:after="30"/>
              <w:ind w:right="410"/>
              <w:jc w:val="right"/>
              <w:rPr>
                <w:szCs w:val="16"/>
              </w:rPr>
            </w:pPr>
            <w:r>
              <w:rPr>
                <w:szCs w:val="16"/>
              </w:rPr>
              <w:t>50</w:t>
            </w:r>
          </w:p>
        </w:tc>
        <w:tc>
          <w:tcPr>
            <w:tcW w:w="1680" w:type="dxa"/>
            <w:vAlign w:val="center"/>
          </w:tcPr>
          <w:p w:rsidR="00000000" w:rsidRDefault="00000000">
            <w:pPr>
              <w:spacing w:before="30" w:after="30"/>
              <w:ind w:right="410"/>
              <w:jc w:val="right"/>
              <w:rPr>
                <w:szCs w:val="16"/>
              </w:rPr>
            </w:pPr>
            <w:r>
              <w:rPr>
                <w:szCs w:val="16"/>
              </w:rPr>
              <w:t>56</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64</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rPr>
            </w:pPr>
            <w:r>
              <w:t>Tibesti</w:t>
            </w:r>
          </w:p>
        </w:tc>
        <w:tc>
          <w:tcPr>
            <w:tcW w:w="1560" w:type="dxa"/>
            <w:vAlign w:val="center"/>
          </w:tcPr>
          <w:p w:rsidR="00000000" w:rsidRDefault="00000000">
            <w:pPr>
              <w:spacing w:before="30" w:after="30"/>
              <w:ind w:right="410"/>
              <w:jc w:val="right"/>
              <w:rPr>
                <w:szCs w:val="16"/>
              </w:rPr>
            </w:pPr>
            <w:r>
              <w:rPr>
                <w:szCs w:val="16"/>
              </w:rPr>
              <w:t>89</w:t>
            </w:r>
          </w:p>
        </w:tc>
        <w:tc>
          <w:tcPr>
            <w:tcW w:w="1440" w:type="dxa"/>
            <w:vAlign w:val="center"/>
          </w:tcPr>
          <w:p w:rsidR="00000000" w:rsidRDefault="00000000">
            <w:pPr>
              <w:spacing w:before="30" w:after="30"/>
              <w:ind w:right="410"/>
              <w:jc w:val="right"/>
              <w:rPr>
                <w:szCs w:val="16"/>
              </w:rPr>
            </w:pPr>
            <w:r>
              <w:rPr>
                <w:szCs w:val="16"/>
              </w:rPr>
              <w:t>--</w:t>
            </w:r>
          </w:p>
        </w:tc>
        <w:tc>
          <w:tcPr>
            <w:tcW w:w="1680" w:type="dxa"/>
            <w:vAlign w:val="center"/>
          </w:tcPr>
          <w:p w:rsidR="00000000" w:rsidRDefault="00000000">
            <w:pPr>
              <w:spacing w:before="30" w:after="30"/>
              <w:ind w:right="410"/>
              <w:jc w:val="right"/>
              <w:rPr>
                <w:szCs w:val="16"/>
              </w:rPr>
            </w:pPr>
            <w:r>
              <w:rPr>
                <w:szCs w:val="16"/>
              </w:rPr>
              <w:t>--</w:t>
            </w:r>
          </w:p>
        </w:tc>
        <w:tc>
          <w:tcPr>
            <w:tcW w:w="1320" w:type="dxa"/>
            <w:vAlign w:val="center"/>
          </w:tcPr>
          <w:p w:rsidR="00000000" w:rsidRDefault="00000000">
            <w:pPr>
              <w:spacing w:before="30" w:after="30"/>
              <w:ind w:right="410"/>
              <w:jc w:val="right"/>
              <w:rPr>
                <w:szCs w:val="16"/>
              </w:rPr>
            </w:pPr>
            <w:r>
              <w:rPr>
                <w:szCs w:val="16"/>
              </w:rPr>
              <w:t>--</w:t>
            </w:r>
          </w:p>
        </w:tc>
        <w:tc>
          <w:tcPr>
            <w:tcW w:w="1386" w:type="dxa"/>
            <w:vAlign w:val="center"/>
          </w:tcPr>
          <w:p w:rsidR="00000000" w:rsidRDefault="00000000">
            <w:pPr>
              <w:spacing w:before="30" w:after="30"/>
              <w:ind w:right="410"/>
              <w:jc w:val="right"/>
              <w:rPr>
                <w:szCs w:val="16"/>
              </w:rPr>
            </w:pPr>
            <w:r>
              <w:rPr>
                <w:szCs w:val="16"/>
              </w:rPr>
              <w:t>89</w:t>
            </w:r>
          </w:p>
        </w:tc>
      </w:tr>
      <w:tr w:rsidR="00000000">
        <w:tblPrEx>
          <w:tblCellMar>
            <w:top w:w="0" w:type="dxa"/>
            <w:bottom w:w="0" w:type="dxa"/>
          </w:tblCellMar>
        </w:tblPrEx>
        <w:tc>
          <w:tcPr>
            <w:tcW w:w="2110" w:type="dxa"/>
            <w:vAlign w:val="bottom"/>
          </w:tcPr>
          <w:p w:rsidR="00000000" w:rsidRDefault="00000000">
            <w:pPr>
              <w:spacing w:before="30" w:after="30"/>
              <w:rPr>
                <w:rFonts w:eastAsia="Arial Unicode MS"/>
                <w:b/>
                <w:bCs/>
              </w:rPr>
            </w:pPr>
            <w:r>
              <w:rPr>
                <w:b/>
                <w:bCs/>
              </w:rPr>
              <w:t>Moyenne Tchad</w:t>
            </w:r>
          </w:p>
        </w:tc>
        <w:tc>
          <w:tcPr>
            <w:tcW w:w="1560" w:type="dxa"/>
            <w:vAlign w:val="center"/>
          </w:tcPr>
          <w:p w:rsidR="00000000" w:rsidRDefault="00000000">
            <w:pPr>
              <w:spacing w:before="30" w:after="30"/>
              <w:ind w:right="410"/>
              <w:jc w:val="right"/>
              <w:rPr>
                <w:b/>
                <w:bCs/>
                <w:szCs w:val="16"/>
              </w:rPr>
            </w:pPr>
            <w:r>
              <w:rPr>
                <w:b/>
                <w:bCs/>
                <w:szCs w:val="16"/>
              </w:rPr>
              <w:t>72</w:t>
            </w:r>
          </w:p>
        </w:tc>
        <w:tc>
          <w:tcPr>
            <w:tcW w:w="1440" w:type="dxa"/>
            <w:vAlign w:val="center"/>
          </w:tcPr>
          <w:p w:rsidR="00000000" w:rsidRDefault="00000000">
            <w:pPr>
              <w:spacing w:before="30" w:after="30"/>
              <w:ind w:right="410"/>
              <w:jc w:val="right"/>
              <w:rPr>
                <w:b/>
                <w:bCs/>
                <w:szCs w:val="16"/>
              </w:rPr>
            </w:pPr>
            <w:r>
              <w:rPr>
                <w:b/>
                <w:bCs/>
                <w:szCs w:val="16"/>
              </w:rPr>
              <w:t>55</w:t>
            </w:r>
          </w:p>
        </w:tc>
        <w:tc>
          <w:tcPr>
            <w:tcW w:w="1680" w:type="dxa"/>
            <w:vAlign w:val="center"/>
          </w:tcPr>
          <w:p w:rsidR="00000000" w:rsidRDefault="00000000">
            <w:pPr>
              <w:spacing w:before="30" w:after="30"/>
              <w:ind w:right="410"/>
              <w:jc w:val="right"/>
              <w:rPr>
                <w:b/>
                <w:bCs/>
                <w:szCs w:val="16"/>
              </w:rPr>
            </w:pPr>
            <w:r>
              <w:rPr>
                <w:b/>
                <w:bCs/>
                <w:szCs w:val="16"/>
              </w:rPr>
              <w:t>66</w:t>
            </w:r>
          </w:p>
        </w:tc>
        <w:tc>
          <w:tcPr>
            <w:tcW w:w="1320" w:type="dxa"/>
            <w:vAlign w:val="center"/>
          </w:tcPr>
          <w:p w:rsidR="00000000" w:rsidRDefault="00000000">
            <w:pPr>
              <w:spacing w:before="30" w:after="30"/>
              <w:ind w:right="410"/>
              <w:jc w:val="right"/>
              <w:rPr>
                <w:b/>
                <w:bCs/>
                <w:szCs w:val="16"/>
              </w:rPr>
            </w:pPr>
            <w:r>
              <w:rPr>
                <w:b/>
                <w:bCs/>
                <w:szCs w:val="16"/>
              </w:rPr>
              <w:t>55</w:t>
            </w:r>
          </w:p>
        </w:tc>
        <w:tc>
          <w:tcPr>
            <w:tcW w:w="1386" w:type="dxa"/>
            <w:vAlign w:val="center"/>
          </w:tcPr>
          <w:p w:rsidR="00000000" w:rsidRDefault="00000000">
            <w:pPr>
              <w:spacing w:before="30" w:after="30"/>
              <w:ind w:right="410"/>
              <w:jc w:val="right"/>
              <w:rPr>
                <w:b/>
                <w:bCs/>
                <w:szCs w:val="16"/>
              </w:rPr>
            </w:pPr>
            <w:r>
              <w:rPr>
                <w:b/>
                <w:bCs/>
                <w:szCs w:val="16"/>
              </w:rPr>
              <w:t>69</w:t>
            </w:r>
          </w:p>
        </w:tc>
      </w:tr>
    </w:tbl>
    <w:p w:rsidR="00000000" w:rsidRDefault="00000000">
      <w:pPr>
        <w:spacing w:before="240" w:after="240"/>
        <w:ind w:firstLine="567"/>
      </w:pPr>
      <w:r>
        <w:t>Sources: Données statistiques de l’éducation 2002-2003</w:t>
      </w:r>
    </w:p>
    <w:p w:rsidR="00000000" w:rsidRDefault="00000000">
      <w:pPr>
        <w:spacing w:after="240"/>
        <w:jc w:val="center"/>
      </w:pPr>
      <w:r>
        <w:rPr>
          <w:b/>
          <w:bCs/>
        </w:rPr>
        <w:t>Tableau 14.  Ratio élève/enseignant qualifié pour le secondaire</w:t>
      </w:r>
    </w:p>
    <w:tbl>
      <w:tblPr>
        <w:tblW w:w="4472" w:type="pct"/>
        <w:jc w:val="center"/>
        <w:tblInd w:w="1003" w:type="dxa"/>
        <w:tblCellMar>
          <w:left w:w="68" w:type="dxa"/>
          <w:right w:w="68" w:type="dxa"/>
        </w:tblCellMar>
        <w:tblLook w:val="0000" w:firstRow="0" w:lastRow="0" w:firstColumn="0" w:lastColumn="0" w:noHBand="0" w:noVBand="0"/>
      </w:tblPr>
      <w:tblGrid>
        <w:gridCol w:w="4034"/>
        <w:gridCol w:w="4456"/>
      </w:tblGrid>
      <w:tr w:rsidR="00000000">
        <w:trPr>
          <w:trHeight w:val="289"/>
          <w:jc w:val="center"/>
        </w:trPr>
        <w:tc>
          <w:tcPr>
            <w:tcW w:w="2376" w:type="pct"/>
            <w:tcBorders>
              <w:top w:val="single" w:sz="4" w:space="0" w:color="auto"/>
              <w:left w:val="single" w:sz="4"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jc w:val="center"/>
              <w:rPr>
                <w:rFonts w:eastAsia="Arial Unicode MS"/>
              </w:rPr>
            </w:pPr>
            <w:r>
              <w:t>Région</w:t>
            </w:r>
          </w:p>
        </w:tc>
        <w:tc>
          <w:tcPr>
            <w:tcW w:w="2624" w:type="pct"/>
            <w:tcBorders>
              <w:top w:val="single" w:sz="4" w:space="0" w:color="auto"/>
              <w:left w:val="single" w:sz="4"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jc w:val="center"/>
              <w:rPr>
                <w:rFonts w:eastAsia="Arial Unicode MS"/>
              </w:rPr>
            </w:pPr>
            <w:r>
              <w:t>Ratio élèves/enseignant</w:t>
            </w:r>
          </w:p>
        </w:tc>
      </w:tr>
      <w:tr w:rsidR="00000000">
        <w:trPr>
          <w:trHeight w:val="289"/>
          <w:jc w:val="center"/>
        </w:trPr>
        <w:tc>
          <w:tcPr>
            <w:tcW w:w="2376" w:type="pct"/>
            <w:tcBorders>
              <w:top w:val="single" w:sz="4" w:space="0" w:color="auto"/>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Assongha</w:t>
            </w:r>
            <w:proofErr w:type="spellEnd"/>
          </w:p>
        </w:tc>
        <w:tc>
          <w:tcPr>
            <w:tcW w:w="2624" w:type="pct"/>
            <w:tcBorders>
              <w:top w:val="single" w:sz="4" w:space="0" w:color="auto"/>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37</w:t>
            </w:r>
          </w:p>
        </w:tc>
      </w:tr>
      <w:tr w:rsidR="00000000">
        <w:trPr>
          <w:trHeight w:val="274"/>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Baguirmi</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37</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de-CH"/>
              </w:rPr>
            </w:pPr>
            <w:r>
              <w:rPr>
                <w:lang w:val="de-CH"/>
              </w:rPr>
              <w:t xml:space="preserve">Bahr el </w:t>
            </w:r>
            <w:proofErr w:type="spellStart"/>
            <w:r>
              <w:rPr>
                <w:lang w:val="de-CH"/>
              </w:rPr>
              <w:t>Gazal</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de-CH"/>
              </w:rPr>
            </w:pPr>
            <w:r>
              <w:rPr>
                <w:lang w:val="de-CH"/>
              </w:rPr>
              <w:t>42</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de-CH"/>
              </w:rPr>
            </w:pPr>
            <w:r>
              <w:rPr>
                <w:lang w:val="de-CH"/>
              </w:rPr>
              <w:t xml:space="preserve">Bahr </w:t>
            </w:r>
            <w:proofErr w:type="spellStart"/>
            <w:r>
              <w:rPr>
                <w:lang w:val="de-CH"/>
              </w:rPr>
              <w:t>Koh</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de-CH"/>
              </w:rPr>
            </w:pPr>
            <w:r>
              <w:rPr>
                <w:lang w:val="de-CH"/>
              </w:rPr>
              <w:t>77</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de-CH"/>
              </w:rPr>
            </w:pPr>
            <w:proofErr w:type="spellStart"/>
            <w:r>
              <w:rPr>
                <w:lang w:val="de-CH"/>
              </w:rPr>
              <w:t>Batha</w:t>
            </w:r>
            <w:proofErr w:type="spellEnd"/>
            <w:r>
              <w:rPr>
                <w:lang w:val="de-CH"/>
              </w:rPr>
              <w:t xml:space="preserve"> </w:t>
            </w:r>
            <w:proofErr w:type="spellStart"/>
            <w:r>
              <w:rPr>
                <w:lang w:val="de-CH"/>
              </w:rPr>
              <w:t>Est</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25</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Batha</w:t>
            </w:r>
            <w:proofErr w:type="spellEnd"/>
            <w:r>
              <w:t xml:space="preserve"> Ouest</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38</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Biltine</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50</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Borkou</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28</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Com N’Djamena</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47</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Dababa</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15</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Ennedi</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39</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Guera</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nl-NL"/>
              </w:rPr>
            </w:pPr>
            <w:r>
              <w:rPr>
                <w:lang w:val="nl-NL"/>
              </w:rPr>
              <w:t>122</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nl-NL"/>
              </w:rPr>
            </w:pPr>
            <w:proofErr w:type="spellStart"/>
            <w:r>
              <w:rPr>
                <w:lang w:val="nl-NL"/>
              </w:rPr>
              <w:t>Hadjer</w:t>
            </w:r>
            <w:proofErr w:type="spellEnd"/>
            <w:r>
              <w:rPr>
                <w:lang w:val="nl-NL"/>
              </w:rPr>
              <w:t xml:space="preserve"> </w:t>
            </w:r>
            <w:proofErr w:type="spellStart"/>
            <w:r>
              <w:rPr>
                <w:lang w:val="nl-NL"/>
              </w:rPr>
              <w:t>Lamis</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nl-NL"/>
              </w:rPr>
            </w:pPr>
            <w:r>
              <w:rPr>
                <w:lang w:val="nl-NL"/>
              </w:rPr>
              <w:t>45</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nl-NL"/>
              </w:rPr>
            </w:pPr>
            <w:proofErr w:type="spellStart"/>
            <w:r>
              <w:rPr>
                <w:lang w:val="nl-NL"/>
              </w:rPr>
              <w:t>Kabbia</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168</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Kanem</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42</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Lac</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64</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 xml:space="preserve">Lac </w:t>
            </w:r>
            <w:proofErr w:type="spellStart"/>
            <w:r>
              <w:t>Iro</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57</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Log Occidental</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90</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Log Oriental</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124</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Mandoul</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en-GB"/>
              </w:rPr>
            </w:pPr>
            <w:r>
              <w:rPr>
                <w:lang w:val="en-GB"/>
              </w:rPr>
              <w:t>144</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en-GB"/>
              </w:rPr>
            </w:pPr>
            <w:r>
              <w:rPr>
                <w:lang w:val="en-GB"/>
              </w:rPr>
              <w:t xml:space="preserve">Mayo </w:t>
            </w:r>
            <w:proofErr w:type="spellStart"/>
            <w:r>
              <w:rPr>
                <w:lang w:val="en-GB"/>
              </w:rPr>
              <w:t>Beneye</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lang w:val="en-GB"/>
              </w:rPr>
            </w:pPr>
            <w:r>
              <w:rPr>
                <w:lang w:val="en-GB"/>
              </w:rPr>
              <w:t>93</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lang w:val="en-GB"/>
              </w:rPr>
            </w:pPr>
            <w:r>
              <w:rPr>
                <w:lang w:val="en-GB"/>
              </w:rPr>
              <w:t xml:space="preserve">Mayo </w:t>
            </w:r>
            <w:proofErr w:type="spellStart"/>
            <w:r>
              <w:rPr>
                <w:lang w:val="en-GB"/>
              </w:rPr>
              <w:t>Dallah</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203</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Monts de Lam</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126</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Ouaddai</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73</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Salamat</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37</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Sila</w:t>
            </w:r>
            <w:proofErr w:type="spellEnd"/>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30</w:t>
            </w:r>
          </w:p>
        </w:tc>
      </w:tr>
      <w:tr w:rsidR="00000000">
        <w:trPr>
          <w:trHeight w:val="259"/>
          <w:jc w:val="center"/>
        </w:trPr>
        <w:tc>
          <w:tcPr>
            <w:tcW w:w="2376" w:type="pct"/>
            <w:tcBorders>
              <w:top w:val="nil"/>
              <w:left w:val="single" w:sz="4" w:space="0" w:color="auto"/>
              <w:bottom w:val="nil"/>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Tandjile</w:t>
            </w:r>
            <w:proofErr w:type="spellEnd"/>
            <w:r>
              <w:t xml:space="preserve"> Est</w:t>
            </w:r>
          </w:p>
        </w:tc>
        <w:tc>
          <w:tcPr>
            <w:tcW w:w="2624" w:type="pct"/>
            <w:tcBorders>
              <w:top w:val="nil"/>
              <w:left w:val="nil"/>
              <w:bottom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117</w:t>
            </w:r>
          </w:p>
        </w:tc>
      </w:tr>
      <w:tr w:rsidR="00000000">
        <w:trPr>
          <w:trHeight w:val="259"/>
          <w:jc w:val="center"/>
        </w:trPr>
        <w:tc>
          <w:tcPr>
            <w:tcW w:w="2376" w:type="pct"/>
            <w:tcBorders>
              <w:top w:val="nil"/>
              <w:left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proofErr w:type="spellStart"/>
            <w:r>
              <w:t>Tandjile</w:t>
            </w:r>
            <w:proofErr w:type="spellEnd"/>
            <w:r>
              <w:t xml:space="preserve"> Ouest</w:t>
            </w:r>
          </w:p>
        </w:tc>
        <w:tc>
          <w:tcPr>
            <w:tcW w:w="2624" w:type="pct"/>
            <w:tcBorders>
              <w:top w:val="nil"/>
              <w:left w:val="nil"/>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158</w:t>
            </w:r>
          </w:p>
        </w:tc>
      </w:tr>
      <w:tr w:rsidR="00000000">
        <w:trPr>
          <w:trHeight w:val="274"/>
          <w:jc w:val="center"/>
        </w:trPr>
        <w:tc>
          <w:tcPr>
            <w:tcW w:w="2376" w:type="pct"/>
            <w:tcBorders>
              <w:top w:val="nil"/>
              <w:left w:val="single" w:sz="4"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rPr>
            </w:pPr>
            <w:r>
              <w:t>Tibesti</w:t>
            </w:r>
          </w:p>
        </w:tc>
        <w:tc>
          <w:tcPr>
            <w:tcW w:w="2624" w:type="pct"/>
            <w:tcBorders>
              <w:top w:val="nil"/>
              <w:left w:val="nil"/>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rPr>
            </w:pPr>
            <w:r>
              <w:t>229</w:t>
            </w:r>
          </w:p>
        </w:tc>
      </w:tr>
      <w:tr w:rsidR="00000000">
        <w:trPr>
          <w:trHeight w:val="289"/>
          <w:jc w:val="center"/>
        </w:trPr>
        <w:tc>
          <w:tcPr>
            <w:tcW w:w="2376" w:type="pct"/>
            <w:tcBorders>
              <w:top w:val="single" w:sz="4" w:space="0" w:color="auto"/>
              <w:left w:val="single" w:sz="4"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rPr>
                <w:rFonts w:eastAsia="Arial Unicode MS"/>
                <w:b/>
                <w:bCs/>
              </w:rPr>
            </w:pPr>
            <w:r>
              <w:rPr>
                <w:b/>
                <w:bCs/>
              </w:rPr>
              <w:t>Total</w:t>
            </w:r>
          </w:p>
        </w:tc>
        <w:tc>
          <w:tcPr>
            <w:tcW w:w="2624" w:type="pct"/>
            <w:tcBorders>
              <w:top w:val="single" w:sz="4" w:space="0" w:color="auto"/>
              <w:left w:val="single" w:sz="4" w:space="0" w:color="auto"/>
              <w:bottom w:val="single" w:sz="4" w:space="0" w:color="auto"/>
              <w:right w:val="single" w:sz="4" w:space="0" w:color="auto"/>
            </w:tcBorders>
            <w:noWrap/>
            <w:tcMar>
              <w:top w:w="0" w:type="dxa"/>
              <w:left w:w="68" w:type="dxa"/>
              <w:bottom w:w="0" w:type="dxa"/>
              <w:right w:w="68" w:type="dxa"/>
            </w:tcMar>
            <w:vAlign w:val="bottom"/>
          </w:tcPr>
          <w:p w:rsidR="00000000" w:rsidRDefault="00000000">
            <w:pPr>
              <w:spacing w:before="40" w:after="40"/>
              <w:ind w:right="1655"/>
              <w:jc w:val="right"/>
              <w:rPr>
                <w:rFonts w:eastAsia="Arial Unicode MS"/>
                <w:b/>
                <w:bCs/>
              </w:rPr>
            </w:pPr>
            <w:r>
              <w:rPr>
                <w:b/>
                <w:bCs/>
              </w:rPr>
              <w:t>77</w:t>
            </w:r>
          </w:p>
        </w:tc>
      </w:tr>
    </w:tbl>
    <w:p w:rsidR="00000000" w:rsidRDefault="00000000">
      <w:pPr>
        <w:spacing w:before="240" w:after="240"/>
        <w:ind w:firstLine="567"/>
        <w:rPr>
          <w:szCs w:val="22"/>
        </w:rPr>
      </w:pPr>
      <w:r>
        <w:rPr>
          <w:szCs w:val="22"/>
        </w:rPr>
        <w:t>Sources: Données statistiques de l’éducation 2002-2003</w:t>
      </w:r>
    </w:p>
    <w:p w:rsidR="00000000" w:rsidRDefault="00000000">
      <w:pPr>
        <w:keepNext/>
        <w:spacing w:after="240"/>
        <w:jc w:val="center"/>
        <w:rPr>
          <w:b/>
          <w:bCs/>
        </w:rPr>
      </w:pPr>
      <w:r>
        <w:rPr>
          <w:b/>
          <w:bCs/>
          <w:szCs w:val="22"/>
        </w:rPr>
        <w:t>3.  Le pourcentage d’enfants dans le système d’éducation informelle</w:t>
      </w:r>
    </w:p>
    <w:p w:rsidR="00000000" w:rsidRDefault="00000000">
      <w:pPr>
        <w:keepNext/>
        <w:spacing w:after="240"/>
        <w:rPr>
          <w:szCs w:val="22"/>
        </w:rPr>
      </w:pPr>
      <w:r>
        <w:rPr>
          <w:szCs w:val="22"/>
        </w:rPr>
        <w:t>222.</w:t>
      </w:r>
      <w:r>
        <w:rPr>
          <w:szCs w:val="22"/>
        </w:rPr>
        <w:tab/>
        <w:t xml:space="preserve">Il n’y a pas de données disponibles </w:t>
      </w:r>
    </w:p>
    <w:p w:rsidR="00000000" w:rsidRDefault="00000000">
      <w:pPr>
        <w:keepNext/>
        <w:spacing w:after="240"/>
        <w:jc w:val="center"/>
        <w:rPr>
          <w:b/>
          <w:bCs/>
          <w:szCs w:val="22"/>
        </w:rPr>
      </w:pPr>
      <w:r>
        <w:rPr>
          <w:b/>
          <w:bCs/>
          <w:szCs w:val="22"/>
        </w:rPr>
        <w:t>4.  Le pourcentage d’enfants qui reçoivent une éducation préscolaire</w:t>
      </w:r>
    </w:p>
    <w:p w:rsidR="00000000" w:rsidRDefault="00000000">
      <w:pPr>
        <w:spacing w:after="240"/>
        <w:rPr>
          <w:szCs w:val="22"/>
        </w:rPr>
      </w:pPr>
      <w:r>
        <w:rPr>
          <w:szCs w:val="22"/>
        </w:rPr>
        <w:t>223.</w:t>
      </w:r>
      <w:r>
        <w:rPr>
          <w:szCs w:val="22"/>
        </w:rPr>
        <w:tab/>
        <w:t xml:space="preserve">2,4 % d’enfants reçoivent une éducation préscolaire au niveau national. </w:t>
      </w:r>
    </w:p>
    <w:p w:rsidR="00000000" w:rsidRDefault="00000000">
      <w:pPr>
        <w:spacing w:after="240"/>
        <w:jc w:val="center"/>
        <w:rPr>
          <w:b/>
          <w:bCs/>
          <w:szCs w:val="22"/>
        </w:rPr>
      </w:pPr>
      <w:r>
        <w:rPr>
          <w:b/>
          <w:bCs/>
          <w:szCs w:val="22"/>
        </w:rPr>
        <w:t>B.  Les buts de l’éducation (art 29), y compris la qualité de l’éducation</w:t>
      </w:r>
    </w:p>
    <w:p w:rsidR="00000000" w:rsidRDefault="00000000">
      <w:pPr>
        <w:spacing w:after="240"/>
      </w:pPr>
      <w:r>
        <w:t>224.</w:t>
      </w:r>
      <w:r>
        <w:tab/>
        <w:t xml:space="preserve">Pour réaliser une éducation universelle de qualité à l’horizon 2015, un Programme décennal d’appui à la réforme du système éducatif 2004-2015 a été adopté par le Gouvernement et ses partenaires en vue d’améliorer significativement le taux de rétention dans le primaire, de développer des </w:t>
      </w:r>
      <w:proofErr w:type="spellStart"/>
      <w:r>
        <w:t>curricula</w:t>
      </w:r>
      <w:proofErr w:type="spellEnd"/>
      <w:r>
        <w:t xml:space="preserve"> nationaux, de former des enseignants communautaires, de développer des programmes novateurs de lutte contre l’analphabétisme, d’améliorer la qualité des apprentissages et enfin d’augmenter fortement la scolarisation des filles. Á cet effet, l’État s’est engagé à entreprendre les mesures clés suivantes: </w:t>
      </w:r>
    </w:p>
    <w:p w:rsidR="00000000" w:rsidRDefault="00000000">
      <w:pPr>
        <w:numPr>
          <w:ilvl w:val="0"/>
          <w:numId w:val="142"/>
        </w:numPr>
        <w:spacing w:after="240"/>
      </w:pPr>
      <w:r>
        <w:t>L’accroissement substantiel de la part du PIB consacrée à l’éducation (au moins 4 % en 2015);</w:t>
      </w:r>
    </w:p>
    <w:p w:rsidR="00000000" w:rsidRDefault="00000000">
      <w:pPr>
        <w:numPr>
          <w:ilvl w:val="0"/>
          <w:numId w:val="142"/>
        </w:numPr>
        <w:spacing w:after="240"/>
      </w:pPr>
      <w:r>
        <w:t>L’affectation d’au moins 50 % du budget de l’</w:t>
      </w:r>
      <w:proofErr w:type="spellStart"/>
      <w:r>
        <w:t>Education</w:t>
      </w:r>
      <w:proofErr w:type="spellEnd"/>
      <w:r>
        <w:t xml:space="preserve"> au développement de l’éducation de base;</w:t>
      </w:r>
    </w:p>
    <w:p w:rsidR="00000000" w:rsidRDefault="00000000">
      <w:pPr>
        <w:numPr>
          <w:ilvl w:val="0"/>
          <w:numId w:val="142"/>
        </w:numPr>
        <w:spacing w:after="240"/>
      </w:pPr>
      <w:r>
        <w:t>L’augmentation d’au moins 20 % du Budget de fonctionnement de l’</w:t>
      </w:r>
      <w:proofErr w:type="spellStart"/>
      <w:r>
        <w:t>Education</w:t>
      </w:r>
      <w:proofErr w:type="spellEnd"/>
      <w:r>
        <w:t xml:space="preserve"> chaque année sur toute la durée du programme;</w:t>
      </w:r>
    </w:p>
    <w:p w:rsidR="00000000" w:rsidRDefault="00000000">
      <w:pPr>
        <w:numPr>
          <w:ilvl w:val="0"/>
          <w:numId w:val="142"/>
        </w:numPr>
        <w:spacing w:after="240"/>
      </w:pPr>
      <w:r>
        <w:t xml:space="preserve">La création du Centre National des </w:t>
      </w:r>
      <w:proofErr w:type="spellStart"/>
      <w:r>
        <w:t>Curricula</w:t>
      </w:r>
      <w:proofErr w:type="spellEnd"/>
      <w:r>
        <w:t xml:space="preserve"> pour développer des programmes nationaux bilingues devant déboucher sur la production de manuels tchadiens distribués gratuitement à tous les enfants d’ici 2011.</w:t>
      </w:r>
    </w:p>
    <w:p w:rsidR="00000000" w:rsidRDefault="00000000">
      <w:pPr>
        <w:spacing w:after="240"/>
      </w:pPr>
      <w:r>
        <w:t>225.</w:t>
      </w:r>
      <w:r>
        <w:tab/>
        <w:t xml:space="preserve">Le Gouvernement du Tchad a érigé la cellule de la scolarisation des filles en une division par arrêté nº 290/MEN en date du 25 novembre 2005. </w:t>
      </w:r>
    </w:p>
    <w:p w:rsidR="00000000" w:rsidRDefault="00000000">
      <w:pPr>
        <w:spacing w:after="240"/>
      </w:pPr>
      <w:r>
        <w:t>226.</w:t>
      </w:r>
      <w:r>
        <w:tab/>
        <w:t>La mission assignée à cette division consiste en:</w:t>
      </w:r>
    </w:p>
    <w:p w:rsidR="00000000" w:rsidRDefault="00000000">
      <w:pPr>
        <w:numPr>
          <w:ilvl w:val="0"/>
          <w:numId w:val="143"/>
        </w:numPr>
        <w:spacing w:after="240"/>
      </w:pPr>
      <w:r>
        <w:t>La conception et élaboration des stratégies et plans d’action visant l’amélioration et l’accélération de la fréquentation scolaire et le maintien des filles à l’école;</w:t>
      </w:r>
    </w:p>
    <w:p w:rsidR="00000000" w:rsidRDefault="00000000">
      <w:pPr>
        <w:numPr>
          <w:ilvl w:val="0"/>
          <w:numId w:val="143"/>
        </w:numPr>
        <w:spacing w:after="240"/>
      </w:pPr>
      <w:r>
        <w:t>La conception et conduite des activités relatives aux études et/ou expériences en matière d’éducation des filles;</w:t>
      </w:r>
    </w:p>
    <w:p w:rsidR="00000000" w:rsidRDefault="00000000">
      <w:pPr>
        <w:numPr>
          <w:ilvl w:val="0"/>
          <w:numId w:val="143"/>
        </w:numPr>
        <w:spacing w:after="240"/>
      </w:pPr>
      <w:r>
        <w:t>L’organisation et animation des activités d’information, de mobilisation sociale et des plaidoyers en faveur de la promotion de la scolarisation des filles;</w:t>
      </w:r>
    </w:p>
    <w:p w:rsidR="00000000" w:rsidRDefault="00000000">
      <w:pPr>
        <w:numPr>
          <w:ilvl w:val="0"/>
          <w:numId w:val="143"/>
        </w:numPr>
        <w:spacing w:after="240"/>
      </w:pPr>
      <w:r>
        <w:t>La coordination et l’animation des activités entreprises à l’initiative des différents acteurs ou sous l’impulsion des partenaires techniques en matière d’éducation des filles;</w:t>
      </w:r>
    </w:p>
    <w:p w:rsidR="00000000" w:rsidRDefault="00000000">
      <w:pPr>
        <w:numPr>
          <w:ilvl w:val="0"/>
          <w:numId w:val="143"/>
        </w:numPr>
        <w:spacing w:after="240"/>
      </w:pPr>
      <w:r>
        <w:t>L’assistance technique aux directions et aux services techniques, aux acteurs et aux partenaires socio-éducatifs en matière de développement de programme et de leur mise en œuvre et leur évaluation;</w:t>
      </w:r>
    </w:p>
    <w:p w:rsidR="00000000" w:rsidRDefault="00000000">
      <w:pPr>
        <w:numPr>
          <w:ilvl w:val="0"/>
          <w:numId w:val="143"/>
        </w:numPr>
        <w:spacing w:after="240"/>
      </w:pPr>
      <w:r>
        <w:t>La production des rapports périodiques ou circonstanciés sur la situation de l’éducation des filles.</w:t>
      </w:r>
    </w:p>
    <w:p w:rsidR="00000000" w:rsidRDefault="00000000">
      <w:pPr>
        <w:spacing w:after="240"/>
        <w:jc w:val="center"/>
        <w:rPr>
          <w:b/>
          <w:bCs/>
        </w:rPr>
      </w:pPr>
      <w:r>
        <w:rPr>
          <w:b/>
          <w:bCs/>
        </w:rPr>
        <w:t>C.  Le repos, les loisirs, le jeu et les activités culturelles et artistiques (art. 31)</w:t>
      </w:r>
    </w:p>
    <w:p w:rsidR="00000000" w:rsidRDefault="00000000">
      <w:pPr>
        <w:spacing w:after="240"/>
      </w:pPr>
      <w:r>
        <w:t>227.</w:t>
      </w:r>
      <w:r>
        <w:tab/>
        <w:t>Quant à l’article 31 de la CDE (droit au repos, loisirs, jeux et activités culturelles), l’Ordonnance nº 27/INT/SUR/62 du 28 juillet 1962 est toujours en vigueur.</w:t>
      </w:r>
    </w:p>
    <w:p w:rsidR="00000000" w:rsidRDefault="00000000">
      <w:pPr>
        <w:spacing w:after="240"/>
      </w:pPr>
      <w:r>
        <w:t>228.</w:t>
      </w:r>
      <w:r>
        <w:tab/>
        <w:t xml:space="preserve">Elle porte sur l’autorisation de se regrouper librement en mouvements associatifs. En partenariat avec les associations et mouvements de jeunesse, le Département de la Jeunesse et des Sports a mis en place une </w:t>
      </w:r>
      <w:proofErr w:type="spellStart"/>
      <w:r>
        <w:t>plateforme</w:t>
      </w:r>
      <w:proofErr w:type="spellEnd"/>
      <w:r>
        <w:t xml:space="preserve"> des jeunes dénommée Conseil National Consultatif des Jeunes (CNCJ). Cet organe a pour premier objectif de permettre aux jeunes de défendre leurs intérêts moraux et matériels et de leur garantir un traitement équitable. Ensuite il vise à susciter des projets ou propositions de lois sur les aspects de la vie des jeunes, notamment dans le domaine des loisirs et des activités culturelles. Enfin l’organe sert à rassembler les jeunes dans un cadre approprié de réflexion répondant à leurs aspirations.</w:t>
      </w:r>
    </w:p>
    <w:p w:rsidR="00000000" w:rsidRDefault="00000000">
      <w:pPr>
        <w:spacing w:after="240"/>
      </w:pPr>
      <w:r>
        <w:t>229.</w:t>
      </w:r>
      <w:r>
        <w:tab/>
        <w:t xml:space="preserve">À l’instar du Conseil National Consultatif des Jeunes, une autre organisation de jeunesse est à l’œuvre au niveau des communes. Il s’agit des représentants des jeunes des quartiers et des arrondissements. Ce sont des jeunes filles et garçons de 12 à 17 ans (les cadets) et de 18 à 30 ans (les majeurs) élus par leurs pairs à l’issu d’un vote organisé par le département de la Jeunesse et des Sports en collaboration avec la Coopération Française. </w:t>
      </w:r>
    </w:p>
    <w:p w:rsidR="00000000" w:rsidRDefault="00000000">
      <w:pPr>
        <w:spacing w:after="240"/>
      </w:pPr>
      <w:r>
        <w:t>230.</w:t>
      </w:r>
      <w:r>
        <w:tab/>
        <w:t>Les missions dévolues aux représentants des Jeunes sont d’assurer l’animation socioculturelle et sportive dans leurs quartiers et arrondissements respectifs, de même que de représenter les jeunes dans les instances de prise des décisions relatives à la construction de leur cité.</w:t>
      </w:r>
    </w:p>
    <w:p w:rsidR="00000000" w:rsidRDefault="00000000">
      <w:pPr>
        <w:spacing w:after="240"/>
      </w:pPr>
      <w:r>
        <w:t>231.</w:t>
      </w:r>
      <w:r>
        <w:tab/>
        <w:t>Par ailleurs, le Ministère en charge de la Jeunesse et ses partenaires au développement ont construit et équipé des Plateaux Omnisports pour la pratique des sports, à proximité des lieux de résidence des jeunes, surtout de ceux déscolarisés. En outre, le Gouvernement envisage la multiplication des maisons de jeunes et de la culture dans les grandes agglomérations du pays pour permettre de mettre en œuvre des programmes orientés vers la formation professionnelle, l’emploi, le métier, la santé, le sport et les loisirs. Un avant-projet de loi relative à la jeunesse est en cours d’adoption.</w:t>
      </w:r>
    </w:p>
    <w:p w:rsidR="00000000" w:rsidRDefault="00000000">
      <w:pPr>
        <w:spacing w:after="240"/>
        <w:jc w:val="center"/>
        <w:rPr>
          <w:b/>
          <w:bCs/>
        </w:rPr>
      </w:pPr>
      <w:r>
        <w:rPr>
          <w:b/>
          <w:bCs/>
        </w:rPr>
        <w:t>VIII.  MESURES DE PROTECTION SPÉCIALE</w:t>
      </w:r>
    </w:p>
    <w:p w:rsidR="00000000" w:rsidRDefault="00000000">
      <w:pPr>
        <w:spacing w:after="240"/>
        <w:jc w:val="center"/>
        <w:rPr>
          <w:b/>
        </w:rPr>
      </w:pPr>
      <w:r>
        <w:rPr>
          <w:b/>
        </w:rPr>
        <w:t>A.  Les enfants en situation d’urgence</w:t>
      </w:r>
    </w:p>
    <w:p w:rsidR="00000000" w:rsidRDefault="00000000">
      <w:pPr>
        <w:spacing w:after="240"/>
        <w:jc w:val="center"/>
        <w:rPr>
          <w:b/>
        </w:rPr>
      </w:pPr>
      <w:r>
        <w:rPr>
          <w:b/>
        </w:rPr>
        <w:t>1.  Les enfants réfugiés (art 22)</w:t>
      </w:r>
    </w:p>
    <w:p w:rsidR="00000000" w:rsidRDefault="00000000">
      <w:pPr>
        <w:spacing w:after="240"/>
      </w:pPr>
      <w:r>
        <w:t>232.</w:t>
      </w:r>
      <w:r>
        <w:tab/>
        <w:t xml:space="preserve">Sur le plan juridique, le Tchad a ratifié la Convention de Genève du 28 juillet 1951 relative au statut des réfugiés, le Protocole relatif aux droits des réfugiés du 31 janvier 1967 à New York, la Convention de l’Organisation de l’Unité africaine régissant les aspects propres aux problèmes des réfugiés en Afrique signée à </w:t>
      </w:r>
      <w:proofErr w:type="spellStart"/>
      <w:r>
        <w:t>Addis</w:t>
      </w:r>
      <w:proofErr w:type="spellEnd"/>
      <w:r>
        <w:t xml:space="preserve"> – </w:t>
      </w:r>
      <w:proofErr w:type="spellStart"/>
      <w:r>
        <w:t>Abeba</w:t>
      </w:r>
      <w:proofErr w:type="spellEnd"/>
      <w:r>
        <w:t>, le 10 septembre 1969, et la Convention relative aux droits de l’enfant. Les enfants qui veulent obtenir le statut de réfugiés bénéficient de la protection et de l’assistance humanitaire prévues dans ces instruments juridiques internationaux ratifiés.</w:t>
      </w:r>
    </w:p>
    <w:p w:rsidR="00000000" w:rsidRDefault="00000000">
      <w:pPr>
        <w:spacing w:after="240"/>
      </w:pPr>
      <w:r>
        <w:t>233.</w:t>
      </w:r>
      <w:r>
        <w:tab/>
        <w:t>Le Tchad a mis en place une Commission nationale d’accueil des réfugiés (CNAR) par décret du 31 décembre 1996. Ce décret a créé la sous commission d’éligibilité, chargée de l’attribution du statut de réfugiés à base individuelle conformément aux articles 1</w:t>
      </w:r>
      <w:r>
        <w:rPr>
          <w:vertAlign w:val="superscript"/>
        </w:rPr>
        <w:t xml:space="preserve">er </w:t>
      </w:r>
      <w:r>
        <w:t xml:space="preserve">des Conventions de Genève et des conventions l’OUA sur le statut des réfugiés. </w:t>
      </w:r>
    </w:p>
    <w:p w:rsidR="00000000" w:rsidRDefault="00000000">
      <w:pPr>
        <w:spacing w:after="240"/>
      </w:pPr>
      <w:r>
        <w:t>234.</w:t>
      </w:r>
      <w:r>
        <w:tab/>
        <w:t>La protection et l’assistance humanitaire sont assurées aux enfants réfugiés dans l’exercice de leurs droits civils ainsi que de leurs droits économiques, sociaux et culturels.</w:t>
      </w:r>
    </w:p>
    <w:p w:rsidR="00000000" w:rsidRDefault="00000000">
      <w:pPr>
        <w:spacing w:after="240"/>
      </w:pPr>
      <w:r>
        <w:t>235.</w:t>
      </w:r>
      <w:r>
        <w:tab/>
        <w:t xml:space="preserve">Suite aux conflits survenus en 2003 au Darfour et en République centrafricaine, le Tchad fait face à l’afflux de réfugiés. </w:t>
      </w:r>
    </w:p>
    <w:p w:rsidR="00000000" w:rsidRDefault="00000000">
      <w:pPr>
        <w:spacing w:after="240"/>
      </w:pPr>
      <w:r>
        <w:t>236.</w:t>
      </w:r>
      <w:r>
        <w:tab/>
        <w:t>À l’est du pays, on dénombrait en 2005, 220 000 réfugiés venant du Darfour dont 60 % ont moins de 18 ans.</w:t>
      </w:r>
    </w:p>
    <w:p w:rsidR="00000000" w:rsidRDefault="00000000">
      <w:pPr>
        <w:spacing w:after="240"/>
      </w:pPr>
      <w:r>
        <w:t>237.</w:t>
      </w:r>
      <w:r>
        <w:tab/>
        <w:t>Au sud, le Tchad accueille environ 40 000 réfugiés venus de la République centrafricaine. Ceux résidant dans les centres urbains sont estimés à 5 500. Ils sont venus de la République démocratique du Congo, du Liberia, de la Sierra Leone, du Rwanda et aussi du Soudan et de la République centrafricaine.</w:t>
      </w:r>
    </w:p>
    <w:p w:rsidR="00000000" w:rsidRDefault="00000000">
      <w:pPr>
        <w:spacing w:after="240"/>
      </w:pPr>
      <w:r>
        <w:t>238.</w:t>
      </w:r>
      <w:r>
        <w:tab/>
        <w:t>Ces réfugiés sont pris en charge par le Gouvernement avec l’appui des institutions des Nations Unies et des organisations internationales intervenant en faveur des réfugiés.</w:t>
      </w:r>
    </w:p>
    <w:p w:rsidR="00000000" w:rsidRDefault="00000000">
      <w:pPr>
        <w:spacing w:after="240"/>
      </w:pPr>
      <w:r>
        <w:t>239.</w:t>
      </w:r>
      <w:r>
        <w:tab/>
        <w:t xml:space="preserve">S’agissant des enfants non accompagnés, des mécanismes d’identification, de prise en charge, de suivi et de recherches familiales et réunification ont été mis en place en vue de les protéger contre les abus et exploitation sexuels, le recrutement dans les camps et dans les communautés hôtes. </w:t>
      </w:r>
    </w:p>
    <w:p w:rsidR="00000000" w:rsidRDefault="00000000">
      <w:pPr>
        <w:spacing w:after="240"/>
      </w:pPr>
      <w:r>
        <w:t>240.</w:t>
      </w:r>
      <w:r>
        <w:tab/>
        <w:t xml:space="preserve">Un protocole d’entente entre le Comité international de la Croix-Rouge (CICR), le HCR et l’UNICEF sur le suivi des enfants séparés et non accompagnés (ES/ENA) soudanais au Tchad a été signé en 2005. </w:t>
      </w:r>
    </w:p>
    <w:p w:rsidR="00000000" w:rsidRDefault="00000000">
      <w:pPr>
        <w:spacing w:after="240"/>
      </w:pPr>
      <w:r>
        <w:t>241.</w:t>
      </w:r>
      <w:r>
        <w:tab/>
        <w:t xml:space="preserve">Au total, 437 enfants séparés et 104 enfants non accompagnés soudanais ont été identifiés et pris en charge. </w:t>
      </w:r>
    </w:p>
    <w:p w:rsidR="00000000" w:rsidRDefault="00000000">
      <w:pPr>
        <w:spacing w:after="240"/>
      </w:pPr>
      <w:r>
        <w:t>242.</w:t>
      </w:r>
      <w:r>
        <w:tab/>
        <w:t>Aucune donnée précise n’est disponible en ce qui concerne les enfants au Sud et dans les centres urbains.</w:t>
      </w:r>
    </w:p>
    <w:p w:rsidR="00000000" w:rsidRDefault="00000000">
      <w:pPr>
        <w:spacing w:after="240"/>
      </w:pPr>
      <w:r>
        <w:t>243.</w:t>
      </w:r>
      <w:r>
        <w:tab/>
        <w:t>Il faut noter que les incursions des «</w:t>
      </w:r>
      <w:proofErr w:type="spellStart"/>
      <w:r>
        <w:t>Djanjaweeds</w:t>
      </w:r>
      <w:proofErr w:type="spellEnd"/>
      <w:r>
        <w:t xml:space="preserve">» et les attaques des rebelles ont provoqué le déplacement interne de 115 677 personnes dans les régions du </w:t>
      </w:r>
      <w:proofErr w:type="spellStart"/>
      <w:r>
        <w:t>Wadi</w:t>
      </w:r>
      <w:proofErr w:type="spellEnd"/>
      <w:r>
        <w:t xml:space="preserve"> </w:t>
      </w:r>
      <w:proofErr w:type="spellStart"/>
      <w:r>
        <w:t>Fira</w:t>
      </w:r>
      <w:proofErr w:type="spellEnd"/>
      <w:r>
        <w:t xml:space="preserve"> (département de </w:t>
      </w:r>
      <w:proofErr w:type="spellStart"/>
      <w:r>
        <w:t>Dar</w:t>
      </w:r>
      <w:proofErr w:type="spellEnd"/>
      <w:r>
        <w:t xml:space="preserve"> </w:t>
      </w:r>
      <w:proofErr w:type="spellStart"/>
      <w:r>
        <w:t>Tama</w:t>
      </w:r>
      <w:proofErr w:type="spellEnd"/>
      <w:r>
        <w:t>); du Ouaddaï (départements d’</w:t>
      </w:r>
      <w:proofErr w:type="spellStart"/>
      <w:r>
        <w:t>Assonga</w:t>
      </w:r>
      <w:proofErr w:type="spellEnd"/>
      <w:r>
        <w:t xml:space="preserve"> et de </w:t>
      </w:r>
      <w:proofErr w:type="spellStart"/>
      <w:r>
        <w:t>Dar</w:t>
      </w:r>
      <w:proofErr w:type="spellEnd"/>
      <w:r>
        <w:t xml:space="preserve"> </w:t>
      </w:r>
      <w:proofErr w:type="spellStart"/>
      <w:r>
        <w:t>Sila</w:t>
      </w:r>
      <w:proofErr w:type="spellEnd"/>
      <w:r>
        <w:t xml:space="preserve">) et du </w:t>
      </w:r>
      <w:proofErr w:type="spellStart"/>
      <w:r>
        <w:t>Salamat</w:t>
      </w:r>
      <w:proofErr w:type="spellEnd"/>
      <w:r>
        <w:t xml:space="preserve"> (département du </w:t>
      </w:r>
      <w:proofErr w:type="spellStart"/>
      <w:r>
        <w:t>Bahr</w:t>
      </w:r>
      <w:proofErr w:type="spellEnd"/>
      <w:r>
        <w:t xml:space="preserve"> </w:t>
      </w:r>
      <w:proofErr w:type="spellStart"/>
      <w:r>
        <w:t>Azoum</w:t>
      </w:r>
      <w:proofErr w:type="spellEnd"/>
      <w:r>
        <w:t>). De ces personnes déplacées, on estime le nombre d’enfants à 48 578, dont 13 761 d’âge préscolaire et 34 817 scolarisables. (Source: UNHCR/ N’</w:t>
      </w:r>
      <w:proofErr w:type="spellStart"/>
      <w:r>
        <w:t>Dj</w:t>
      </w:r>
      <w:proofErr w:type="spellEnd"/>
      <w:r>
        <w:t>., 31/01/07.)</w:t>
      </w:r>
    </w:p>
    <w:p w:rsidR="00000000" w:rsidRDefault="00000000">
      <w:pPr>
        <w:spacing w:after="240"/>
      </w:pPr>
      <w:r>
        <w:t>244.</w:t>
      </w:r>
      <w:r>
        <w:tab/>
        <w:t>De 2004 à 2006, l’UNICEF en partenariat avec le HCR et les ONG, a mis en place un système d’éducation dans les camps de réfugiés tant à l’est et qu’au sud du pays.</w:t>
      </w:r>
    </w:p>
    <w:p w:rsidR="00000000" w:rsidRDefault="00000000">
      <w:pPr>
        <w:spacing w:after="240"/>
      </w:pPr>
      <w:r>
        <w:t>245.</w:t>
      </w:r>
      <w:r>
        <w:tab/>
        <w:t xml:space="preserve">En 2005, il y avait environ 75 000 enfants qui allaient à l’école (primaire et préscolaire) à l’est du pays. </w:t>
      </w:r>
    </w:p>
    <w:p w:rsidR="00000000" w:rsidRDefault="00000000">
      <w:pPr>
        <w:spacing w:after="240"/>
      </w:pPr>
      <w:r>
        <w:t>246.</w:t>
      </w:r>
      <w:r>
        <w:tab/>
        <w:t xml:space="preserve">Environ 360 salles de classe ont été construites et 135 sont en construction. </w:t>
      </w:r>
    </w:p>
    <w:p w:rsidR="00000000" w:rsidRDefault="00000000">
      <w:pPr>
        <w:spacing w:after="240"/>
      </w:pPr>
      <w:r>
        <w:t>247.</w:t>
      </w:r>
      <w:r>
        <w:tab/>
        <w:t xml:space="preserve">Dans le sud du pays, environ 360 enfants réfugiés étaient inscrits dans l’enseignement secondaire des écoles des communautés hôtes de </w:t>
      </w:r>
      <w:proofErr w:type="spellStart"/>
      <w:r>
        <w:t>Maro</w:t>
      </w:r>
      <w:proofErr w:type="spellEnd"/>
      <w:r>
        <w:t xml:space="preserve"> et </w:t>
      </w:r>
      <w:proofErr w:type="spellStart"/>
      <w:r>
        <w:t>Goré</w:t>
      </w:r>
      <w:proofErr w:type="spellEnd"/>
      <w:r>
        <w:t>. Ils bénéficient également des services sociaux de base et service d’hygiène.</w:t>
      </w:r>
    </w:p>
    <w:p w:rsidR="00000000" w:rsidRDefault="00000000">
      <w:pPr>
        <w:spacing w:after="240"/>
      </w:pPr>
      <w:r>
        <w:t>248.</w:t>
      </w:r>
      <w:r>
        <w:tab/>
        <w:t xml:space="preserve">Les travailleurs sociaux ainsi que le personnel humanitaire ont été formés aux techniques d’écoute et de </w:t>
      </w:r>
      <w:proofErr w:type="spellStart"/>
      <w:r>
        <w:rPr>
          <w:i/>
          <w:iCs/>
        </w:rPr>
        <w:t>counselling</w:t>
      </w:r>
      <w:proofErr w:type="spellEnd"/>
      <w:r>
        <w:t xml:space="preserve">, au droit humanitaire et aux droits des enfants en général. Les activités ludiques permettant aux enfants de surmonter leurs traumatismes ont été également développées. </w:t>
      </w:r>
    </w:p>
    <w:p w:rsidR="00000000" w:rsidRDefault="00000000">
      <w:pPr>
        <w:spacing w:after="240"/>
        <w:jc w:val="center"/>
        <w:rPr>
          <w:b/>
          <w:bCs/>
        </w:rPr>
      </w:pPr>
      <w:r>
        <w:rPr>
          <w:b/>
          <w:bCs/>
        </w:rPr>
        <w:t>2.  Enfants touchés par les conflits armés (art 38) (avec indication des mesures</w:t>
      </w:r>
      <w:r>
        <w:rPr>
          <w:b/>
          <w:bCs/>
        </w:rPr>
        <w:br/>
        <w:t>prises de réadaptation physique et psychologique et</w:t>
      </w:r>
      <w:r>
        <w:rPr>
          <w:b/>
          <w:bCs/>
        </w:rPr>
        <w:br/>
        <w:t>de réinsertion sociale) (art 39)</w:t>
      </w:r>
    </w:p>
    <w:p w:rsidR="00000000" w:rsidRDefault="00000000">
      <w:pPr>
        <w:spacing w:after="240"/>
      </w:pPr>
      <w:r>
        <w:t>249.</w:t>
      </w:r>
      <w:r>
        <w:tab/>
        <w:t xml:space="preserve">Le Tchad a ratifié, le 28 août 2002, le protocole facultatif à la Convention concernant l’implication d’enfants dans les conflits armés. </w:t>
      </w:r>
    </w:p>
    <w:p w:rsidR="00000000" w:rsidRDefault="00000000">
      <w:pPr>
        <w:spacing w:after="240"/>
      </w:pPr>
      <w:r>
        <w:t>250.</w:t>
      </w:r>
      <w:r>
        <w:tab/>
        <w:t xml:space="preserve">Malheureusement, même si des données chiffrées ne sont pas disponibles, on enregistre tout au long du premier semestre 2006 des cas de recrutement d’enfants dans les camps de réfugiés soudanais et à l’est du Tchad. Des campagnes de sensibilisation ont été organisées par les institutions des Nations Unies et les ONG internationales en vue de limiter le phénomène. </w:t>
      </w:r>
    </w:p>
    <w:p w:rsidR="00000000" w:rsidRDefault="00000000">
      <w:pPr>
        <w:spacing w:after="240"/>
      </w:pPr>
      <w:r>
        <w:t>251.</w:t>
      </w:r>
      <w:r>
        <w:tab/>
        <w:t xml:space="preserve">De 2004-2006, les institutions des Nations Unies notamment l’UNICEF et le HCR en partenariat avec les ONG ont mis en place un système d’éducation dans les camps de réfugiés tant à l’est qu’au sud du pays. Il y a environ 75 000 enfants qui fréquentent l’école primaire et pré- scolaire à l’Est du pays. Environ 360 salles de classe ont été construites et 135 sont en construction. </w:t>
      </w:r>
    </w:p>
    <w:p w:rsidR="00000000" w:rsidRDefault="00000000">
      <w:pPr>
        <w:spacing w:after="240"/>
      </w:pPr>
      <w:r>
        <w:t>252.</w:t>
      </w:r>
      <w:r>
        <w:tab/>
        <w:t>Le système éducatif par l’UNICEF en partenariat avec le HCR et les ONG au bénéfice des enfants réfugiés profitent également aux enfants touchés par les conflits armés.</w:t>
      </w:r>
    </w:p>
    <w:p w:rsidR="00000000" w:rsidRDefault="00000000">
      <w:pPr>
        <w:spacing w:after="240"/>
      </w:pPr>
      <w:r>
        <w:t>253.</w:t>
      </w:r>
      <w:r>
        <w:tab/>
        <w:t xml:space="preserve">Les données chiffrées énoncées au point 246 concernent aussi les enfants touchés par les conflits armés. </w:t>
      </w:r>
    </w:p>
    <w:p w:rsidR="00000000" w:rsidRDefault="00000000">
      <w:pPr>
        <w:spacing w:after="240"/>
        <w:jc w:val="center"/>
        <w:rPr>
          <w:b/>
          <w:bCs/>
        </w:rPr>
      </w:pPr>
      <w:r>
        <w:rPr>
          <w:b/>
          <w:bCs/>
        </w:rPr>
        <w:t>B.  Les enfants en situation de conflit avec la loi</w:t>
      </w:r>
    </w:p>
    <w:p w:rsidR="00000000" w:rsidRDefault="00000000">
      <w:pPr>
        <w:spacing w:after="240"/>
        <w:jc w:val="center"/>
        <w:rPr>
          <w:b/>
          <w:bCs/>
        </w:rPr>
      </w:pPr>
      <w:r>
        <w:rPr>
          <w:b/>
          <w:bCs/>
        </w:rPr>
        <w:t>1.  L’administration de la justice pour mineurs (art. 40)</w:t>
      </w:r>
    </w:p>
    <w:p w:rsidR="00000000" w:rsidRDefault="00000000">
      <w:pPr>
        <w:spacing w:after="240"/>
      </w:pPr>
      <w:r>
        <w:t>254.</w:t>
      </w:r>
      <w:r>
        <w:tab/>
        <w:t xml:space="preserve">La loi nº 4//PR/98 du 7 août 1998 portant Organisation judiciaire portant et la loi nºº07/PR/99 du 6 avril 1998, portant procédure de poursuite et de jugement des infractions commises par les mineurs de 13 à moins de 18 ans sont les documents cadres relatifs à l’administration de justice pour mineurs au Tchad. </w:t>
      </w:r>
    </w:p>
    <w:p w:rsidR="00000000" w:rsidRDefault="00000000">
      <w:pPr>
        <w:spacing w:after="240"/>
      </w:pPr>
      <w:r>
        <w:t>255.</w:t>
      </w:r>
      <w:r>
        <w:tab/>
        <w:t xml:space="preserve">La loi nº 4/PR/98 du 7 août 1998, portant Organisation judiciaire au Tchad prévoit la création des chambres pour enfants au siège de tribunaux de première instance et la loi 7/99 détermine les procédures de poursuite et de jugement. </w:t>
      </w:r>
    </w:p>
    <w:p w:rsidR="00000000" w:rsidRDefault="00000000">
      <w:pPr>
        <w:spacing w:after="240"/>
      </w:pPr>
      <w:r>
        <w:t>256.</w:t>
      </w:r>
      <w:r>
        <w:tab/>
        <w:t>Aussi, aux termes de la loi nº 7/PR/ /99 du 6 avril 1999, le délai de garde à vue est de 10 heures maximum pour les mineurs. Cette loi privilégie des mesures éducatives, l’assistance judiciaire obligatoire, fait interdiction à la presse de publier les informations sur l’identité du mineur. L’audience se tient en chambre de conseil. Le juge doit privilégier les mesures éducatives par rapport à la peine d’emprisonnement; celle-ci doit être une mesure de dernier recours.</w:t>
      </w:r>
    </w:p>
    <w:p w:rsidR="00000000" w:rsidRDefault="00000000">
      <w:pPr>
        <w:spacing w:after="240"/>
      </w:pPr>
      <w:r>
        <w:t>257.</w:t>
      </w:r>
      <w:r>
        <w:tab/>
        <w:t xml:space="preserve">Lorsque la condamnation paraît nécessaire, elle ne pourra s’élever au-dessus de la moitié peine minimale légale. </w:t>
      </w:r>
    </w:p>
    <w:p w:rsidR="00000000" w:rsidRDefault="00000000">
      <w:pPr>
        <w:spacing w:after="240"/>
        <w:jc w:val="center"/>
        <w:rPr>
          <w:b/>
          <w:bCs/>
          <w:iCs/>
        </w:rPr>
      </w:pPr>
      <w:r>
        <w:rPr>
          <w:b/>
          <w:bCs/>
          <w:iCs/>
        </w:rPr>
        <w:t>2.  Les enfants privés de liberté y compris les enfants soumis à toutes formes</w:t>
      </w:r>
      <w:r>
        <w:rPr>
          <w:b/>
          <w:bCs/>
          <w:iCs/>
        </w:rPr>
        <w:br/>
        <w:t xml:space="preserve">de détention, (art. 37 </w:t>
      </w:r>
      <w:r>
        <w:rPr>
          <w:b/>
          <w:bCs/>
          <w:i/>
        </w:rPr>
        <w:t>b</w:t>
      </w:r>
      <w:r>
        <w:rPr>
          <w:b/>
          <w:bCs/>
          <w:iCs/>
        </w:rPr>
        <w:t xml:space="preserve">, </w:t>
      </w:r>
      <w:r>
        <w:rPr>
          <w:b/>
          <w:bCs/>
          <w:i/>
        </w:rPr>
        <w:t>c</w:t>
      </w:r>
      <w:r>
        <w:rPr>
          <w:b/>
          <w:bCs/>
          <w:iCs/>
        </w:rPr>
        <w:t xml:space="preserve"> et </w:t>
      </w:r>
      <w:r>
        <w:rPr>
          <w:b/>
          <w:bCs/>
          <w:i/>
        </w:rPr>
        <w:t>d</w:t>
      </w:r>
      <w:r>
        <w:rPr>
          <w:b/>
          <w:bCs/>
          <w:iCs/>
        </w:rPr>
        <w:t>)</w:t>
      </w:r>
    </w:p>
    <w:p w:rsidR="00000000" w:rsidRDefault="00000000">
      <w:pPr>
        <w:spacing w:after="240"/>
      </w:pPr>
      <w:r>
        <w:t>258.</w:t>
      </w:r>
      <w:r>
        <w:tab/>
        <w:t xml:space="preserve">La privation de liberté peut commencer dès l’enquête préliminaire. Comme il a été relevé au point précédent, le délai légal de garde à vue est de 10 heures et l’emprisonnement est une mesure de dernier recours. Dans la pratique, une fois déférés au parquet et conduits devant le juge pour enfant, les enfants auteurs de délits et accompagnés sont confiés aux familles, s’ils offrent des garanties suffisantes de représentation. </w:t>
      </w:r>
    </w:p>
    <w:p w:rsidR="00000000" w:rsidRDefault="00000000">
      <w:pPr>
        <w:spacing w:after="240"/>
      </w:pPr>
      <w:r>
        <w:t>259.</w:t>
      </w:r>
      <w:r>
        <w:tab/>
        <w:t xml:space="preserve">À défaut d’être accompagnés et en l’absence d’établissements surveillés, ces enfants sont gardés à la maison d’arrêt avec les adultes en violation des textes internationaux et nationaux. </w:t>
      </w:r>
    </w:p>
    <w:p w:rsidR="00000000" w:rsidRDefault="00000000">
      <w:pPr>
        <w:spacing w:after="240"/>
      </w:pPr>
      <w:r>
        <w:t>260.</w:t>
      </w:r>
      <w:r>
        <w:tab/>
        <w:t>Afin d’accroître les connaissances sur les catégories d’enfants nécessitant également une protection spéciale (ENPS) dont font partie les enfants privés de liberté et de proposer des interventions ciblées, le Gouvernement du Tchad a réalisé en 2003 avec l’appui de l’UNICEF, une étude quantitative et qualitative sur les ENPS dans sept grandes villes du pays.</w:t>
      </w:r>
    </w:p>
    <w:p w:rsidR="00000000" w:rsidRDefault="00000000">
      <w:pPr>
        <w:spacing w:after="240"/>
      </w:pPr>
      <w:r>
        <w:t>261.</w:t>
      </w:r>
      <w:r>
        <w:tab/>
        <w:t>Les résultats de cette étude sont donnés dans les paragraphes ci-après.</w:t>
      </w:r>
    </w:p>
    <w:p w:rsidR="00000000" w:rsidRDefault="00000000">
      <w:pPr>
        <w:spacing w:after="240"/>
        <w:ind w:left="1134" w:hanging="567"/>
        <w:rPr>
          <w:rFonts w:ascii="Book Antiqua" w:hAnsi="Book Antiqua"/>
          <w:iCs/>
        </w:rPr>
      </w:pPr>
      <w:r>
        <w:t>a)</w:t>
      </w:r>
      <w:r>
        <w:rPr>
          <w:i/>
          <w:iCs/>
        </w:rPr>
        <w:tab/>
        <w:t xml:space="preserve">Le nombre d’enfants de moins 18 ans arrêtés par la police parce qu’ils seraient en conflit avec la loi </w:t>
      </w:r>
      <w:r>
        <w:t xml:space="preserve">(pas de données ventilées) </w:t>
      </w:r>
    </w:p>
    <w:p w:rsidR="00000000" w:rsidRDefault="00000000">
      <w:pPr>
        <w:spacing w:after="240"/>
        <w:jc w:val="center"/>
        <w:rPr>
          <w:b/>
          <w:bCs/>
        </w:rPr>
      </w:pPr>
      <w:r>
        <w:rPr>
          <w:b/>
          <w:bCs/>
        </w:rPr>
        <w:t>Tableau 15.  Répartition des enfants privés de liberté par institution de détention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3683"/>
        <w:gridCol w:w="3101"/>
        <w:gridCol w:w="2712"/>
      </w:tblGrid>
      <w:tr w:rsidR="00000000">
        <w:tblPrEx>
          <w:tblCellMar>
            <w:top w:w="0" w:type="dxa"/>
            <w:bottom w:w="0" w:type="dxa"/>
          </w:tblCellMar>
        </w:tblPrEx>
        <w:trPr>
          <w:cantSplit/>
        </w:trPr>
        <w:tc>
          <w:tcPr>
            <w:tcW w:w="1939" w:type="pct"/>
            <w:vMerge w:val="restart"/>
            <w:vAlign w:val="center"/>
          </w:tcPr>
          <w:p w:rsidR="00000000" w:rsidRDefault="00000000">
            <w:pPr>
              <w:spacing w:before="60" w:after="60"/>
              <w:jc w:val="center"/>
            </w:pPr>
            <w:r>
              <w:t>Institutions de détention</w:t>
            </w:r>
          </w:p>
        </w:tc>
        <w:tc>
          <w:tcPr>
            <w:tcW w:w="3061" w:type="pct"/>
            <w:gridSpan w:val="2"/>
            <w:vAlign w:val="center"/>
          </w:tcPr>
          <w:p w:rsidR="00000000" w:rsidRDefault="00000000">
            <w:pPr>
              <w:spacing w:before="60" w:after="60"/>
              <w:jc w:val="center"/>
            </w:pPr>
            <w:bookmarkStart w:id="7" w:name="_Toc38971109"/>
            <w:bookmarkStart w:id="8" w:name="_Toc38971766"/>
            <w:bookmarkStart w:id="9" w:name="_Toc39034113"/>
            <w:bookmarkStart w:id="10" w:name="_Toc46046779"/>
            <w:bookmarkStart w:id="11" w:name="_Toc61078579"/>
            <w:bookmarkStart w:id="12" w:name="_Toc66899420"/>
            <w:bookmarkStart w:id="13" w:name="_Toc66902851"/>
            <w:bookmarkStart w:id="14" w:name="_Toc66952616"/>
            <w:r>
              <w:t>Enfants privés de liberté</w:t>
            </w:r>
            <w:bookmarkEnd w:id="7"/>
            <w:bookmarkEnd w:id="8"/>
            <w:bookmarkEnd w:id="9"/>
            <w:bookmarkEnd w:id="10"/>
            <w:bookmarkEnd w:id="11"/>
            <w:bookmarkEnd w:id="12"/>
            <w:bookmarkEnd w:id="13"/>
            <w:bookmarkEnd w:id="14"/>
          </w:p>
        </w:tc>
      </w:tr>
      <w:tr w:rsidR="00000000">
        <w:tblPrEx>
          <w:tblCellMar>
            <w:top w:w="0" w:type="dxa"/>
            <w:bottom w:w="0" w:type="dxa"/>
          </w:tblCellMar>
        </w:tblPrEx>
        <w:trPr>
          <w:cantSplit/>
        </w:trPr>
        <w:tc>
          <w:tcPr>
            <w:tcW w:w="1939" w:type="pct"/>
            <w:vMerge/>
            <w:vAlign w:val="center"/>
          </w:tcPr>
          <w:p w:rsidR="00000000" w:rsidRDefault="00000000">
            <w:pPr>
              <w:spacing w:before="60" w:after="60"/>
              <w:jc w:val="center"/>
            </w:pPr>
          </w:p>
        </w:tc>
        <w:tc>
          <w:tcPr>
            <w:tcW w:w="1633" w:type="pct"/>
            <w:vAlign w:val="center"/>
          </w:tcPr>
          <w:p w:rsidR="00000000" w:rsidRDefault="00000000">
            <w:pPr>
              <w:spacing w:before="60" w:after="60"/>
              <w:jc w:val="center"/>
            </w:pPr>
            <w:r>
              <w:t>Effectifs</w:t>
            </w:r>
          </w:p>
        </w:tc>
        <w:tc>
          <w:tcPr>
            <w:tcW w:w="1429" w:type="pct"/>
            <w:vAlign w:val="center"/>
          </w:tcPr>
          <w:p w:rsidR="00000000" w:rsidRDefault="00000000">
            <w:pPr>
              <w:spacing w:before="60" w:after="60"/>
              <w:jc w:val="center"/>
            </w:pPr>
            <w:r>
              <w:t>Pourcentages</w:t>
            </w:r>
          </w:p>
        </w:tc>
      </w:tr>
      <w:tr w:rsidR="00000000">
        <w:tblPrEx>
          <w:tblCellMar>
            <w:top w:w="0" w:type="dxa"/>
            <w:bottom w:w="0" w:type="dxa"/>
          </w:tblCellMar>
        </w:tblPrEx>
        <w:tc>
          <w:tcPr>
            <w:tcW w:w="1939" w:type="pct"/>
          </w:tcPr>
          <w:p w:rsidR="00000000" w:rsidRDefault="00000000">
            <w:pPr>
              <w:spacing w:before="60" w:after="60"/>
            </w:pPr>
            <w:r>
              <w:t>Commissariat de police</w:t>
            </w:r>
          </w:p>
        </w:tc>
        <w:tc>
          <w:tcPr>
            <w:tcW w:w="1633" w:type="pct"/>
          </w:tcPr>
          <w:p w:rsidR="00000000" w:rsidRDefault="00000000">
            <w:pPr>
              <w:spacing w:before="60" w:after="60"/>
              <w:ind w:right="1190"/>
              <w:jc w:val="right"/>
            </w:pPr>
            <w:r>
              <w:t>5</w:t>
            </w:r>
          </w:p>
        </w:tc>
        <w:tc>
          <w:tcPr>
            <w:tcW w:w="1429" w:type="pct"/>
          </w:tcPr>
          <w:p w:rsidR="00000000" w:rsidRDefault="00000000">
            <w:pPr>
              <w:spacing w:before="60" w:after="60"/>
              <w:ind w:right="1190"/>
              <w:jc w:val="right"/>
            </w:pPr>
            <w:r>
              <w:t>6,8</w:t>
            </w:r>
          </w:p>
        </w:tc>
      </w:tr>
      <w:tr w:rsidR="00000000">
        <w:tblPrEx>
          <w:tblCellMar>
            <w:top w:w="0" w:type="dxa"/>
            <w:bottom w:w="0" w:type="dxa"/>
          </w:tblCellMar>
        </w:tblPrEx>
        <w:tc>
          <w:tcPr>
            <w:tcW w:w="1939" w:type="pct"/>
          </w:tcPr>
          <w:p w:rsidR="00000000" w:rsidRDefault="00000000">
            <w:pPr>
              <w:spacing w:before="60" w:after="60"/>
            </w:pPr>
            <w:r>
              <w:t>Brigade de gendarmerie</w:t>
            </w:r>
          </w:p>
        </w:tc>
        <w:tc>
          <w:tcPr>
            <w:tcW w:w="1633" w:type="pct"/>
          </w:tcPr>
          <w:p w:rsidR="00000000" w:rsidRDefault="00000000">
            <w:pPr>
              <w:spacing w:before="60" w:after="60"/>
              <w:ind w:right="1190"/>
              <w:jc w:val="right"/>
            </w:pPr>
            <w:r>
              <w:t>3</w:t>
            </w:r>
          </w:p>
        </w:tc>
        <w:tc>
          <w:tcPr>
            <w:tcW w:w="1429" w:type="pct"/>
          </w:tcPr>
          <w:p w:rsidR="00000000" w:rsidRDefault="00000000">
            <w:pPr>
              <w:spacing w:before="60" w:after="60"/>
              <w:ind w:right="1190"/>
              <w:jc w:val="right"/>
            </w:pPr>
            <w:r>
              <w:t>4,1</w:t>
            </w:r>
          </w:p>
        </w:tc>
      </w:tr>
      <w:tr w:rsidR="00000000">
        <w:tblPrEx>
          <w:tblCellMar>
            <w:top w:w="0" w:type="dxa"/>
            <w:bottom w:w="0" w:type="dxa"/>
          </w:tblCellMar>
        </w:tblPrEx>
        <w:tc>
          <w:tcPr>
            <w:tcW w:w="1939" w:type="pct"/>
          </w:tcPr>
          <w:p w:rsidR="00000000" w:rsidRDefault="00000000">
            <w:pPr>
              <w:spacing w:before="60" w:after="60"/>
            </w:pPr>
            <w:r>
              <w:t>Maison d’arrêt</w:t>
            </w:r>
          </w:p>
        </w:tc>
        <w:tc>
          <w:tcPr>
            <w:tcW w:w="1633" w:type="pct"/>
          </w:tcPr>
          <w:p w:rsidR="00000000" w:rsidRDefault="00000000">
            <w:pPr>
              <w:spacing w:before="60" w:after="60"/>
              <w:ind w:right="1190"/>
              <w:jc w:val="right"/>
            </w:pPr>
            <w:r>
              <w:t>66</w:t>
            </w:r>
          </w:p>
        </w:tc>
        <w:tc>
          <w:tcPr>
            <w:tcW w:w="1429" w:type="pct"/>
          </w:tcPr>
          <w:p w:rsidR="00000000" w:rsidRDefault="00000000">
            <w:pPr>
              <w:spacing w:before="60" w:after="60"/>
              <w:ind w:right="1190"/>
              <w:jc w:val="right"/>
            </w:pPr>
            <w:r>
              <w:t>89,2</w:t>
            </w:r>
          </w:p>
        </w:tc>
      </w:tr>
      <w:tr w:rsidR="00000000">
        <w:tblPrEx>
          <w:tblCellMar>
            <w:top w:w="0" w:type="dxa"/>
            <w:bottom w:w="0" w:type="dxa"/>
          </w:tblCellMar>
        </w:tblPrEx>
        <w:tc>
          <w:tcPr>
            <w:tcW w:w="1939" w:type="pct"/>
          </w:tcPr>
          <w:p w:rsidR="00000000" w:rsidRDefault="00000000">
            <w:pPr>
              <w:spacing w:before="60" w:after="60"/>
              <w:rPr>
                <w:b/>
              </w:rPr>
            </w:pPr>
            <w:r>
              <w:rPr>
                <w:b/>
              </w:rPr>
              <w:t>Total</w:t>
            </w:r>
          </w:p>
        </w:tc>
        <w:tc>
          <w:tcPr>
            <w:tcW w:w="1633" w:type="pct"/>
          </w:tcPr>
          <w:p w:rsidR="00000000" w:rsidRDefault="00000000">
            <w:pPr>
              <w:spacing w:before="60" w:after="60"/>
              <w:ind w:right="1190"/>
              <w:jc w:val="right"/>
              <w:rPr>
                <w:b/>
              </w:rPr>
            </w:pPr>
            <w:r>
              <w:rPr>
                <w:b/>
              </w:rPr>
              <w:t>74</w:t>
            </w:r>
          </w:p>
        </w:tc>
        <w:tc>
          <w:tcPr>
            <w:tcW w:w="1429" w:type="pct"/>
          </w:tcPr>
          <w:p w:rsidR="00000000" w:rsidRDefault="00000000">
            <w:pPr>
              <w:spacing w:before="60" w:after="60"/>
              <w:ind w:right="1190"/>
              <w:jc w:val="right"/>
            </w:pPr>
            <w:r>
              <w:t>100,0</w:t>
            </w:r>
          </w:p>
        </w:tc>
      </w:tr>
    </w:tbl>
    <w:p w:rsidR="00000000" w:rsidRDefault="00000000">
      <w:pPr>
        <w:spacing w:before="240" w:after="240"/>
        <w:ind w:firstLine="567"/>
      </w:pPr>
      <w:r>
        <w:t>Source: Étude sur les ENPS, UNICEF 2003</w:t>
      </w:r>
    </w:p>
    <w:p w:rsidR="00000000" w:rsidRDefault="00000000">
      <w:pPr>
        <w:spacing w:after="240"/>
      </w:pPr>
      <w:r>
        <w:t>262.</w:t>
      </w:r>
      <w:r>
        <w:tab/>
        <w:t>Les établissements pénitentiaires ne répondent pas aux règles minimales de Beijing en ce qui concerne la détention des mineurs.</w:t>
      </w:r>
    </w:p>
    <w:p w:rsidR="00000000" w:rsidRDefault="00000000">
      <w:pPr>
        <w:spacing w:after="240"/>
      </w:pPr>
      <w:r>
        <w:t>263.</w:t>
      </w:r>
      <w:r>
        <w:tab/>
        <w:t>Ces chiffres sont faibles pour les raisons suivantes:Les services de police, de gendarmerie et de justice appliquent tant bien que mal les textes qui privilégient les mesures éducatives à l’égard des mineurs et au niveau des services de police et de gendarmerie, le manque de locaux adéquats n’encourage pas la détention de mineurs.</w:t>
      </w:r>
    </w:p>
    <w:p w:rsidR="00000000" w:rsidRDefault="00000000">
      <w:pPr>
        <w:spacing w:after="240"/>
      </w:pPr>
      <w:r>
        <w:t>264.</w:t>
      </w:r>
      <w:r>
        <w:tab/>
        <w:t>Pour ce qui concerne le lieu de détention, les services de police et la gendarmerie placent les mineurs en garde à vue dans les quartiers destinés aux adultes (74,3 %), les tout petits dorment dans la cour ou dans des bureaux délabrés ou abandonnés. Les filles sont placées dans des locaux exigus en compagnie des femmes.</w:t>
      </w:r>
    </w:p>
    <w:p w:rsidR="00000000" w:rsidRDefault="00000000">
      <w:pPr>
        <w:spacing w:after="240"/>
        <w:jc w:val="center"/>
        <w:rPr>
          <w:b/>
          <w:bCs/>
        </w:rPr>
      </w:pPr>
      <w:r>
        <w:rPr>
          <w:b/>
          <w:bCs/>
        </w:rPr>
        <w:t>Tableau 16.  Répartition des enfants privés de liberté selon leur lieu de détention</w:t>
      </w:r>
      <w:r>
        <w:rPr>
          <w:b/>
          <w:bCs/>
        </w:rPr>
        <w:br/>
        <w:t>au niveau du commissariat ou de la gendarmerie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3682"/>
        <w:gridCol w:w="2908"/>
        <w:gridCol w:w="2906"/>
      </w:tblGrid>
      <w:tr w:rsidR="00000000">
        <w:tblPrEx>
          <w:tblCellMar>
            <w:top w:w="0" w:type="dxa"/>
            <w:bottom w:w="0" w:type="dxa"/>
          </w:tblCellMar>
        </w:tblPrEx>
        <w:trPr>
          <w:cantSplit/>
        </w:trPr>
        <w:tc>
          <w:tcPr>
            <w:tcW w:w="1939" w:type="pct"/>
            <w:vMerge w:val="restart"/>
            <w:vAlign w:val="center"/>
          </w:tcPr>
          <w:p w:rsidR="00000000" w:rsidRDefault="00000000">
            <w:pPr>
              <w:spacing w:before="60" w:after="60"/>
              <w:jc w:val="center"/>
            </w:pPr>
            <w:r>
              <w:t>Type de lieu de détention</w:t>
            </w:r>
          </w:p>
        </w:tc>
        <w:tc>
          <w:tcPr>
            <w:tcW w:w="3061" w:type="pct"/>
            <w:gridSpan w:val="2"/>
            <w:vAlign w:val="center"/>
          </w:tcPr>
          <w:p w:rsidR="00000000" w:rsidRDefault="00000000">
            <w:pPr>
              <w:spacing w:before="60" w:after="60"/>
              <w:jc w:val="center"/>
            </w:pPr>
            <w:bookmarkStart w:id="15" w:name="_Toc38971146"/>
            <w:bookmarkStart w:id="16" w:name="_Toc38971803"/>
            <w:bookmarkStart w:id="17" w:name="_Toc39034150"/>
            <w:bookmarkStart w:id="18" w:name="_Toc46046816"/>
            <w:bookmarkStart w:id="19" w:name="_Toc61078616"/>
            <w:bookmarkStart w:id="20" w:name="_Toc66899457"/>
            <w:bookmarkStart w:id="21" w:name="_Toc66902888"/>
            <w:bookmarkStart w:id="22" w:name="_Toc66952653"/>
            <w:r>
              <w:t>Enfants privés de liberté</w:t>
            </w:r>
            <w:bookmarkEnd w:id="15"/>
            <w:bookmarkEnd w:id="16"/>
            <w:bookmarkEnd w:id="17"/>
            <w:bookmarkEnd w:id="18"/>
            <w:bookmarkEnd w:id="19"/>
            <w:bookmarkEnd w:id="20"/>
            <w:bookmarkEnd w:id="21"/>
            <w:bookmarkEnd w:id="22"/>
          </w:p>
        </w:tc>
      </w:tr>
      <w:tr w:rsidR="00000000">
        <w:tblPrEx>
          <w:tblCellMar>
            <w:top w:w="0" w:type="dxa"/>
            <w:bottom w:w="0" w:type="dxa"/>
          </w:tblCellMar>
        </w:tblPrEx>
        <w:trPr>
          <w:cantSplit/>
        </w:trPr>
        <w:tc>
          <w:tcPr>
            <w:tcW w:w="1939" w:type="pct"/>
            <w:vMerge/>
            <w:vAlign w:val="center"/>
          </w:tcPr>
          <w:p w:rsidR="00000000" w:rsidRDefault="00000000">
            <w:pPr>
              <w:spacing w:before="60" w:after="60"/>
              <w:jc w:val="center"/>
            </w:pPr>
          </w:p>
        </w:tc>
        <w:tc>
          <w:tcPr>
            <w:tcW w:w="1531" w:type="pct"/>
            <w:vAlign w:val="center"/>
          </w:tcPr>
          <w:p w:rsidR="00000000" w:rsidRDefault="00000000">
            <w:pPr>
              <w:spacing w:before="60" w:after="60"/>
              <w:jc w:val="center"/>
            </w:pPr>
            <w:r>
              <w:t>Effectifs</w:t>
            </w:r>
          </w:p>
        </w:tc>
        <w:tc>
          <w:tcPr>
            <w:tcW w:w="1531" w:type="pct"/>
            <w:vAlign w:val="center"/>
          </w:tcPr>
          <w:p w:rsidR="00000000" w:rsidRDefault="00000000">
            <w:pPr>
              <w:spacing w:before="60" w:after="60"/>
              <w:jc w:val="center"/>
            </w:pPr>
            <w:r>
              <w:t>Pourcentages</w:t>
            </w:r>
          </w:p>
        </w:tc>
      </w:tr>
      <w:tr w:rsidR="00000000">
        <w:tblPrEx>
          <w:tblCellMar>
            <w:top w:w="0" w:type="dxa"/>
            <w:bottom w:w="0" w:type="dxa"/>
          </w:tblCellMar>
        </w:tblPrEx>
        <w:tc>
          <w:tcPr>
            <w:tcW w:w="1939" w:type="pct"/>
          </w:tcPr>
          <w:p w:rsidR="00000000" w:rsidRDefault="00000000">
            <w:pPr>
              <w:spacing w:before="60" w:after="60"/>
            </w:pPr>
            <w:r>
              <w:t>Quartier des mineurs</w:t>
            </w:r>
          </w:p>
        </w:tc>
        <w:tc>
          <w:tcPr>
            <w:tcW w:w="1531" w:type="pct"/>
          </w:tcPr>
          <w:p w:rsidR="00000000" w:rsidRDefault="00000000">
            <w:pPr>
              <w:spacing w:before="60" w:after="60"/>
              <w:ind w:right="1170"/>
              <w:jc w:val="right"/>
            </w:pPr>
            <w:r>
              <w:t>1</w:t>
            </w:r>
          </w:p>
        </w:tc>
        <w:tc>
          <w:tcPr>
            <w:tcW w:w="1531" w:type="pct"/>
            <w:vAlign w:val="bottom"/>
          </w:tcPr>
          <w:p w:rsidR="00000000" w:rsidRDefault="00000000">
            <w:pPr>
              <w:spacing w:before="60" w:after="60"/>
              <w:ind w:right="1170"/>
              <w:jc w:val="right"/>
            </w:pPr>
            <w:r>
              <w:t>1,4</w:t>
            </w:r>
          </w:p>
        </w:tc>
      </w:tr>
      <w:tr w:rsidR="00000000">
        <w:tblPrEx>
          <w:tblCellMar>
            <w:top w:w="0" w:type="dxa"/>
            <w:bottom w:w="0" w:type="dxa"/>
          </w:tblCellMar>
        </w:tblPrEx>
        <w:tc>
          <w:tcPr>
            <w:tcW w:w="1939" w:type="pct"/>
          </w:tcPr>
          <w:p w:rsidR="00000000" w:rsidRDefault="00000000">
            <w:pPr>
              <w:spacing w:before="60" w:after="60"/>
            </w:pPr>
            <w:r>
              <w:t>Quartier des mineurs et adultes</w:t>
            </w:r>
          </w:p>
        </w:tc>
        <w:tc>
          <w:tcPr>
            <w:tcW w:w="1531" w:type="pct"/>
          </w:tcPr>
          <w:p w:rsidR="00000000" w:rsidRDefault="00000000">
            <w:pPr>
              <w:spacing w:before="60" w:after="60"/>
              <w:ind w:right="1170"/>
              <w:jc w:val="right"/>
            </w:pPr>
            <w:r>
              <w:t>55</w:t>
            </w:r>
          </w:p>
        </w:tc>
        <w:tc>
          <w:tcPr>
            <w:tcW w:w="1531" w:type="pct"/>
            <w:vAlign w:val="bottom"/>
          </w:tcPr>
          <w:p w:rsidR="00000000" w:rsidRDefault="00000000">
            <w:pPr>
              <w:spacing w:before="60" w:after="60"/>
              <w:ind w:right="1170"/>
              <w:jc w:val="right"/>
            </w:pPr>
            <w:r>
              <w:t>74,3</w:t>
            </w:r>
          </w:p>
        </w:tc>
      </w:tr>
      <w:tr w:rsidR="00000000">
        <w:tblPrEx>
          <w:tblCellMar>
            <w:top w:w="0" w:type="dxa"/>
            <w:bottom w:w="0" w:type="dxa"/>
          </w:tblCellMar>
        </w:tblPrEx>
        <w:tc>
          <w:tcPr>
            <w:tcW w:w="1939" w:type="pct"/>
          </w:tcPr>
          <w:p w:rsidR="00000000" w:rsidRDefault="00000000">
            <w:pPr>
              <w:spacing w:before="60" w:after="60"/>
            </w:pPr>
            <w:r>
              <w:t>Dans les bureaux</w:t>
            </w:r>
          </w:p>
        </w:tc>
        <w:tc>
          <w:tcPr>
            <w:tcW w:w="1531" w:type="pct"/>
          </w:tcPr>
          <w:p w:rsidR="00000000" w:rsidRDefault="00000000">
            <w:pPr>
              <w:spacing w:before="60" w:after="60"/>
              <w:ind w:right="1170"/>
              <w:jc w:val="right"/>
            </w:pPr>
            <w:r>
              <w:t>4</w:t>
            </w:r>
          </w:p>
        </w:tc>
        <w:tc>
          <w:tcPr>
            <w:tcW w:w="1531" w:type="pct"/>
            <w:vAlign w:val="bottom"/>
          </w:tcPr>
          <w:p w:rsidR="00000000" w:rsidRDefault="00000000">
            <w:pPr>
              <w:spacing w:before="60" w:after="60"/>
              <w:ind w:right="1170"/>
              <w:jc w:val="right"/>
            </w:pPr>
            <w:r>
              <w:t>5,4</w:t>
            </w:r>
          </w:p>
        </w:tc>
      </w:tr>
      <w:tr w:rsidR="00000000">
        <w:tblPrEx>
          <w:tblCellMar>
            <w:top w:w="0" w:type="dxa"/>
            <w:bottom w:w="0" w:type="dxa"/>
          </w:tblCellMar>
        </w:tblPrEx>
        <w:tc>
          <w:tcPr>
            <w:tcW w:w="1939" w:type="pct"/>
          </w:tcPr>
          <w:p w:rsidR="00000000" w:rsidRDefault="00000000">
            <w:pPr>
              <w:spacing w:before="60" w:after="60"/>
            </w:pPr>
            <w:r>
              <w:t>Quartier des femmes</w:t>
            </w:r>
          </w:p>
        </w:tc>
        <w:tc>
          <w:tcPr>
            <w:tcW w:w="1531" w:type="pct"/>
          </w:tcPr>
          <w:p w:rsidR="00000000" w:rsidRDefault="00000000">
            <w:pPr>
              <w:spacing w:before="60" w:after="60"/>
              <w:ind w:right="1170"/>
              <w:jc w:val="right"/>
            </w:pPr>
            <w:r>
              <w:t>5</w:t>
            </w:r>
          </w:p>
        </w:tc>
        <w:tc>
          <w:tcPr>
            <w:tcW w:w="1531" w:type="pct"/>
            <w:vAlign w:val="bottom"/>
          </w:tcPr>
          <w:p w:rsidR="00000000" w:rsidRDefault="00000000">
            <w:pPr>
              <w:spacing w:before="60" w:after="60"/>
              <w:ind w:right="1170"/>
              <w:jc w:val="right"/>
            </w:pPr>
            <w:r>
              <w:t>6,8</w:t>
            </w:r>
          </w:p>
        </w:tc>
      </w:tr>
      <w:tr w:rsidR="00000000">
        <w:tblPrEx>
          <w:tblCellMar>
            <w:top w:w="0" w:type="dxa"/>
            <w:bottom w:w="0" w:type="dxa"/>
          </w:tblCellMar>
        </w:tblPrEx>
        <w:tc>
          <w:tcPr>
            <w:tcW w:w="1939" w:type="pct"/>
          </w:tcPr>
          <w:p w:rsidR="00000000" w:rsidRDefault="00000000">
            <w:pPr>
              <w:spacing w:before="60" w:after="60"/>
            </w:pPr>
            <w:r>
              <w:t>Sans réponse</w:t>
            </w:r>
          </w:p>
        </w:tc>
        <w:tc>
          <w:tcPr>
            <w:tcW w:w="1531" w:type="pct"/>
            <w:vAlign w:val="bottom"/>
          </w:tcPr>
          <w:p w:rsidR="00000000" w:rsidRDefault="00000000">
            <w:pPr>
              <w:spacing w:before="60" w:after="60"/>
              <w:ind w:right="1170"/>
              <w:jc w:val="right"/>
            </w:pPr>
            <w:r>
              <w:t>9</w:t>
            </w:r>
          </w:p>
        </w:tc>
        <w:tc>
          <w:tcPr>
            <w:tcW w:w="1531" w:type="pct"/>
            <w:vAlign w:val="bottom"/>
          </w:tcPr>
          <w:p w:rsidR="00000000" w:rsidRDefault="00000000">
            <w:pPr>
              <w:spacing w:before="60" w:after="60"/>
              <w:ind w:right="1170"/>
              <w:jc w:val="right"/>
            </w:pPr>
            <w:r>
              <w:t>12,2</w:t>
            </w:r>
          </w:p>
        </w:tc>
      </w:tr>
      <w:tr w:rsidR="00000000">
        <w:tblPrEx>
          <w:tblCellMar>
            <w:top w:w="0" w:type="dxa"/>
            <w:bottom w:w="0" w:type="dxa"/>
          </w:tblCellMar>
        </w:tblPrEx>
        <w:tc>
          <w:tcPr>
            <w:tcW w:w="1939" w:type="pct"/>
          </w:tcPr>
          <w:p w:rsidR="00000000" w:rsidRDefault="00000000">
            <w:pPr>
              <w:spacing w:before="60" w:after="60"/>
              <w:rPr>
                <w:b/>
                <w:bCs/>
              </w:rPr>
            </w:pPr>
            <w:bookmarkStart w:id="23" w:name="_Toc38971147"/>
            <w:bookmarkStart w:id="24" w:name="_Toc38971804"/>
            <w:bookmarkStart w:id="25" w:name="_Toc39034151"/>
            <w:bookmarkStart w:id="26" w:name="_Toc46046817"/>
            <w:bookmarkStart w:id="27" w:name="_Toc61078617"/>
            <w:bookmarkStart w:id="28" w:name="_Toc66899458"/>
            <w:bookmarkStart w:id="29" w:name="_Toc66902889"/>
            <w:bookmarkStart w:id="30" w:name="_Toc66952654"/>
            <w:r>
              <w:rPr>
                <w:b/>
                <w:bCs/>
              </w:rPr>
              <w:t>Total</w:t>
            </w:r>
            <w:bookmarkEnd w:id="23"/>
            <w:bookmarkEnd w:id="24"/>
            <w:bookmarkEnd w:id="25"/>
            <w:bookmarkEnd w:id="26"/>
            <w:bookmarkEnd w:id="27"/>
            <w:bookmarkEnd w:id="28"/>
            <w:bookmarkEnd w:id="29"/>
            <w:bookmarkEnd w:id="30"/>
          </w:p>
        </w:tc>
        <w:tc>
          <w:tcPr>
            <w:tcW w:w="1531" w:type="pct"/>
            <w:vAlign w:val="bottom"/>
          </w:tcPr>
          <w:p w:rsidR="00000000" w:rsidRDefault="00000000">
            <w:pPr>
              <w:spacing w:before="60" w:after="60"/>
              <w:ind w:right="1170"/>
              <w:jc w:val="right"/>
              <w:rPr>
                <w:b/>
                <w:bCs/>
              </w:rPr>
            </w:pPr>
            <w:r>
              <w:rPr>
                <w:b/>
                <w:bCs/>
              </w:rPr>
              <w:t>74</w:t>
            </w:r>
          </w:p>
        </w:tc>
        <w:tc>
          <w:tcPr>
            <w:tcW w:w="1531" w:type="pct"/>
            <w:vAlign w:val="bottom"/>
          </w:tcPr>
          <w:p w:rsidR="00000000" w:rsidRDefault="00000000">
            <w:pPr>
              <w:spacing w:before="60" w:after="60"/>
              <w:ind w:right="1170"/>
              <w:jc w:val="right"/>
              <w:rPr>
                <w:b/>
                <w:bCs/>
              </w:rPr>
            </w:pPr>
            <w:r>
              <w:rPr>
                <w:b/>
                <w:bCs/>
              </w:rPr>
              <w:t>100,0</w:t>
            </w:r>
          </w:p>
        </w:tc>
      </w:tr>
    </w:tbl>
    <w:p w:rsidR="00000000" w:rsidRDefault="00000000">
      <w:pPr>
        <w:spacing w:before="240" w:after="240"/>
        <w:ind w:firstLine="567"/>
      </w:pPr>
      <w:r>
        <w:t>Source: Étude sur les ENPS, UNICEF 2003</w:t>
      </w:r>
    </w:p>
    <w:p w:rsidR="00000000" w:rsidRDefault="00000000">
      <w:pPr>
        <w:spacing w:after="240"/>
        <w:ind w:left="1134" w:hanging="567"/>
        <w:rPr>
          <w:i/>
          <w:iCs/>
        </w:rPr>
      </w:pPr>
      <w:r>
        <w:t>b)</w:t>
      </w:r>
      <w:r>
        <w:rPr>
          <w:i/>
          <w:iCs/>
        </w:rPr>
        <w:tab/>
        <w:t xml:space="preserve">Le pourcentage d’affaires dans lesquelles une assistance juridique ou autre a été assurée </w:t>
      </w:r>
      <w:r>
        <w:t>(pas de données ventilées)</w:t>
      </w:r>
    </w:p>
    <w:p w:rsidR="00000000" w:rsidRDefault="00000000">
      <w:pPr>
        <w:spacing w:after="240"/>
        <w:ind w:left="1134" w:hanging="567"/>
        <w:rPr>
          <w:i/>
          <w:iCs/>
        </w:rPr>
      </w:pPr>
      <w:r>
        <w:t>c)</w:t>
      </w:r>
      <w:r>
        <w:rPr>
          <w:i/>
          <w:iCs/>
        </w:rPr>
        <w:tab/>
        <w:t>Le nombre et le pourcentage de personnes de moins de 18 ans qui ont été reconnues coupables d’une infraction par un tribunal et ont été condamnées à une peine de privation de liberté.</w:t>
      </w:r>
    </w:p>
    <w:p w:rsidR="00000000" w:rsidRDefault="00000000">
      <w:pPr>
        <w:spacing w:after="240"/>
      </w:pPr>
      <w:r>
        <w:t>265.</w:t>
      </w:r>
      <w:r>
        <w:tab/>
        <w:t xml:space="preserve">Le vol d’objets ou d’argent (43,3 %), le crime ou le meurtre (25,7 %), les agressions physiques ou les coups et blessures sur autrui 16,2 %) et le viol ou tentative de viol (6,8 %) la détention illégale d’armes de guerre (4,1 %) représentent les motifs majeurs de leur détention. </w:t>
      </w:r>
    </w:p>
    <w:p w:rsidR="00000000" w:rsidRDefault="00000000">
      <w:pPr>
        <w:keepNext/>
        <w:spacing w:after="240"/>
        <w:jc w:val="center"/>
        <w:rPr>
          <w:b/>
          <w:bCs/>
        </w:rPr>
      </w:pPr>
      <w:r>
        <w:rPr>
          <w:b/>
          <w:bCs/>
        </w:rPr>
        <w:t>Tableau 17.  Répartition des enfants privés de liberté selon</w:t>
      </w:r>
      <w:r>
        <w:rPr>
          <w:b/>
          <w:bCs/>
        </w:rPr>
        <w:br/>
        <w:t>les motifs de l’arrestation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2510"/>
        <w:gridCol w:w="2129"/>
      </w:tblGrid>
      <w:tr w:rsidR="00000000">
        <w:trPr>
          <w:cantSplit/>
        </w:trPr>
        <w:tc>
          <w:tcPr>
            <w:tcW w:w="2577" w:type="pct"/>
            <w:vMerge w:val="restart"/>
            <w:vAlign w:val="center"/>
          </w:tcPr>
          <w:p w:rsidR="00000000" w:rsidRDefault="00000000">
            <w:pPr>
              <w:keepNext/>
              <w:spacing w:before="60" w:after="60"/>
              <w:jc w:val="center"/>
            </w:pPr>
            <w:r>
              <w:t>Motifs de l’arrestation</w:t>
            </w:r>
          </w:p>
        </w:tc>
        <w:tc>
          <w:tcPr>
            <w:tcW w:w="2423" w:type="pct"/>
            <w:gridSpan w:val="2"/>
            <w:vAlign w:val="center"/>
          </w:tcPr>
          <w:p w:rsidR="00000000" w:rsidRDefault="00000000">
            <w:pPr>
              <w:keepNext/>
              <w:spacing w:before="60" w:after="60"/>
              <w:jc w:val="center"/>
            </w:pPr>
            <w:r>
              <w:t>Enfants privés de liberté</w:t>
            </w:r>
          </w:p>
        </w:tc>
      </w:tr>
      <w:tr w:rsidR="00000000">
        <w:trPr>
          <w:cantSplit/>
        </w:trPr>
        <w:tc>
          <w:tcPr>
            <w:tcW w:w="2577" w:type="pct"/>
            <w:vMerge/>
            <w:vAlign w:val="center"/>
          </w:tcPr>
          <w:p w:rsidR="00000000" w:rsidRDefault="00000000">
            <w:pPr>
              <w:keepNext/>
              <w:spacing w:before="60" w:after="60"/>
              <w:jc w:val="center"/>
            </w:pPr>
          </w:p>
        </w:tc>
        <w:tc>
          <w:tcPr>
            <w:tcW w:w="1311" w:type="pct"/>
            <w:vAlign w:val="center"/>
          </w:tcPr>
          <w:p w:rsidR="00000000" w:rsidRDefault="00000000">
            <w:pPr>
              <w:keepNext/>
              <w:spacing w:before="60" w:after="60"/>
              <w:jc w:val="center"/>
            </w:pPr>
            <w:r>
              <w:t>Effectifs</w:t>
            </w:r>
          </w:p>
        </w:tc>
        <w:tc>
          <w:tcPr>
            <w:tcW w:w="1111" w:type="pct"/>
            <w:vAlign w:val="center"/>
          </w:tcPr>
          <w:p w:rsidR="00000000" w:rsidRDefault="00000000">
            <w:pPr>
              <w:keepNext/>
              <w:spacing w:before="60" w:after="60"/>
              <w:jc w:val="center"/>
            </w:pPr>
            <w:r>
              <w:t>Pourcentage</w:t>
            </w:r>
          </w:p>
        </w:tc>
      </w:tr>
      <w:tr w:rsidR="00000000">
        <w:tc>
          <w:tcPr>
            <w:tcW w:w="2577" w:type="pct"/>
          </w:tcPr>
          <w:p w:rsidR="00000000" w:rsidRDefault="00000000">
            <w:pPr>
              <w:keepNext/>
              <w:spacing w:before="60" w:after="60"/>
            </w:pPr>
            <w:r>
              <w:t>Vol</w:t>
            </w:r>
          </w:p>
        </w:tc>
        <w:tc>
          <w:tcPr>
            <w:tcW w:w="1311" w:type="pct"/>
          </w:tcPr>
          <w:p w:rsidR="00000000" w:rsidRDefault="00000000">
            <w:pPr>
              <w:keepNext/>
              <w:spacing w:before="60" w:after="60"/>
              <w:ind w:right="867"/>
              <w:jc w:val="right"/>
            </w:pPr>
            <w:r>
              <w:t>32</w:t>
            </w:r>
          </w:p>
        </w:tc>
        <w:tc>
          <w:tcPr>
            <w:tcW w:w="1111" w:type="pct"/>
          </w:tcPr>
          <w:p w:rsidR="00000000" w:rsidRDefault="00000000">
            <w:pPr>
              <w:keepNext/>
              <w:spacing w:before="60" w:after="60"/>
              <w:ind w:right="867"/>
              <w:jc w:val="right"/>
            </w:pPr>
            <w:r>
              <w:t>43,2</w:t>
            </w:r>
          </w:p>
        </w:tc>
      </w:tr>
      <w:tr w:rsidR="00000000">
        <w:tc>
          <w:tcPr>
            <w:tcW w:w="2577" w:type="pct"/>
          </w:tcPr>
          <w:p w:rsidR="00000000" w:rsidRDefault="00000000">
            <w:pPr>
              <w:spacing w:before="60" w:after="60"/>
            </w:pPr>
            <w:r>
              <w:t>Viol ou tentative de viol</w:t>
            </w:r>
          </w:p>
        </w:tc>
        <w:tc>
          <w:tcPr>
            <w:tcW w:w="1311" w:type="pct"/>
          </w:tcPr>
          <w:p w:rsidR="00000000" w:rsidRDefault="00000000">
            <w:pPr>
              <w:spacing w:before="60" w:after="60"/>
              <w:ind w:right="867"/>
              <w:jc w:val="right"/>
            </w:pPr>
            <w:r>
              <w:t>5</w:t>
            </w:r>
          </w:p>
        </w:tc>
        <w:tc>
          <w:tcPr>
            <w:tcW w:w="1111" w:type="pct"/>
          </w:tcPr>
          <w:p w:rsidR="00000000" w:rsidRDefault="00000000">
            <w:pPr>
              <w:spacing w:before="60" w:after="60"/>
              <w:ind w:right="867"/>
              <w:jc w:val="right"/>
            </w:pPr>
            <w:r>
              <w:t>6,8</w:t>
            </w:r>
          </w:p>
        </w:tc>
      </w:tr>
      <w:tr w:rsidR="00000000">
        <w:tc>
          <w:tcPr>
            <w:tcW w:w="2577" w:type="pct"/>
          </w:tcPr>
          <w:p w:rsidR="00000000" w:rsidRDefault="00000000">
            <w:pPr>
              <w:spacing w:before="60" w:after="60"/>
            </w:pPr>
            <w:r>
              <w:t>Agression physique ou coups et blessures</w:t>
            </w:r>
          </w:p>
        </w:tc>
        <w:tc>
          <w:tcPr>
            <w:tcW w:w="1311" w:type="pct"/>
          </w:tcPr>
          <w:p w:rsidR="00000000" w:rsidRDefault="00000000">
            <w:pPr>
              <w:spacing w:before="60" w:after="60"/>
              <w:ind w:right="867"/>
              <w:jc w:val="right"/>
            </w:pPr>
            <w:r>
              <w:t>12</w:t>
            </w:r>
          </w:p>
        </w:tc>
        <w:tc>
          <w:tcPr>
            <w:tcW w:w="1111" w:type="pct"/>
          </w:tcPr>
          <w:p w:rsidR="00000000" w:rsidRDefault="00000000">
            <w:pPr>
              <w:spacing w:before="60" w:after="60"/>
              <w:ind w:right="867"/>
              <w:jc w:val="right"/>
            </w:pPr>
            <w:r>
              <w:t>16,2</w:t>
            </w:r>
          </w:p>
        </w:tc>
      </w:tr>
      <w:tr w:rsidR="00000000">
        <w:tc>
          <w:tcPr>
            <w:tcW w:w="2577" w:type="pct"/>
          </w:tcPr>
          <w:p w:rsidR="00000000" w:rsidRDefault="00000000">
            <w:pPr>
              <w:spacing w:before="60" w:after="60"/>
            </w:pPr>
            <w:r>
              <w:t>Crime ou meurtre</w:t>
            </w:r>
          </w:p>
        </w:tc>
        <w:tc>
          <w:tcPr>
            <w:tcW w:w="1311" w:type="pct"/>
          </w:tcPr>
          <w:p w:rsidR="00000000" w:rsidRDefault="00000000">
            <w:pPr>
              <w:spacing w:before="60" w:after="60"/>
              <w:ind w:right="867"/>
              <w:jc w:val="right"/>
            </w:pPr>
            <w:r>
              <w:t>19</w:t>
            </w:r>
          </w:p>
        </w:tc>
        <w:tc>
          <w:tcPr>
            <w:tcW w:w="1111" w:type="pct"/>
          </w:tcPr>
          <w:p w:rsidR="00000000" w:rsidRDefault="00000000">
            <w:pPr>
              <w:spacing w:before="60" w:after="60"/>
              <w:ind w:right="867"/>
              <w:jc w:val="right"/>
            </w:pPr>
            <w:r>
              <w:t>25,7</w:t>
            </w:r>
          </w:p>
        </w:tc>
      </w:tr>
      <w:tr w:rsidR="00000000">
        <w:tc>
          <w:tcPr>
            <w:tcW w:w="2577" w:type="pct"/>
          </w:tcPr>
          <w:p w:rsidR="00000000" w:rsidRDefault="00000000">
            <w:pPr>
              <w:spacing w:before="60" w:after="60"/>
            </w:pPr>
            <w:r>
              <w:t>Détention illégale d’armes de guerre</w:t>
            </w:r>
          </w:p>
        </w:tc>
        <w:tc>
          <w:tcPr>
            <w:tcW w:w="1311" w:type="pct"/>
          </w:tcPr>
          <w:p w:rsidR="00000000" w:rsidRDefault="00000000">
            <w:pPr>
              <w:spacing w:before="60" w:after="60"/>
              <w:ind w:right="867"/>
              <w:jc w:val="right"/>
            </w:pPr>
            <w:r>
              <w:t>3</w:t>
            </w:r>
          </w:p>
        </w:tc>
        <w:tc>
          <w:tcPr>
            <w:tcW w:w="1111" w:type="pct"/>
          </w:tcPr>
          <w:p w:rsidR="00000000" w:rsidRDefault="00000000">
            <w:pPr>
              <w:spacing w:before="60" w:after="60"/>
              <w:ind w:right="867"/>
              <w:jc w:val="right"/>
            </w:pPr>
            <w:r>
              <w:t>4,1</w:t>
            </w:r>
          </w:p>
        </w:tc>
      </w:tr>
      <w:tr w:rsidR="00000000">
        <w:tc>
          <w:tcPr>
            <w:tcW w:w="2577" w:type="pct"/>
          </w:tcPr>
          <w:p w:rsidR="00000000" w:rsidRDefault="00000000">
            <w:pPr>
              <w:spacing w:before="60" w:after="60"/>
            </w:pPr>
            <w:r>
              <w:t>Motifs non</w:t>
            </w:r>
          </w:p>
        </w:tc>
        <w:tc>
          <w:tcPr>
            <w:tcW w:w="1311" w:type="pct"/>
          </w:tcPr>
          <w:p w:rsidR="00000000" w:rsidRDefault="00000000">
            <w:pPr>
              <w:spacing w:before="60" w:after="60"/>
              <w:ind w:right="867"/>
              <w:jc w:val="right"/>
            </w:pPr>
            <w:r>
              <w:t>2</w:t>
            </w:r>
          </w:p>
        </w:tc>
        <w:tc>
          <w:tcPr>
            <w:tcW w:w="1111" w:type="pct"/>
          </w:tcPr>
          <w:p w:rsidR="00000000" w:rsidRDefault="00000000">
            <w:pPr>
              <w:spacing w:before="60" w:after="60"/>
              <w:ind w:right="867"/>
              <w:jc w:val="right"/>
            </w:pPr>
            <w:r>
              <w:t>2,7</w:t>
            </w:r>
          </w:p>
        </w:tc>
      </w:tr>
      <w:tr w:rsidR="00000000">
        <w:tc>
          <w:tcPr>
            <w:tcW w:w="2577" w:type="pct"/>
          </w:tcPr>
          <w:p w:rsidR="00000000" w:rsidRDefault="00000000">
            <w:pPr>
              <w:spacing w:before="60" w:after="60"/>
            </w:pPr>
            <w:r>
              <w:t>Sans réponse</w:t>
            </w:r>
          </w:p>
        </w:tc>
        <w:tc>
          <w:tcPr>
            <w:tcW w:w="1311" w:type="pct"/>
          </w:tcPr>
          <w:p w:rsidR="00000000" w:rsidRDefault="00000000">
            <w:pPr>
              <w:spacing w:before="60" w:after="60"/>
              <w:ind w:right="867"/>
              <w:jc w:val="right"/>
            </w:pPr>
            <w:r>
              <w:t>1</w:t>
            </w:r>
          </w:p>
        </w:tc>
        <w:tc>
          <w:tcPr>
            <w:tcW w:w="1111" w:type="pct"/>
          </w:tcPr>
          <w:p w:rsidR="00000000" w:rsidRDefault="00000000">
            <w:pPr>
              <w:spacing w:before="60" w:after="60"/>
              <w:ind w:right="867"/>
              <w:jc w:val="right"/>
            </w:pPr>
            <w:r>
              <w:t>1,4</w:t>
            </w:r>
          </w:p>
        </w:tc>
      </w:tr>
      <w:tr w:rsidR="00000000">
        <w:tc>
          <w:tcPr>
            <w:tcW w:w="2577" w:type="pct"/>
          </w:tcPr>
          <w:p w:rsidR="00000000" w:rsidRDefault="00000000">
            <w:pPr>
              <w:spacing w:before="60" w:after="60"/>
            </w:pPr>
            <w:r>
              <w:t>Total</w:t>
            </w:r>
          </w:p>
        </w:tc>
        <w:tc>
          <w:tcPr>
            <w:tcW w:w="1311" w:type="pct"/>
          </w:tcPr>
          <w:p w:rsidR="00000000" w:rsidRDefault="00000000">
            <w:pPr>
              <w:spacing w:before="60" w:after="60"/>
              <w:ind w:right="867"/>
              <w:jc w:val="right"/>
            </w:pPr>
            <w:r>
              <w:t>74</w:t>
            </w:r>
          </w:p>
        </w:tc>
        <w:tc>
          <w:tcPr>
            <w:tcW w:w="1111" w:type="pct"/>
          </w:tcPr>
          <w:p w:rsidR="00000000" w:rsidRDefault="00000000">
            <w:pPr>
              <w:spacing w:before="60" w:after="60"/>
              <w:ind w:right="867"/>
              <w:jc w:val="right"/>
            </w:pPr>
            <w:r>
              <w:t>100,0</w:t>
            </w:r>
          </w:p>
        </w:tc>
      </w:tr>
    </w:tbl>
    <w:p w:rsidR="00000000" w:rsidRDefault="00000000">
      <w:pPr>
        <w:spacing w:before="240" w:after="240"/>
        <w:ind w:firstLine="567"/>
        <w:rPr>
          <w:szCs w:val="18"/>
        </w:rPr>
      </w:pPr>
      <w:r>
        <w:rPr>
          <w:szCs w:val="18"/>
        </w:rPr>
        <w:t>Source: Étude sur les ENPS, UNICEF 2003</w:t>
      </w:r>
    </w:p>
    <w:p w:rsidR="00000000" w:rsidRDefault="00000000">
      <w:pPr>
        <w:spacing w:after="240"/>
      </w:pPr>
      <w:r>
        <w:t>266.</w:t>
      </w:r>
      <w:r>
        <w:tab/>
        <w:t>Selon les services de police, de gendarmerie et de justice, à l’exception de la première et de la troisième infraction, toutes les autres conduisent généralement à des poursuites et à une mise en examen sauf si le délinquant n’est pas pénalement responsable. Comme on l’a souligné, les services de police et de gendarmerie ont plus tendance à pratiquer la garde à vue, à faire des recherches sur les as de vol et à libérer les mineurs même si parfois ils exigent de la part des parents de ces derniers une réparation financière au cas où le délit est confirmé.</w:t>
      </w:r>
    </w:p>
    <w:p w:rsidR="00000000" w:rsidRDefault="00000000">
      <w:pPr>
        <w:spacing w:after="240"/>
      </w:pPr>
      <w:r>
        <w:t>267.</w:t>
      </w:r>
      <w:r>
        <w:tab/>
        <w:t>Une des explications des délits semble être la consommation des boissons alcoolisées (29,3 %) et de la cigarette (25,9 %) et, dans une moindre mesure, la consommation de la drogue douce, des amphétamines et de la dissolution (colle).</w:t>
      </w:r>
    </w:p>
    <w:p w:rsidR="00000000" w:rsidRDefault="00000000">
      <w:pPr>
        <w:spacing w:after="240"/>
        <w:ind w:left="1134" w:hanging="567"/>
        <w:rPr>
          <w:i/>
          <w:iCs/>
        </w:rPr>
      </w:pPr>
      <w:r>
        <w:t>d)</w:t>
      </w:r>
      <w:r>
        <w:rPr>
          <w:i/>
          <w:iCs/>
        </w:rPr>
        <w:tab/>
        <w:t>Le nombre de personnes de moins de 18 ans qui participent à des programmes probatoires de réadaptation spéciale</w:t>
      </w:r>
    </w:p>
    <w:p w:rsidR="00000000" w:rsidRDefault="00000000">
      <w:pPr>
        <w:spacing w:after="240"/>
      </w:pPr>
      <w:r>
        <w:t>268.</w:t>
      </w:r>
      <w:r>
        <w:tab/>
        <w:t>Une nouvelle analyse de la situation des enfants privés de liberté est en cours de réalisation avec l’appui de l’UNICEF afin de définir les actions appropriées dans le cadre de l’administration de la justice pour mineurs.</w:t>
      </w:r>
    </w:p>
    <w:p w:rsidR="00000000" w:rsidRDefault="00000000">
      <w:pPr>
        <w:spacing w:after="240"/>
        <w:ind w:firstLine="567"/>
        <w:rPr>
          <w:i/>
          <w:iCs/>
        </w:rPr>
      </w:pPr>
      <w:r>
        <w:t>e)</w:t>
      </w:r>
      <w:r>
        <w:rPr>
          <w:i/>
          <w:iCs/>
        </w:rPr>
        <w:tab/>
        <w:t>Le pourcentage des récidives.</w:t>
      </w:r>
    </w:p>
    <w:p w:rsidR="00000000" w:rsidRDefault="00000000">
      <w:pPr>
        <w:spacing w:after="240"/>
      </w:pPr>
      <w:r>
        <w:t>269.</w:t>
      </w:r>
      <w:r>
        <w:tab/>
        <w:t>Même si les données ne sont pas disponibles, les enfants privés qui ont subi une condamnation pénale et ont été détenus à la maison d’arrêt, ont tendance à récidiver en raison des contacts pris avec les détenus adultes.</w:t>
      </w:r>
    </w:p>
    <w:p w:rsidR="00000000" w:rsidRDefault="00000000">
      <w:pPr>
        <w:spacing w:after="240"/>
      </w:pPr>
      <w:r>
        <w:t>270.</w:t>
      </w:r>
      <w:r>
        <w:tab/>
        <w:t>Fort de ce constat, un projet d’équipement d’un local devant abriter les mineurs détenus est en cours.</w:t>
      </w:r>
    </w:p>
    <w:p w:rsidR="00000000" w:rsidRDefault="00000000">
      <w:pPr>
        <w:spacing w:after="240"/>
        <w:jc w:val="center"/>
        <w:rPr>
          <w:b/>
          <w:bCs/>
        </w:rPr>
      </w:pPr>
      <w:r>
        <w:rPr>
          <w:b/>
          <w:bCs/>
        </w:rPr>
        <w:t>3.  Les condamnations des jeunes délinquants,  en particulier l’interdiction</w:t>
      </w:r>
      <w:r>
        <w:rPr>
          <w:b/>
          <w:bCs/>
        </w:rPr>
        <w:br/>
        <w:t>de la peine capitale et de l’emprisonnement à vie (art 37)</w:t>
      </w:r>
    </w:p>
    <w:p w:rsidR="00000000" w:rsidRDefault="00000000">
      <w:pPr>
        <w:spacing w:after="240"/>
      </w:pPr>
      <w:r>
        <w:t>271.</w:t>
      </w:r>
      <w:r>
        <w:tab/>
        <w:t>Le principe de la condamnation pénale des mineurs tire sa légalité de la loi nºº7/PR/99 du 6 avril 1999. Cependant si la peine encourue par le mineur est la peine de mort, celle-ci sera substituée à la peine d’emprisonnement de 10 ans ferme. L’emprisonnement à perpétuité n’est pas non plus prononcé à l’égard des mineurs.</w:t>
      </w:r>
    </w:p>
    <w:p w:rsidR="00000000" w:rsidRDefault="00000000">
      <w:pPr>
        <w:spacing w:after="240"/>
      </w:pPr>
      <w:r>
        <w:t>272.</w:t>
      </w:r>
      <w:r>
        <w:tab/>
        <w:t>La loi nº 07/PR/99 du 6 avril 1999 prévoit par ailleurs en son article 23 que si la prévention est établie à l’égard d’un mineur de 13 à moins de 18 ans, la chambre pour enfant pourra prendre une des mesures de garde ou de rééducation prévue au chapitre de ladite loi.</w:t>
      </w:r>
    </w:p>
    <w:p w:rsidR="00000000" w:rsidRDefault="00000000">
      <w:pPr>
        <w:spacing w:after="240"/>
        <w:jc w:val="center"/>
        <w:rPr>
          <w:b/>
          <w:bCs/>
        </w:rPr>
      </w:pPr>
      <w:r>
        <w:rPr>
          <w:b/>
          <w:bCs/>
        </w:rPr>
        <w:t>4.  La réadaptation physique et psychologique et la réinsertion sociale (art. 39)</w:t>
      </w:r>
    </w:p>
    <w:p w:rsidR="00000000" w:rsidRDefault="00000000">
      <w:pPr>
        <w:spacing w:after="240"/>
      </w:pPr>
      <w:r>
        <w:t>273.</w:t>
      </w:r>
      <w:r>
        <w:tab/>
        <w:t xml:space="preserve">Les actions du Gouvernement en matière de réadaptation physique et psychologique des enfants détenus restent pour le moment très limitées en raison du manque de structures d’encadrement appropriées. Certaines ONG appuient le Gouvernement dans l’éducation des enfants détenus dans les maisons d’arrêt. </w:t>
      </w:r>
    </w:p>
    <w:p w:rsidR="00000000" w:rsidRDefault="00000000">
      <w:pPr>
        <w:spacing w:after="240"/>
        <w:jc w:val="center"/>
        <w:rPr>
          <w:b/>
          <w:bCs/>
        </w:rPr>
      </w:pPr>
      <w:r>
        <w:rPr>
          <w:b/>
          <w:bCs/>
        </w:rPr>
        <w:t>C.  Les enfants en situation d’exploitation</w:t>
      </w:r>
    </w:p>
    <w:p w:rsidR="00000000" w:rsidRDefault="00000000">
      <w:pPr>
        <w:spacing w:after="240"/>
        <w:jc w:val="center"/>
        <w:rPr>
          <w:b/>
          <w:bCs/>
        </w:rPr>
      </w:pPr>
      <w:r>
        <w:rPr>
          <w:b/>
          <w:bCs/>
        </w:rPr>
        <w:t>1.</w:t>
      </w:r>
      <w:r>
        <w:t xml:space="preserve">  </w:t>
      </w:r>
      <w:r>
        <w:rPr>
          <w:b/>
          <w:bCs/>
        </w:rPr>
        <w:t>Exploitation économique, notamment le travail des enfants (art. 32)</w:t>
      </w:r>
    </w:p>
    <w:p w:rsidR="00000000" w:rsidRDefault="00000000">
      <w:pPr>
        <w:spacing w:after="240"/>
      </w:pPr>
      <w:r>
        <w:t>274.</w:t>
      </w:r>
      <w:r>
        <w:tab/>
        <w:t>Les textes nationaux ont pris en compte certaines dispositions des Conventions nº 138 et 182 de l’OIT, notamment la Constitution du 31 mars 1996 (art 20, 32, 35 et 38); la loi nº 38 du 11 décembre 1996 portant Code du Travail (art 18, 52, 206, 208 et 210). Le décret nº 55/PR/</w:t>
      </w:r>
      <w:proofErr w:type="spellStart"/>
      <w:r>
        <w:t>PM-MTJS-DTMOPS</w:t>
      </w:r>
      <w:proofErr w:type="spellEnd"/>
      <w:r>
        <w:t xml:space="preserve"> du 8 février 1969 relatif au travail des enfants vient d’être révisé pour tenir compte des dispositions de la Convention nº 182.</w:t>
      </w:r>
    </w:p>
    <w:p w:rsidR="00000000" w:rsidRDefault="00000000">
      <w:pPr>
        <w:spacing w:after="240"/>
        <w:ind w:left="1134" w:hanging="567"/>
      </w:pPr>
      <w:r>
        <w:t>a)</w:t>
      </w:r>
      <w:r>
        <w:tab/>
      </w:r>
      <w:r>
        <w:rPr>
          <w:i/>
          <w:iCs/>
        </w:rPr>
        <w:t>Le nombre et le pourcentage ventilés par type d’emploi des enfants n’ayant pas l’âge minimum d’admission à l’emploi touchés par le travail des enfants, au sens de la Convention nº 138 sur l’âge minimum d’admission à l’emploi et la Convention nº 182 sur les pires formes de travail de l’OIT</w:t>
      </w:r>
    </w:p>
    <w:p w:rsidR="00000000" w:rsidRDefault="00000000">
      <w:pPr>
        <w:spacing w:after="240"/>
      </w:pPr>
      <w:r>
        <w:t>275.</w:t>
      </w:r>
      <w:r>
        <w:tab/>
        <w:t xml:space="preserve">L’enquête sur le travail des enfants dans le secteur informel (UNICEF, 1998 ) a en effet estimé à 19 % la proportion d’enfants travailleurs âgés de 6 à 18 ans dont 5 % d’enfants de 6 à 9 ans, 18 % de moins de 12 ans et 28 % de 13 à 14 ans. </w:t>
      </w:r>
    </w:p>
    <w:p w:rsidR="00000000" w:rsidRDefault="00000000">
      <w:pPr>
        <w:spacing w:after="240"/>
      </w:pPr>
      <w:r>
        <w:t>276.</w:t>
      </w:r>
      <w:r>
        <w:tab/>
        <w:t>Les résultats de l’</w:t>
      </w:r>
      <w:proofErr w:type="spellStart"/>
      <w:r>
        <w:t>EDST</w:t>
      </w:r>
      <w:proofErr w:type="spellEnd"/>
      <w:r>
        <w:t xml:space="preserve"> 2004 ont montré que 3,3 % des enfants âgés de 5 à 14 ans effectuent un travail rémunéré, tandis que 23,3 % participent à un travail non rémunéré pour une personne autre qu’un membre du ménage. Dans l’ensemble, 73,9 % des enfants effectuent des tâches domestiques, telles que la cuisine, la collecte de l’eau et s’occupent d’autres enfants, pendant moins de quatre heures par jour, tandis que 7,3 % consacrent plus de quatre heures par jour à ces tâches.</w:t>
      </w:r>
    </w:p>
    <w:p w:rsidR="00000000" w:rsidRDefault="00000000">
      <w:pPr>
        <w:spacing w:after="240"/>
      </w:pPr>
      <w:r>
        <w:t>277.</w:t>
      </w:r>
      <w:r>
        <w:tab/>
        <w:t xml:space="preserve">En général, 65,5 % des enfants sont considérés comme travailleurs à l’heure actuelle. La différence est très peu perceptible entre les garçons et les filles (66,5 % des garçons et 64,6 % des filles). Les enfants dans les zones rurales ont beaucoup plus de risque de travailler que ceux des zones urbaines (69,5 % contre 52,3 %). Cette situation est la conséquence de la nature même des emplois ruraux de type traditionnel (travaux liés à l’agriculture, faire paître les animaux, etc.) qui ne requièrent pas de qualification particulière. </w:t>
      </w:r>
    </w:p>
    <w:p w:rsidR="00000000" w:rsidRDefault="00000000">
      <w:pPr>
        <w:spacing w:after="240"/>
      </w:pPr>
      <w:r>
        <w:t>278.</w:t>
      </w:r>
      <w:r>
        <w:tab/>
        <w:t>Dans la catégorie d’enfants qui exécutent des travaux liés à l’agriculture, l’élevage ou le commerce, les garçons (58,5 %) sont relativement plus nombreux que les filles (52,0 %). La différence selon le milieu de résidence révèle que 61,6 % d’enfants ruraux travaillent dans l’agriculture ou l’élevage contre seulement 34, 3 % d’enfants résidant en milieu urbain.</w:t>
      </w:r>
    </w:p>
    <w:p w:rsidR="00000000" w:rsidRDefault="00000000">
      <w:pPr>
        <w:spacing w:after="240"/>
      </w:pPr>
      <w:r>
        <w:t>279.</w:t>
      </w:r>
      <w:r>
        <w:tab/>
        <w:t xml:space="preserve">Des études ont été également réalisées en 2005 sur la problématique du travail domestique des enfants dans la ville de N’Djamena et les enfants </w:t>
      </w:r>
      <w:proofErr w:type="spellStart"/>
      <w:r>
        <w:rPr>
          <w:i/>
          <w:iCs/>
        </w:rPr>
        <w:t>mouhadjirin</w:t>
      </w:r>
      <w:proofErr w:type="spellEnd"/>
      <w:r>
        <w:t xml:space="preserve"> dans les camps des réfugiés et les communautés à l’est du Tchad; elles ont permis de mieux connaître ces phénomènes et de mieux cibler les interventions en leur faveur. </w:t>
      </w:r>
    </w:p>
    <w:p w:rsidR="00000000" w:rsidRDefault="00000000">
      <w:pPr>
        <w:spacing w:after="240"/>
        <w:ind w:left="1134" w:hanging="567"/>
        <w:rPr>
          <w:b/>
          <w:bCs/>
        </w:rPr>
      </w:pPr>
      <w:r>
        <w:t>b)</w:t>
      </w:r>
      <w:r>
        <w:tab/>
      </w:r>
      <w:r>
        <w:rPr>
          <w:i/>
          <w:iCs/>
        </w:rPr>
        <w:t>Le nombre et le pourcentage de ces enfants qui ont accès à une aide à la réadaptation et à la réinsertion, y compris l’accès gratuit à l’éducation de base et/ou à la formation professionnelle</w:t>
      </w:r>
    </w:p>
    <w:p w:rsidR="00000000" w:rsidRDefault="00000000">
      <w:pPr>
        <w:spacing w:after="240"/>
        <w:rPr>
          <w:bCs/>
        </w:rPr>
      </w:pPr>
      <w:r>
        <w:rPr>
          <w:bCs/>
        </w:rPr>
        <w:t>280.</w:t>
      </w:r>
      <w:r>
        <w:rPr>
          <w:bCs/>
        </w:rPr>
        <w:tab/>
        <w:t xml:space="preserve">Le Gouvernement a développé et mis en œuvre, en collaboration avec des ONGS, un programme de réinsertion familiale et </w:t>
      </w:r>
      <w:proofErr w:type="spellStart"/>
      <w:r>
        <w:rPr>
          <w:bCs/>
        </w:rPr>
        <w:t>socio</w:t>
      </w:r>
      <w:proofErr w:type="spellEnd"/>
      <w:r>
        <w:rPr>
          <w:bCs/>
        </w:rPr>
        <w:t xml:space="preserve"> économique pour la prise en charge des ENPS dont font partie les enfants victimes des pires formes de travail. À cet effet, </w:t>
      </w:r>
      <w:r>
        <w:t>les structures d’encadrement des ENPS ont été équipées et dotées de fournitures scolaires. De 2002 à 2004, au total 1450 enfants ont pu jouir de leur droit à l’éducation: 1 163 étaient scolarisés et dotés de fournitures scolaires appropriées tandis que 105 ont été placés dans des ateliers pour l’apprentissage professionnel, assistés par le paiement des frais exigés et la dotation de kits outils dans le cadre du programme.</w:t>
      </w:r>
    </w:p>
    <w:p w:rsidR="00000000" w:rsidRDefault="00000000">
      <w:pPr>
        <w:spacing w:after="240"/>
        <w:jc w:val="center"/>
        <w:rPr>
          <w:b/>
          <w:bCs/>
        </w:rPr>
      </w:pPr>
      <w:r>
        <w:rPr>
          <w:b/>
          <w:bCs/>
        </w:rPr>
        <w:t>2.  L’usage des stupéfiants</w:t>
      </w:r>
      <w:r>
        <w:t xml:space="preserve"> </w:t>
      </w:r>
      <w:r>
        <w:rPr>
          <w:b/>
          <w:bCs/>
        </w:rPr>
        <w:t>(art. 33)</w:t>
      </w:r>
    </w:p>
    <w:p w:rsidR="00000000" w:rsidRDefault="00000000">
      <w:pPr>
        <w:spacing w:after="240"/>
      </w:pPr>
      <w:r>
        <w:t>281.</w:t>
      </w:r>
      <w:r>
        <w:tab/>
        <w:t>Le contexte juridique en la matière reste identique à la situation évoquée dans le rapport initial. Et il n’existe pas de données ventilées quant au nombre d’enfants aussi bien touchés par l’usage de stupéfiants que ceux recevant un traitement, une assistance et des services de réadaptation.</w:t>
      </w:r>
    </w:p>
    <w:p w:rsidR="00000000" w:rsidRDefault="00000000">
      <w:pPr>
        <w:spacing w:after="240"/>
        <w:jc w:val="center"/>
        <w:rPr>
          <w:b/>
          <w:bCs/>
        </w:rPr>
      </w:pPr>
      <w:r>
        <w:rPr>
          <w:b/>
          <w:bCs/>
        </w:rPr>
        <w:t>3.  L’exploitation et les violence sexuelles (art. 34)</w:t>
      </w:r>
    </w:p>
    <w:p w:rsidR="00000000" w:rsidRDefault="00000000">
      <w:pPr>
        <w:spacing w:after="240"/>
      </w:pPr>
      <w:r>
        <w:t>282.</w:t>
      </w:r>
      <w:r>
        <w:tab/>
        <w:t xml:space="preserve">En application des recommandations des rencontres internationales dont Stockholm (1996), Rabat (2001 et 2004) et Bamako (2002), le Tchad a élaboré un plan d’action national de lutte contre les abus et exploitations sexuels. </w:t>
      </w:r>
    </w:p>
    <w:p w:rsidR="00000000" w:rsidRDefault="00000000">
      <w:pPr>
        <w:spacing w:after="240"/>
      </w:pPr>
      <w:r>
        <w:t>283.</w:t>
      </w:r>
      <w:r>
        <w:tab/>
        <w:t xml:space="preserve">La révision de certaines dispositions du Code pénal en faveur des enfants a pris en compte la répression des abus et exploitation sexuels avec des peines plus sévères quand les victimes sont des mineurs. </w:t>
      </w:r>
    </w:p>
    <w:p w:rsidR="00000000" w:rsidRDefault="00000000">
      <w:pPr>
        <w:spacing w:after="240"/>
      </w:pPr>
      <w:r>
        <w:t>284.</w:t>
      </w:r>
      <w:r>
        <w:tab/>
        <w:t>L’exploitation sexuelle est punie par les articles 271 à 277 du Code pénal. Dans le souci d’harmoniser le Code pénal avec la Convention, un projet de loi modifiant et complétant certaines dispositions du Code est en cours.</w:t>
      </w:r>
    </w:p>
    <w:p w:rsidR="00000000" w:rsidRDefault="00000000">
      <w:pPr>
        <w:spacing w:after="240"/>
      </w:pPr>
      <w:r>
        <w:t>285.</w:t>
      </w:r>
      <w:r>
        <w:tab/>
        <w:t xml:space="preserve">Le viol est assimilé à l’exploitation sexuelle et est pris en compte dans l’article 28. Sont aussi prévus: le harcèlement sexuel (art.36 à 38), la pédophilie (art.42 à 44), le racolage (art.45 à46), la prostitution des mineurs et le mariage précoce. </w:t>
      </w:r>
    </w:p>
    <w:p w:rsidR="00000000" w:rsidRDefault="00000000">
      <w:pPr>
        <w:spacing w:after="240"/>
      </w:pPr>
      <w:r>
        <w:t>286.</w:t>
      </w:r>
      <w:r>
        <w:tab/>
        <w:t xml:space="preserve">Dans le cadre du projet de lutte contre l’exploitation sexuelle, l’accent a été mis sur la sensibilisation des jeunes sur les risques de l’exploitation sexuelle, du mariage précoce et des mariages </w:t>
      </w:r>
      <w:proofErr w:type="spellStart"/>
      <w:r>
        <w:t>endogamiques</w:t>
      </w:r>
      <w:proofErr w:type="spellEnd"/>
      <w:r>
        <w:t xml:space="preserve">, des mutilations génitales féminines et un plan d’action national de lutte contre l’exploitation sexuelle des enfants a été élaboré et validé en avril 2005. </w:t>
      </w:r>
    </w:p>
    <w:p w:rsidR="00000000" w:rsidRDefault="00000000">
      <w:pPr>
        <w:spacing w:after="240"/>
      </w:pPr>
      <w:r>
        <w:t>287.</w:t>
      </w:r>
      <w:r>
        <w:tab/>
        <w:t>Parmi les initiatives de la société civile, on peut citer:</w:t>
      </w:r>
    </w:p>
    <w:p w:rsidR="00000000" w:rsidRDefault="00000000">
      <w:pPr>
        <w:numPr>
          <w:ilvl w:val="0"/>
          <w:numId w:val="144"/>
        </w:numPr>
        <w:spacing w:after="240"/>
      </w:pPr>
      <w:r>
        <w:t>Recherches sur le harcèlement sexuel en milieu scolaire et l’exode des filles, études commanditées par la CELIAF (2005);</w:t>
      </w:r>
    </w:p>
    <w:p w:rsidR="00000000" w:rsidRDefault="00000000">
      <w:pPr>
        <w:numPr>
          <w:ilvl w:val="0"/>
          <w:numId w:val="144"/>
        </w:numPr>
        <w:spacing w:after="240"/>
      </w:pPr>
      <w:r>
        <w:t xml:space="preserve">La vulgarisation des droits de l’enfant ainsi que l’écoute et l’assistance juridique. </w:t>
      </w:r>
    </w:p>
    <w:p w:rsidR="00000000" w:rsidRDefault="00000000">
      <w:pPr>
        <w:spacing w:after="240"/>
      </w:pPr>
      <w:r>
        <w:t>288.</w:t>
      </w:r>
      <w:r>
        <w:tab/>
        <w:t>Bien qu’il n’existe pas de statistiques sur le plan national, l’étude qualitative et quantitative réalisée avec l’appui de l’Unicef, en 2003 dans sept villes du pays sur les enfants nécessitant une protection avec focalisation sur les enfants victimes d’abus a permis de mieux connaître l’ampleur du phénomène.</w:t>
      </w:r>
    </w:p>
    <w:p w:rsidR="00000000" w:rsidRDefault="00000000">
      <w:pPr>
        <w:spacing w:after="240"/>
      </w:pPr>
      <w:r>
        <w:t>289.</w:t>
      </w:r>
      <w:r>
        <w:tab/>
        <w:t xml:space="preserve">Il ressort de cette étude qu’au total 155 cas d’abus sexuels ont été recensés auprès des services étatiques et privés. Les catégories recensées d’abus sexuels sur les enfants et révélées par les services officiels sont: le viol qui est la première catégorie avec un taux de 71, 4 % puis la tentative de viol (13,1 %), le harcèlement sexuel (9,7 %), l’attouchement (1,7 %) et l’attentat à la pudeur (4 %). </w:t>
      </w:r>
    </w:p>
    <w:p w:rsidR="00000000" w:rsidRDefault="00000000">
      <w:pPr>
        <w:spacing w:after="240"/>
      </w:pPr>
      <w:r>
        <w:t>290.</w:t>
      </w:r>
      <w:r>
        <w:tab/>
        <w:t xml:space="preserve">Les principales victimes sont les filles (97 %), notamment les vendeuses ambulantes, les domestiques et les élèves mais on trouve également les garçons dans le milieu des enfants vivant dans les rues (4,5 %). </w:t>
      </w:r>
    </w:p>
    <w:p w:rsidR="00000000" w:rsidRDefault="00000000">
      <w:pPr>
        <w:spacing w:after="240"/>
      </w:pPr>
      <w:r>
        <w:t>291.</w:t>
      </w:r>
      <w:r>
        <w:tab/>
        <w:t xml:space="preserve">Toujours selon l’étude, les enfants sont souvent abusés dans les milieux d’encadrement à caractère familial avec un taux de 42,2 % ou éducatif (10,3 %) et dans d’autres espaces tels que le lieu de travail, les structures d’accueil, la rue et le domicile de l’abuseur. Compte tenu du fait que les auteurs sont connus du milieu de la victime où ont pour la plupart autorité sur elle, près de la moitié (47 %) des auteurs d’abus ne font l’objet d’aucune mesure particulière. </w:t>
      </w:r>
    </w:p>
    <w:p w:rsidR="00000000" w:rsidRDefault="00000000">
      <w:pPr>
        <w:spacing w:after="240"/>
        <w:jc w:val="center"/>
      </w:pPr>
      <w:r>
        <w:rPr>
          <w:b/>
          <w:bCs/>
        </w:rPr>
        <w:t>4.  Les autres formes d’exploitation</w:t>
      </w:r>
      <w:r>
        <w:t xml:space="preserve"> </w:t>
      </w:r>
      <w:r>
        <w:rPr>
          <w:b/>
          <w:bCs/>
        </w:rPr>
        <w:t>(art. 36)</w:t>
      </w:r>
    </w:p>
    <w:p w:rsidR="00000000" w:rsidRDefault="00000000">
      <w:pPr>
        <w:spacing w:after="240"/>
      </w:pPr>
      <w:r>
        <w:t>292.</w:t>
      </w:r>
      <w:r>
        <w:tab/>
        <w:t xml:space="preserve">Les autres formes d’exploitation identifiées au Tchad sont les MGF, les mariages précoces et les enfants passeurs (enfants utilisés par les fraudeurs pour le passage des marchandises d’une frontière à une autre et les enfants sous tutelle). Une fois l’avant-projet de loi révisant le Code pénal promulgué, les MGF et mariages précoces seront portés devant les tribunaux répressifs. Mais déjà les tribunaux civils saisis d’affaires de mariages précoces, prononcent l’annulation desdits mariages. </w:t>
      </w:r>
    </w:p>
    <w:p w:rsidR="00000000" w:rsidRDefault="00000000">
      <w:pPr>
        <w:spacing w:after="240"/>
      </w:pPr>
      <w:r>
        <w:t>293.</w:t>
      </w:r>
      <w:r>
        <w:tab/>
        <w:t xml:space="preserve">Dans le cadre de la lutte contre les MGF, des campagnes de sensibilisation sont menées en collaboration avec le </w:t>
      </w:r>
      <w:proofErr w:type="spellStart"/>
      <w:r>
        <w:t>CONACIAF-Tchad</w:t>
      </w:r>
      <w:proofErr w:type="spellEnd"/>
      <w:r>
        <w:t xml:space="preserve"> et des réseaux de lutte sont installés dans les zones où ce phénomène se pratique. Les programmes de formation de médecins, infirmiers et assistants sociaux ont intégré les </w:t>
      </w:r>
      <w:proofErr w:type="spellStart"/>
      <w:r>
        <w:t>MGF</w:t>
      </w:r>
      <w:proofErr w:type="spellEnd"/>
      <w:r>
        <w:t>.</w:t>
      </w:r>
    </w:p>
    <w:p w:rsidR="00000000" w:rsidRDefault="00000000">
      <w:pPr>
        <w:spacing w:after="240"/>
        <w:jc w:val="center"/>
      </w:pPr>
      <w:r>
        <w:rPr>
          <w:b/>
          <w:bCs/>
        </w:rPr>
        <w:t>5.  La vente, la traite et l’enlèvement des enfants (art. 35)</w:t>
      </w:r>
    </w:p>
    <w:p w:rsidR="00000000" w:rsidRDefault="00000000">
      <w:pPr>
        <w:spacing w:after="240"/>
      </w:pPr>
      <w:r>
        <w:t>294.</w:t>
      </w:r>
      <w:r>
        <w:tab/>
        <w:t xml:space="preserve">Le Tchad, cité pendant longtemps comme un pays où la traite des enfants est méconnue, n’est plus à l’abri avec l’apparition du phénomène des enfants bouviers considéré comme une forme de traite d’enfants et des cas de vol d’enfants signalées ça et là. </w:t>
      </w:r>
    </w:p>
    <w:p w:rsidR="00000000" w:rsidRDefault="00000000">
      <w:pPr>
        <w:spacing w:after="240"/>
      </w:pPr>
      <w:r>
        <w:t>295.</w:t>
      </w:r>
      <w:r>
        <w:tab/>
        <w:t>Les enquêtes sur le travail des enfants dits bouviers (UNICEF, 1999 et 2001), c’est-à-dire des enfants des milieux ruraux recrutés pour la garde des troupeaux moyennant la promesse d’une récompense en nature (bœuf, chameau etc.) n’ont pas permis de quantifier les victimes du phénomène mais elles ont montré la série de transactions permettant de parler de vente d’enfants mineurs ainsi que les violences auxquelles ils sont soumis.</w:t>
      </w:r>
    </w:p>
    <w:p w:rsidR="00000000" w:rsidRDefault="00000000">
      <w:pPr>
        <w:spacing w:after="240"/>
      </w:pPr>
      <w:r>
        <w:t>296.</w:t>
      </w:r>
      <w:r>
        <w:tab/>
        <w:t xml:space="preserve">Pour faire face à l’exploitation économique des enfants notamment les enfants bouviers, le Gouvernement et ses partenaires ont mis l’accent sur le plaidoyer, la mobilisation sociale et la Communication pour le Changement de Comportement. À cet effet, un Plan intégré de communication (PIC) sur le travail des enfants bouviers, impliquant tous les acteurs, a été élaboré et mis en œuvre depuis 2002 avec l’appui de l’UNICEF. </w:t>
      </w:r>
    </w:p>
    <w:p w:rsidR="00000000" w:rsidRDefault="00000000">
      <w:pPr>
        <w:spacing w:after="240"/>
      </w:pPr>
      <w:r>
        <w:t>297.</w:t>
      </w:r>
      <w:r>
        <w:tab/>
        <w:t>Les actions menées à travers cette stratégie ont débouché sur l’engagement des autorités administratives et religieuses dans la lutte. Des résultats ont été obtenus notamment la réduction du phénomène dans certaines zones en même temps que la récupération d’enfants bouviers et la réintégration dans leur famille. Au total, 264 enfants ont été récupérés et réinsérés dans leur famille en 2004 et 2005.Pour la pérennisation des ces actions, un réseau de lutte contre le phénomène des enfants bouviers a été mis en place en mars 2006 avec l’appui de l’UNICEF.</w:t>
      </w:r>
    </w:p>
    <w:p w:rsidR="00000000" w:rsidRDefault="00000000">
      <w:pPr>
        <w:spacing w:after="240"/>
      </w:pPr>
      <w:r>
        <w:t>298.</w:t>
      </w:r>
      <w:r>
        <w:tab/>
        <w:t xml:space="preserve">Tenant aussi compte du caractère transversal de la traite et dans le cadre de la coopération bilatérale, une équipe de trois formateurs de formateurs tchadiens a été formée au Cameroun sur les droits et la protection des enfants en situation de traite. </w:t>
      </w:r>
    </w:p>
    <w:p w:rsidR="00000000" w:rsidRDefault="00000000">
      <w:pPr>
        <w:spacing w:after="240"/>
      </w:pPr>
      <w:r>
        <w:t>299.</w:t>
      </w:r>
      <w:r>
        <w:tab/>
        <w:t xml:space="preserve">Par ailleurs, le Tchad a pris part à la réunion des experts sur la question de la traite des personnes, en particulier des femmes et des enfants, réunion consacrée à l’examen du Plan d’action régional et de l’accord multilatéral de coopération de lutte contre la traite des personnes, en particulier des femmes et des enfants. </w:t>
      </w:r>
    </w:p>
    <w:p w:rsidR="00000000" w:rsidRDefault="00000000">
      <w:pPr>
        <w:spacing w:after="240"/>
      </w:pPr>
      <w:r>
        <w:t>300.</w:t>
      </w:r>
      <w:r>
        <w:tab/>
        <w:t xml:space="preserve">Le Plan d’action régional et l’accord multilatéral ont été soumis à la signature à la conférence ministérielle des pays membres de la CEEAC et CEDEAO, tenue du 6 au 7 juillet 2006 à Abuja. Le Tchad a participé à cette réunion et signé ces documents. </w:t>
      </w:r>
    </w:p>
    <w:p w:rsidR="00000000" w:rsidRDefault="00000000">
      <w:pPr>
        <w:spacing w:after="240"/>
        <w:jc w:val="center"/>
        <w:rPr>
          <w:b/>
          <w:bCs/>
        </w:rPr>
      </w:pPr>
      <w:r>
        <w:rPr>
          <w:b/>
          <w:bCs/>
        </w:rPr>
        <w:t>D.  Les enfants appartenant à une minorité ou à un groupe autochtone (art 30)</w:t>
      </w:r>
      <w:r>
        <w:rPr>
          <w:b/>
          <w:bCs/>
        </w:rPr>
        <w:br/>
        <w:t>(voir CRC/C/3/Add.50, par. 203)</w:t>
      </w:r>
    </w:p>
    <w:p w:rsidR="00000000" w:rsidRDefault="00000000">
      <w:pPr>
        <w:spacing w:after="240"/>
        <w:jc w:val="center"/>
        <w:rPr>
          <w:b/>
          <w:bCs/>
        </w:rPr>
      </w:pPr>
      <w:r>
        <w:rPr>
          <w:b/>
          <w:bCs/>
        </w:rPr>
        <w:t>E.  Les enfants vivant ou travaillant dans la rue</w:t>
      </w:r>
    </w:p>
    <w:p w:rsidR="00000000" w:rsidRDefault="00000000">
      <w:pPr>
        <w:spacing w:after="240"/>
      </w:pPr>
      <w:r>
        <w:rPr>
          <w:bCs/>
          <w:iCs/>
        </w:rPr>
        <w:t>301.</w:t>
      </w:r>
      <w:r>
        <w:rPr>
          <w:bCs/>
          <w:iCs/>
        </w:rPr>
        <w:tab/>
        <w:t>Selon le rapport de l’étude UNICEF sur les ENPS 2003, 7031 enfants ont été identifiés dans les 7 villes enquêtées. Le tableau suivant présente les</w:t>
      </w:r>
      <w:r>
        <w:t xml:space="preserve"> données par ville. </w:t>
      </w:r>
    </w:p>
    <w:p w:rsidR="00000000" w:rsidRDefault="00000000">
      <w:pPr>
        <w:spacing w:after="240"/>
        <w:jc w:val="center"/>
        <w:rPr>
          <w:b/>
          <w:bCs/>
        </w:rPr>
      </w:pPr>
      <w:bookmarkStart w:id="31" w:name="_Toc38970970"/>
      <w:bookmarkStart w:id="32" w:name="_Toc38971614"/>
      <w:bookmarkStart w:id="33" w:name="_Toc39033974"/>
      <w:bookmarkStart w:id="34" w:name="_Toc46046637"/>
      <w:bookmarkStart w:id="35" w:name="_Toc61078437"/>
      <w:bookmarkStart w:id="36" w:name="_Toc66899263"/>
      <w:bookmarkStart w:id="37" w:name="_Toc66902694"/>
      <w:bookmarkStart w:id="38" w:name="_Toc66973904"/>
      <w:r>
        <w:rPr>
          <w:b/>
          <w:bCs/>
        </w:rPr>
        <w:t>Tableau 18.  Répartition des enfants recensés vivant dans la rue</w:t>
      </w:r>
      <w:bookmarkEnd w:id="36"/>
      <w:bookmarkEnd w:id="37"/>
      <w:bookmarkEnd w:id="38"/>
      <w:r>
        <w:rPr>
          <w:b/>
          <w:bCs/>
        </w:rPr>
        <w:t xml:space="preserve"> </w:t>
      </w:r>
      <w:bookmarkStart w:id="39" w:name="_Toc66899264"/>
      <w:bookmarkStart w:id="40" w:name="_Toc66902695"/>
      <w:bookmarkStart w:id="41" w:name="_Toc66973905"/>
      <w:r>
        <w:rPr>
          <w:b/>
          <w:bCs/>
        </w:rPr>
        <w:t>et vivant de la rue</w:t>
      </w:r>
      <w:bookmarkEnd w:id="31"/>
      <w:bookmarkEnd w:id="32"/>
      <w:bookmarkEnd w:id="33"/>
      <w:bookmarkEnd w:id="34"/>
      <w:bookmarkEnd w:id="35"/>
      <w:bookmarkEnd w:id="39"/>
      <w:bookmarkEnd w:id="40"/>
      <w:bookmarkEnd w:id="41"/>
    </w:p>
    <w:tbl>
      <w:tblPr>
        <w:tblW w:w="4865" w:type="pct"/>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1822"/>
        <w:gridCol w:w="4576"/>
        <w:gridCol w:w="2842"/>
      </w:tblGrid>
      <w:tr w:rsidR="00000000">
        <w:tblPrEx>
          <w:tblCellMar>
            <w:top w:w="0" w:type="dxa"/>
            <w:bottom w:w="0" w:type="dxa"/>
          </w:tblCellMar>
        </w:tblPrEx>
        <w:trPr>
          <w:cantSplit/>
        </w:trPr>
        <w:tc>
          <w:tcPr>
            <w:tcW w:w="986" w:type="pct"/>
            <w:vMerge w:val="restart"/>
            <w:vAlign w:val="center"/>
          </w:tcPr>
          <w:p w:rsidR="00000000" w:rsidRDefault="00000000">
            <w:pPr>
              <w:spacing w:before="60" w:after="60"/>
              <w:jc w:val="center"/>
            </w:pPr>
            <w:r>
              <w:t>Villes</w:t>
            </w:r>
          </w:p>
        </w:tc>
        <w:tc>
          <w:tcPr>
            <w:tcW w:w="4014" w:type="pct"/>
            <w:gridSpan w:val="2"/>
            <w:vAlign w:val="center"/>
          </w:tcPr>
          <w:p w:rsidR="00000000" w:rsidRDefault="00000000">
            <w:pPr>
              <w:spacing w:before="60" w:after="60"/>
              <w:jc w:val="center"/>
            </w:pPr>
            <w:bookmarkStart w:id="42" w:name="_Toc38970971"/>
            <w:bookmarkStart w:id="43" w:name="_Toc38971615"/>
            <w:bookmarkStart w:id="44" w:name="_Toc39033975"/>
            <w:bookmarkStart w:id="45" w:name="_Toc46046638"/>
            <w:bookmarkStart w:id="46" w:name="_Toc61078438"/>
            <w:bookmarkStart w:id="47" w:name="_Toc66899265"/>
            <w:bookmarkStart w:id="48" w:name="_Toc66902696"/>
            <w:bookmarkStart w:id="49" w:name="_Toc66973906"/>
            <w:r>
              <w:t>Enfants vivant dans la rue et vivant de la rue</w:t>
            </w:r>
            <w:bookmarkEnd w:id="42"/>
            <w:bookmarkEnd w:id="43"/>
            <w:bookmarkEnd w:id="44"/>
            <w:bookmarkEnd w:id="45"/>
            <w:bookmarkEnd w:id="46"/>
            <w:bookmarkEnd w:id="47"/>
            <w:bookmarkEnd w:id="48"/>
            <w:bookmarkEnd w:id="49"/>
          </w:p>
        </w:tc>
      </w:tr>
      <w:tr w:rsidR="00000000">
        <w:tblPrEx>
          <w:tblCellMar>
            <w:top w:w="0" w:type="dxa"/>
            <w:bottom w:w="0" w:type="dxa"/>
          </w:tblCellMar>
        </w:tblPrEx>
        <w:trPr>
          <w:cantSplit/>
        </w:trPr>
        <w:tc>
          <w:tcPr>
            <w:tcW w:w="986" w:type="pct"/>
            <w:vMerge/>
            <w:vAlign w:val="center"/>
          </w:tcPr>
          <w:p w:rsidR="00000000" w:rsidRDefault="00000000">
            <w:pPr>
              <w:spacing w:before="60" w:after="60"/>
              <w:jc w:val="center"/>
            </w:pPr>
          </w:p>
        </w:tc>
        <w:tc>
          <w:tcPr>
            <w:tcW w:w="2476" w:type="pct"/>
            <w:vAlign w:val="center"/>
          </w:tcPr>
          <w:p w:rsidR="00000000" w:rsidRDefault="00000000">
            <w:pPr>
              <w:spacing w:before="60" w:after="60"/>
              <w:jc w:val="center"/>
            </w:pPr>
            <w:r>
              <w:t>Effectifs</w:t>
            </w:r>
          </w:p>
        </w:tc>
        <w:tc>
          <w:tcPr>
            <w:tcW w:w="1538" w:type="pct"/>
            <w:vAlign w:val="center"/>
          </w:tcPr>
          <w:p w:rsidR="00000000" w:rsidRDefault="00000000">
            <w:pPr>
              <w:spacing w:before="60" w:after="60"/>
              <w:jc w:val="center"/>
            </w:pPr>
            <w:r>
              <w:t>Pourcentages</w:t>
            </w:r>
          </w:p>
        </w:tc>
      </w:tr>
      <w:tr w:rsidR="00000000">
        <w:tblPrEx>
          <w:tblCellMar>
            <w:top w:w="0" w:type="dxa"/>
            <w:bottom w:w="0" w:type="dxa"/>
          </w:tblCellMar>
        </w:tblPrEx>
        <w:tc>
          <w:tcPr>
            <w:tcW w:w="986" w:type="pct"/>
          </w:tcPr>
          <w:p w:rsidR="00000000" w:rsidRDefault="00000000">
            <w:pPr>
              <w:spacing w:before="60" w:after="60"/>
            </w:pPr>
            <w:r>
              <w:t>Abéché</w:t>
            </w:r>
          </w:p>
        </w:tc>
        <w:tc>
          <w:tcPr>
            <w:tcW w:w="2476" w:type="pct"/>
          </w:tcPr>
          <w:p w:rsidR="00000000" w:rsidRDefault="00000000">
            <w:pPr>
              <w:spacing w:before="60" w:after="60"/>
              <w:ind w:right="2008"/>
              <w:jc w:val="right"/>
              <w:rPr>
                <w:lang w:val="en-GB"/>
              </w:rPr>
            </w:pPr>
            <w:r>
              <w:rPr>
                <w:lang w:val="en-GB"/>
              </w:rPr>
              <w:t>467</w:t>
            </w:r>
          </w:p>
        </w:tc>
        <w:tc>
          <w:tcPr>
            <w:tcW w:w="1538" w:type="pct"/>
          </w:tcPr>
          <w:p w:rsidR="00000000" w:rsidRDefault="00000000">
            <w:pPr>
              <w:spacing w:before="60" w:after="60"/>
              <w:ind w:right="1196"/>
              <w:jc w:val="right"/>
              <w:rPr>
                <w:lang w:val="en-GB"/>
              </w:rPr>
            </w:pPr>
            <w:r>
              <w:rPr>
                <w:lang w:val="en-GB"/>
              </w:rPr>
              <w:t>6,6</w:t>
            </w:r>
          </w:p>
        </w:tc>
      </w:tr>
      <w:tr w:rsidR="00000000">
        <w:tblPrEx>
          <w:tblCellMar>
            <w:top w:w="0" w:type="dxa"/>
            <w:bottom w:w="0" w:type="dxa"/>
          </w:tblCellMar>
        </w:tblPrEx>
        <w:tc>
          <w:tcPr>
            <w:tcW w:w="986" w:type="pct"/>
          </w:tcPr>
          <w:p w:rsidR="00000000" w:rsidRDefault="00000000">
            <w:pPr>
              <w:spacing w:before="60" w:after="60"/>
              <w:rPr>
                <w:lang w:val="en-GB"/>
              </w:rPr>
            </w:pPr>
            <w:proofErr w:type="spellStart"/>
            <w:r>
              <w:rPr>
                <w:lang w:val="en-GB"/>
              </w:rPr>
              <w:t>Bongor</w:t>
            </w:r>
            <w:proofErr w:type="spellEnd"/>
          </w:p>
        </w:tc>
        <w:tc>
          <w:tcPr>
            <w:tcW w:w="2476" w:type="pct"/>
          </w:tcPr>
          <w:p w:rsidR="00000000" w:rsidRDefault="00000000">
            <w:pPr>
              <w:spacing w:before="60" w:after="60"/>
              <w:ind w:right="2008"/>
              <w:jc w:val="right"/>
              <w:rPr>
                <w:lang w:val="en-GB"/>
              </w:rPr>
            </w:pPr>
            <w:r>
              <w:rPr>
                <w:lang w:val="en-GB"/>
              </w:rPr>
              <w:t>505</w:t>
            </w:r>
          </w:p>
        </w:tc>
        <w:tc>
          <w:tcPr>
            <w:tcW w:w="1538" w:type="pct"/>
          </w:tcPr>
          <w:p w:rsidR="00000000" w:rsidRDefault="00000000">
            <w:pPr>
              <w:spacing w:before="60" w:after="60"/>
              <w:ind w:right="1196"/>
              <w:jc w:val="right"/>
              <w:rPr>
                <w:lang w:val="en-GB"/>
              </w:rPr>
            </w:pPr>
            <w:r>
              <w:rPr>
                <w:lang w:val="en-GB"/>
              </w:rPr>
              <w:t>7,2</w:t>
            </w:r>
          </w:p>
        </w:tc>
      </w:tr>
      <w:tr w:rsidR="00000000">
        <w:tblPrEx>
          <w:tblCellMar>
            <w:top w:w="0" w:type="dxa"/>
            <w:bottom w:w="0" w:type="dxa"/>
          </w:tblCellMar>
        </w:tblPrEx>
        <w:tc>
          <w:tcPr>
            <w:tcW w:w="986" w:type="pct"/>
          </w:tcPr>
          <w:p w:rsidR="00000000" w:rsidRDefault="00000000">
            <w:pPr>
              <w:spacing w:before="60" w:after="60"/>
              <w:rPr>
                <w:lang w:val="en-GB"/>
              </w:rPr>
            </w:pPr>
            <w:proofErr w:type="spellStart"/>
            <w:r>
              <w:rPr>
                <w:lang w:val="en-GB"/>
              </w:rPr>
              <w:t>Doba</w:t>
            </w:r>
            <w:proofErr w:type="spellEnd"/>
          </w:p>
        </w:tc>
        <w:tc>
          <w:tcPr>
            <w:tcW w:w="2476" w:type="pct"/>
          </w:tcPr>
          <w:p w:rsidR="00000000" w:rsidRDefault="00000000">
            <w:pPr>
              <w:spacing w:before="60" w:after="60"/>
              <w:ind w:right="2008"/>
              <w:jc w:val="right"/>
              <w:rPr>
                <w:lang w:val="en-GB"/>
              </w:rPr>
            </w:pPr>
            <w:r>
              <w:rPr>
                <w:lang w:val="en-GB"/>
              </w:rPr>
              <w:t>222</w:t>
            </w:r>
          </w:p>
        </w:tc>
        <w:tc>
          <w:tcPr>
            <w:tcW w:w="1538" w:type="pct"/>
          </w:tcPr>
          <w:p w:rsidR="00000000" w:rsidRDefault="00000000">
            <w:pPr>
              <w:spacing w:before="60" w:after="60"/>
              <w:ind w:right="1196"/>
              <w:jc w:val="right"/>
              <w:rPr>
                <w:lang w:val="en-GB"/>
              </w:rPr>
            </w:pPr>
            <w:r>
              <w:rPr>
                <w:lang w:val="en-GB"/>
              </w:rPr>
              <w:t>3,2</w:t>
            </w:r>
          </w:p>
        </w:tc>
      </w:tr>
      <w:tr w:rsidR="00000000">
        <w:tblPrEx>
          <w:tblCellMar>
            <w:top w:w="0" w:type="dxa"/>
            <w:bottom w:w="0" w:type="dxa"/>
          </w:tblCellMar>
        </w:tblPrEx>
        <w:tc>
          <w:tcPr>
            <w:tcW w:w="986" w:type="pct"/>
          </w:tcPr>
          <w:p w:rsidR="00000000" w:rsidRDefault="00000000">
            <w:pPr>
              <w:spacing w:before="60" w:after="60"/>
              <w:rPr>
                <w:lang w:val="en-GB"/>
              </w:rPr>
            </w:pPr>
            <w:proofErr w:type="spellStart"/>
            <w:r>
              <w:rPr>
                <w:lang w:val="en-GB"/>
              </w:rPr>
              <w:t>Kélo</w:t>
            </w:r>
            <w:proofErr w:type="spellEnd"/>
          </w:p>
        </w:tc>
        <w:tc>
          <w:tcPr>
            <w:tcW w:w="2476" w:type="pct"/>
          </w:tcPr>
          <w:p w:rsidR="00000000" w:rsidRDefault="00000000">
            <w:pPr>
              <w:spacing w:before="60" w:after="60"/>
              <w:ind w:right="2008"/>
              <w:jc w:val="right"/>
            </w:pPr>
            <w:r>
              <w:t>1103</w:t>
            </w:r>
          </w:p>
        </w:tc>
        <w:tc>
          <w:tcPr>
            <w:tcW w:w="1538" w:type="pct"/>
          </w:tcPr>
          <w:p w:rsidR="00000000" w:rsidRDefault="00000000">
            <w:pPr>
              <w:spacing w:before="60" w:after="60"/>
              <w:ind w:right="1196"/>
              <w:jc w:val="right"/>
            </w:pPr>
            <w:r>
              <w:t>15,7</w:t>
            </w:r>
          </w:p>
        </w:tc>
      </w:tr>
      <w:tr w:rsidR="00000000">
        <w:tblPrEx>
          <w:tblCellMar>
            <w:top w:w="0" w:type="dxa"/>
            <w:bottom w:w="0" w:type="dxa"/>
          </w:tblCellMar>
        </w:tblPrEx>
        <w:tc>
          <w:tcPr>
            <w:tcW w:w="986" w:type="pct"/>
          </w:tcPr>
          <w:p w:rsidR="00000000" w:rsidRDefault="00000000">
            <w:pPr>
              <w:spacing w:before="60" w:after="60"/>
            </w:pPr>
            <w:r>
              <w:t>Moundou</w:t>
            </w:r>
          </w:p>
        </w:tc>
        <w:tc>
          <w:tcPr>
            <w:tcW w:w="2476" w:type="pct"/>
          </w:tcPr>
          <w:p w:rsidR="00000000" w:rsidRDefault="00000000">
            <w:pPr>
              <w:spacing w:before="60" w:after="60"/>
              <w:ind w:right="2008"/>
              <w:jc w:val="right"/>
            </w:pPr>
            <w:r>
              <w:t>582</w:t>
            </w:r>
          </w:p>
        </w:tc>
        <w:tc>
          <w:tcPr>
            <w:tcW w:w="1538" w:type="pct"/>
          </w:tcPr>
          <w:p w:rsidR="00000000" w:rsidRDefault="00000000">
            <w:pPr>
              <w:spacing w:before="60" w:after="60"/>
              <w:ind w:right="1196"/>
              <w:jc w:val="right"/>
            </w:pPr>
            <w:r>
              <w:t>8,3</w:t>
            </w:r>
          </w:p>
        </w:tc>
      </w:tr>
      <w:tr w:rsidR="00000000">
        <w:tblPrEx>
          <w:tblCellMar>
            <w:top w:w="0" w:type="dxa"/>
            <w:bottom w:w="0" w:type="dxa"/>
          </w:tblCellMar>
        </w:tblPrEx>
        <w:tc>
          <w:tcPr>
            <w:tcW w:w="986" w:type="pct"/>
          </w:tcPr>
          <w:p w:rsidR="00000000" w:rsidRDefault="00000000">
            <w:pPr>
              <w:spacing w:before="60" w:after="60"/>
            </w:pPr>
            <w:r>
              <w:t>N’Djamena</w:t>
            </w:r>
          </w:p>
        </w:tc>
        <w:tc>
          <w:tcPr>
            <w:tcW w:w="2476" w:type="pct"/>
          </w:tcPr>
          <w:p w:rsidR="00000000" w:rsidRDefault="00000000">
            <w:pPr>
              <w:spacing w:before="60" w:after="60"/>
              <w:ind w:right="2008"/>
              <w:jc w:val="right"/>
            </w:pPr>
            <w:r>
              <w:t>3570</w:t>
            </w:r>
          </w:p>
        </w:tc>
        <w:tc>
          <w:tcPr>
            <w:tcW w:w="1538" w:type="pct"/>
          </w:tcPr>
          <w:p w:rsidR="00000000" w:rsidRDefault="00000000">
            <w:pPr>
              <w:spacing w:before="60" w:after="60"/>
              <w:ind w:right="1196"/>
              <w:jc w:val="right"/>
            </w:pPr>
            <w:r>
              <w:t>50,8</w:t>
            </w:r>
          </w:p>
        </w:tc>
      </w:tr>
      <w:tr w:rsidR="00000000">
        <w:tblPrEx>
          <w:tblCellMar>
            <w:top w:w="0" w:type="dxa"/>
            <w:bottom w:w="0" w:type="dxa"/>
          </w:tblCellMar>
        </w:tblPrEx>
        <w:trPr>
          <w:trHeight w:val="333"/>
        </w:trPr>
        <w:tc>
          <w:tcPr>
            <w:tcW w:w="986" w:type="pct"/>
          </w:tcPr>
          <w:p w:rsidR="00000000" w:rsidRDefault="00000000">
            <w:pPr>
              <w:spacing w:before="60" w:after="60"/>
            </w:pPr>
            <w:r>
              <w:t>Sarh</w:t>
            </w:r>
          </w:p>
        </w:tc>
        <w:tc>
          <w:tcPr>
            <w:tcW w:w="2476" w:type="pct"/>
          </w:tcPr>
          <w:p w:rsidR="00000000" w:rsidRDefault="00000000">
            <w:pPr>
              <w:spacing w:before="60" w:after="60"/>
              <w:ind w:right="2008"/>
              <w:jc w:val="right"/>
            </w:pPr>
            <w:r>
              <w:t>582</w:t>
            </w:r>
          </w:p>
        </w:tc>
        <w:tc>
          <w:tcPr>
            <w:tcW w:w="1538" w:type="pct"/>
          </w:tcPr>
          <w:p w:rsidR="00000000" w:rsidRDefault="00000000">
            <w:pPr>
              <w:spacing w:before="60" w:after="60"/>
              <w:ind w:right="1196"/>
              <w:jc w:val="right"/>
            </w:pPr>
            <w:r>
              <w:t>8,3</w:t>
            </w:r>
          </w:p>
        </w:tc>
      </w:tr>
      <w:tr w:rsidR="00000000">
        <w:tblPrEx>
          <w:tblCellMar>
            <w:top w:w="0" w:type="dxa"/>
            <w:bottom w:w="0" w:type="dxa"/>
          </w:tblCellMar>
        </w:tblPrEx>
        <w:tc>
          <w:tcPr>
            <w:tcW w:w="986" w:type="pct"/>
          </w:tcPr>
          <w:p w:rsidR="00000000" w:rsidRDefault="00000000">
            <w:pPr>
              <w:spacing w:before="60" w:after="60"/>
            </w:pPr>
            <w:r>
              <w:t>Total</w:t>
            </w:r>
          </w:p>
        </w:tc>
        <w:tc>
          <w:tcPr>
            <w:tcW w:w="2476" w:type="pct"/>
          </w:tcPr>
          <w:p w:rsidR="00000000" w:rsidRDefault="00000000">
            <w:pPr>
              <w:spacing w:before="60" w:after="60"/>
              <w:ind w:right="2008"/>
              <w:jc w:val="right"/>
            </w:pPr>
            <w:r>
              <w:t>7031</w:t>
            </w:r>
          </w:p>
        </w:tc>
        <w:tc>
          <w:tcPr>
            <w:tcW w:w="1538" w:type="pct"/>
          </w:tcPr>
          <w:p w:rsidR="00000000" w:rsidRDefault="00000000">
            <w:pPr>
              <w:spacing w:before="60" w:after="60"/>
              <w:ind w:right="1196"/>
              <w:jc w:val="right"/>
            </w:pPr>
            <w:r>
              <w:t>100,0</w:t>
            </w:r>
          </w:p>
        </w:tc>
      </w:tr>
    </w:tbl>
    <w:p w:rsidR="00000000" w:rsidRDefault="00000000">
      <w:pPr>
        <w:spacing w:before="240" w:after="240"/>
        <w:ind w:firstLine="567"/>
      </w:pPr>
      <w:r>
        <w:t>Source: Étude sur les ENPS, UNICEF 2003</w:t>
      </w:r>
    </w:p>
    <w:p w:rsidR="00000000" w:rsidRDefault="00000000">
      <w:pPr>
        <w:spacing w:after="240"/>
      </w:pPr>
      <w:r>
        <w:t>302.</w:t>
      </w:r>
      <w:r>
        <w:tab/>
        <w:t xml:space="preserve">La ville de N’Djamena vient en tête pour le nombre d’enfants vivant dans la rue proportionnellement aux autres villes de l’étude; elle représente la moitié des effectifs recensés. Elle est suivie par la ville de </w:t>
      </w:r>
      <w:proofErr w:type="spellStart"/>
      <w:r>
        <w:t>Kélo</w:t>
      </w:r>
      <w:proofErr w:type="spellEnd"/>
      <w:r>
        <w:t xml:space="preserve"> (15,7 %) et les villes de Sarh et Moundou avec la même importance (8,3 %). La ville la moins touchée par le phénomène semble être celle de </w:t>
      </w:r>
      <w:proofErr w:type="spellStart"/>
      <w:r>
        <w:t>Doba</w:t>
      </w:r>
      <w:proofErr w:type="spellEnd"/>
      <w:r>
        <w:t xml:space="preserve"> (3,2 %). Les villes de </w:t>
      </w:r>
      <w:proofErr w:type="spellStart"/>
      <w:r>
        <w:t>Bongor</w:t>
      </w:r>
      <w:proofErr w:type="spellEnd"/>
      <w:r>
        <w:t xml:space="preserve"> et Abéché contribuent avec 7,2 et 6,6 %.</w:t>
      </w:r>
    </w:p>
    <w:p w:rsidR="00000000" w:rsidRDefault="00000000">
      <w:pPr>
        <w:spacing w:after="240"/>
        <w:jc w:val="center"/>
      </w:pPr>
      <w:r>
        <w:t>-----</w:t>
      </w:r>
    </w:p>
    <w:p w:rsidR="00000000" w:rsidRDefault="00000000">
      <w:pPr>
        <w:spacing w:after="240"/>
      </w:pPr>
    </w:p>
    <w:sectPr w:rsidR="00000000">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43538  (F)    150807    230807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color w:val="000000"/>
        </w:rPr>
        <w:t>Conformément aux informations communiquées aux États parties concernant le traitement de leurs rapports, les services d’édition n’ont pas édité le présent document avant sa traduction par le Secrétariat.</w:t>
      </w:r>
    </w:p>
  </w:footnote>
  <w:footnote w:id="2">
    <w:p w:rsidR="00000000" w:rsidRDefault="00000000">
      <w:pPr>
        <w:spacing w:after="240"/>
      </w:pPr>
      <w:r>
        <w:rPr>
          <w:rStyle w:val="FootnoteReference"/>
        </w:rPr>
        <w:t>**</w:t>
      </w:r>
      <w:r>
        <w:t xml:space="preserve"> Pour le rapport initial soumis par le Gouvernement du Tchad, voir le document </w:t>
      </w:r>
      <w:r>
        <w:rPr>
          <w:color w:val="000000"/>
          <w:sz w:val="22"/>
          <w:szCs w:val="22"/>
        </w:rPr>
        <w:t>CRC/C/3/Add.50</w:t>
      </w:r>
      <w:r>
        <w:t xml:space="preserve">; pour l’examen du rapport par le Comité, voir les documents </w:t>
      </w:r>
      <w:r>
        <w:rPr>
          <w:color w:val="000000"/>
        </w:rPr>
        <w:t>CRC/C/SR.546 et 547</w:t>
      </w:r>
      <w:r>
        <w:t xml:space="preserve">; pour les observations finales, voir le document </w:t>
      </w:r>
      <w:r>
        <w:rPr>
          <w:color w:val="000000"/>
        </w:rPr>
        <w:t>CRC/C/15/Add.107</w:t>
      </w:r>
      <w:r>
        <w:t>.</w:t>
      </w:r>
      <w:r>
        <w:rPr>
          <w:color w:val="000000"/>
        </w:rPr>
        <w:t xml:space="preserve"> </w:t>
      </w:r>
    </w:p>
  </w:footnote>
  <w:footnote w:id="3">
    <w:p w:rsidR="00000000" w:rsidRDefault="00000000">
      <w:pPr>
        <w:pStyle w:val="FootnoteText"/>
      </w:pPr>
      <w:r>
        <w:rPr>
          <w:rStyle w:val="FootnoteReference"/>
        </w:rPr>
        <w:footnoteRef/>
      </w:r>
      <w:r>
        <w:t xml:space="preserve"> UNICEF: </w:t>
      </w:r>
      <w:r>
        <w:rPr>
          <w:i/>
          <w:iCs/>
        </w:rPr>
        <w:t>Situation des enfants dans le monde 2005</w:t>
      </w:r>
      <w:r>
        <w:t xml:space="preserve">, Avant-propos, p. vii. </w:t>
      </w:r>
    </w:p>
  </w:footnote>
  <w:footnote w:id="4">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CRC/C/TCD/2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CRC/C/TCD/2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3218"/>
    <w:multiLevelType w:val="hybridMultilevel"/>
    <w:tmpl w:val="FD623B92"/>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9D080F"/>
    <w:multiLevelType w:val="hybridMultilevel"/>
    <w:tmpl w:val="AC06F6E6"/>
    <w:lvl w:ilvl="0" w:tplc="3060514A">
      <w:start w:val="1"/>
      <w:numFmt w:val="lowerLetter"/>
      <w:lvlText w:val="%1)"/>
      <w:lvlJc w:val="left"/>
      <w:pPr>
        <w:tabs>
          <w:tab w:val="num" w:pos="-318"/>
        </w:tabs>
        <w:ind w:left="-360" w:firstLine="720"/>
      </w:pPr>
      <w:rPr>
        <w:rFonts w:hint="default"/>
        <w:b w:val="0"/>
        <w:bCs w:val="0"/>
        <w:i w:val="0"/>
        <w:i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BAD224F"/>
    <w:multiLevelType w:val="hybridMultilevel"/>
    <w:tmpl w:val="D1BE0EB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042B70"/>
    <w:multiLevelType w:val="hybridMultilevel"/>
    <w:tmpl w:val="6284D40E"/>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C4D1150"/>
    <w:multiLevelType w:val="hybridMultilevel"/>
    <w:tmpl w:val="9D1007C6"/>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5B2B89"/>
    <w:multiLevelType w:val="hybridMultilevel"/>
    <w:tmpl w:val="BAC4A02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AE5F1D"/>
    <w:multiLevelType w:val="hybridMultilevel"/>
    <w:tmpl w:val="4502D7E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4315ABC"/>
    <w:multiLevelType w:val="hybridMultilevel"/>
    <w:tmpl w:val="6AACCED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59E7772"/>
    <w:multiLevelType w:val="hybridMultilevel"/>
    <w:tmpl w:val="50B82FC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737554"/>
    <w:multiLevelType w:val="hybridMultilevel"/>
    <w:tmpl w:val="CCFA34C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0">
    <w:nsid w:val="1A322C0C"/>
    <w:multiLevelType w:val="hybridMultilevel"/>
    <w:tmpl w:val="216CA668"/>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CA512E1"/>
    <w:multiLevelType w:val="hybridMultilevel"/>
    <w:tmpl w:val="D5AEEF34"/>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D946AAC"/>
    <w:multiLevelType w:val="hybridMultilevel"/>
    <w:tmpl w:val="09265C5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DA738AC"/>
    <w:multiLevelType w:val="hybridMultilevel"/>
    <w:tmpl w:val="E086EF76"/>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E27038B"/>
    <w:multiLevelType w:val="hybridMultilevel"/>
    <w:tmpl w:val="9F029498"/>
    <w:lvl w:ilvl="0" w:tplc="3060514A">
      <w:start w:val="1"/>
      <w:numFmt w:val="lowerLetter"/>
      <w:lvlText w:val="%1)"/>
      <w:lvlJc w:val="left"/>
      <w:pPr>
        <w:tabs>
          <w:tab w:val="num" w:pos="-318"/>
        </w:tabs>
        <w:ind w:left="-360" w:firstLine="720"/>
      </w:pPr>
      <w:rPr>
        <w:rFonts w:hint="default"/>
        <w:b w:val="0"/>
        <w:bCs w:val="0"/>
        <w:i w:val="0"/>
        <w:iCs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3977E0"/>
    <w:multiLevelType w:val="hybridMultilevel"/>
    <w:tmpl w:val="5B4CF3A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A361E3"/>
    <w:multiLevelType w:val="hybridMultilevel"/>
    <w:tmpl w:val="3F529126"/>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1A5B61"/>
    <w:multiLevelType w:val="hybridMultilevel"/>
    <w:tmpl w:val="AD04EE62"/>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24CB4690"/>
    <w:multiLevelType w:val="hybridMultilevel"/>
    <w:tmpl w:val="2B245418"/>
    <w:lvl w:ilvl="0" w:tplc="01A8F36C">
      <w:start w:val="1"/>
      <w:numFmt w:val="bullet"/>
      <w:lvlText w:val=""/>
      <w:lvlJc w:val="left"/>
      <w:pPr>
        <w:tabs>
          <w:tab w:val="num" w:pos="1134"/>
        </w:tabs>
        <w:ind w:left="1134" w:hanging="567"/>
      </w:pPr>
      <w:rPr>
        <w:rFonts w:ascii="Symbol" w:hAnsi="Symbol" w:hint="default"/>
      </w:rPr>
    </w:lvl>
    <w:lvl w:ilvl="1" w:tplc="934A29D4">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6316930"/>
    <w:multiLevelType w:val="hybridMultilevel"/>
    <w:tmpl w:val="3064DB7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7286D64"/>
    <w:multiLevelType w:val="hybridMultilevel"/>
    <w:tmpl w:val="BD0603BE"/>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7A942A4"/>
    <w:multiLevelType w:val="hybridMultilevel"/>
    <w:tmpl w:val="BF12B8A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9097A48"/>
    <w:multiLevelType w:val="hybridMultilevel"/>
    <w:tmpl w:val="D49AC9F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3">
    <w:nsid w:val="2A3D1E20"/>
    <w:multiLevelType w:val="hybridMultilevel"/>
    <w:tmpl w:val="BC0A3C7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AC21327"/>
    <w:multiLevelType w:val="hybridMultilevel"/>
    <w:tmpl w:val="C7B4FEFC"/>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E3B2C61A"/>
    <w:lvl w:ilvl="0">
      <w:start w:val="1"/>
      <w:numFmt w:val="lowerRoman"/>
      <w:lvlText w:val="%1)"/>
      <w:lvlJc w:val="right"/>
      <w:pPr>
        <w:tabs>
          <w:tab w:val="num" w:pos="927"/>
        </w:tabs>
        <w:ind w:left="567" w:firstLine="0"/>
      </w:pPr>
    </w:lvl>
  </w:abstractNum>
  <w:abstractNum w:abstractNumId="26">
    <w:nsid w:val="2C433B3C"/>
    <w:multiLevelType w:val="hybridMultilevel"/>
    <w:tmpl w:val="4FDE5C7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nsid w:val="2DDC179E"/>
    <w:multiLevelType w:val="hybridMultilevel"/>
    <w:tmpl w:val="96023D3E"/>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0C24236"/>
    <w:multiLevelType w:val="hybridMultilevel"/>
    <w:tmpl w:val="B8A66CB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0ED252F"/>
    <w:multiLevelType w:val="hybridMultilevel"/>
    <w:tmpl w:val="69AA2FE6"/>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14F6880"/>
    <w:multiLevelType w:val="hybridMultilevel"/>
    <w:tmpl w:val="A73C27F8"/>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7422E25"/>
    <w:multiLevelType w:val="hybridMultilevel"/>
    <w:tmpl w:val="05CEF1D6"/>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8F13A4E"/>
    <w:multiLevelType w:val="hybridMultilevel"/>
    <w:tmpl w:val="CAFA80B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9373BF9"/>
    <w:multiLevelType w:val="hybridMultilevel"/>
    <w:tmpl w:val="1FEE426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94D7261"/>
    <w:multiLevelType w:val="hybridMultilevel"/>
    <w:tmpl w:val="6FCECA7E"/>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B51563C"/>
    <w:multiLevelType w:val="hybridMultilevel"/>
    <w:tmpl w:val="152A5250"/>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3B9D33F0"/>
    <w:multiLevelType w:val="hybridMultilevel"/>
    <w:tmpl w:val="A802F742"/>
    <w:lvl w:ilvl="0" w:tplc="CB5646DA">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BCD71C2"/>
    <w:multiLevelType w:val="hybridMultilevel"/>
    <w:tmpl w:val="FE5A654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8">
    <w:nsid w:val="3BDB7D47"/>
    <w:multiLevelType w:val="hybridMultilevel"/>
    <w:tmpl w:val="C5A03C70"/>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0">
    <w:nsid w:val="3FE03951"/>
    <w:multiLevelType w:val="hybridMultilevel"/>
    <w:tmpl w:val="1F208E06"/>
    <w:lvl w:ilvl="0" w:tplc="3060514A">
      <w:start w:val="1"/>
      <w:numFmt w:val="lowerLetter"/>
      <w:lvlText w:val="%1)"/>
      <w:lvlJc w:val="left"/>
      <w:pPr>
        <w:tabs>
          <w:tab w:val="num" w:pos="-318"/>
        </w:tabs>
        <w:ind w:left="-360" w:firstLine="720"/>
      </w:pPr>
      <w:rPr>
        <w:rFonts w:hint="default"/>
        <w:b w:val="0"/>
        <w:bCs w:val="0"/>
        <w:i w:val="0"/>
        <w:iCs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12B550B"/>
    <w:multiLevelType w:val="hybridMultilevel"/>
    <w:tmpl w:val="AED832F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1BE5174"/>
    <w:multiLevelType w:val="hybridMultilevel"/>
    <w:tmpl w:val="2940EFF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3">
    <w:nsid w:val="425D35A7"/>
    <w:multiLevelType w:val="hybridMultilevel"/>
    <w:tmpl w:val="260E6C16"/>
    <w:lvl w:ilvl="0" w:tplc="3060514A">
      <w:start w:val="1"/>
      <w:numFmt w:val="lowerLetter"/>
      <w:lvlText w:val="%1)"/>
      <w:lvlJc w:val="left"/>
      <w:pPr>
        <w:tabs>
          <w:tab w:val="num" w:pos="-318"/>
        </w:tabs>
        <w:ind w:left="-360" w:firstLine="720"/>
      </w:pPr>
      <w:rPr>
        <w:rFonts w:hint="default"/>
        <w:b w:val="0"/>
        <w:bCs w:val="0"/>
        <w:i w:val="0"/>
        <w:iCs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4363787F"/>
    <w:multiLevelType w:val="hybridMultilevel"/>
    <w:tmpl w:val="05BC3800"/>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53A0B72"/>
    <w:multiLevelType w:val="hybridMultilevel"/>
    <w:tmpl w:val="AB7638B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7182B39"/>
    <w:multiLevelType w:val="hybridMultilevel"/>
    <w:tmpl w:val="E00CD2CE"/>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47EF6847"/>
    <w:multiLevelType w:val="hybridMultilevel"/>
    <w:tmpl w:val="51301C02"/>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A0B49EA"/>
    <w:multiLevelType w:val="hybridMultilevel"/>
    <w:tmpl w:val="C66EE92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B38752E"/>
    <w:multiLevelType w:val="hybridMultilevel"/>
    <w:tmpl w:val="5F4A3344"/>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4B3D31C2"/>
    <w:multiLevelType w:val="hybridMultilevel"/>
    <w:tmpl w:val="434669F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2">
    <w:nsid w:val="4FA6480A"/>
    <w:multiLevelType w:val="hybridMultilevel"/>
    <w:tmpl w:val="D44E30DA"/>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04F2372"/>
    <w:multiLevelType w:val="hybridMultilevel"/>
    <w:tmpl w:val="213663C0"/>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0546701"/>
    <w:multiLevelType w:val="hybridMultilevel"/>
    <w:tmpl w:val="BF28DA82"/>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50813065"/>
    <w:multiLevelType w:val="hybridMultilevel"/>
    <w:tmpl w:val="BA20F5FC"/>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0E34DEA"/>
    <w:multiLevelType w:val="hybridMultilevel"/>
    <w:tmpl w:val="90DE0A1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525A0756"/>
    <w:multiLevelType w:val="hybridMultilevel"/>
    <w:tmpl w:val="2740469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33B4AD0"/>
    <w:multiLevelType w:val="hybridMultilevel"/>
    <w:tmpl w:val="CACA2AE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539843B5"/>
    <w:multiLevelType w:val="hybridMultilevel"/>
    <w:tmpl w:val="651EC5D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5BA03ED"/>
    <w:multiLevelType w:val="hybridMultilevel"/>
    <w:tmpl w:val="A98872B2"/>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55EE64BC"/>
    <w:multiLevelType w:val="hybridMultilevel"/>
    <w:tmpl w:val="A456182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66705FB"/>
    <w:multiLevelType w:val="hybridMultilevel"/>
    <w:tmpl w:val="3AC04DCA"/>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57B9204D"/>
    <w:multiLevelType w:val="hybridMultilevel"/>
    <w:tmpl w:val="C18E16CE"/>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85E4488"/>
    <w:multiLevelType w:val="hybridMultilevel"/>
    <w:tmpl w:val="A0C07CB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9027425"/>
    <w:multiLevelType w:val="hybridMultilevel"/>
    <w:tmpl w:val="5A946C7A"/>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9487B01"/>
    <w:multiLevelType w:val="hybridMultilevel"/>
    <w:tmpl w:val="5B42798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9AE2C7A"/>
    <w:multiLevelType w:val="hybridMultilevel"/>
    <w:tmpl w:val="19BEF15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AF538C4"/>
    <w:multiLevelType w:val="hybridMultilevel"/>
    <w:tmpl w:val="0FB4D21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5B307ED7"/>
    <w:multiLevelType w:val="hybridMultilevel"/>
    <w:tmpl w:val="8158828A"/>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1C8096D"/>
    <w:multiLevelType w:val="hybridMultilevel"/>
    <w:tmpl w:val="A202ADC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1">
    <w:nsid w:val="662A37BE"/>
    <w:multiLevelType w:val="hybridMultilevel"/>
    <w:tmpl w:val="8812806C"/>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2">
    <w:nsid w:val="668D6C09"/>
    <w:multiLevelType w:val="hybridMultilevel"/>
    <w:tmpl w:val="C0F29D46"/>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
    <w:nsid w:val="699C57D0"/>
    <w:multiLevelType w:val="hybridMultilevel"/>
    <w:tmpl w:val="262A9656"/>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9A937FD"/>
    <w:multiLevelType w:val="hybridMultilevel"/>
    <w:tmpl w:val="4C20B79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5">
    <w:nsid w:val="6A336DDD"/>
    <w:multiLevelType w:val="hybridMultilevel"/>
    <w:tmpl w:val="143A3456"/>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A53336B"/>
    <w:multiLevelType w:val="hybridMultilevel"/>
    <w:tmpl w:val="FAB44F42"/>
    <w:lvl w:ilvl="0" w:tplc="3060514A">
      <w:start w:val="1"/>
      <w:numFmt w:val="lowerLetter"/>
      <w:lvlText w:val="%1)"/>
      <w:lvlJc w:val="left"/>
      <w:pPr>
        <w:tabs>
          <w:tab w:val="num" w:pos="-318"/>
        </w:tabs>
        <w:ind w:left="-360" w:firstLine="720"/>
      </w:pPr>
      <w:rPr>
        <w:rFonts w:hint="default"/>
        <w:b w:val="0"/>
        <w:bCs w:val="0"/>
        <w:i w:val="0"/>
        <w:iCs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B40427C"/>
    <w:multiLevelType w:val="hybridMultilevel"/>
    <w:tmpl w:val="A5ECE61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6BF20142"/>
    <w:multiLevelType w:val="hybridMultilevel"/>
    <w:tmpl w:val="D7AC988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C3E6177"/>
    <w:multiLevelType w:val="hybridMultilevel"/>
    <w:tmpl w:val="CEEE3C24"/>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6C9D1745"/>
    <w:multiLevelType w:val="hybridMultilevel"/>
    <w:tmpl w:val="E14E06B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CF06F82"/>
    <w:multiLevelType w:val="hybridMultilevel"/>
    <w:tmpl w:val="50D0B286"/>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D8C5DCD"/>
    <w:multiLevelType w:val="hybridMultilevel"/>
    <w:tmpl w:val="B7F2447E"/>
    <w:lvl w:ilvl="0" w:tplc="3F96BA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3">
    <w:nsid w:val="6E4B7D77"/>
    <w:multiLevelType w:val="hybridMultilevel"/>
    <w:tmpl w:val="06F09A50"/>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E52139C"/>
    <w:multiLevelType w:val="hybridMultilevel"/>
    <w:tmpl w:val="FE1C309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5">
    <w:nsid w:val="711D2F73"/>
    <w:multiLevelType w:val="hybridMultilevel"/>
    <w:tmpl w:val="05C25A70"/>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717C6FB6"/>
    <w:multiLevelType w:val="hybridMultilevel"/>
    <w:tmpl w:val="CFBE2A44"/>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7">
    <w:nsid w:val="720A40CF"/>
    <w:multiLevelType w:val="hybridMultilevel"/>
    <w:tmpl w:val="EA3ED18E"/>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75505A3D"/>
    <w:multiLevelType w:val="hybridMultilevel"/>
    <w:tmpl w:val="449CA99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5DC3FAD"/>
    <w:multiLevelType w:val="hybridMultilevel"/>
    <w:tmpl w:val="2A2AE26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76B67E76"/>
    <w:multiLevelType w:val="hybridMultilevel"/>
    <w:tmpl w:val="8146E660"/>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78762909"/>
    <w:multiLevelType w:val="hybridMultilevel"/>
    <w:tmpl w:val="B7F2447E"/>
    <w:lvl w:ilvl="0" w:tplc="01A8F3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2">
    <w:nsid w:val="793B2BDF"/>
    <w:multiLevelType w:val="hybridMultilevel"/>
    <w:tmpl w:val="7B0AA61E"/>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nsid w:val="7B86076E"/>
    <w:multiLevelType w:val="hybridMultilevel"/>
    <w:tmpl w:val="5C6C3130"/>
    <w:lvl w:ilvl="0" w:tplc="3060514A">
      <w:start w:val="1"/>
      <w:numFmt w:val="lowerLetter"/>
      <w:lvlText w:val="%1)"/>
      <w:lvlJc w:val="left"/>
      <w:pPr>
        <w:tabs>
          <w:tab w:val="num" w:pos="-318"/>
        </w:tabs>
        <w:ind w:left="-360" w:firstLine="720"/>
      </w:pPr>
      <w:rPr>
        <w:rFonts w:hint="default"/>
        <w:b w:val="0"/>
        <w:bCs w:val="0"/>
        <w:i w:val="0"/>
        <w:iCs w:val="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7C6925C9"/>
    <w:multiLevelType w:val="hybridMultilevel"/>
    <w:tmpl w:val="A1C8EE72"/>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7C6E5B0A"/>
    <w:multiLevelType w:val="hybridMultilevel"/>
    <w:tmpl w:val="B21A1E44"/>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CD7216C"/>
    <w:multiLevelType w:val="hybridMultilevel"/>
    <w:tmpl w:val="BFE2E7E8"/>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CF349BD"/>
    <w:multiLevelType w:val="singleLevel"/>
    <w:tmpl w:val="1AEC463A"/>
    <w:lvl w:ilvl="0">
      <w:start w:val="1"/>
      <w:numFmt w:val="lowerRoman"/>
      <w:lvlText w:val="%1)"/>
      <w:lvlJc w:val="right"/>
      <w:pPr>
        <w:tabs>
          <w:tab w:val="num" w:pos="504"/>
        </w:tabs>
        <w:ind w:left="504" w:hanging="216"/>
      </w:pPr>
    </w:lvl>
  </w:abstractNum>
  <w:abstractNum w:abstractNumId="98">
    <w:nsid w:val="7DB96FE3"/>
    <w:multiLevelType w:val="hybridMultilevel"/>
    <w:tmpl w:val="6C184A0C"/>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DF445A4"/>
    <w:multiLevelType w:val="hybridMultilevel"/>
    <w:tmpl w:val="E184045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FEB2BA7"/>
    <w:multiLevelType w:val="hybridMultilevel"/>
    <w:tmpl w:val="B8A0852A"/>
    <w:lvl w:ilvl="0" w:tplc="01428352">
      <w:start w:val="1"/>
      <w:numFmt w:val="bullet"/>
      <w:lvlText w:val=""/>
      <w:lvlJc w:val="left"/>
      <w:pPr>
        <w:tabs>
          <w:tab w:val="num" w:pos="720"/>
        </w:tabs>
        <w:ind w:left="-60" w:firstLine="4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9"/>
  </w:num>
  <w:num w:numId="2">
    <w:abstractNumId w:val="97"/>
  </w:num>
  <w:num w:numId="3">
    <w:abstractNumId w:val="25"/>
  </w:num>
  <w:num w:numId="4">
    <w:abstractNumId w:val="97"/>
  </w:num>
  <w:num w:numId="5">
    <w:abstractNumId w:val="25"/>
  </w:num>
  <w:num w:numId="6">
    <w:abstractNumId w:val="97"/>
  </w:num>
  <w:num w:numId="7">
    <w:abstractNumId w:val="97"/>
  </w:num>
  <w:num w:numId="8">
    <w:abstractNumId w:val="97"/>
  </w:num>
  <w:num w:numId="9">
    <w:abstractNumId w:val="97"/>
  </w:num>
  <w:num w:numId="10">
    <w:abstractNumId w:val="39"/>
  </w:num>
  <w:num w:numId="11">
    <w:abstractNumId w:val="39"/>
  </w:num>
  <w:num w:numId="12">
    <w:abstractNumId w:val="97"/>
  </w:num>
  <w:num w:numId="13">
    <w:abstractNumId w:val="39"/>
  </w:num>
  <w:num w:numId="14">
    <w:abstractNumId w:val="97"/>
  </w:num>
  <w:num w:numId="15">
    <w:abstractNumId w:val="97"/>
  </w:num>
  <w:num w:numId="16">
    <w:abstractNumId w:val="97"/>
  </w:num>
  <w:num w:numId="17">
    <w:abstractNumId w:val="97"/>
  </w:num>
  <w:num w:numId="18">
    <w:abstractNumId w:val="97"/>
  </w:num>
  <w:num w:numId="19">
    <w:abstractNumId w:val="97"/>
  </w:num>
  <w:num w:numId="20">
    <w:abstractNumId w:val="25"/>
  </w:num>
  <w:num w:numId="21">
    <w:abstractNumId w:val="25"/>
  </w:num>
  <w:num w:numId="22">
    <w:abstractNumId w:val="25"/>
  </w:num>
  <w:num w:numId="23">
    <w:abstractNumId w:val="25"/>
  </w:num>
  <w:num w:numId="24">
    <w:abstractNumId w:val="25"/>
  </w:num>
  <w:num w:numId="25">
    <w:abstractNumId w:val="39"/>
  </w:num>
  <w:num w:numId="26">
    <w:abstractNumId w:val="39"/>
  </w:num>
  <w:num w:numId="27">
    <w:abstractNumId w:val="25"/>
  </w:num>
  <w:num w:numId="28">
    <w:abstractNumId w:val="39"/>
  </w:num>
  <w:num w:numId="29">
    <w:abstractNumId w:val="39"/>
  </w:num>
  <w:num w:numId="30">
    <w:abstractNumId w:val="39"/>
  </w:num>
  <w:num w:numId="31">
    <w:abstractNumId w:val="25"/>
  </w:num>
  <w:num w:numId="32">
    <w:abstractNumId w:val="25"/>
  </w:num>
  <w:num w:numId="33">
    <w:abstractNumId w:val="97"/>
  </w:num>
  <w:num w:numId="34">
    <w:abstractNumId w:val="25"/>
  </w:num>
  <w:num w:numId="35">
    <w:abstractNumId w:val="97"/>
  </w:num>
  <w:num w:numId="36">
    <w:abstractNumId w:val="97"/>
  </w:num>
  <w:num w:numId="37">
    <w:abstractNumId w:val="25"/>
  </w:num>
  <w:num w:numId="38">
    <w:abstractNumId w:val="97"/>
  </w:num>
  <w:num w:numId="39">
    <w:abstractNumId w:val="25"/>
  </w:num>
  <w:num w:numId="40">
    <w:abstractNumId w:val="25"/>
  </w:num>
  <w:num w:numId="41">
    <w:abstractNumId w:val="25"/>
  </w:num>
  <w:num w:numId="42">
    <w:abstractNumId w:val="97"/>
  </w:num>
  <w:num w:numId="43">
    <w:abstractNumId w:val="25"/>
  </w:num>
  <w:num w:numId="44">
    <w:abstractNumId w:val="97"/>
  </w:num>
  <w:num w:numId="45">
    <w:abstractNumId w:val="25"/>
  </w:num>
  <w:num w:numId="46">
    <w:abstractNumId w:val="25"/>
  </w:num>
  <w:num w:numId="47">
    <w:abstractNumId w:val="51"/>
  </w:num>
  <w:num w:numId="48">
    <w:abstractNumId w:val="32"/>
  </w:num>
  <w:num w:numId="49">
    <w:abstractNumId w:val="65"/>
  </w:num>
  <w:num w:numId="50">
    <w:abstractNumId w:val="59"/>
  </w:num>
  <w:num w:numId="51">
    <w:abstractNumId w:val="28"/>
  </w:num>
  <w:num w:numId="52">
    <w:abstractNumId w:val="6"/>
  </w:num>
  <w:num w:numId="53">
    <w:abstractNumId w:val="66"/>
  </w:num>
  <w:num w:numId="54">
    <w:abstractNumId w:val="37"/>
  </w:num>
  <w:num w:numId="55">
    <w:abstractNumId w:val="42"/>
  </w:num>
  <w:num w:numId="56">
    <w:abstractNumId w:val="22"/>
  </w:num>
  <w:num w:numId="57">
    <w:abstractNumId w:val="9"/>
  </w:num>
  <w:num w:numId="58">
    <w:abstractNumId w:val="84"/>
  </w:num>
  <w:num w:numId="59">
    <w:abstractNumId w:val="70"/>
  </w:num>
  <w:num w:numId="60">
    <w:abstractNumId w:val="74"/>
  </w:num>
  <w:num w:numId="61">
    <w:abstractNumId w:val="26"/>
  </w:num>
  <w:num w:numId="62">
    <w:abstractNumId w:val="68"/>
  </w:num>
  <w:num w:numId="63">
    <w:abstractNumId w:val="56"/>
  </w:num>
  <w:num w:numId="64">
    <w:abstractNumId w:val="58"/>
  </w:num>
  <w:num w:numId="65">
    <w:abstractNumId w:val="77"/>
  </w:num>
  <w:num w:numId="66">
    <w:abstractNumId w:val="100"/>
  </w:num>
  <w:num w:numId="67">
    <w:abstractNumId w:val="7"/>
  </w:num>
  <w:num w:numId="68">
    <w:abstractNumId w:val="72"/>
  </w:num>
  <w:num w:numId="69">
    <w:abstractNumId w:val="94"/>
  </w:num>
  <w:num w:numId="70">
    <w:abstractNumId w:val="76"/>
  </w:num>
  <w:num w:numId="71">
    <w:abstractNumId w:val="2"/>
  </w:num>
  <w:num w:numId="72">
    <w:abstractNumId w:val="12"/>
  </w:num>
  <w:num w:numId="73">
    <w:abstractNumId w:val="31"/>
  </w:num>
  <w:num w:numId="74">
    <w:abstractNumId w:val="27"/>
  </w:num>
  <w:num w:numId="75">
    <w:abstractNumId w:val="14"/>
  </w:num>
  <w:num w:numId="76">
    <w:abstractNumId w:val="21"/>
  </w:num>
  <w:num w:numId="77">
    <w:abstractNumId w:val="78"/>
  </w:num>
  <w:num w:numId="78">
    <w:abstractNumId w:val="15"/>
  </w:num>
  <w:num w:numId="79">
    <w:abstractNumId w:val="34"/>
  </w:num>
  <w:num w:numId="80">
    <w:abstractNumId w:val="45"/>
  </w:num>
  <w:num w:numId="81">
    <w:abstractNumId w:val="99"/>
  </w:num>
  <w:num w:numId="82">
    <w:abstractNumId w:val="75"/>
  </w:num>
  <w:num w:numId="83">
    <w:abstractNumId w:val="40"/>
  </w:num>
  <w:num w:numId="84">
    <w:abstractNumId w:val="61"/>
  </w:num>
  <w:num w:numId="85">
    <w:abstractNumId w:val="5"/>
  </w:num>
  <w:num w:numId="86">
    <w:abstractNumId w:val="50"/>
  </w:num>
  <w:num w:numId="87">
    <w:abstractNumId w:val="63"/>
  </w:num>
  <w:num w:numId="88">
    <w:abstractNumId w:val="57"/>
  </w:num>
  <w:num w:numId="89">
    <w:abstractNumId w:val="95"/>
  </w:num>
  <w:num w:numId="90">
    <w:abstractNumId w:val="41"/>
  </w:num>
  <w:num w:numId="91">
    <w:abstractNumId w:val="98"/>
  </w:num>
  <w:num w:numId="92">
    <w:abstractNumId w:val="16"/>
  </w:num>
  <w:num w:numId="93">
    <w:abstractNumId w:val="96"/>
  </w:num>
  <w:num w:numId="94">
    <w:abstractNumId w:val="64"/>
  </w:num>
  <w:num w:numId="95">
    <w:abstractNumId w:val="83"/>
  </w:num>
  <w:num w:numId="96">
    <w:abstractNumId w:val="48"/>
  </w:num>
  <w:num w:numId="97">
    <w:abstractNumId w:val="8"/>
  </w:num>
  <w:num w:numId="98">
    <w:abstractNumId w:val="23"/>
  </w:num>
  <w:num w:numId="99">
    <w:abstractNumId w:val="89"/>
  </w:num>
  <w:num w:numId="100">
    <w:abstractNumId w:val="80"/>
  </w:num>
  <w:num w:numId="101">
    <w:abstractNumId w:val="33"/>
  </w:num>
  <w:num w:numId="102">
    <w:abstractNumId w:val="88"/>
  </w:num>
  <w:num w:numId="103">
    <w:abstractNumId w:val="67"/>
  </w:num>
  <w:num w:numId="104">
    <w:abstractNumId w:val="19"/>
  </w:num>
  <w:num w:numId="105">
    <w:abstractNumId w:val="1"/>
  </w:num>
  <w:num w:numId="106">
    <w:abstractNumId w:val="43"/>
  </w:num>
  <w:num w:numId="107">
    <w:abstractNumId w:val="93"/>
  </w:num>
  <w:num w:numId="108">
    <w:abstractNumId w:val="10"/>
  </w:num>
  <w:num w:numId="109">
    <w:abstractNumId w:val="35"/>
  </w:num>
  <w:num w:numId="110">
    <w:abstractNumId w:val="17"/>
  </w:num>
  <w:num w:numId="111">
    <w:abstractNumId w:val="71"/>
  </w:num>
  <w:num w:numId="112">
    <w:abstractNumId w:val="20"/>
  </w:num>
  <w:num w:numId="113">
    <w:abstractNumId w:val="92"/>
  </w:num>
  <w:num w:numId="114">
    <w:abstractNumId w:val="86"/>
  </w:num>
  <w:num w:numId="115">
    <w:abstractNumId w:val="81"/>
  </w:num>
  <w:num w:numId="116">
    <w:abstractNumId w:val="29"/>
  </w:num>
  <w:num w:numId="117">
    <w:abstractNumId w:val="73"/>
  </w:num>
  <w:num w:numId="118">
    <w:abstractNumId w:val="24"/>
  </w:num>
  <w:num w:numId="119">
    <w:abstractNumId w:val="53"/>
  </w:num>
  <w:num w:numId="120">
    <w:abstractNumId w:val="4"/>
  </w:num>
  <w:num w:numId="121">
    <w:abstractNumId w:val="38"/>
  </w:num>
  <w:num w:numId="122">
    <w:abstractNumId w:val="0"/>
  </w:num>
  <w:num w:numId="123">
    <w:abstractNumId w:val="55"/>
  </w:num>
  <w:num w:numId="124">
    <w:abstractNumId w:val="47"/>
  </w:num>
  <w:num w:numId="125">
    <w:abstractNumId w:val="69"/>
  </w:num>
  <w:num w:numId="126">
    <w:abstractNumId w:val="30"/>
  </w:num>
  <w:num w:numId="127">
    <w:abstractNumId w:val="82"/>
  </w:num>
  <w:num w:numId="128">
    <w:abstractNumId w:val="91"/>
  </w:num>
  <w:num w:numId="129">
    <w:abstractNumId w:val="79"/>
  </w:num>
  <w:num w:numId="130">
    <w:abstractNumId w:val="62"/>
  </w:num>
  <w:num w:numId="131">
    <w:abstractNumId w:val="49"/>
  </w:num>
  <w:num w:numId="132">
    <w:abstractNumId w:val="11"/>
  </w:num>
  <w:num w:numId="133">
    <w:abstractNumId w:val="18"/>
  </w:num>
  <w:num w:numId="134">
    <w:abstractNumId w:val="36"/>
  </w:num>
  <w:num w:numId="135">
    <w:abstractNumId w:val="90"/>
  </w:num>
  <w:num w:numId="136">
    <w:abstractNumId w:val="52"/>
  </w:num>
  <w:num w:numId="137">
    <w:abstractNumId w:val="44"/>
  </w:num>
  <w:num w:numId="138">
    <w:abstractNumId w:val="87"/>
  </w:num>
  <w:num w:numId="139">
    <w:abstractNumId w:val="60"/>
  </w:num>
  <w:num w:numId="140">
    <w:abstractNumId w:val="46"/>
  </w:num>
  <w:num w:numId="141">
    <w:abstractNumId w:val="85"/>
  </w:num>
  <w:num w:numId="142">
    <w:abstractNumId w:val="3"/>
  </w:num>
  <w:num w:numId="143">
    <w:abstractNumId w:val="54"/>
  </w:num>
  <w:num w:numId="1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62</Pages>
  <Words>19010</Words>
  <Characters>104559</Characters>
  <Application>Microsoft Office Word</Application>
  <DocSecurity>4</DocSecurity>
  <Lines>1659</Lines>
  <Paragraphs>500</Paragraphs>
  <ScaleCrop>false</ScaleCrop>
  <HeadingPairs>
    <vt:vector size="2" baseType="variant">
      <vt:variant>
        <vt:lpstr>Titre</vt:lpstr>
      </vt:variant>
      <vt:variant>
        <vt:i4>1</vt:i4>
      </vt:variant>
    </vt:vector>
  </HeadingPairs>
  <TitlesOfParts>
    <vt:vector size="1" baseType="lpstr">
      <vt:lpstr>CRC/C/TCD/2</vt:lpstr>
    </vt:vector>
  </TitlesOfParts>
  <Company/>
  <LinksUpToDate>false</LinksUpToDate>
  <CharactersWithSpaces>133075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CRC/C/TCD/2</dc:title>
  <dc:subject/>
  <dc:creator>Secchi</dc:creator>
  <cp:keywords/>
  <dc:description/>
  <cp:lastModifiedBy>Secchi</cp:lastModifiedBy>
  <cp:revision>2</cp:revision>
  <cp:lastPrinted>2007-08-23T15:33:00Z</cp:lastPrinted>
  <dcterms:created xsi:type="dcterms:W3CDTF">2007-08-23T15:36:00Z</dcterms:created>
  <dcterms:modified xsi:type="dcterms:W3CDTF">2007-08-23T15:36:00Z</dcterms:modified>
</cp:coreProperties>
</file>